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67313" w14:textId="433D8DAE" w:rsidR="00010AAB" w:rsidRPr="004370C6" w:rsidRDefault="6B39321B" w:rsidP="004B1F46">
      <w:pPr>
        <w:pStyle w:val="Heading1"/>
        <w:rPr>
          <w:rFonts w:ascii="Arial" w:hAnsi="Arial" w:cs="Arial"/>
          <w:color w:val="auto"/>
          <w:lang w:val="en-AU"/>
        </w:rPr>
      </w:pPr>
      <w:bookmarkStart w:id="0" w:name="_Toc224732130"/>
      <w:r w:rsidRPr="004370C6">
        <w:rPr>
          <w:rFonts w:ascii="Arial" w:hAnsi="Arial" w:cs="Arial"/>
          <w:color w:val="auto"/>
          <w:lang w:val="en-AU"/>
        </w:rPr>
        <w:t>Yarra City Council</w:t>
      </w:r>
      <w:r w:rsidR="004B1F46" w:rsidRPr="004370C6">
        <w:rPr>
          <w:rFonts w:ascii="Arial" w:hAnsi="Arial" w:cs="Arial"/>
          <w:color w:val="auto"/>
          <w:lang w:val="en-AU"/>
        </w:rPr>
        <w:t xml:space="preserve"> </w:t>
      </w:r>
      <w:r w:rsidRPr="004370C6">
        <w:rPr>
          <w:rFonts w:ascii="Arial" w:hAnsi="Arial" w:cs="Arial"/>
          <w:color w:val="auto"/>
          <w:lang w:val="en-AU"/>
        </w:rPr>
        <w:t>2025/26 Quarterly Community Report Quarter 2</w:t>
      </w:r>
      <w:bookmarkEnd w:id="0"/>
    </w:p>
    <w:p w14:paraId="1394BA43" w14:textId="77777777" w:rsidR="009E543A" w:rsidRPr="004370C6" w:rsidRDefault="009E543A">
      <w:pPr>
        <w:rPr>
          <w:rFonts w:ascii="Arial" w:hAnsi="Arial" w:cs="Arial"/>
        </w:rPr>
      </w:pPr>
      <w:r w:rsidRPr="004370C6">
        <w:rPr>
          <w:rFonts w:ascii="Arial" w:hAnsi="Arial" w:cs="Arial"/>
        </w:rPr>
        <w:br w:type="page"/>
      </w:r>
    </w:p>
    <w:sdt>
      <w:sdtPr>
        <w:rPr>
          <w:rFonts w:ascii="Arial" w:hAnsi="Arial" w:cs="Arial"/>
        </w:rPr>
        <w:id w:val="1545997138"/>
        <w:docPartObj>
          <w:docPartGallery w:val="Table of Contents"/>
          <w:docPartUnique/>
        </w:docPartObj>
      </w:sdtPr>
      <w:sdtContent>
        <w:p w14:paraId="0F55BB18" w14:textId="77777777" w:rsidR="004370C6" w:rsidRDefault="00E428C8">
          <w:pPr>
            <w:pStyle w:val="TOC2"/>
            <w:tabs>
              <w:tab w:val="right" w:leader="dot" w:pos="9350"/>
            </w:tabs>
            <w:rPr>
              <w:noProof/>
            </w:rPr>
          </w:pPr>
          <w:r w:rsidRPr="004370C6">
            <w:rPr>
              <w:rFonts w:ascii="Arial" w:hAnsi="Arial" w:cs="Arial"/>
            </w:rPr>
            <w:t>Contents</w:t>
          </w:r>
          <w:r w:rsidR="0674D22F" w:rsidRPr="004370C6">
            <w:rPr>
              <w:rStyle w:val="Hyperlink"/>
              <w:noProof/>
              <w:color w:val="auto"/>
            </w:rPr>
            <w:fldChar w:fldCharType="begin"/>
          </w:r>
          <w:r w:rsidR="0674D22F" w:rsidRPr="004370C6">
            <w:rPr>
              <w:rStyle w:val="Hyperlink"/>
              <w:rFonts w:ascii="Arial" w:hAnsi="Arial" w:cs="Arial"/>
              <w:noProof/>
              <w:color w:val="auto"/>
            </w:rPr>
            <w:instrText>TOC \o "1-9" \z \u \h</w:instrText>
          </w:r>
          <w:r w:rsidR="0674D22F" w:rsidRPr="004370C6">
            <w:rPr>
              <w:rStyle w:val="Hyperlink"/>
              <w:noProof/>
              <w:color w:val="auto"/>
            </w:rPr>
            <w:fldChar w:fldCharType="separate"/>
          </w:r>
        </w:p>
        <w:p w14:paraId="66F750FF" w14:textId="093E9D31" w:rsidR="004370C6" w:rsidRDefault="004370C6">
          <w:pPr>
            <w:pStyle w:val="TOC1"/>
            <w:tabs>
              <w:tab w:val="right" w:leader="dot" w:pos="9350"/>
            </w:tabs>
            <w:rPr>
              <w:noProof/>
              <w:kern w:val="2"/>
              <w:lang w:val="en-AU" w:eastAsia="en-AU"/>
              <w14:ligatures w14:val="standardContextual"/>
            </w:rPr>
          </w:pPr>
          <w:hyperlink w:anchor="_Toc224732130" w:history="1">
            <w:r w:rsidRPr="00B5521D">
              <w:rPr>
                <w:rStyle w:val="Hyperlink"/>
                <w:rFonts w:ascii="Arial" w:hAnsi="Arial" w:cs="Arial"/>
                <w:noProof/>
                <w:lang w:val="en-AU"/>
              </w:rPr>
              <w:t>Yarra City Council 2025/26 Quarterly Community Report Quarter 2</w:t>
            </w:r>
            <w:r>
              <w:rPr>
                <w:noProof/>
                <w:webHidden/>
              </w:rPr>
              <w:tab/>
            </w:r>
            <w:r>
              <w:rPr>
                <w:noProof/>
                <w:webHidden/>
              </w:rPr>
              <w:fldChar w:fldCharType="begin"/>
            </w:r>
            <w:r>
              <w:rPr>
                <w:noProof/>
                <w:webHidden/>
              </w:rPr>
              <w:instrText xml:space="preserve"> PAGEREF _Toc224732130 \h </w:instrText>
            </w:r>
            <w:r>
              <w:rPr>
                <w:noProof/>
                <w:webHidden/>
              </w:rPr>
            </w:r>
            <w:r>
              <w:rPr>
                <w:noProof/>
                <w:webHidden/>
              </w:rPr>
              <w:fldChar w:fldCharType="separate"/>
            </w:r>
            <w:r>
              <w:rPr>
                <w:noProof/>
                <w:webHidden/>
              </w:rPr>
              <w:t>1</w:t>
            </w:r>
            <w:r>
              <w:rPr>
                <w:noProof/>
                <w:webHidden/>
              </w:rPr>
              <w:fldChar w:fldCharType="end"/>
            </w:r>
          </w:hyperlink>
        </w:p>
        <w:p w14:paraId="38EB3934" w14:textId="0A0B19DB" w:rsidR="004370C6" w:rsidRDefault="004370C6">
          <w:pPr>
            <w:pStyle w:val="TOC2"/>
            <w:tabs>
              <w:tab w:val="right" w:leader="dot" w:pos="9350"/>
            </w:tabs>
            <w:rPr>
              <w:noProof/>
              <w:kern w:val="2"/>
              <w:lang w:val="en-AU" w:eastAsia="en-AU"/>
              <w14:ligatures w14:val="standardContextual"/>
            </w:rPr>
          </w:pPr>
          <w:hyperlink w:anchor="_Toc224732131" w:history="1">
            <w:r w:rsidRPr="00B5521D">
              <w:rPr>
                <w:rStyle w:val="Hyperlink"/>
                <w:rFonts w:ascii="Arial" w:hAnsi="Arial" w:cs="Arial"/>
                <w:noProof/>
              </w:rPr>
              <w:t>CEO Message</w:t>
            </w:r>
            <w:r>
              <w:rPr>
                <w:noProof/>
                <w:webHidden/>
              </w:rPr>
              <w:tab/>
            </w:r>
            <w:r>
              <w:rPr>
                <w:noProof/>
                <w:webHidden/>
              </w:rPr>
              <w:fldChar w:fldCharType="begin"/>
            </w:r>
            <w:r>
              <w:rPr>
                <w:noProof/>
                <w:webHidden/>
              </w:rPr>
              <w:instrText xml:space="preserve"> PAGEREF _Toc224732131 \h </w:instrText>
            </w:r>
            <w:r>
              <w:rPr>
                <w:noProof/>
                <w:webHidden/>
              </w:rPr>
            </w:r>
            <w:r>
              <w:rPr>
                <w:noProof/>
                <w:webHidden/>
              </w:rPr>
              <w:fldChar w:fldCharType="separate"/>
            </w:r>
            <w:r>
              <w:rPr>
                <w:noProof/>
                <w:webHidden/>
              </w:rPr>
              <w:t>7</w:t>
            </w:r>
            <w:r>
              <w:rPr>
                <w:noProof/>
                <w:webHidden/>
              </w:rPr>
              <w:fldChar w:fldCharType="end"/>
            </w:r>
          </w:hyperlink>
        </w:p>
        <w:p w14:paraId="32FE4F51" w14:textId="794A2860" w:rsidR="004370C6" w:rsidRDefault="004370C6">
          <w:pPr>
            <w:pStyle w:val="TOC1"/>
            <w:tabs>
              <w:tab w:val="right" w:leader="dot" w:pos="9350"/>
            </w:tabs>
            <w:rPr>
              <w:noProof/>
              <w:kern w:val="2"/>
              <w:lang w:val="en-AU" w:eastAsia="en-AU"/>
              <w14:ligatures w14:val="standardContextual"/>
            </w:rPr>
          </w:pPr>
          <w:hyperlink w:anchor="_Toc224732132" w:history="1">
            <w:r w:rsidRPr="00B5521D">
              <w:rPr>
                <w:rStyle w:val="Hyperlink"/>
                <w:rFonts w:ascii="Arial" w:hAnsi="Arial" w:cs="Arial"/>
                <w:noProof/>
              </w:rPr>
              <w:t>Quarter 2 Report</w:t>
            </w:r>
            <w:r>
              <w:rPr>
                <w:noProof/>
                <w:webHidden/>
              </w:rPr>
              <w:tab/>
            </w:r>
            <w:r>
              <w:rPr>
                <w:noProof/>
                <w:webHidden/>
              </w:rPr>
              <w:fldChar w:fldCharType="begin"/>
            </w:r>
            <w:r>
              <w:rPr>
                <w:noProof/>
                <w:webHidden/>
              </w:rPr>
              <w:instrText xml:space="preserve"> PAGEREF _Toc224732132 \h </w:instrText>
            </w:r>
            <w:r>
              <w:rPr>
                <w:noProof/>
                <w:webHidden/>
              </w:rPr>
            </w:r>
            <w:r>
              <w:rPr>
                <w:noProof/>
                <w:webHidden/>
              </w:rPr>
              <w:fldChar w:fldCharType="separate"/>
            </w:r>
            <w:r>
              <w:rPr>
                <w:noProof/>
                <w:webHidden/>
              </w:rPr>
              <w:t>9</w:t>
            </w:r>
            <w:r>
              <w:rPr>
                <w:noProof/>
                <w:webHidden/>
              </w:rPr>
              <w:fldChar w:fldCharType="end"/>
            </w:r>
          </w:hyperlink>
        </w:p>
        <w:p w14:paraId="61359E94" w14:textId="56EF1604" w:rsidR="004370C6" w:rsidRDefault="004370C6">
          <w:pPr>
            <w:pStyle w:val="TOC2"/>
            <w:tabs>
              <w:tab w:val="right" w:leader="dot" w:pos="9350"/>
            </w:tabs>
            <w:rPr>
              <w:noProof/>
              <w:kern w:val="2"/>
              <w:lang w:val="en-AU" w:eastAsia="en-AU"/>
              <w14:ligatures w14:val="standardContextual"/>
            </w:rPr>
          </w:pPr>
          <w:hyperlink w:anchor="_Toc224732133" w:history="1">
            <w:r w:rsidRPr="00B5521D">
              <w:rPr>
                <w:rStyle w:val="Hyperlink"/>
                <w:rFonts w:ascii="Arial" w:hAnsi="Arial" w:cs="Arial"/>
                <w:noProof/>
              </w:rPr>
              <w:t>Strategic objective 1: Living in the City</w:t>
            </w:r>
            <w:r>
              <w:rPr>
                <w:noProof/>
                <w:webHidden/>
              </w:rPr>
              <w:tab/>
            </w:r>
            <w:r>
              <w:rPr>
                <w:noProof/>
                <w:webHidden/>
              </w:rPr>
              <w:fldChar w:fldCharType="begin"/>
            </w:r>
            <w:r>
              <w:rPr>
                <w:noProof/>
                <w:webHidden/>
              </w:rPr>
              <w:instrText xml:space="preserve"> PAGEREF _Toc224732133 \h </w:instrText>
            </w:r>
            <w:r>
              <w:rPr>
                <w:noProof/>
                <w:webHidden/>
              </w:rPr>
            </w:r>
            <w:r>
              <w:rPr>
                <w:noProof/>
                <w:webHidden/>
              </w:rPr>
              <w:fldChar w:fldCharType="separate"/>
            </w:r>
            <w:r>
              <w:rPr>
                <w:noProof/>
                <w:webHidden/>
              </w:rPr>
              <w:t>9</w:t>
            </w:r>
            <w:r>
              <w:rPr>
                <w:noProof/>
                <w:webHidden/>
              </w:rPr>
              <w:fldChar w:fldCharType="end"/>
            </w:r>
          </w:hyperlink>
        </w:p>
        <w:p w14:paraId="611190E5" w14:textId="1D39B977" w:rsidR="004370C6" w:rsidRDefault="004370C6">
          <w:pPr>
            <w:pStyle w:val="TOC3"/>
            <w:tabs>
              <w:tab w:val="right" w:leader="dot" w:pos="9350"/>
            </w:tabs>
            <w:rPr>
              <w:noProof/>
              <w:kern w:val="2"/>
              <w:lang w:val="en-AU" w:eastAsia="en-AU"/>
              <w14:ligatures w14:val="standardContextual"/>
            </w:rPr>
          </w:pPr>
          <w:hyperlink w:anchor="_Toc224732134" w:history="1">
            <w:r w:rsidRPr="00B5521D">
              <w:rPr>
                <w:rStyle w:val="Hyperlink"/>
                <w:rFonts w:ascii="Arial" w:hAnsi="Arial" w:cs="Arial"/>
                <w:noProof/>
              </w:rPr>
              <w:t>Community Awards</w:t>
            </w:r>
            <w:r>
              <w:rPr>
                <w:noProof/>
                <w:webHidden/>
              </w:rPr>
              <w:tab/>
            </w:r>
            <w:r>
              <w:rPr>
                <w:noProof/>
                <w:webHidden/>
              </w:rPr>
              <w:fldChar w:fldCharType="begin"/>
            </w:r>
            <w:r>
              <w:rPr>
                <w:noProof/>
                <w:webHidden/>
              </w:rPr>
              <w:instrText xml:space="preserve"> PAGEREF _Toc224732134 \h </w:instrText>
            </w:r>
            <w:r>
              <w:rPr>
                <w:noProof/>
                <w:webHidden/>
              </w:rPr>
            </w:r>
            <w:r>
              <w:rPr>
                <w:noProof/>
                <w:webHidden/>
              </w:rPr>
              <w:fldChar w:fldCharType="separate"/>
            </w:r>
            <w:r>
              <w:rPr>
                <w:noProof/>
                <w:webHidden/>
              </w:rPr>
              <w:t>9</w:t>
            </w:r>
            <w:r>
              <w:rPr>
                <w:noProof/>
                <w:webHidden/>
              </w:rPr>
              <w:fldChar w:fldCharType="end"/>
            </w:r>
          </w:hyperlink>
        </w:p>
        <w:p w14:paraId="79F08811" w14:textId="1408FDEC" w:rsidR="004370C6" w:rsidRDefault="004370C6">
          <w:pPr>
            <w:pStyle w:val="TOC3"/>
            <w:tabs>
              <w:tab w:val="right" w:leader="dot" w:pos="9350"/>
            </w:tabs>
            <w:rPr>
              <w:noProof/>
              <w:kern w:val="2"/>
              <w:lang w:val="en-AU" w:eastAsia="en-AU"/>
              <w14:ligatures w14:val="standardContextual"/>
            </w:rPr>
          </w:pPr>
          <w:hyperlink w:anchor="_Toc224732135" w:history="1">
            <w:r w:rsidRPr="00B5521D">
              <w:rPr>
                <w:rStyle w:val="Hyperlink"/>
                <w:rFonts w:ascii="Arial" w:hAnsi="Arial" w:cs="Arial"/>
                <w:noProof/>
              </w:rPr>
              <w:t>Community Grants</w:t>
            </w:r>
            <w:r>
              <w:rPr>
                <w:noProof/>
                <w:webHidden/>
              </w:rPr>
              <w:tab/>
            </w:r>
            <w:r>
              <w:rPr>
                <w:noProof/>
                <w:webHidden/>
              </w:rPr>
              <w:fldChar w:fldCharType="begin"/>
            </w:r>
            <w:r>
              <w:rPr>
                <w:noProof/>
                <w:webHidden/>
              </w:rPr>
              <w:instrText xml:space="preserve"> PAGEREF _Toc224732135 \h </w:instrText>
            </w:r>
            <w:r>
              <w:rPr>
                <w:noProof/>
                <w:webHidden/>
              </w:rPr>
            </w:r>
            <w:r>
              <w:rPr>
                <w:noProof/>
                <w:webHidden/>
              </w:rPr>
              <w:fldChar w:fldCharType="separate"/>
            </w:r>
            <w:r>
              <w:rPr>
                <w:noProof/>
                <w:webHidden/>
              </w:rPr>
              <w:t>10</w:t>
            </w:r>
            <w:r>
              <w:rPr>
                <w:noProof/>
                <w:webHidden/>
              </w:rPr>
              <w:fldChar w:fldCharType="end"/>
            </w:r>
          </w:hyperlink>
        </w:p>
        <w:p w14:paraId="1BA0DD14" w14:textId="3E44E2A9" w:rsidR="004370C6" w:rsidRDefault="004370C6">
          <w:pPr>
            <w:pStyle w:val="TOC3"/>
            <w:tabs>
              <w:tab w:val="right" w:leader="dot" w:pos="9350"/>
            </w:tabs>
            <w:rPr>
              <w:noProof/>
              <w:kern w:val="2"/>
              <w:lang w:val="en-AU" w:eastAsia="en-AU"/>
              <w14:ligatures w14:val="standardContextual"/>
            </w:rPr>
          </w:pPr>
          <w:hyperlink w:anchor="_Toc224732136" w:history="1">
            <w:r w:rsidRPr="00B5521D">
              <w:rPr>
                <w:rStyle w:val="Hyperlink"/>
                <w:rFonts w:ascii="Arial" w:hAnsi="Arial" w:cs="Arial"/>
                <w:noProof/>
              </w:rPr>
              <w:t>Family, Youth and Children's Services</w:t>
            </w:r>
            <w:r>
              <w:rPr>
                <w:noProof/>
                <w:webHidden/>
              </w:rPr>
              <w:tab/>
            </w:r>
            <w:r>
              <w:rPr>
                <w:noProof/>
                <w:webHidden/>
              </w:rPr>
              <w:fldChar w:fldCharType="begin"/>
            </w:r>
            <w:r>
              <w:rPr>
                <w:noProof/>
                <w:webHidden/>
              </w:rPr>
              <w:instrText xml:space="preserve"> PAGEREF _Toc224732136 \h </w:instrText>
            </w:r>
            <w:r>
              <w:rPr>
                <w:noProof/>
                <w:webHidden/>
              </w:rPr>
            </w:r>
            <w:r>
              <w:rPr>
                <w:noProof/>
                <w:webHidden/>
              </w:rPr>
              <w:fldChar w:fldCharType="separate"/>
            </w:r>
            <w:r>
              <w:rPr>
                <w:noProof/>
                <w:webHidden/>
              </w:rPr>
              <w:t>11</w:t>
            </w:r>
            <w:r>
              <w:rPr>
                <w:noProof/>
                <w:webHidden/>
              </w:rPr>
              <w:fldChar w:fldCharType="end"/>
            </w:r>
          </w:hyperlink>
        </w:p>
        <w:p w14:paraId="054E0722" w14:textId="0035731A" w:rsidR="004370C6" w:rsidRDefault="004370C6">
          <w:pPr>
            <w:pStyle w:val="TOC4"/>
            <w:tabs>
              <w:tab w:val="right" w:leader="dot" w:pos="9350"/>
            </w:tabs>
            <w:rPr>
              <w:noProof/>
              <w:kern w:val="2"/>
              <w:lang w:val="en-AU" w:eastAsia="en-AU"/>
              <w14:ligatures w14:val="standardContextual"/>
            </w:rPr>
          </w:pPr>
          <w:hyperlink w:anchor="_Toc224732137" w:history="1">
            <w:r w:rsidRPr="00B5521D">
              <w:rPr>
                <w:rStyle w:val="Hyperlink"/>
                <w:rFonts w:ascii="Arial" w:hAnsi="Arial" w:cs="Arial"/>
                <w:noProof/>
              </w:rPr>
              <w:t>Collingwood College Early Years Precinct</w:t>
            </w:r>
            <w:r>
              <w:rPr>
                <w:noProof/>
                <w:webHidden/>
              </w:rPr>
              <w:tab/>
            </w:r>
            <w:r>
              <w:rPr>
                <w:noProof/>
                <w:webHidden/>
              </w:rPr>
              <w:fldChar w:fldCharType="begin"/>
            </w:r>
            <w:r>
              <w:rPr>
                <w:noProof/>
                <w:webHidden/>
              </w:rPr>
              <w:instrText xml:space="preserve"> PAGEREF _Toc224732137 \h </w:instrText>
            </w:r>
            <w:r>
              <w:rPr>
                <w:noProof/>
                <w:webHidden/>
              </w:rPr>
            </w:r>
            <w:r>
              <w:rPr>
                <w:noProof/>
                <w:webHidden/>
              </w:rPr>
              <w:fldChar w:fldCharType="separate"/>
            </w:r>
            <w:r>
              <w:rPr>
                <w:noProof/>
                <w:webHidden/>
              </w:rPr>
              <w:t>11</w:t>
            </w:r>
            <w:r>
              <w:rPr>
                <w:noProof/>
                <w:webHidden/>
              </w:rPr>
              <w:fldChar w:fldCharType="end"/>
            </w:r>
          </w:hyperlink>
        </w:p>
        <w:p w14:paraId="1D74660A" w14:textId="52E23B33" w:rsidR="004370C6" w:rsidRDefault="004370C6">
          <w:pPr>
            <w:pStyle w:val="TOC4"/>
            <w:tabs>
              <w:tab w:val="right" w:leader="dot" w:pos="9350"/>
            </w:tabs>
            <w:rPr>
              <w:noProof/>
              <w:kern w:val="2"/>
              <w:lang w:val="en-AU" w:eastAsia="en-AU"/>
              <w14:ligatures w14:val="standardContextual"/>
            </w:rPr>
          </w:pPr>
          <w:hyperlink w:anchor="_Toc224732138" w:history="1">
            <w:r w:rsidRPr="00B5521D">
              <w:rPr>
                <w:rStyle w:val="Hyperlink"/>
                <w:rFonts w:ascii="Arial" w:hAnsi="Arial" w:cs="Arial"/>
                <w:noProof/>
              </w:rPr>
              <w:t>Connie Benn Early Learning Centre</w:t>
            </w:r>
            <w:r>
              <w:rPr>
                <w:noProof/>
                <w:webHidden/>
              </w:rPr>
              <w:tab/>
            </w:r>
            <w:r>
              <w:rPr>
                <w:noProof/>
                <w:webHidden/>
              </w:rPr>
              <w:fldChar w:fldCharType="begin"/>
            </w:r>
            <w:r>
              <w:rPr>
                <w:noProof/>
                <w:webHidden/>
              </w:rPr>
              <w:instrText xml:space="preserve"> PAGEREF _Toc224732138 \h </w:instrText>
            </w:r>
            <w:r>
              <w:rPr>
                <w:noProof/>
                <w:webHidden/>
              </w:rPr>
            </w:r>
            <w:r>
              <w:rPr>
                <w:noProof/>
                <w:webHidden/>
              </w:rPr>
              <w:fldChar w:fldCharType="separate"/>
            </w:r>
            <w:r>
              <w:rPr>
                <w:noProof/>
                <w:webHidden/>
              </w:rPr>
              <w:t>11</w:t>
            </w:r>
            <w:r>
              <w:rPr>
                <w:noProof/>
                <w:webHidden/>
              </w:rPr>
              <w:fldChar w:fldCharType="end"/>
            </w:r>
          </w:hyperlink>
        </w:p>
        <w:p w14:paraId="157B5A70" w14:textId="1E471498" w:rsidR="004370C6" w:rsidRDefault="004370C6">
          <w:pPr>
            <w:pStyle w:val="TOC3"/>
            <w:tabs>
              <w:tab w:val="right" w:leader="dot" w:pos="9350"/>
            </w:tabs>
            <w:rPr>
              <w:noProof/>
              <w:kern w:val="2"/>
              <w:lang w:val="en-AU" w:eastAsia="en-AU"/>
              <w14:ligatures w14:val="standardContextual"/>
            </w:rPr>
          </w:pPr>
          <w:hyperlink w:anchor="_Toc224732139" w:history="1">
            <w:r w:rsidRPr="00B5521D">
              <w:rPr>
                <w:rStyle w:val="Hyperlink"/>
                <w:rFonts w:ascii="Arial" w:hAnsi="Arial" w:cs="Arial"/>
                <w:noProof/>
              </w:rPr>
              <w:t>Libraries</w:t>
            </w:r>
            <w:r>
              <w:rPr>
                <w:noProof/>
                <w:webHidden/>
              </w:rPr>
              <w:tab/>
            </w:r>
            <w:r>
              <w:rPr>
                <w:noProof/>
                <w:webHidden/>
              </w:rPr>
              <w:fldChar w:fldCharType="begin"/>
            </w:r>
            <w:r>
              <w:rPr>
                <w:noProof/>
                <w:webHidden/>
              </w:rPr>
              <w:instrText xml:space="preserve"> PAGEREF _Toc224732139 \h </w:instrText>
            </w:r>
            <w:r>
              <w:rPr>
                <w:noProof/>
                <w:webHidden/>
              </w:rPr>
            </w:r>
            <w:r>
              <w:rPr>
                <w:noProof/>
                <w:webHidden/>
              </w:rPr>
              <w:fldChar w:fldCharType="separate"/>
            </w:r>
            <w:r>
              <w:rPr>
                <w:noProof/>
                <w:webHidden/>
              </w:rPr>
              <w:t>11</w:t>
            </w:r>
            <w:r>
              <w:rPr>
                <w:noProof/>
                <w:webHidden/>
              </w:rPr>
              <w:fldChar w:fldCharType="end"/>
            </w:r>
          </w:hyperlink>
        </w:p>
        <w:p w14:paraId="38493522" w14:textId="682973C8" w:rsidR="004370C6" w:rsidRDefault="004370C6">
          <w:pPr>
            <w:pStyle w:val="TOC4"/>
            <w:tabs>
              <w:tab w:val="right" w:leader="dot" w:pos="9350"/>
            </w:tabs>
            <w:rPr>
              <w:noProof/>
              <w:kern w:val="2"/>
              <w:lang w:val="en-AU" w:eastAsia="en-AU"/>
              <w14:ligatures w14:val="standardContextual"/>
            </w:rPr>
          </w:pPr>
          <w:hyperlink w:anchor="_Toc224732140" w:history="1">
            <w:r w:rsidRPr="00B5521D">
              <w:rPr>
                <w:rStyle w:val="Hyperlink"/>
                <w:rFonts w:ascii="Arial" w:hAnsi="Arial" w:cs="Arial"/>
                <w:noProof/>
              </w:rPr>
              <w:t>East Meets West / Đông gặp Tây (1984) – Film Screening</w:t>
            </w:r>
            <w:r>
              <w:rPr>
                <w:noProof/>
                <w:webHidden/>
              </w:rPr>
              <w:tab/>
            </w:r>
            <w:r>
              <w:rPr>
                <w:noProof/>
                <w:webHidden/>
              </w:rPr>
              <w:fldChar w:fldCharType="begin"/>
            </w:r>
            <w:r>
              <w:rPr>
                <w:noProof/>
                <w:webHidden/>
              </w:rPr>
              <w:instrText xml:space="preserve"> PAGEREF _Toc224732140 \h </w:instrText>
            </w:r>
            <w:r>
              <w:rPr>
                <w:noProof/>
                <w:webHidden/>
              </w:rPr>
            </w:r>
            <w:r>
              <w:rPr>
                <w:noProof/>
                <w:webHidden/>
              </w:rPr>
              <w:fldChar w:fldCharType="separate"/>
            </w:r>
            <w:r>
              <w:rPr>
                <w:noProof/>
                <w:webHidden/>
              </w:rPr>
              <w:t>11</w:t>
            </w:r>
            <w:r>
              <w:rPr>
                <w:noProof/>
                <w:webHidden/>
              </w:rPr>
              <w:fldChar w:fldCharType="end"/>
            </w:r>
          </w:hyperlink>
        </w:p>
        <w:p w14:paraId="6B8826E6" w14:textId="05AB1F09" w:rsidR="004370C6" w:rsidRDefault="004370C6">
          <w:pPr>
            <w:pStyle w:val="TOC4"/>
            <w:tabs>
              <w:tab w:val="right" w:leader="dot" w:pos="9350"/>
            </w:tabs>
            <w:rPr>
              <w:noProof/>
              <w:kern w:val="2"/>
              <w:lang w:val="en-AU" w:eastAsia="en-AU"/>
              <w14:ligatures w14:val="standardContextual"/>
            </w:rPr>
          </w:pPr>
          <w:hyperlink w:anchor="_Toc224732141" w:history="1">
            <w:r w:rsidRPr="00B5521D">
              <w:rPr>
                <w:rStyle w:val="Hyperlink"/>
                <w:rFonts w:ascii="Arial" w:hAnsi="Arial" w:cs="Arial"/>
                <w:noProof/>
              </w:rPr>
              <w:t>Trans Day of Remembrance Vigil</w:t>
            </w:r>
            <w:r>
              <w:rPr>
                <w:noProof/>
                <w:webHidden/>
              </w:rPr>
              <w:tab/>
            </w:r>
            <w:r>
              <w:rPr>
                <w:noProof/>
                <w:webHidden/>
              </w:rPr>
              <w:fldChar w:fldCharType="begin"/>
            </w:r>
            <w:r>
              <w:rPr>
                <w:noProof/>
                <w:webHidden/>
              </w:rPr>
              <w:instrText xml:space="preserve"> PAGEREF _Toc224732141 \h </w:instrText>
            </w:r>
            <w:r>
              <w:rPr>
                <w:noProof/>
                <w:webHidden/>
              </w:rPr>
            </w:r>
            <w:r>
              <w:rPr>
                <w:noProof/>
                <w:webHidden/>
              </w:rPr>
              <w:fldChar w:fldCharType="separate"/>
            </w:r>
            <w:r>
              <w:rPr>
                <w:noProof/>
                <w:webHidden/>
              </w:rPr>
              <w:t>11</w:t>
            </w:r>
            <w:r>
              <w:rPr>
                <w:noProof/>
                <w:webHidden/>
              </w:rPr>
              <w:fldChar w:fldCharType="end"/>
            </w:r>
          </w:hyperlink>
        </w:p>
        <w:p w14:paraId="614945AE" w14:textId="6E9DABD1" w:rsidR="004370C6" w:rsidRDefault="004370C6">
          <w:pPr>
            <w:pStyle w:val="TOC5"/>
            <w:tabs>
              <w:tab w:val="right" w:leader="dot" w:pos="9350"/>
            </w:tabs>
            <w:rPr>
              <w:noProof/>
              <w:kern w:val="2"/>
              <w:lang w:val="en-AU" w:eastAsia="en-AU"/>
              <w14:ligatures w14:val="standardContextual"/>
            </w:rPr>
          </w:pPr>
          <w:hyperlink w:anchor="_Toc224732142" w:history="1">
            <w:r w:rsidRPr="00B5521D">
              <w:rPr>
                <w:rStyle w:val="Hyperlink"/>
                <w:rFonts w:ascii="Arial" w:hAnsi="Arial" w:cs="Arial"/>
                <w:noProof/>
              </w:rPr>
              <w:t>Bird Count for Beginners</w:t>
            </w:r>
            <w:r>
              <w:rPr>
                <w:noProof/>
                <w:webHidden/>
              </w:rPr>
              <w:tab/>
            </w:r>
            <w:r>
              <w:rPr>
                <w:noProof/>
                <w:webHidden/>
              </w:rPr>
              <w:fldChar w:fldCharType="begin"/>
            </w:r>
            <w:r>
              <w:rPr>
                <w:noProof/>
                <w:webHidden/>
              </w:rPr>
              <w:instrText xml:space="preserve"> PAGEREF _Toc224732142 \h </w:instrText>
            </w:r>
            <w:r>
              <w:rPr>
                <w:noProof/>
                <w:webHidden/>
              </w:rPr>
            </w:r>
            <w:r>
              <w:rPr>
                <w:noProof/>
                <w:webHidden/>
              </w:rPr>
              <w:fldChar w:fldCharType="separate"/>
            </w:r>
            <w:r>
              <w:rPr>
                <w:noProof/>
                <w:webHidden/>
              </w:rPr>
              <w:t>12</w:t>
            </w:r>
            <w:r>
              <w:rPr>
                <w:noProof/>
                <w:webHidden/>
              </w:rPr>
              <w:fldChar w:fldCharType="end"/>
            </w:r>
          </w:hyperlink>
        </w:p>
        <w:p w14:paraId="5303156D" w14:textId="6120363D" w:rsidR="004370C6" w:rsidRDefault="004370C6">
          <w:pPr>
            <w:pStyle w:val="TOC3"/>
            <w:tabs>
              <w:tab w:val="right" w:leader="dot" w:pos="9350"/>
            </w:tabs>
            <w:rPr>
              <w:noProof/>
              <w:kern w:val="2"/>
              <w:lang w:val="en-AU" w:eastAsia="en-AU"/>
              <w14:ligatures w14:val="standardContextual"/>
            </w:rPr>
          </w:pPr>
          <w:hyperlink w:anchor="_Toc224732143" w:history="1">
            <w:r w:rsidRPr="00B5521D">
              <w:rPr>
                <w:rStyle w:val="Hyperlink"/>
                <w:rFonts w:ascii="Arial" w:hAnsi="Arial" w:cs="Arial"/>
                <w:noProof/>
              </w:rPr>
              <w:t>Climate Emergency Plan Update</w:t>
            </w:r>
            <w:r>
              <w:rPr>
                <w:noProof/>
                <w:webHidden/>
              </w:rPr>
              <w:tab/>
            </w:r>
            <w:r>
              <w:rPr>
                <w:noProof/>
                <w:webHidden/>
              </w:rPr>
              <w:fldChar w:fldCharType="begin"/>
            </w:r>
            <w:r>
              <w:rPr>
                <w:noProof/>
                <w:webHidden/>
              </w:rPr>
              <w:instrText xml:space="preserve"> PAGEREF _Toc224732143 \h </w:instrText>
            </w:r>
            <w:r>
              <w:rPr>
                <w:noProof/>
                <w:webHidden/>
              </w:rPr>
            </w:r>
            <w:r>
              <w:rPr>
                <w:noProof/>
                <w:webHidden/>
              </w:rPr>
              <w:fldChar w:fldCharType="separate"/>
            </w:r>
            <w:r>
              <w:rPr>
                <w:noProof/>
                <w:webHidden/>
              </w:rPr>
              <w:t>12</w:t>
            </w:r>
            <w:r>
              <w:rPr>
                <w:noProof/>
                <w:webHidden/>
              </w:rPr>
              <w:fldChar w:fldCharType="end"/>
            </w:r>
          </w:hyperlink>
        </w:p>
        <w:p w14:paraId="3859E20C" w14:textId="0BC0C856" w:rsidR="004370C6" w:rsidRDefault="004370C6">
          <w:pPr>
            <w:pStyle w:val="TOC4"/>
            <w:tabs>
              <w:tab w:val="right" w:leader="dot" w:pos="9350"/>
            </w:tabs>
            <w:rPr>
              <w:noProof/>
              <w:kern w:val="2"/>
              <w:lang w:val="en-AU" w:eastAsia="en-AU"/>
              <w14:ligatures w14:val="standardContextual"/>
            </w:rPr>
          </w:pPr>
          <w:hyperlink w:anchor="_Toc224732144" w:history="1">
            <w:r w:rsidRPr="00B5521D">
              <w:rPr>
                <w:rStyle w:val="Hyperlink"/>
                <w:rFonts w:ascii="Arial" w:hAnsi="Arial" w:cs="Arial"/>
                <w:noProof/>
              </w:rPr>
              <w:t>Community Charge Neighbourhood Batteries</w:t>
            </w:r>
            <w:r>
              <w:rPr>
                <w:noProof/>
                <w:webHidden/>
              </w:rPr>
              <w:tab/>
            </w:r>
            <w:r>
              <w:rPr>
                <w:noProof/>
                <w:webHidden/>
              </w:rPr>
              <w:fldChar w:fldCharType="begin"/>
            </w:r>
            <w:r>
              <w:rPr>
                <w:noProof/>
                <w:webHidden/>
              </w:rPr>
              <w:instrText xml:space="preserve"> PAGEREF _Toc224732144 \h </w:instrText>
            </w:r>
            <w:r>
              <w:rPr>
                <w:noProof/>
                <w:webHidden/>
              </w:rPr>
            </w:r>
            <w:r>
              <w:rPr>
                <w:noProof/>
                <w:webHidden/>
              </w:rPr>
              <w:fldChar w:fldCharType="separate"/>
            </w:r>
            <w:r>
              <w:rPr>
                <w:noProof/>
                <w:webHidden/>
              </w:rPr>
              <w:t>12</w:t>
            </w:r>
            <w:r>
              <w:rPr>
                <w:noProof/>
                <w:webHidden/>
              </w:rPr>
              <w:fldChar w:fldCharType="end"/>
            </w:r>
          </w:hyperlink>
        </w:p>
        <w:p w14:paraId="6B41ABF7" w14:textId="0740F90F" w:rsidR="004370C6" w:rsidRDefault="004370C6">
          <w:pPr>
            <w:pStyle w:val="TOC4"/>
            <w:tabs>
              <w:tab w:val="right" w:leader="dot" w:pos="9350"/>
            </w:tabs>
            <w:rPr>
              <w:noProof/>
              <w:kern w:val="2"/>
              <w:lang w:val="en-AU" w:eastAsia="en-AU"/>
              <w14:ligatures w14:val="standardContextual"/>
            </w:rPr>
          </w:pPr>
          <w:hyperlink w:anchor="_Toc224732145" w:history="1">
            <w:r w:rsidRPr="00B5521D">
              <w:rPr>
                <w:rStyle w:val="Hyperlink"/>
                <w:rFonts w:ascii="Arial" w:hAnsi="Arial" w:cs="Arial"/>
                <w:noProof/>
              </w:rPr>
              <w:t>Yarra Home Energy Upgrades program</w:t>
            </w:r>
            <w:r>
              <w:rPr>
                <w:noProof/>
                <w:webHidden/>
              </w:rPr>
              <w:tab/>
            </w:r>
            <w:r>
              <w:rPr>
                <w:noProof/>
                <w:webHidden/>
              </w:rPr>
              <w:fldChar w:fldCharType="begin"/>
            </w:r>
            <w:r>
              <w:rPr>
                <w:noProof/>
                <w:webHidden/>
              </w:rPr>
              <w:instrText xml:space="preserve"> PAGEREF _Toc224732145 \h </w:instrText>
            </w:r>
            <w:r>
              <w:rPr>
                <w:noProof/>
                <w:webHidden/>
              </w:rPr>
            </w:r>
            <w:r>
              <w:rPr>
                <w:noProof/>
                <w:webHidden/>
              </w:rPr>
              <w:fldChar w:fldCharType="separate"/>
            </w:r>
            <w:r>
              <w:rPr>
                <w:noProof/>
                <w:webHidden/>
              </w:rPr>
              <w:t>12</w:t>
            </w:r>
            <w:r>
              <w:rPr>
                <w:noProof/>
                <w:webHidden/>
              </w:rPr>
              <w:fldChar w:fldCharType="end"/>
            </w:r>
          </w:hyperlink>
        </w:p>
        <w:p w14:paraId="516F191E" w14:textId="1B316071" w:rsidR="004370C6" w:rsidRDefault="004370C6">
          <w:pPr>
            <w:pStyle w:val="TOC4"/>
            <w:tabs>
              <w:tab w:val="right" w:leader="dot" w:pos="9350"/>
            </w:tabs>
            <w:rPr>
              <w:noProof/>
              <w:kern w:val="2"/>
              <w:lang w:val="en-AU" w:eastAsia="en-AU"/>
              <w14:ligatures w14:val="standardContextual"/>
            </w:rPr>
          </w:pPr>
          <w:hyperlink w:anchor="_Toc224732146" w:history="1">
            <w:r w:rsidRPr="00B5521D">
              <w:rPr>
                <w:rStyle w:val="Hyperlink"/>
                <w:rFonts w:ascii="Arial" w:hAnsi="Arial" w:cs="Arial"/>
                <w:noProof/>
              </w:rPr>
              <w:t>Cool Spaces</w:t>
            </w:r>
            <w:r>
              <w:rPr>
                <w:noProof/>
                <w:webHidden/>
              </w:rPr>
              <w:tab/>
            </w:r>
            <w:r>
              <w:rPr>
                <w:noProof/>
                <w:webHidden/>
              </w:rPr>
              <w:fldChar w:fldCharType="begin"/>
            </w:r>
            <w:r>
              <w:rPr>
                <w:noProof/>
                <w:webHidden/>
              </w:rPr>
              <w:instrText xml:space="preserve"> PAGEREF _Toc224732146 \h </w:instrText>
            </w:r>
            <w:r>
              <w:rPr>
                <w:noProof/>
                <w:webHidden/>
              </w:rPr>
            </w:r>
            <w:r>
              <w:rPr>
                <w:noProof/>
                <w:webHidden/>
              </w:rPr>
              <w:fldChar w:fldCharType="separate"/>
            </w:r>
            <w:r>
              <w:rPr>
                <w:noProof/>
                <w:webHidden/>
              </w:rPr>
              <w:t>12</w:t>
            </w:r>
            <w:r>
              <w:rPr>
                <w:noProof/>
                <w:webHidden/>
              </w:rPr>
              <w:fldChar w:fldCharType="end"/>
            </w:r>
          </w:hyperlink>
        </w:p>
        <w:p w14:paraId="2E236D70" w14:textId="4958BDEC" w:rsidR="004370C6" w:rsidRDefault="004370C6">
          <w:pPr>
            <w:pStyle w:val="TOC4"/>
            <w:tabs>
              <w:tab w:val="right" w:leader="dot" w:pos="9350"/>
            </w:tabs>
            <w:rPr>
              <w:noProof/>
              <w:kern w:val="2"/>
              <w:lang w:val="en-AU" w:eastAsia="en-AU"/>
              <w14:ligatures w14:val="standardContextual"/>
            </w:rPr>
          </w:pPr>
          <w:hyperlink w:anchor="_Toc224732147" w:history="1">
            <w:r w:rsidRPr="00B5521D">
              <w:rPr>
                <w:rStyle w:val="Hyperlink"/>
                <w:rFonts w:ascii="Arial" w:hAnsi="Arial" w:cs="Arial"/>
                <w:noProof/>
              </w:rPr>
              <w:t>Collingwood Leisure Centre community battery and Electric Vehicle Chargers</w:t>
            </w:r>
            <w:r>
              <w:rPr>
                <w:noProof/>
                <w:webHidden/>
              </w:rPr>
              <w:tab/>
            </w:r>
            <w:r>
              <w:rPr>
                <w:noProof/>
                <w:webHidden/>
              </w:rPr>
              <w:fldChar w:fldCharType="begin"/>
            </w:r>
            <w:r>
              <w:rPr>
                <w:noProof/>
                <w:webHidden/>
              </w:rPr>
              <w:instrText xml:space="preserve"> PAGEREF _Toc224732147 \h </w:instrText>
            </w:r>
            <w:r>
              <w:rPr>
                <w:noProof/>
                <w:webHidden/>
              </w:rPr>
            </w:r>
            <w:r>
              <w:rPr>
                <w:noProof/>
                <w:webHidden/>
              </w:rPr>
              <w:fldChar w:fldCharType="separate"/>
            </w:r>
            <w:r>
              <w:rPr>
                <w:noProof/>
                <w:webHidden/>
              </w:rPr>
              <w:t>12</w:t>
            </w:r>
            <w:r>
              <w:rPr>
                <w:noProof/>
                <w:webHidden/>
              </w:rPr>
              <w:fldChar w:fldCharType="end"/>
            </w:r>
          </w:hyperlink>
        </w:p>
        <w:p w14:paraId="202A3DDA" w14:textId="3F348E06" w:rsidR="004370C6" w:rsidRDefault="004370C6">
          <w:pPr>
            <w:pStyle w:val="TOC2"/>
            <w:tabs>
              <w:tab w:val="right" w:leader="dot" w:pos="9350"/>
            </w:tabs>
            <w:rPr>
              <w:noProof/>
              <w:kern w:val="2"/>
              <w:lang w:val="en-AU" w:eastAsia="en-AU"/>
              <w14:ligatures w14:val="standardContextual"/>
            </w:rPr>
          </w:pPr>
          <w:hyperlink w:anchor="_Toc224732148" w:history="1">
            <w:r w:rsidRPr="00B5521D">
              <w:rPr>
                <w:rStyle w:val="Hyperlink"/>
                <w:rFonts w:ascii="Arial" w:hAnsi="Arial" w:cs="Arial"/>
                <w:noProof/>
              </w:rPr>
              <w:t>Strategic objective 2: Building the City</w:t>
            </w:r>
            <w:r>
              <w:rPr>
                <w:noProof/>
                <w:webHidden/>
              </w:rPr>
              <w:tab/>
            </w:r>
            <w:r>
              <w:rPr>
                <w:noProof/>
                <w:webHidden/>
              </w:rPr>
              <w:fldChar w:fldCharType="begin"/>
            </w:r>
            <w:r>
              <w:rPr>
                <w:noProof/>
                <w:webHidden/>
              </w:rPr>
              <w:instrText xml:space="preserve"> PAGEREF _Toc224732148 \h </w:instrText>
            </w:r>
            <w:r>
              <w:rPr>
                <w:noProof/>
                <w:webHidden/>
              </w:rPr>
            </w:r>
            <w:r>
              <w:rPr>
                <w:noProof/>
                <w:webHidden/>
              </w:rPr>
              <w:fldChar w:fldCharType="separate"/>
            </w:r>
            <w:r>
              <w:rPr>
                <w:noProof/>
                <w:webHidden/>
              </w:rPr>
              <w:t>14</w:t>
            </w:r>
            <w:r>
              <w:rPr>
                <w:noProof/>
                <w:webHidden/>
              </w:rPr>
              <w:fldChar w:fldCharType="end"/>
            </w:r>
          </w:hyperlink>
        </w:p>
        <w:p w14:paraId="0F9397B6" w14:textId="5AE4B59F" w:rsidR="004370C6" w:rsidRDefault="004370C6">
          <w:pPr>
            <w:pStyle w:val="TOC3"/>
            <w:tabs>
              <w:tab w:val="right" w:leader="dot" w:pos="9350"/>
            </w:tabs>
            <w:rPr>
              <w:noProof/>
              <w:kern w:val="2"/>
              <w:lang w:val="en-AU" w:eastAsia="en-AU"/>
              <w14:ligatures w14:val="standardContextual"/>
            </w:rPr>
          </w:pPr>
          <w:hyperlink w:anchor="_Toc224732149" w:history="1">
            <w:r w:rsidRPr="00B5521D">
              <w:rPr>
                <w:rStyle w:val="Hyperlink"/>
                <w:rFonts w:ascii="Arial" w:hAnsi="Arial" w:cs="Arial"/>
                <w:noProof/>
              </w:rPr>
              <w:t>Capital Works update</w:t>
            </w:r>
            <w:r>
              <w:rPr>
                <w:noProof/>
                <w:webHidden/>
              </w:rPr>
              <w:tab/>
            </w:r>
            <w:r>
              <w:rPr>
                <w:noProof/>
                <w:webHidden/>
              </w:rPr>
              <w:fldChar w:fldCharType="begin"/>
            </w:r>
            <w:r>
              <w:rPr>
                <w:noProof/>
                <w:webHidden/>
              </w:rPr>
              <w:instrText xml:space="preserve"> PAGEREF _Toc224732149 \h </w:instrText>
            </w:r>
            <w:r>
              <w:rPr>
                <w:noProof/>
                <w:webHidden/>
              </w:rPr>
            </w:r>
            <w:r>
              <w:rPr>
                <w:noProof/>
                <w:webHidden/>
              </w:rPr>
              <w:fldChar w:fldCharType="separate"/>
            </w:r>
            <w:r>
              <w:rPr>
                <w:noProof/>
                <w:webHidden/>
              </w:rPr>
              <w:t>14</w:t>
            </w:r>
            <w:r>
              <w:rPr>
                <w:noProof/>
                <w:webHidden/>
              </w:rPr>
              <w:fldChar w:fldCharType="end"/>
            </w:r>
          </w:hyperlink>
        </w:p>
        <w:p w14:paraId="2C2FC77B" w14:textId="2E3D7A41" w:rsidR="004370C6" w:rsidRDefault="004370C6">
          <w:pPr>
            <w:pStyle w:val="TOC4"/>
            <w:tabs>
              <w:tab w:val="right" w:leader="dot" w:pos="9350"/>
            </w:tabs>
            <w:rPr>
              <w:noProof/>
              <w:kern w:val="2"/>
              <w:lang w:val="en-AU" w:eastAsia="en-AU"/>
              <w14:ligatures w14:val="standardContextual"/>
            </w:rPr>
          </w:pPr>
          <w:hyperlink w:anchor="_Toc224732150" w:history="1">
            <w:r w:rsidRPr="00B5521D">
              <w:rPr>
                <w:rStyle w:val="Hyperlink"/>
                <w:rFonts w:ascii="Arial" w:hAnsi="Arial" w:cs="Arial"/>
                <w:noProof/>
              </w:rPr>
              <w:t>Overall performance</w:t>
            </w:r>
            <w:r>
              <w:rPr>
                <w:noProof/>
                <w:webHidden/>
              </w:rPr>
              <w:tab/>
            </w:r>
            <w:r>
              <w:rPr>
                <w:noProof/>
                <w:webHidden/>
              </w:rPr>
              <w:fldChar w:fldCharType="begin"/>
            </w:r>
            <w:r>
              <w:rPr>
                <w:noProof/>
                <w:webHidden/>
              </w:rPr>
              <w:instrText xml:space="preserve"> PAGEREF _Toc224732150 \h </w:instrText>
            </w:r>
            <w:r>
              <w:rPr>
                <w:noProof/>
                <w:webHidden/>
              </w:rPr>
            </w:r>
            <w:r>
              <w:rPr>
                <w:noProof/>
                <w:webHidden/>
              </w:rPr>
              <w:fldChar w:fldCharType="separate"/>
            </w:r>
            <w:r>
              <w:rPr>
                <w:noProof/>
                <w:webHidden/>
              </w:rPr>
              <w:t>14</w:t>
            </w:r>
            <w:r>
              <w:rPr>
                <w:noProof/>
                <w:webHidden/>
              </w:rPr>
              <w:fldChar w:fldCharType="end"/>
            </w:r>
          </w:hyperlink>
        </w:p>
        <w:p w14:paraId="40049386" w14:textId="7FE688EB" w:rsidR="004370C6" w:rsidRDefault="004370C6">
          <w:pPr>
            <w:pStyle w:val="TOC4"/>
            <w:tabs>
              <w:tab w:val="right" w:leader="dot" w:pos="9350"/>
            </w:tabs>
            <w:rPr>
              <w:noProof/>
              <w:kern w:val="2"/>
              <w:lang w:val="en-AU" w:eastAsia="en-AU"/>
              <w14:ligatures w14:val="standardContextual"/>
            </w:rPr>
          </w:pPr>
          <w:hyperlink w:anchor="_Toc224732151" w:history="1">
            <w:r w:rsidRPr="00B5521D">
              <w:rPr>
                <w:rStyle w:val="Hyperlink"/>
                <w:rFonts w:ascii="Arial" w:hAnsi="Arial" w:cs="Arial"/>
                <w:noProof/>
              </w:rPr>
              <w:t>Infrastructure (including open spaces, transport, and stormwater)</w:t>
            </w:r>
            <w:r>
              <w:rPr>
                <w:noProof/>
                <w:webHidden/>
              </w:rPr>
              <w:tab/>
            </w:r>
            <w:r>
              <w:rPr>
                <w:noProof/>
                <w:webHidden/>
              </w:rPr>
              <w:fldChar w:fldCharType="begin"/>
            </w:r>
            <w:r>
              <w:rPr>
                <w:noProof/>
                <w:webHidden/>
              </w:rPr>
              <w:instrText xml:space="preserve"> PAGEREF _Toc224732151 \h </w:instrText>
            </w:r>
            <w:r>
              <w:rPr>
                <w:noProof/>
                <w:webHidden/>
              </w:rPr>
            </w:r>
            <w:r>
              <w:rPr>
                <w:noProof/>
                <w:webHidden/>
              </w:rPr>
              <w:fldChar w:fldCharType="separate"/>
            </w:r>
            <w:r>
              <w:rPr>
                <w:noProof/>
                <w:webHidden/>
              </w:rPr>
              <w:t>14</w:t>
            </w:r>
            <w:r>
              <w:rPr>
                <w:noProof/>
                <w:webHidden/>
              </w:rPr>
              <w:fldChar w:fldCharType="end"/>
            </w:r>
          </w:hyperlink>
        </w:p>
        <w:p w14:paraId="0A9C4D5B" w14:textId="39EEDF83" w:rsidR="004370C6" w:rsidRDefault="004370C6">
          <w:pPr>
            <w:pStyle w:val="TOC4"/>
            <w:tabs>
              <w:tab w:val="right" w:leader="dot" w:pos="9350"/>
            </w:tabs>
            <w:rPr>
              <w:noProof/>
              <w:kern w:val="2"/>
              <w:lang w:val="en-AU" w:eastAsia="en-AU"/>
              <w14:ligatures w14:val="standardContextual"/>
            </w:rPr>
          </w:pPr>
          <w:hyperlink w:anchor="_Toc224732152" w:history="1">
            <w:r w:rsidRPr="00B5521D">
              <w:rPr>
                <w:rStyle w:val="Hyperlink"/>
                <w:rFonts w:ascii="Arial" w:hAnsi="Arial" w:cs="Arial"/>
                <w:noProof/>
              </w:rPr>
              <w:t>Completed open space projects in Q2</w:t>
            </w:r>
            <w:r>
              <w:rPr>
                <w:noProof/>
                <w:webHidden/>
              </w:rPr>
              <w:tab/>
            </w:r>
            <w:r>
              <w:rPr>
                <w:noProof/>
                <w:webHidden/>
              </w:rPr>
              <w:fldChar w:fldCharType="begin"/>
            </w:r>
            <w:r>
              <w:rPr>
                <w:noProof/>
                <w:webHidden/>
              </w:rPr>
              <w:instrText xml:space="preserve"> PAGEREF _Toc224732152 \h </w:instrText>
            </w:r>
            <w:r>
              <w:rPr>
                <w:noProof/>
                <w:webHidden/>
              </w:rPr>
            </w:r>
            <w:r>
              <w:rPr>
                <w:noProof/>
                <w:webHidden/>
              </w:rPr>
              <w:fldChar w:fldCharType="separate"/>
            </w:r>
            <w:r>
              <w:rPr>
                <w:noProof/>
                <w:webHidden/>
              </w:rPr>
              <w:t>14</w:t>
            </w:r>
            <w:r>
              <w:rPr>
                <w:noProof/>
                <w:webHidden/>
              </w:rPr>
              <w:fldChar w:fldCharType="end"/>
            </w:r>
          </w:hyperlink>
        </w:p>
        <w:p w14:paraId="29504F16" w14:textId="00257618" w:rsidR="004370C6" w:rsidRDefault="004370C6">
          <w:pPr>
            <w:pStyle w:val="TOC4"/>
            <w:tabs>
              <w:tab w:val="right" w:leader="dot" w:pos="9350"/>
            </w:tabs>
            <w:rPr>
              <w:noProof/>
              <w:kern w:val="2"/>
              <w:lang w:val="en-AU" w:eastAsia="en-AU"/>
              <w14:ligatures w14:val="standardContextual"/>
            </w:rPr>
          </w:pPr>
          <w:hyperlink w:anchor="_Toc224732153" w:history="1">
            <w:r w:rsidRPr="00B5521D">
              <w:rPr>
                <w:rStyle w:val="Hyperlink"/>
                <w:rFonts w:ascii="Arial" w:hAnsi="Arial" w:cs="Arial"/>
                <w:noProof/>
              </w:rPr>
              <w:t>Completed roads projects in Q2</w:t>
            </w:r>
            <w:r>
              <w:rPr>
                <w:noProof/>
                <w:webHidden/>
              </w:rPr>
              <w:tab/>
            </w:r>
            <w:r>
              <w:rPr>
                <w:noProof/>
                <w:webHidden/>
              </w:rPr>
              <w:fldChar w:fldCharType="begin"/>
            </w:r>
            <w:r>
              <w:rPr>
                <w:noProof/>
                <w:webHidden/>
              </w:rPr>
              <w:instrText xml:space="preserve"> PAGEREF _Toc224732153 \h </w:instrText>
            </w:r>
            <w:r>
              <w:rPr>
                <w:noProof/>
                <w:webHidden/>
              </w:rPr>
            </w:r>
            <w:r>
              <w:rPr>
                <w:noProof/>
                <w:webHidden/>
              </w:rPr>
              <w:fldChar w:fldCharType="separate"/>
            </w:r>
            <w:r>
              <w:rPr>
                <w:noProof/>
                <w:webHidden/>
              </w:rPr>
              <w:t>15</w:t>
            </w:r>
            <w:r>
              <w:rPr>
                <w:noProof/>
                <w:webHidden/>
              </w:rPr>
              <w:fldChar w:fldCharType="end"/>
            </w:r>
          </w:hyperlink>
        </w:p>
        <w:p w14:paraId="08F6CD39" w14:textId="2AFAAFE6" w:rsidR="004370C6" w:rsidRDefault="004370C6">
          <w:pPr>
            <w:pStyle w:val="TOC4"/>
            <w:tabs>
              <w:tab w:val="right" w:leader="dot" w:pos="9350"/>
            </w:tabs>
            <w:rPr>
              <w:noProof/>
              <w:kern w:val="2"/>
              <w:lang w:val="en-AU" w:eastAsia="en-AU"/>
              <w14:ligatures w14:val="standardContextual"/>
            </w:rPr>
          </w:pPr>
          <w:hyperlink w:anchor="_Toc224732154" w:history="1">
            <w:r w:rsidRPr="00B5521D">
              <w:rPr>
                <w:rStyle w:val="Hyperlink"/>
                <w:rFonts w:ascii="Arial" w:hAnsi="Arial" w:cs="Arial"/>
                <w:noProof/>
              </w:rPr>
              <w:t>Completed stormwater projects in Q2</w:t>
            </w:r>
            <w:r>
              <w:rPr>
                <w:noProof/>
                <w:webHidden/>
              </w:rPr>
              <w:tab/>
            </w:r>
            <w:r>
              <w:rPr>
                <w:noProof/>
                <w:webHidden/>
              </w:rPr>
              <w:fldChar w:fldCharType="begin"/>
            </w:r>
            <w:r>
              <w:rPr>
                <w:noProof/>
                <w:webHidden/>
              </w:rPr>
              <w:instrText xml:space="preserve"> PAGEREF _Toc224732154 \h </w:instrText>
            </w:r>
            <w:r>
              <w:rPr>
                <w:noProof/>
                <w:webHidden/>
              </w:rPr>
            </w:r>
            <w:r>
              <w:rPr>
                <w:noProof/>
                <w:webHidden/>
              </w:rPr>
              <w:fldChar w:fldCharType="separate"/>
            </w:r>
            <w:r>
              <w:rPr>
                <w:noProof/>
                <w:webHidden/>
              </w:rPr>
              <w:t>15</w:t>
            </w:r>
            <w:r>
              <w:rPr>
                <w:noProof/>
                <w:webHidden/>
              </w:rPr>
              <w:fldChar w:fldCharType="end"/>
            </w:r>
          </w:hyperlink>
        </w:p>
        <w:p w14:paraId="7F2BA918" w14:textId="62EBB8C9" w:rsidR="004370C6" w:rsidRDefault="004370C6">
          <w:pPr>
            <w:pStyle w:val="TOC4"/>
            <w:tabs>
              <w:tab w:val="right" w:leader="dot" w:pos="9350"/>
            </w:tabs>
            <w:rPr>
              <w:noProof/>
              <w:kern w:val="2"/>
              <w:lang w:val="en-AU" w:eastAsia="en-AU"/>
              <w14:ligatures w14:val="standardContextual"/>
            </w:rPr>
          </w:pPr>
          <w:hyperlink w:anchor="_Toc224732155" w:history="1">
            <w:r w:rsidRPr="00B5521D">
              <w:rPr>
                <w:rStyle w:val="Hyperlink"/>
                <w:rFonts w:ascii="Arial" w:hAnsi="Arial" w:cs="Arial"/>
                <w:noProof/>
              </w:rPr>
              <w:t>Plant and equipment</w:t>
            </w:r>
            <w:r>
              <w:rPr>
                <w:noProof/>
                <w:webHidden/>
              </w:rPr>
              <w:tab/>
            </w:r>
            <w:r>
              <w:rPr>
                <w:noProof/>
                <w:webHidden/>
              </w:rPr>
              <w:fldChar w:fldCharType="begin"/>
            </w:r>
            <w:r>
              <w:rPr>
                <w:noProof/>
                <w:webHidden/>
              </w:rPr>
              <w:instrText xml:space="preserve"> PAGEREF _Toc224732155 \h </w:instrText>
            </w:r>
            <w:r>
              <w:rPr>
                <w:noProof/>
                <w:webHidden/>
              </w:rPr>
            </w:r>
            <w:r>
              <w:rPr>
                <w:noProof/>
                <w:webHidden/>
              </w:rPr>
              <w:fldChar w:fldCharType="separate"/>
            </w:r>
            <w:r>
              <w:rPr>
                <w:noProof/>
                <w:webHidden/>
              </w:rPr>
              <w:t>15</w:t>
            </w:r>
            <w:r>
              <w:rPr>
                <w:noProof/>
                <w:webHidden/>
              </w:rPr>
              <w:fldChar w:fldCharType="end"/>
            </w:r>
          </w:hyperlink>
        </w:p>
        <w:p w14:paraId="4902F00F" w14:textId="5828AFB1" w:rsidR="004370C6" w:rsidRDefault="004370C6">
          <w:pPr>
            <w:pStyle w:val="TOC4"/>
            <w:tabs>
              <w:tab w:val="right" w:leader="dot" w:pos="9350"/>
            </w:tabs>
            <w:rPr>
              <w:noProof/>
              <w:kern w:val="2"/>
              <w:lang w:val="en-AU" w:eastAsia="en-AU"/>
              <w14:ligatures w14:val="standardContextual"/>
            </w:rPr>
          </w:pPr>
          <w:hyperlink w:anchor="_Toc224732156" w:history="1">
            <w:r w:rsidRPr="00B5521D">
              <w:rPr>
                <w:rStyle w:val="Hyperlink"/>
                <w:rFonts w:ascii="Arial" w:hAnsi="Arial" w:cs="Arial"/>
                <w:noProof/>
              </w:rPr>
              <w:t>Property (including land and buildings)</w:t>
            </w:r>
            <w:r>
              <w:rPr>
                <w:noProof/>
                <w:webHidden/>
              </w:rPr>
              <w:tab/>
            </w:r>
            <w:r>
              <w:rPr>
                <w:noProof/>
                <w:webHidden/>
              </w:rPr>
              <w:fldChar w:fldCharType="begin"/>
            </w:r>
            <w:r>
              <w:rPr>
                <w:noProof/>
                <w:webHidden/>
              </w:rPr>
              <w:instrText xml:space="preserve"> PAGEREF _Toc224732156 \h </w:instrText>
            </w:r>
            <w:r>
              <w:rPr>
                <w:noProof/>
                <w:webHidden/>
              </w:rPr>
            </w:r>
            <w:r>
              <w:rPr>
                <w:noProof/>
                <w:webHidden/>
              </w:rPr>
              <w:fldChar w:fldCharType="separate"/>
            </w:r>
            <w:r>
              <w:rPr>
                <w:noProof/>
                <w:webHidden/>
              </w:rPr>
              <w:t>15</w:t>
            </w:r>
            <w:r>
              <w:rPr>
                <w:noProof/>
                <w:webHidden/>
              </w:rPr>
              <w:fldChar w:fldCharType="end"/>
            </w:r>
          </w:hyperlink>
        </w:p>
        <w:p w14:paraId="10C0507C" w14:textId="23D2B198" w:rsidR="004370C6" w:rsidRDefault="004370C6">
          <w:pPr>
            <w:pStyle w:val="TOC4"/>
            <w:tabs>
              <w:tab w:val="right" w:leader="dot" w:pos="9350"/>
            </w:tabs>
            <w:rPr>
              <w:noProof/>
              <w:kern w:val="2"/>
              <w:lang w:val="en-AU" w:eastAsia="en-AU"/>
              <w14:ligatures w14:val="standardContextual"/>
            </w:rPr>
          </w:pPr>
          <w:hyperlink w:anchor="_Toc224732157" w:history="1">
            <w:r w:rsidRPr="00B5521D">
              <w:rPr>
                <w:rStyle w:val="Hyperlink"/>
                <w:rFonts w:ascii="Arial" w:hAnsi="Arial" w:cs="Arial"/>
                <w:noProof/>
              </w:rPr>
              <w:t>Completed building projects in Q2</w:t>
            </w:r>
            <w:r>
              <w:rPr>
                <w:noProof/>
                <w:webHidden/>
              </w:rPr>
              <w:tab/>
            </w:r>
            <w:r>
              <w:rPr>
                <w:noProof/>
                <w:webHidden/>
              </w:rPr>
              <w:fldChar w:fldCharType="begin"/>
            </w:r>
            <w:r>
              <w:rPr>
                <w:noProof/>
                <w:webHidden/>
              </w:rPr>
              <w:instrText xml:space="preserve"> PAGEREF _Toc224732157 \h </w:instrText>
            </w:r>
            <w:r>
              <w:rPr>
                <w:noProof/>
                <w:webHidden/>
              </w:rPr>
            </w:r>
            <w:r>
              <w:rPr>
                <w:noProof/>
                <w:webHidden/>
              </w:rPr>
              <w:fldChar w:fldCharType="separate"/>
            </w:r>
            <w:r>
              <w:rPr>
                <w:noProof/>
                <w:webHidden/>
              </w:rPr>
              <w:t>15</w:t>
            </w:r>
            <w:r>
              <w:rPr>
                <w:noProof/>
                <w:webHidden/>
              </w:rPr>
              <w:fldChar w:fldCharType="end"/>
            </w:r>
          </w:hyperlink>
        </w:p>
        <w:p w14:paraId="3CDC6124" w14:textId="7C5F8E5C" w:rsidR="004370C6" w:rsidRDefault="004370C6">
          <w:pPr>
            <w:pStyle w:val="TOC4"/>
            <w:tabs>
              <w:tab w:val="right" w:leader="dot" w:pos="9350"/>
            </w:tabs>
            <w:rPr>
              <w:noProof/>
              <w:kern w:val="2"/>
              <w:lang w:val="en-AU" w:eastAsia="en-AU"/>
              <w14:ligatures w14:val="standardContextual"/>
            </w:rPr>
          </w:pPr>
          <w:hyperlink w:anchor="_Toc224732158" w:history="1">
            <w:r w:rsidRPr="00B5521D">
              <w:rPr>
                <w:rStyle w:val="Hyperlink"/>
                <w:rFonts w:ascii="Arial" w:hAnsi="Arial" w:cs="Arial"/>
                <w:noProof/>
              </w:rPr>
              <w:t>Major Q2 Adjustments</w:t>
            </w:r>
            <w:r>
              <w:rPr>
                <w:noProof/>
                <w:webHidden/>
              </w:rPr>
              <w:tab/>
            </w:r>
            <w:r>
              <w:rPr>
                <w:noProof/>
                <w:webHidden/>
              </w:rPr>
              <w:fldChar w:fldCharType="begin"/>
            </w:r>
            <w:r>
              <w:rPr>
                <w:noProof/>
                <w:webHidden/>
              </w:rPr>
              <w:instrText xml:space="preserve"> PAGEREF _Toc224732158 \h </w:instrText>
            </w:r>
            <w:r>
              <w:rPr>
                <w:noProof/>
                <w:webHidden/>
              </w:rPr>
            </w:r>
            <w:r>
              <w:rPr>
                <w:noProof/>
                <w:webHidden/>
              </w:rPr>
              <w:fldChar w:fldCharType="separate"/>
            </w:r>
            <w:r>
              <w:rPr>
                <w:noProof/>
                <w:webHidden/>
              </w:rPr>
              <w:t>16</w:t>
            </w:r>
            <w:r>
              <w:rPr>
                <w:noProof/>
                <w:webHidden/>
              </w:rPr>
              <w:fldChar w:fldCharType="end"/>
            </w:r>
          </w:hyperlink>
        </w:p>
        <w:p w14:paraId="6D876F7A" w14:textId="12980E9E" w:rsidR="004370C6" w:rsidRDefault="004370C6">
          <w:pPr>
            <w:pStyle w:val="TOC3"/>
            <w:tabs>
              <w:tab w:val="right" w:leader="dot" w:pos="9350"/>
            </w:tabs>
            <w:rPr>
              <w:noProof/>
              <w:kern w:val="2"/>
              <w:lang w:val="en-AU" w:eastAsia="en-AU"/>
              <w14:ligatures w14:val="standardContextual"/>
            </w:rPr>
          </w:pPr>
          <w:hyperlink w:anchor="_Toc224732159" w:history="1">
            <w:r w:rsidRPr="00B5521D">
              <w:rPr>
                <w:rStyle w:val="Hyperlink"/>
                <w:rFonts w:ascii="Arial" w:hAnsi="Arial" w:cs="Arial"/>
                <w:noProof/>
              </w:rPr>
              <w:t>Car Share</w:t>
            </w:r>
            <w:r>
              <w:rPr>
                <w:noProof/>
                <w:webHidden/>
              </w:rPr>
              <w:tab/>
            </w:r>
            <w:r>
              <w:rPr>
                <w:noProof/>
                <w:webHidden/>
              </w:rPr>
              <w:fldChar w:fldCharType="begin"/>
            </w:r>
            <w:r>
              <w:rPr>
                <w:noProof/>
                <w:webHidden/>
              </w:rPr>
              <w:instrText xml:space="preserve"> PAGEREF _Toc224732159 \h </w:instrText>
            </w:r>
            <w:r>
              <w:rPr>
                <w:noProof/>
                <w:webHidden/>
              </w:rPr>
            </w:r>
            <w:r>
              <w:rPr>
                <w:noProof/>
                <w:webHidden/>
              </w:rPr>
              <w:fldChar w:fldCharType="separate"/>
            </w:r>
            <w:r>
              <w:rPr>
                <w:noProof/>
                <w:webHidden/>
              </w:rPr>
              <w:t>17</w:t>
            </w:r>
            <w:r>
              <w:rPr>
                <w:noProof/>
                <w:webHidden/>
              </w:rPr>
              <w:fldChar w:fldCharType="end"/>
            </w:r>
          </w:hyperlink>
        </w:p>
        <w:p w14:paraId="7FCC8D82" w14:textId="2B1F03E5" w:rsidR="004370C6" w:rsidRDefault="004370C6">
          <w:pPr>
            <w:pStyle w:val="TOC3"/>
            <w:tabs>
              <w:tab w:val="right" w:leader="dot" w:pos="9350"/>
            </w:tabs>
            <w:rPr>
              <w:noProof/>
              <w:kern w:val="2"/>
              <w:lang w:val="en-AU" w:eastAsia="en-AU"/>
              <w14:ligatures w14:val="standardContextual"/>
            </w:rPr>
          </w:pPr>
          <w:hyperlink w:anchor="_Toc224732160" w:history="1">
            <w:r w:rsidRPr="00B5521D">
              <w:rPr>
                <w:rStyle w:val="Hyperlink"/>
                <w:rFonts w:ascii="Arial" w:hAnsi="Arial" w:cs="Arial"/>
                <w:noProof/>
              </w:rPr>
              <w:t>Project Spotlights</w:t>
            </w:r>
            <w:r>
              <w:rPr>
                <w:noProof/>
                <w:webHidden/>
              </w:rPr>
              <w:tab/>
            </w:r>
            <w:r>
              <w:rPr>
                <w:noProof/>
                <w:webHidden/>
              </w:rPr>
              <w:fldChar w:fldCharType="begin"/>
            </w:r>
            <w:r>
              <w:rPr>
                <w:noProof/>
                <w:webHidden/>
              </w:rPr>
              <w:instrText xml:space="preserve"> PAGEREF _Toc224732160 \h </w:instrText>
            </w:r>
            <w:r>
              <w:rPr>
                <w:noProof/>
                <w:webHidden/>
              </w:rPr>
            </w:r>
            <w:r>
              <w:rPr>
                <w:noProof/>
                <w:webHidden/>
              </w:rPr>
              <w:fldChar w:fldCharType="separate"/>
            </w:r>
            <w:r>
              <w:rPr>
                <w:noProof/>
                <w:webHidden/>
              </w:rPr>
              <w:t>19</w:t>
            </w:r>
            <w:r>
              <w:rPr>
                <w:noProof/>
                <w:webHidden/>
              </w:rPr>
              <w:fldChar w:fldCharType="end"/>
            </w:r>
          </w:hyperlink>
        </w:p>
        <w:p w14:paraId="655DAD89" w14:textId="7568A983" w:rsidR="004370C6" w:rsidRDefault="004370C6">
          <w:pPr>
            <w:pStyle w:val="TOC4"/>
            <w:tabs>
              <w:tab w:val="right" w:leader="dot" w:pos="9350"/>
            </w:tabs>
            <w:rPr>
              <w:noProof/>
              <w:kern w:val="2"/>
              <w:lang w:val="en-AU" w:eastAsia="en-AU"/>
              <w14:ligatures w14:val="standardContextual"/>
            </w:rPr>
          </w:pPr>
          <w:hyperlink w:anchor="_Toc224732161" w:history="1">
            <w:r w:rsidRPr="00B5521D">
              <w:rPr>
                <w:rStyle w:val="Hyperlink"/>
                <w:rFonts w:ascii="Arial" w:hAnsi="Arial" w:cs="Arial"/>
                <w:noProof/>
              </w:rPr>
              <w:t>Community facilities leading the energy transition</w:t>
            </w:r>
            <w:r>
              <w:rPr>
                <w:noProof/>
                <w:webHidden/>
              </w:rPr>
              <w:tab/>
            </w:r>
            <w:r>
              <w:rPr>
                <w:noProof/>
                <w:webHidden/>
              </w:rPr>
              <w:fldChar w:fldCharType="begin"/>
            </w:r>
            <w:r>
              <w:rPr>
                <w:noProof/>
                <w:webHidden/>
              </w:rPr>
              <w:instrText xml:space="preserve"> PAGEREF _Toc224732161 \h </w:instrText>
            </w:r>
            <w:r>
              <w:rPr>
                <w:noProof/>
                <w:webHidden/>
              </w:rPr>
            </w:r>
            <w:r>
              <w:rPr>
                <w:noProof/>
                <w:webHidden/>
              </w:rPr>
              <w:fldChar w:fldCharType="separate"/>
            </w:r>
            <w:r>
              <w:rPr>
                <w:noProof/>
                <w:webHidden/>
              </w:rPr>
              <w:t>19</w:t>
            </w:r>
            <w:r>
              <w:rPr>
                <w:noProof/>
                <w:webHidden/>
              </w:rPr>
              <w:fldChar w:fldCharType="end"/>
            </w:r>
          </w:hyperlink>
        </w:p>
        <w:p w14:paraId="55D73D9B" w14:textId="56DDC283" w:rsidR="004370C6" w:rsidRDefault="004370C6">
          <w:pPr>
            <w:pStyle w:val="TOC4"/>
            <w:tabs>
              <w:tab w:val="right" w:leader="dot" w:pos="9350"/>
            </w:tabs>
            <w:rPr>
              <w:noProof/>
              <w:kern w:val="2"/>
              <w:lang w:val="en-AU" w:eastAsia="en-AU"/>
              <w14:ligatures w14:val="standardContextual"/>
            </w:rPr>
          </w:pPr>
          <w:hyperlink w:anchor="_Toc224732162" w:history="1">
            <w:r w:rsidRPr="00B5521D">
              <w:rPr>
                <w:rStyle w:val="Hyperlink"/>
                <w:rFonts w:ascii="Arial" w:hAnsi="Arial" w:cs="Arial"/>
                <w:noProof/>
              </w:rPr>
              <w:t>Road renewal projects completed in Q2</w:t>
            </w:r>
            <w:r>
              <w:rPr>
                <w:noProof/>
                <w:webHidden/>
              </w:rPr>
              <w:tab/>
            </w:r>
            <w:r>
              <w:rPr>
                <w:noProof/>
                <w:webHidden/>
              </w:rPr>
              <w:fldChar w:fldCharType="begin"/>
            </w:r>
            <w:r>
              <w:rPr>
                <w:noProof/>
                <w:webHidden/>
              </w:rPr>
              <w:instrText xml:space="preserve"> PAGEREF _Toc224732162 \h </w:instrText>
            </w:r>
            <w:r>
              <w:rPr>
                <w:noProof/>
                <w:webHidden/>
              </w:rPr>
            </w:r>
            <w:r>
              <w:rPr>
                <w:noProof/>
                <w:webHidden/>
              </w:rPr>
              <w:fldChar w:fldCharType="separate"/>
            </w:r>
            <w:r>
              <w:rPr>
                <w:noProof/>
                <w:webHidden/>
              </w:rPr>
              <w:t>19</w:t>
            </w:r>
            <w:r>
              <w:rPr>
                <w:noProof/>
                <w:webHidden/>
              </w:rPr>
              <w:fldChar w:fldCharType="end"/>
            </w:r>
          </w:hyperlink>
        </w:p>
        <w:p w14:paraId="3D633F2C" w14:textId="742F9B5C" w:rsidR="004370C6" w:rsidRDefault="004370C6">
          <w:pPr>
            <w:pStyle w:val="TOC4"/>
            <w:tabs>
              <w:tab w:val="right" w:leader="dot" w:pos="9350"/>
            </w:tabs>
            <w:rPr>
              <w:noProof/>
              <w:kern w:val="2"/>
              <w:lang w:val="en-AU" w:eastAsia="en-AU"/>
              <w14:ligatures w14:val="standardContextual"/>
            </w:rPr>
          </w:pPr>
          <w:hyperlink w:anchor="_Toc224732163" w:history="1">
            <w:r w:rsidRPr="00B5521D">
              <w:rPr>
                <w:rStyle w:val="Hyperlink"/>
                <w:rFonts w:ascii="Arial" w:hAnsi="Arial" w:cs="Arial"/>
                <w:noProof/>
              </w:rPr>
              <w:t>Citizens Park Richmond improvements</w:t>
            </w:r>
            <w:r>
              <w:rPr>
                <w:noProof/>
                <w:webHidden/>
              </w:rPr>
              <w:tab/>
            </w:r>
            <w:r>
              <w:rPr>
                <w:noProof/>
                <w:webHidden/>
              </w:rPr>
              <w:fldChar w:fldCharType="begin"/>
            </w:r>
            <w:r>
              <w:rPr>
                <w:noProof/>
                <w:webHidden/>
              </w:rPr>
              <w:instrText xml:space="preserve"> PAGEREF _Toc224732163 \h </w:instrText>
            </w:r>
            <w:r>
              <w:rPr>
                <w:noProof/>
                <w:webHidden/>
              </w:rPr>
            </w:r>
            <w:r>
              <w:rPr>
                <w:noProof/>
                <w:webHidden/>
              </w:rPr>
              <w:fldChar w:fldCharType="separate"/>
            </w:r>
            <w:r>
              <w:rPr>
                <w:noProof/>
                <w:webHidden/>
              </w:rPr>
              <w:t>20</w:t>
            </w:r>
            <w:r>
              <w:rPr>
                <w:noProof/>
                <w:webHidden/>
              </w:rPr>
              <w:fldChar w:fldCharType="end"/>
            </w:r>
          </w:hyperlink>
        </w:p>
        <w:p w14:paraId="237B48FD" w14:textId="716BA51C" w:rsidR="004370C6" w:rsidRDefault="004370C6">
          <w:pPr>
            <w:pStyle w:val="TOC3"/>
            <w:tabs>
              <w:tab w:val="right" w:leader="dot" w:pos="9350"/>
            </w:tabs>
            <w:rPr>
              <w:noProof/>
              <w:kern w:val="2"/>
              <w:lang w:val="en-AU" w:eastAsia="en-AU"/>
              <w14:ligatures w14:val="standardContextual"/>
            </w:rPr>
          </w:pPr>
          <w:hyperlink w:anchor="_Toc224732164" w:history="1">
            <w:r w:rsidRPr="00B5521D">
              <w:rPr>
                <w:rStyle w:val="Hyperlink"/>
                <w:rFonts w:ascii="Arial" w:hAnsi="Arial" w:cs="Arial"/>
                <w:noProof/>
              </w:rPr>
              <w:t>Property Strategy Update</w:t>
            </w:r>
            <w:r>
              <w:rPr>
                <w:noProof/>
                <w:webHidden/>
              </w:rPr>
              <w:tab/>
            </w:r>
            <w:r>
              <w:rPr>
                <w:noProof/>
                <w:webHidden/>
              </w:rPr>
              <w:fldChar w:fldCharType="begin"/>
            </w:r>
            <w:r>
              <w:rPr>
                <w:noProof/>
                <w:webHidden/>
              </w:rPr>
              <w:instrText xml:space="preserve"> PAGEREF _Toc224732164 \h </w:instrText>
            </w:r>
            <w:r>
              <w:rPr>
                <w:noProof/>
                <w:webHidden/>
              </w:rPr>
            </w:r>
            <w:r>
              <w:rPr>
                <w:noProof/>
                <w:webHidden/>
              </w:rPr>
              <w:fldChar w:fldCharType="separate"/>
            </w:r>
            <w:r>
              <w:rPr>
                <w:noProof/>
                <w:webHidden/>
              </w:rPr>
              <w:t>20</w:t>
            </w:r>
            <w:r>
              <w:rPr>
                <w:noProof/>
                <w:webHidden/>
              </w:rPr>
              <w:fldChar w:fldCharType="end"/>
            </w:r>
          </w:hyperlink>
        </w:p>
        <w:p w14:paraId="4BABC8C2" w14:textId="1B30B8D6" w:rsidR="004370C6" w:rsidRDefault="004370C6">
          <w:pPr>
            <w:pStyle w:val="TOC3"/>
            <w:tabs>
              <w:tab w:val="right" w:leader="dot" w:pos="9350"/>
            </w:tabs>
            <w:rPr>
              <w:noProof/>
              <w:kern w:val="2"/>
              <w:lang w:val="en-AU" w:eastAsia="en-AU"/>
              <w14:ligatures w14:val="standardContextual"/>
            </w:rPr>
          </w:pPr>
          <w:hyperlink w:anchor="_Toc224732165" w:history="1">
            <w:r w:rsidRPr="00B5521D">
              <w:rPr>
                <w:rStyle w:val="Hyperlink"/>
                <w:rFonts w:ascii="Arial" w:hAnsi="Arial" w:cs="Arial"/>
                <w:noProof/>
              </w:rPr>
              <w:t>New Open Space Acquired</w:t>
            </w:r>
            <w:r>
              <w:rPr>
                <w:noProof/>
                <w:webHidden/>
              </w:rPr>
              <w:tab/>
            </w:r>
            <w:r>
              <w:rPr>
                <w:noProof/>
                <w:webHidden/>
              </w:rPr>
              <w:fldChar w:fldCharType="begin"/>
            </w:r>
            <w:r>
              <w:rPr>
                <w:noProof/>
                <w:webHidden/>
              </w:rPr>
              <w:instrText xml:space="preserve"> PAGEREF _Toc224732165 \h </w:instrText>
            </w:r>
            <w:r>
              <w:rPr>
                <w:noProof/>
                <w:webHidden/>
              </w:rPr>
            </w:r>
            <w:r>
              <w:rPr>
                <w:noProof/>
                <w:webHidden/>
              </w:rPr>
              <w:fldChar w:fldCharType="separate"/>
            </w:r>
            <w:r>
              <w:rPr>
                <w:noProof/>
                <w:webHidden/>
              </w:rPr>
              <w:t>20</w:t>
            </w:r>
            <w:r>
              <w:rPr>
                <w:noProof/>
                <w:webHidden/>
              </w:rPr>
              <w:fldChar w:fldCharType="end"/>
            </w:r>
          </w:hyperlink>
        </w:p>
        <w:p w14:paraId="184192D2" w14:textId="37C6697E" w:rsidR="004370C6" w:rsidRDefault="004370C6">
          <w:pPr>
            <w:pStyle w:val="TOC3"/>
            <w:tabs>
              <w:tab w:val="right" w:leader="dot" w:pos="9350"/>
            </w:tabs>
            <w:rPr>
              <w:noProof/>
              <w:kern w:val="2"/>
              <w:lang w:val="en-AU" w:eastAsia="en-AU"/>
              <w14:ligatures w14:val="standardContextual"/>
            </w:rPr>
          </w:pPr>
          <w:hyperlink w:anchor="_Toc224732166" w:history="1">
            <w:r w:rsidRPr="00B5521D">
              <w:rPr>
                <w:rStyle w:val="Hyperlink"/>
                <w:rFonts w:ascii="Arial" w:hAnsi="Arial" w:cs="Arial"/>
                <w:noProof/>
              </w:rPr>
              <w:t>Revised Yarra Transport Action Plan</w:t>
            </w:r>
            <w:r>
              <w:rPr>
                <w:noProof/>
                <w:webHidden/>
              </w:rPr>
              <w:tab/>
            </w:r>
            <w:r>
              <w:rPr>
                <w:noProof/>
                <w:webHidden/>
              </w:rPr>
              <w:fldChar w:fldCharType="begin"/>
            </w:r>
            <w:r>
              <w:rPr>
                <w:noProof/>
                <w:webHidden/>
              </w:rPr>
              <w:instrText xml:space="preserve"> PAGEREF _Toc224732166 \h </w:instrText>
            </w:r>
            <w:r>
              <w:rPr>
                <w:noProof/>
                <w:webHidden/>
              </w:rPr>
            </w:r>
            <w:r>
              <w:rPr>
                <w:noProof/>
                <w:webHidden/>
              </w:rPr>
              <w:fldChar w:fldCharType="separate"/>
            </w:r>
            <w:r>
              <w:rPr>
                <w:noProof/>
                <w:webHidden/>
              </w:rPr>
              <w:t>21</w:t>
            </w:r>
            <w:r>
              <w:rPr>
                <w:noProof/>
                <w:webHidden/>
              </w:rPr>
              <w:fldChar w:fldCharType="end"/>
            </w:r>
          </w:hyperlink>
        </w:p>
        <w:p w14:paraId="26AA3BB0" w14:textId="46F1AD45" w:rsidR="004370C6" w:rsidRDefault="004370C6">
          <w:pPr>
            <w:pStyle w:val="TOC3"/>
            <w:tabs>
              <w:tab w:val="right" w:leader="dot" w:pos="9350"/>
            </w:tabs>
            <w:rPr>
              <w:noProof/>
              <w:kern w:val="2"/>
              <w:lang w:val="en-AU" w:eastAsia="en-AU"/>
              <w14:ligatures w14:val="standardContextual"/>
            </w:rPr>
          </w:pPr>
          <w:hyperlink w:anchor="_Toc224732167" w:history="1">
            <w:r w:rsidRPr="00B5521D">
              <w:rPr>
                <w:rStyle w:val="Hyperlink"/>
                <w:rFonts w:ascii="Arial" w:hAnsi="Arial" w:cs="Arial"/>
                <w:noProof/>
              </w:rPr>
              <w:t>Road Fatality &amp; Injury Data</w:t>
            </w:r>
            <w:r>
              <w:rPr>
                <w:noProof/>
                <w:webHidden/>
              </w:rPr>
              <w:tab/>
            </w:r>
            <w:r>
              <w:rPr>
                <w:noProof/>
                <w:webHidden/>
              </w:rPr>
              <w:fldChar w:fldCharType="begin"/>
            </w:r>
            <w:r>
              <w:rPr>
                <w:noProof/>
                <w:webHidden/>
              </w:rPr>
              <w:instrText xml:space="preserve"> PAGEREF _Toc224732167 \h </w:instrText>
            </w:r>
            <w:r>
              <w:rPr>
                <w:noProof/>
                <w:webHidden/>
              </w:rPr>
            </w:r>
            <w:r>
              <w:rPr>
                <w:noProof/>
                <w:webHidden/>
              </w:rPr>
              <w:fldChar w:fldCharType="separate"/>
            </w:r>
            <w:r>
              <w:rPr>
                <w:noProof/>
                <w:webHidden/>
              </w:rPr>
              <w:t>22</w:t>
            </w:r>
            <w:r>
              <w:rPr>
                <w:noProof/>
                <w:webHidden/>
              </w:rPr>
              <w:fldChar w:fldCharType="end"/>
            </w:r>
          </w:hyperlink>
        </w:p>
        <w:p w14:paraId="6BC087A8" w14:textId="179A766E" w:rsidR="004370C6" w:rsidRDefault="004370C6">
          <w:pPr>
            <w:pStyle w:val="TOC4"/>
            <w:tabs>
              <w:tab w:val="right" w:leader="dot" w:pos="9350"/>
            </w:tabs>
            <w:rPr>
              <w:noProof/>
              <w:kern w:val="2"/>
              <w:lang w:val="en-AU" w:eastAsia="en-AU"/>
              <w14:ligatures w14:val="standardContextual"/>
            </w:rPr>
          </w:pPr>
          <w:hyperlink w:anchor="_Toc224732168" w:history="1">
            <w:r w:rsidRPr="00B5521D">
              <w:rPr>
                <w:rStyle w:val="Hyperlink"/>
                <w:rFonts w:ascii="Arial" w:hAnsi="Arial" w:cs="Arial"/>
                <w:noProof/>
                <w:lang w:eastAsia="en-AU"/>
              </w:rPr>
              <w:t>Q2 crashes</w:t>
            </w:r>
            <w:r>
              <w:rPr>
                <w:noProof/>
                <w:webHidden/>
              </w:rPr>
              <w:tab/>
            </w:r>
            <w:r>
              <w:rPr>
                <w:noProof/>
                <w:webHidden/>
              </w:rPr>
              <w:fldChar w:fldCharType="begin"/>
            </w:r>
            <w:r>
              <w:rPr>
                <w:noProof/>
                <w:webHidden/>
              </w:rPr>
              <w:instrText xml:space="preserve"> PAGEREF _Toc224732168 \h </w:instrText>
            </w:r>
            <w:r>
              <w:rPr>
                <w:noProof/>
                <w:webHidden/>
              </w:rPr>
            </w:r>
            <w:r>
              <w:rPr>
                <w:noProof/>
                <w:webHidden/>
              </w:rPr>
              <w:fldChar w:fldCharType="separate"/>
            </w:r>
            <w:r>
              <w:rPr>
                <w:noProof/>
                <w:webHidden/>
              </w:rPr>
              <w:t>22</w:t>
            </w:r>
            <w:r>
              <w:rPr>
                <w:noProof/>
                <w:webHidden/>
              </w:rPr>
              <w:fldChar w:fldCharType="end"/>
            </w:r>
          </w:hyperlink>
        </w:p>
        <w:p w14:paraId="54212520" w14:textId="6666A43A" w:rsidR="004370C6" w:rsidRDefault="004370C6">
          <w:pPr>
            <w:pStyle w:val="TOC4"/>
            <w:tabs>
              <w:tab w:val="right" w:leader="dot" w:pos="9350"/>
            </w:tabs>
            <w:rPr>
              <w:noProof/>
              <w:kern w:val="2"/>
              <w:lang w:val="en-AU" w:eastAsia="en-AU"/>
              <w14:ligatures w14:val="standardContextual"/>
            </w:rPr>
          </w:pPr>
          <w:hyperlink w:anchor="_Toc224732169" w:history="1">
            <w:r w:rsidRPr="00B5521D">
              <w:rPr>
                <w:rStyle w:val="Hyperlink"/>
                <w:rFonts w:ascii="Arial" w:hAnsi="Arial" w:cs="Arial"/>
                <w:noProof/>
                <w:lang w:eastAsia="en-AU"/>
              </w:rPr>
              <w:t>Update on Q1 crashes</w:t>
            </w:r>
            <w:r>
              <w:rPr>
                <w:noProof/>
                <w:webHidden/>
              </w:rPr>
              <w:tab/>
            </w:r>
            <w:r>
              <w:rPr>
                <w:noProof/>
                <w:webHidden/>
              </w:rPr>
              <w:fldChar w:fldCharType="begin"/>
            </w:r>
            <w:r>
              <w:rPr>
                <w:noProof/>
                <w:webHidden/>
              </w:rPr>
              <w:instrText xml:space="preserve"> PAGEREF _Toc224732169 \h </w:instrText>
            </w:r>
            <w:r>
              <w:rPr>
                <w:noProof/>
                <w:webHidden/>
              </w:rPr>
            </w:r>
            <w:r>
              <w:rPr>
                <w:noProof/>
                <w:webHidden/>
              </w:rPr>
              <w:fldChar w:fldCharType="separate"/>
            </w:r>
            <w:r>
              <w:rPr>
                <w:noProof/>
                <w:webHidden/>
              </w:rPr>
              <w:t>26</w:t>
            </w:r>
            <w:r>
              <w:rPr>
                <w:noProof/>
                <w:webHidden/>
              </w:rPr>
              <w:fldChar w:fldCharType="end"/>
            </w:r>
          </w:hyperlink>
        </w:p>
        <w:p w14:paraId="169A2873" w14:textId="3093A683" w:rsidR="004370C6" w:rsidRDefault="004370C6">
          <w:pPr>
            <w:pStyle w:val="TOC3"/>
            <w:tabs>
              <w:tab w:val="right" w:leader="dot" w:pos="9350"/>
            </w:tabs>
            <w:rPr>
              <w:noProof/>
              <w:kern w:val="2"/>
              <w:lang w:val="en-AU" w:eastAsia="en-AU"/>
              <w14:ligatures w14:val="standardContextual"/>
            </w:rPr>
          </w:pPr>
          <w:hyperlink w:anchor="_Toc224732170" w:history="1">
            <w:r w:rsidRPr="00B5521D">
              <w:rPr>
                <w:rStyle w:val="Hyperlink"/>
                <w:rFonts w:ascii="Arial" w:hAnsi="Arial" w:cs="Arial"/>
                <w:noProof/>
              </w:rPr>
              <w:t>Planning Scheme Amendments Lodged</w:t>
            </w:r>
            <w:r>
              <w:rPr>
                <w:noProof/>
                <w:webHidden/>
              </w:rPr>
              <w:tab/>
            </w:r>
            <w:r>
              <w:rPr>
                <w:noProof/>
                <w:webHidden/>
              </w:rPr>
              <w:fldChar w:fldCharType="begin"/>
            </w:r>
            <w:r>
              <w:rPr>
                <w:noProof/>
                <w:webHidden/>
              </w:rPr>
              <w:instrText xml:space="preserve"> PAGEREF _Toc224732170 \h </w:instrText>
            </w:r>
            <w:r>
              <w:rPr>
                <w:noProof/>
                <w:webHidden/>
              </w:rPr>
            </w:r>
            <w:r>
              <w:rPr>
                <w:noProof/>
                <w:webHidden/>
              </w:rPr>
              <w:fldChar w:fldCharType="separate"/>
            </w:r>
            <w:r>
              <w:rPr>
                <w:noProof/>
                <w:webHidden/>
              </w:rPr>
              <w:t>28</w:t>
            </w:r>
            <w:r>
              <w:rPr>
                <w:noProof/>
                <w:webHidden/>
              </w:rPr>
              <w:fldChar w:fldCharType="end"/>
            </w:r>
          </w:hyperlink>
        </w:p>
        <w:p w14:paraId="330E85DD" w14:textId="470939BF" w:rsidR="004370C6" w:rsidRDefault="004370C6">
          <w:pPr>
            <w:pStyle w:val="TOC4"/>
            <w:tabs>
              <w:tab w:val="right" w:leader="dot" w:pos="9350"/>
            </w:tabs>
            <w:rPr>
              <w:noProof/>
              <w:kern w:val="2"/>
              <w:lang w:val="en-AU" w:eastAsia="en-AU"/>
              <w14:ligatures w14:val="standardContextual"/>
            </w:rPr>
          </w:pPr>
          <w:hyperlink w:anchor="_Toc224732171" w:history="1">
            <w:r w:rsidRPr="00B5521D">
              <w:rPr>
                <w:rStyle w:val="Hyperlink"/>
                <w:rFonts w:ascii="Arial" w:hAnsi="Arial" w:cs="Arial"/>
                <w:noProof/>
              </w:rPr>
              <w:t>City - Wide</w:t>
            </w:r>
            <w:r>
              <w:rPr>
                <w:noProof/>
                <w:webHidden/>
              </w:rPr>
              <w:tab/>
            </w:r>
            <w:r>
              <w:rPr>
                <w:noProof/>
                <w:webHidden/>
              </w:rPr>
              <w:fldChar w:fldCharType="begin"/>
            </w:r>
            <w:r>
              <w:rPr>
                <w:noProof/>
                <w:webHidden/>
              </w:rPr>
              <w:instrText xml:space="preserve"> PAGEREF _Toc224732171 \h </w:instrText>
            </w:r>
            <w:r>
              <w:rPr>
                <w:noProof/>
                <w:webHidden/>
              </w:rPr>
            </w:r>
            <w:r>
              <w:rPr>
                <w:noProof/>
                <w:webHidden/>
              </w:rPr>
              <w:fldChar w:fldCharType="separate"/>
            </w:r>
            <w:r>
              <w:rPr>
                <w:noProof/>
                <w:webHidden/>
              </w:rPr>
              <w:t>28</w:t>
            </w:r>
            <w:r>
              <w:rPr>
                <w:noProof/>
                <w:webHidden/>
              </w:rPr>
              <w:fldChar w:fldCharType="end"/>
            </w:r>
          </w:hyperlink>
        </w:p>
        <w:p w14:paraId="4F325111" w14:textId="3CD6DF99" w:rsidR="004370C6" w:rsidRDefault="004370C6">
          <w:pPr>
            <w:pStyle w:val="TOC4"/>
            <w:tabs>
              <w:tab w:val="right" w:leader="dot" w:pos="9350"/>
            </w:tabs>
            <w:rPr>
              <w:noProof/>
              <w:kern w:val="2"/>
              <w:lang w:val="en-AU" w:eastAsia="en-AU"/>
              <w14:ligatures w14:val="standardContextual"/>
            </w:rPr>
          </w:pPr>
          <w:hyperlink w:anchor="_Toc224732172" w:history="1">
            <w:r w:rsidRPr="00B5521D">
              <w:rPr>
                <w:rStyle w:val="Hyperlink"/>
                <w:rFonts w:ascii="Arial" w:hAnsi="Arial" w:cs="Arial"/>
                <w:noProof/>
              </w:rPr>
              <w:t>Local-Area</w:t>
            </w:r>
            <w:r>
              <w:rPr>
                <w:noProof/>
                <w:webHidden/>
              </w:rPr>
              <w:tab/>
            </w:r>
            <w:r>
              <w:rPr>
                <w:noProof/>
                <w:webHidden/>
              </w:rPr>
              <w:fldChar w:fldCharType="begin"/>
            </w:r>
            <w:r>
              <w:rPr>
                <w:noProof/>
                <w:webHidden/>
              </w:rPr>
              <w:instrText xml:space="preserve"> PAGEREF _Toc224732172 \h </w:instrText>
            </w:r>
            <w:r>
              <w:rPr>
                <w:noProof/>
                <w:webHidden/>
              </w:rPr>
            </w:r>
            <w:r>
              <w:rPr>
                <w:noProof/>
                <w:webHidden/>
              </w:rPr>
              <w:fldChar w:fldCharType="separate"/>
            </w:r>
            <w:r>
              <w:rPr>
                <w:noProof/>
                <w:webHidden/>
              </w:rPr>
              <w:t>28</w:t>
            </w:r>
            <w:r>
              <w:rPr>
                <w:noProof/>
                <w:webHidden/>
              </w:rPr>
              <w:fldChar w:fldCharType="end"/>
            </w:r>
          </w:hyperlink>
        </w:p>
        <w:p w14:paraId="585CD496" w14:textId="0D29D7FD" w:rsidR="004370C6" w:rsidRDefault="004370C6">
          <w:pPr>
            <w:pStyle w:val="TOC3"/>
            <w:tabs>
              <w:tab w:val="right" w:leader="dot" w:pos="9350"/>
            </w:tabs>
            <w:rPr>
              <w:noProof/>
              <w:kern w:val="2"/>
              <w:lang w:val="en-AU" w:eastAsia="en-AU"/>
              <w14:ligatures w14:val="standardContextual"/>
            </w:rPr>
          </w:pPr>
          <w:hyperlink w:anchor="_Toc224732173" w:history="1">
            <w:r w:rsidRPr="00B5521D">
              <w:rPr>
                <w:rStyle w:val="Hyperlink"/>
                <w:rFonts w:ascii="Arial" w:hAnsi="Arial" w:cs="Arial"/>
                <w:noProof/>
              </w:rPr>
              <w:t>Statutory Planning Activity</w:t>
            </w:r>
            <w:r>
              <w:rPr>
                <w:noProof/>
                <w:webHidden/>
              </w:rPr>
              <w:tab/>
            </w:r>
            <w:r>
              <w:rPr>
                <w:noProof/>
                <w:webHidden/>
              </w:rPr>
              <w:fldChar w:fldCharType="begin"/>
            </w:r>
            <w:r>
              <w:rPr>
                <w:noProof/>
                <w:webHidden/>
              </w:rPr>
              <w:instrText xml:space="preserve"> PAGEREF _Toc224732173 \h </w:instrText>
            </w:r>
            <w:r>
              <w:rPr>
                <w:noProof/>
                <w:webHidden/>
              </w:rPr>
            </w:r>
            <w:r>
              <w:rPr>
                <w:noProof/>
                <w:webHidden/>
              </w:rPr>
              <w:fldChar w:fldCharType="separate"/>
            </w:r>
            <w:r>
              <w:rPr>
                <w:noProof/>
                <w:webHidden/>
              </w:rPr>
              <w:t>29</w:t>
            </w:r>
            <w:r>
              <w:rPr>
                <w:noProof/>
                <w:webHidden/>
              </w:rPr>
              <w:fldChar w:fldCharType="end"/>
            </w:r>
          </w:hyperlink>
        </w:p>
        <w:p w14:paraId="7C546F68" w14:textId="253E7EA9" w:rsidR="004370C6" w:rsidRDefault="004370C6">
          <w:pPr>
            <w:pStyle w:val="TOC4"/>
            <w:tabs>
              <w:tab w:val="right" w:leader="dot" w:pos="9350"/>
            </w:tabs>
            <w:rPr>
              <w:noProof/>
              <w:kern w:val="2"/>
              <w:lang w:val="en-AU" w:eastAsia="en-AU"/>
              <w14:ligatures w14:val="standardContextual"/>
            </w:rPr>
          </w:pPr>
          <w:hyperlink w:anchor="_Toc224732174" w:history="1">
            <w:r w:rsidRPr="00B5521D">
              <w:rPr>
                <w:rStyle w:val="Hyperlink"/>
                <w:rFonts w:ascii="Arial" w:hAnsi="Arial" w:cs="Arial"/>
                <w:noProof/>
              </w:rPr>
              <w:t>Timeframes</w:t>
            </w:r>
            <w:r>
              <w:rPr>
                <w:noProof/>
                <w:webHidden/>
              </w:rPr>
              <w:tab/>
            </w:r>
            <w:r>
              <w:rPr>
                <w:noProof/>
                <w:webHidden/>
              </w:rPr>
              <w:fldChar w:fldCharType="begin"/>
            </w:r>
            <w:r>
              <w:rPr>
                <w:noProof/>
                <w:webHidden/>
              </w:rPr>
              <w:instrText xml:space="preserve"> PAGEREF _Toc224732174 \h </w:instrText>
            </w:r>
            <w:r>
              <w:rPr>
                <w:noProof/>
                <w:webHidden/>
              </w:rPr>
            </w:r>
            <w:r>
              <w:rPr>
                <w:noProof/>
                <w:webHidden/>
              </w:rPr>
              <w:fldChar w:fldCharType="separate"/>
            </w:r>
            <w:r>
              <w:rPr>
                <w:noProof/>
                <w:webHidden/>
              </w:rPr>
              <w:t>30</w:t>
            </w:r>
            <w:r>
              <w:rPr>
                <w:noProof/>
                <w:webHidden/>
              </w:rPr>
              <w:fldChar w:fldCharType="end"/>
            </w:r>
          </w:hyperlink>
        </w:p>
        <w:p w14:paraId="4E42DEB8" w14:textId="0366113E" w:rsidR="004370C6" w:rsidRDefault="004370C6">
          <w:pPr>
            <w:pStyle w:val="TOC3"/>
            <w:tabs>
              <w:tab w:val="right" w:leader="dot" w:pos="9350"/>
            </w:tabs>
            <w:rPr>
              <w:noProof/>
              <w:kern w:val="2"/>
              <w:lang w:val="en-AU" w:eastAsia="en-AU"/>
              <w14:ligatures w14:val="standardContextual"/>
            </w:rPr>
          </w:pPr>
          <w:hyperlink w:anchor="_Toc224732175" w:history="1">
            <w:r w:rsidRPr="00B5521D">
              <w:rPr>
                <w:rStyle w:val="Hyperlink"/>
                <w:rFonts w:ascii="Arial" w:hAnsi="Arial" w:cs="Arial"/>
                <w:noProof/>
              </w:rPr>
              <w:t>Statutory Planning – expired permits</w:t>
            </w:r>
            <w:r>
              <w:rPr>
                <w:noProof/>
                <w:webHidden/>
              </w:rPr>
              <w:tab/>
            </w:r>
            <w:r>
              <w:rPr>
                <w:noProof/>
                <w:webHidden/>
              </w:rPr>
              <w:fldChar w:fldCharType="begin"/>
            </w:r>
            <w:r>
              <w:rPr>
                <w:noProof/>
                <w:webHidden/>
              </w:rPr>
              <w:instrText xml:space="preserve"> PAGEREF _Toc224732175 \h </w:instrText>
            </w:r>
            <w:r>
              <w:rPr>
                <w:noProof/>
                <w:webHidden/>
              </w:rPr>
            </w:r>
            <w:r>
              <w:rPr>
                <w:noProof/>
                <w:webHidden/>
              </w:rPr>
              <w:fldChar w:fldCharType="separate"/>
            </w:r>
            <w:r>
              <w:rPr>
                <w:noProof/>
                <w:webHidden/>
              </w:rPr>
              <w:t>31</w:t>
            </w:r>
            <w:r>
              <w:rPr>
                <w:noProof/>
                <w:webHidden/>
              </w:rPr>
              <w:fldChar w:fldCharType="end"/>
            </w:r>
          </w:hyperlink>
        </w:p>
        <w:p w14:paraId="76670F15" w14:textId="6BB901CC" w:rsidR="004370C6" w:rsidRDefault="004370C6">
          <w:pPr>
            <w:pStyle w:val="TOC3"/>
            <w:tabs>
              <w:tab w:val="right" w:leader="dot" w:pos="9350"/>
            </w:tabs>
            <w:rPr>
              <w:noProof/>
              <w:kern w:val="2"/>
              <w:lang w:val="en-AU" w:eastAsia="en-AU"/>
              <w14:ligatures w14:val="standardContextual"/>
            </w:rPr>
          </w:pPr>
          <w:hyperlink w:anchor="_Toc224732176" w:history="1">
            <w:r w:rsidRPr="00B5521D">
              <w:rPr>
                <w:rStyle w:val="Hyperlink"/>
                <w:rFonts w:ascii="Arial" w:hAnsi="Arial" w:cs="Arial"/>
                <w:noProof/>
              </w:rPr>
              <w:t>Statutory Planning – VCAT Activity</w:t>
            </w:r>
            <w:r>
              <w:rPr>
                <w:noProof/>
                <w:webHidden/>
              </w:rPr>
              <w:tab/>
            </w:r>
            <w:r>
              <w:rPr>
                <w:noProof/>
                <w:webHidden/>
              </w:rPr>
              <w:fldChar w:fldCharType="begin"/>
            </w:r>
            <w:r>
              <w:rPr>
                <w:noProof/>
                <w:webHidden/>
              </w:rPr>
              <w:instrText xml:space="preserve"> PAGEREF _Toc224732176 \h </w:instrText>
            </w:r>
            <w:r>
              <w:rPr>
                <w:noProof/>
                <w:webHidden/>
              </w:rPr>
            </w:r>
            <w:r>
              <w:rPr>
                <w:noProof/>
                <w:webHidden/>
              </w:rPr>
              <w:fldChar w:fldCharType="separate"/>
            </w:r>
            <w:r>
              <w:rPr>
                <w:noProof/>
                <w:webHidden/>
              </w:rPr>
              <w:t>31</w:t>
            </w:r>
            <w:r>
              <w:rPr>
                <w:noProof/>
                <w:webHidden/>
              </w:rPr>
              <w:fldChar w:fldCharType="end"/>
            </w:r>
          </w:hyperlink>
        </w:p>
        <w:p w14:paraId="6ABA9B74" w14:textId="5880F9DD" w:rsidR="004370C6" w:rsidRDefault="004370C6">
          <w:pPr>
            <w:pStyle w:val="TOC4"/>
            <w:tabs>
              <w:tab w:val="right" w:leader="dot" w:pos="9350"/>
            </w:tabs>
            <w:rPr>
              <w:noProof/>
              <w:kern w:val="2"/>
              <w:lang w:val="en-AU" w:eastAsia="en-AU"/>
              <w14:ligatures w14:val="standardContextual"/>
            </w:rPr>
          </w:pPr>
          <w:hyperlink w:anchor="_Toc224732177" w:history="1">
            <w:r w:rsidRPr="00B5521D">
              <w:rPr>
                <w:rStyle w:val="Hyperlink"/>
                <w:rFonts w:ascii="Arial" w:hAnsi="Arial" w:cs="Arial"/>
                <w:noProof/>
              </w:rPr>
              <w:t>Appeals in quarter 2 of 2025/2026</w:t>
            </w:r>
            <w:r>
              <w:rPr>
                <w:noProof/>
                <w:webHidden/>
              </w:rPr>
              <w:tab/>
            </w:r>
            <w:r>
              <w:rPr>
                <w:noProof/>
                <w:webHidden/>
              </w:rPr>
              <w:fldChar w:fldCharType="begin"/>
            </w:r>
            <w:r>
              <w:rPr>
                <w:noProof/>
                <w:webHidden/>
              </w:rPr>
              <w:instrText xml:space="preserve"> PAGEREF _Toc224732177 \h </w:instrText>
            </w:r>
            <w:r>
              <w:rPr>
                <w:noProof/>
                <w:webHidden/>
              </w:rPr>
            </w:r>
            <w:r>
              <w:rPr>
                <w:noProof/>
                <w:webHidden/>
              </w:rPr>
              <w:fldChar w:fldCharType="separate"/>
            </w:r>
            <w:r>
              <w:rPr>
                <w:noProof/>
                <w:webHidden/>
              </w:rPr>
              <w:t>31</w:t>
            </w:r>
            <w:r>
              <w:rPr>
                <w:noProof/>
                <w:webHidden/>
              </w:rPr>
              <w:fldChar w:fldCharType="end"/>
            </w:r>
          </w:hyperlink>
        </w:p>
        <w:p w14:paraId="13EA90AD" w14:textId="4A8A8C57" w:rsidR="004370C6" w:rsidRDefault="004370C6">
          <w:pPr>
            <w:pStyle w:val="TOC3"/>
            <w:tabs>
              <w:tab w:val="right" w:leader="dot" w:pos="9350"/>
            </w:tabs>
            <w:rPr>
              <w:noProof/>
              <w:kern w:val="2"/>
              <w:lang w:val="en-AU" w:eastAsia="en-AU"/>
              <w14:ligatures w14:val="standardContextual"/>
            </w:rPr>
          </w:pPr>
          <w:hyperlink w:anchor="_Toc224732178" w:history="1">
            <w:r w:rsidRPr="00B5521D">
              <w:rPr>
                <w:rStyle w:val="Hyperlink"/>
                <w:rFonts w:ascii="Arial" w:hAnsi="Arial" w:cs="Arial"/>
                <w:noProof/>
              </w:rPr>
              <w:t>Social and Affordable Housing Approved</w:t>
            </w:r>
            <w:r>
              <w:rPr>
                <w:noProof/>
                <w:webHidden/>
              </w:rPr>
              <w:tab/>
            </w:r>
            <w:r>
              <w:rPr>
                <w:noProof/>
                <w:webHidden/>
              </w:rPr>
              <w:fldChar w:fldCharType="begin"/>
            </w:r>
            <w:r>
              <w:rPr>
                <w:noProof/>
                <w:webHidden/>
              </w:rPr>
              <w:instrText xml:space="preserve"> PAGEREF _Toc224732178 \h </w:instrText>
            </w:r>
            <w:r>
              <w:rPr>
                <w:noProof/>
                <w:webHidden/>
              </w:rPr>
            </w:r>
            <w:r>
              <w:rPr>
                <w:noProof/>
                <w:webHidden/>
              </w:rPr>
              <w:fldChar w:fldCharType="separate"/>
            </w:r>
            <w:r>
              <w:rPr>
                <w:noProof/>
                <w:webHidden/>
              </w:rPr>
              <w:t>34</w:t>
            </w:r>
            <w:r>
              <w:rPr>
                <w:noProof/>
                <w:webHidden/>
              </w:rPr>
              <w:fldChar w:fldCharType="end"/>
            </w:r>
          </w:hyperlink>
        </w:p>
        <w:p w14:paraId="28BD0707" w14:textId="0DBA7CD7" w:rsidR="004370C6" w:rsidRDefault="004370C6">
          <w:pPr>
            <w:pStyle w:val="TOC2"/>
            <w:tabs>
              <w:tab w:val="right" w:leader="dot" w:pos="9350"/>
            </w:tabs>
            <w:rPr>
              <w:noProof/>
              <w:kern w:val="2"/>
              <w:lang w:val="en-AU" w:eastAsia="en-AU"/>
              <w14:ligatures w14:val="standardContextual"/>
            </w:rPr>
          </w:pPr>
          <w:hyperlink w:anchor="_Toc224732179" w:history="1">
            <w:r w:rsidRPr="00B5521D">
              <w:rPr>
                <w:rStyle w:val="Hyperlink"/>
                <w:rFonts w:ascii="Arial" w:hAnsi="Arial" w:cs="Arial"/>
                <w:noProof/>
              </w:rPr>
              <w:t>Strategic objective 3: Working and Playing in the City</w:t>
            </w:r>
            <w:r>
              <w:rPr>
                <w:noProof/>
                <w:webHidden/>
              </w:rPr>
              <w:tab/>
            </w:r>
            <w:r>
              <w:rPr>
                <w:noProof/>
                <w:webHidden/>
              </w:rPr>
              <w:fldChar w:fldCharType="begin"/>
            </w:r>
            <w:r>
              <w:rPr>
                <w:noProof/>
                <w:webHidden/>
              </w:rPr>
              <w:instrText xml:space="preserve"> PAGEREF _Toc224732179 \h </w:instrText>
            </w:r>
            <w:r>
              <w:rPr>
                <w:noProof/>
                <w:webHidden/>
              </w:rPr>
            </w:r>
            <w:r>
              <w:rPr>
                <w:noProof/>
                <w:webHidden/>
              </w:rPr>
              <w:fldChar w:fldCharType="separate"/>
            </w:r>
            <w:r>
              <w:rPr>
                <w:noProof/>
                <w:webHidden/>
              </w:rPr>
              <w:t>35</w:t>
            </w:r>
            <w:r>
              <w:rPr>
                <w:noProof/>
                <w:webHidden/>
              </w:rPr>
              <w:fldChar w:fldCharType="end"/>
            </w:r>
          </w:hyperlink>
        </w:p>
        <w:p w14:paraId="76C36AA3" w14:textId="218C9B6E" w:rsidR="004370C6" w:rsidRDefault="004370C6">
          <w:pPr>
            <w:pStyle w:val="TOC3"/>
            <w:tabs>
              <w:tab w:val="right" w:leader="dot" w:pos="9350"/>
            </w:tabs>
            <w:rPr>
              <w:noProof/>
              <w:kern w:val="2"/>
              <w:lang w:val="en-AU" w:eastAsia="en-AU"/>
              <w14:ligatures w14:val="standardContextual"/>
            </w:rPr>
          </w:pPr>
          <w:hyperlink w:anchor="_Toc224732180" w:history="1">
            <w:r w:rsidRPr="00B5521D">
              <w:rPr>
                <w:rStyle w:val="Hyperlink"/>
                <w:rFonts w:ascii="Arial" w:hAnsi="Arial" w:cs="Arial"/>
                <w:noProof/>
              </w:rPr>
              <w:t>Activity Centre Utilisation</w:t>
            </w:r>
            <w:r>
              <w:rPr>
                <w:noProof/>
                <w:webHidden/>
              </w:rPr>
              <w:tab/>
            </w:r>
            <w:r>
              <w:rPr>
                <w:noProof/>
                <w:webHidden/>
              </w:rPr>
              <w:fldChar w:fldCharType="begin"/>
            </w:r>
            <w:r>
              <w:rPr>
                <w:noProof/>
                <w:webHidden/>
              </w:rPr>
              <w:instrText xml:space="preserve"> PAGEREF _Toc224732180 \h </w:instrText>
            </w:r>
            <w:r>
              <w:rPr>
                <w:noProof/>
                <w:webHidden/>
              </w:rPr>
            </w:r>
            <w:r>
              <w:rPr>
                <w:noProof/>
                <w:webHidden/>
              </w:rPr>
              <w:fldChar w:fldCharType="separate"/>
            </w:r>
            <w:r>
              <w:rPr>
                <w:noProof/>
                <w:webHidden/>
              </w:rPr>
              <w:t>35</w:t>
            </w:r>
            <w:r>
              <w:rPr>
                <w:noProof/>
                <w:webHidden/>
              </w:rPr>
              <w:fldChar w:fldCharType="end"/>
            </w:r>
          </w:hyperlink>
        </w:p>
        <w:p w14:paraId="41DED9EA" w14:textId="1433041D" w:rsidR="004370C6" w:rsidRDefault="004370C6">
          <w:pPr>
            <w:pStyle w:val="TOC2"/>
            <w:tabs>
              <w:tab w:val="right" w:leader="dot" w:pos="9350"/>
            </w:tabs>
            <w:rPr>
              <w:noProof/>
              <w:kern w:val="2"/>
              <w:lang w:val="en-AU" w:eastAsia="en-AU"/>
              <w14:ligatures w14:val="standardContextual"/>
            </w:rPr>
          </w:pPr>
          <w:hyperlink w:anchor="_Toc224732181" w:history="1">
            <w:r w:rsidRPr="00B5521D">
              <w:rPr>
                <w:rStyle w:val="Hyperlink"/>
                <w:rFonts w:ascii="Arial" w:hAnsi="Arial" w:cs="Arial"/>
                <w:noProof/>
              </w:rPr>
              <w:t>Strategic objective 4: Running the City</w:t>
            </w:r>
            <w:r>
              <w:rPr>
                <w:noProof/>
                <w:webHidden/>
              </w:rPr>
              <w:tab/>
            </w:r>
            <w:r>
              <w:rPr>
                <w:noProof/>
                <w:webHidden/>
              </w:rPr>
              <w:fldChar w:fldCharType="begin"/>
            </w:r>
            <w:r>
              <w:rPr>
                <w:noProof/>
                <w:webHidden/>
              </w:rPr>
              <w:instrText xml:space="preserve"> PAGEREF _Toc224732181 \h </w:instrText>
            </w:r>
            <w:r>
              <w:rPr>
                <w:noProof/>
                <w:webHidden/>
              </w:rPr>
            </w:r>
            <w:r>
              <w:rPr>
                <w:noProof/>
                <w:webHidden/>
              </w:rPr>
              <w:fldChar w:fldCharType="separate"/>
            </w:r>
            <w:r>
              <w:rPr>
                <w:noProof/>
                <w:webHidden/>
              </w:rPr>
              <w:t>36</w:t>
            </w:r>
            <w:r>
              <w:rPr>
                <w:noProof/>
                <w:webHidden/>
              </w:rPr>
              <w:fldChar w:fldCharType="end"/>
            </w:r>
          </w:hyperlink>
        </w:p>
        <w:p w14:paraId="1D5AB2A9" w14:textId="7AA11DE7" w:rsidR="004370C6" w:rsidRDefault="004370C6">
          <w:pPr>
            <w:pStyle w:val="TOC3"/>
            <w:tabs>
              <w:tab w:val="right" w:leader="dot" w:pos="9350"/>
            </w:tabs>
            <w:rPr>
              <w:noProof/>
              <w:kern w:val="2"/>
              <w:lang w:val="en-AU" w:eastAsia="en-AU"/>
              <w14:ligatures w14:val="standardContextual"/>
            </w:rPr>
          </w:pPr>
          <w:hyperlink w:anchor="_Toc224732182" w:history="1">
            <w:r w:rsidRPr="00B5521D">
              <w:rPr>
                <w:rStyle w:val="Hyperlink"/>
                <w:rFonts w:ascii="Arial" w:hAnsi="Arial" w:cs="Arial"/>
                <w:noProof/>
              </w:rPr>
              <w:t>Acquittal of Council resolutions</w:t>
            </w:r>
            <w:r>
              <w:rPr>
                <w:noProof/>
                <w:webHidden/>
              </w:rPr>
              <w:tab/>
            </w:r>
            <w:r>
              <w:rPr>
                <w:noProof/>
                <w:webHidden/>
              </w:rPr>
              <w:fldChar w:fldCharType="begin"/>
            </w:r>
            <w:r>
              <w:rPr>
                <w:noProof/>
                <w:webHidden/>
              </w:rPr>
              <w:instrText xml:space="preserve"> PAGEREF _Toc224732182 \h </w:instrText>
            </w:r>
            <w:r>
              <w:rPr>
                <w:noProof/>
                <w:webHidden/>
              </w:rPr>
            </w:r>
            <w:r>
              <w:rPr>
                <w:noProof/>
                <w:webHidden/>
              </w:rPr>
              <w:fldChar w:fldCharType="separate"/>
            </w:r>
            <w:r>
              <w:rPr>
                <w:noProof/>
                <w:webHidden/>
              </w:rPr>
              <w:t>36</w:t>
            </w:r>
            <w:r>
              <w:rPr>
                <w:noProof/>
                <w:webHidden/>
              </w:rPr>
              <w:fldChar w:fldCharType="end"/>
            </w:r>
          </w:hyperlink>
        </w:p>
        <w:p w14:paraId="3B84D044" w14:textId="6C6CAE8E" w:rsidR="004370C6" w:rsidRDefault="004370C6">
          <w:pPr>
            <w:pStyle w:val="TOC3"/>
            <w:tabs>
              <w:tab w:val="right" w:leader="dot" w:pos="9350"/>
            </w:tabs>
            <w:rPr>
              <w:noProof/>
              <w:kern w:val="2"/>
              <w:lang w:val="en-AU" w:eastAsia="en-AU"/>
              <w14:ligatures w14:val="standardContextual"/>
            </w:rPr>
          </w:pPr>
          <w:hyperlink w:anchor="_Toc224732183" w:history="1">
            <w:r w:rsidRPr="00B5521D">
              <w:rPr>
                <w:rStyle w:val="Hyperlink"/>
                <w:rFonts w:ascii="Arial" w:hAnsi="Arial" w:cs="Arial"/>
                <w:noProof/>
              </w:rPr>
              <w:t>Advocacy Road Map 2025-29</w:t>
            </w:r>
            <w:r>
              <w:rPr>
                <w:noProof/>
                <w:webHidden/>
              </w:rPr>
              <w:tab/>
            </w:r>
            <w:r>
              <w:rPr>
                <w:noProof/>
                <w:webHidden/>
              </w:rPr>
              <w:fldChar w:fldCharType="begin"/>
            </w:r>
            <w:r>
              <w:rPr>
                <w:noProof/>
                <w:webHidden/>
              </w:rPr>
              <w:instrText xml:space="preserve"> PAGEREF _Toc224732183 \h </w:instrText>
            </w:r>
            <w:r>
              <w:rPr>
                <w:noProof/>
                <w:webHidden/>
              </w:rPr>
            </w:r>
            <w:r>
              <w:rPr>
                <w:noProof/>
                <w:webHidden/>
              </w:rPr>
              <w:fldChar w:fldCharType="separate"/>
            </w:r>
            <w:r>
              <w:rPr>
                <w:noProof/>
                <w:webHidden/>
              </w:rPr>
              <w:t>37</w:t>
            </w:r>
            <w:r>
              <w:rPr>
                <w:noProof/>
                <w:webHidden/>
              </w:rPr>
              <w:fldChar w:fldCharType="end"/>
            </w:r>
          </w:hyperlink>
        </w:p>
        <w:p w14:paraId="7136967E" w14:textId="37F459C1" w:rsidR="004370C6" w:rsidRDefault="004370C6">
          <w:pPr>
            <w:pStyle w:val="TOC4"/>
            <w:tabs>
              <w:tab w:val="right" w:leader="dot" w:pos="9350"/>
            </w:tabs>
            <w:rPr>
              <w:noProof/>
              <w:kern w:val="2"/>
              <w:lang w:val="en-AU" w:eastAsia="en-AU"/>
              <w14:ligatures w14:val="standardContextual"/>
            </w:rPr>
          </w:pPr>
          <w:hyperlink w:anchor="_Toc224732184" w:history="1">
            <w:r w:rsidRPr="00B5521D">
              <w:rPr>
                <w:rStyle w:val="Hyperlink"/>
                <w:rFonts w:ascii="Arial" w:hAnsi="Arial" w:cs="Arial"/>
                <w:noProof/>
              </w:rPr>
              <w:t>Call to Action in the lead up to the State Election in November 2026</w:t>
            </w:r>
            <w:r>
              <w:rPr>
                <w:noProof/>
                <w:webHidden/>
              </w:rPr>
              <w:tab/>
            </w:r>
            <w:r>
              <w:rPr>
                <w:noProof/>
                <w:webHidden/>
              </w:rPr>
              <w:fldChar w:fldCharType="begin"/>
            </w:r>
            <w:r>
              <w:rPr>
                <w:noProof/>
                <w:webHidden/>
              </w:rPr>
              <w:instrText xml:space="preserve"> PAGEREF _Toc224732184 \h </w:instrText>
            </w:r>
            <w:r>
              <w:rPr>
                <w:noProof/>
                <w:webHidden/>
              </w:rPr>
            </w:r>
            <w:r>
              <w:rPr>
                <w:noProof/>
                <w:webHidden/>
              </w:rPr>
              <w:fldChar w:fldCharType="separate"/>
            </w:r>
            <w:r>
              <w:rPr>
                <w:noProof/>
                <w:webHidden/>
              </w:rPr>
              <w:t>37</w:t>
            </w:r>
            <w:r>
              <w:rPr>
                <w:noProof/>
                <w:webHidden/>
              </w:rPr>
              <w:fldChar w:fldCharType="end"/>
            </w:r>
          </w:hyperlink>
        </w:p>
        <w:p w14:paraId="56385F27" w14:textId="690DEA18" w:rsidR="004370C6" w:rsidRDefault="004370C6">
          <w:pPr>
            <w:pStyle w:val="TOC4"/>
            <w:tabs>
              <w:tab w:val="right" w:leader="dot" w:pos="9350"/>
            </w:tabs>
            <w:rPr>
              <w:noProof/>
              <w:kern w:val="2"/>
              <w:lang w:val="en-AU" w:eastAsia="en-AU"/>
              <w14:ligatures w14:val="standardContextual"/>
            </w:rPr>
          </w:pPr>
          <w:hyperlink w:anchor="_Toc224732185" w:history="1">
            <w:r w:rsidRPr="00B5521D">
              <w:rPr>
                <w:rStyle w:val="Hyperlink"/>
                <w:rFonts w:ascii="Arial" w:hAnsi="Arial" w:cs="Arial"/>
                <w:noProof/>
              </w:rPr>
              <w:t>Campaigning for what matters</w:t>
            </w:r>
            <w:r>
              <w:rPr>
                <w:noProof/>
                <w:webHidden/>
              </w:rPr>
              <w:tab/>
            </w:r>
            <w:r>
              <w:rPr>
                <w:noProof/>
                <w:webHidden/>
              </w:rPr>
              <w:fldChar w:fldCharType="begin"/>
            </w:r>
            <w:r>
              <w:rPr>
                <w:noProof/>
                <w:webHidden/>
              </w:rPr>
              <w:instrText xml:space="preserve"> PAGEREF _Toc224732185 \h </w:instrText>
            </w:r>
            <w:r>
              <w:rPr>
                <w:noProof/>
                <w:webHidden/>
              </w:rPr>
            </w:r>
            <w:r>
              <w:rPr>
                <w:noProof/>
                <w:webHidden/>
              </w:rPr>
              <w:fldChar w:fldCharType="separate"/>
            </w:r>
            <w:r>
              <w:rPr>
                <w:noProof/>
                <w:webHidden/>
              </w:rPr>
              <w:t>37</w:t>
            </w:r>
            <w:r>
              <w:rPr>
                <w:noProof/>
                <w:webHidden/>
              </w:rPr>
              <w:fldChar w:fldCharType="end"/>
            </w:r>
          </w:hyperlink>
        </w:p>
        <w:p w14:paraId="4BA72CEA" w14:textId="3B992263" w:rsidR="004370C6" w:rsidRDefault="004370C6">
          <w:pPr>
            <w:pStyle w:val="TOC4"/>
            <w:tabs>
              <w:tab w:val="right" w:leader="dot" w:pos="9350"/>
            </w:tabs>
            <w:rPr>
              <w:noProof/>
              <w:kern w:val="2"/>
              <w:lang w:val="en-AU" w:eastAsia="en-AU"/>
              <w14:ligatures w14:val="standardContextual"/>
            </w:rPr>
          </w:pPr>
          <w:hyperlink w:anchor="_Toc224732186" w:history="1">
            <w:r w:rsidRPr="00B5521D">
              <w:rPr>
                <w:rStyle w:val="Hyperlink"/>
                <w:rFonts w:ascii="Arial" w:hAnsi="Arial" w:cs="Arial"/>
                <w:noProof/>
              </w:rPr>
              <w:t>Advocacy wins this quarter include:</w:t>
            </w:r>
            <w:r>
              <w:rPr>
                <w:noProof/>
                <w:webHidden/>
              </w:rPr>
              <w:tab/>
            </w:r>
            <w:r>
              <w:rPr>
                <w:noProof/>
                <w:webHidden/>
              </w:rPr>
              <w:fldChar w:fldCharType="begin"/>
            </w:r>
            <w:r>
              <w:rPr>
                <w:noProof/>
                <w:webHidden/>
              </w:rPr>
              <w:instrText xml:space="preserve"> PAGEREF _Toc224732186 \h </w:instrText>
            </w:r>
            <w:r>
              <w:rPr>
                <w:noProof/>
                <w:webHidden/>
              </w:rPr>
            </w:r>
            <w:r>
              <w:rPr>
                <w:noProof/>
                <w:webHidden/>
              </w:rPr>
              <w:fldChar w:fldCharType="separate"/>
            </w:r>
            <w:r>
              <w:rPr>
                <w:noProof/>
                <w:webHidden/>
              </w:rPr>
              <w:t>37</w:t>
            </w:r>
            <w:r>
              <w:rPr>
                <w:noProof/>
                <w:webHidden/>
              </w:rPr>
              <w:fldChar w:fldCharType="end"/>
            </w:r>
          </w:hyperlink>
        </w:p>
        <w:p w14:paraId="6772ED5D" w14:textId="43FABE81" w:rsidR="004370C6" w:rsidRDefault="004370C6">
          <w:pPr>
            <w:pStyle w:val="TOC3"/>
            <w:tabs>
              <w:tab w:val="right" w:leader="dot" w:pos="9350"/>
            </w:tabs>
            <w:rPr>
              <w:noProof/>
              <w:kern w:val="2"/>
              <w:lang w:val="en-AU" w:eastAsia="en-AU"/>
              <w14:ligatures w14:val="standardContextual"/>
            </w:rPr>
          </w:pPr>
          <w:hyperlink w:anchor="_Toc224732187" w:history="1">
            <w:r w:rsidRPr="00B5521D">
              <w:rPr>
                <w:rStyle w:val="Hyperlink"/>
                <w:rFonts w:ascii="Arial" w:hAnsi="Arial" w:cs="Arial"/>
                <w:noProof/>
              </w:rPr>
              <w:t>Financial Report</w:t>
            </w:r>
            <w:r>
              <w:rPr>
                <w:noProof/>
                <w:webHidden/>
              </w:rPr>
              <w:tab/>
            </w:r>
            <w:r>
              <w:rPr>
                <w:noProof/>
                <w:webHidden/>
              </w:rPr>
              <w:fldChar w:fldCharType="begin"/>
            </w:r>
            <w:r>
              <w:rPr>
                <w:noProof/>
                <w:webHidden/>
              </w:rPr>
              <w:instrText xml:space="preserve"> PAGEREF _Toc224732187 \h </w:instrText>
            </w:r>
            <w:r>
              <w:rPr>
                <w:noProof/>
                <w:webHidden/>
              </w:rPr>
            </w:r>
            <w:r>
              <w:rPr>
                <w:noProof/>
                <w:webHidden/>
              </w:rPr>
              <w:fldChar w:fldCharType="separate"/>
            </w:r>
            <w:r>
              <w:rPr>
                <w:noProof/>
                <w:webHidden/>
              </w:rPr>
              <w:t>39</w:t>
            </w:r>
            <w:r>
              <w:rPr>
                <w:noProof/>
                <w:webHidden/>
              </w:rPr>
              <w:fldChar w:fldCharType="end"/>
            </w:r>
          </w:hyperlink>
        </w:p>
        <w:p w14:paraId="3F08F941" w14:textId="7D10EC37" w:rsidR="004370C6" w:rsidRDefault="004370C6">
          <w:pPr>
            <w:pStyle w:val="TOC4"/>
            <w:tabs>
              <w:tab w:val="right" w:leader="dot" w:pos="9350"/>
            </w:tabs>
            <w:rPr>
              <w:noProof/>
              <w:kern w:val="2"/>
              <w:lang w:val="en-AU" w:eastAsia="en-AU"/>
              <w14:ligatures w14:val="standardContextual"/>
            </w:rPr>
          </w:pPr>
          <w:hyperlink w:anchor="_Toc224732188" w:history="1">
            <w:r w:rsidRPr="00B5521D">
              <w:rPr>
                <w:rStyle w:val="Hyperlink"/>
                <w:rFonts w:ascii="Arial" w:hAnsi="Arial" w:cs="Arial"/>
                <w:noProof/>
              </w:rPr>
              <w:t>Mid year review</w:t>
            </w:r>
            <w:r>
              <w:rPr>
                <w:noProof/>
                <w:webHidden/>
              </w:rPr>
              <w:tab/>
            </w:r>
            <w:r>
              <w:rPr>
                <w:noProof/>
                <w:webHidden/>
              </w:rPr>
              <w:fldChar w:fldCharType="begin"/>
            </w:r>
            <w:r>
              <w:rPr>
                <w:noProof/>
                <w:webHidden/>
              </w:rPr>
              <w:instrText xml:space="preserve"> PAGEREF _Toc224732188 \h </w:instrText>
            </w:r>
            <w:r>
              <w:rPr>
                <w:noProof/>
                <w:webHidden/>
              </w:rPr>
            </w:r>
            <w:r>
              <w:rPr>
                <w:noProof/>
                <w:webHidden/>
              </w:rPr>
              <w:fldChar w:fldCharType="separate"/>
            </w:r>
            <w:r>
              <w:rPr>
                <w:noProof/>
                <w:webHidden/>
              </w:rPr>
              <w:t>39</w:t>
            </w:r>
            <w:r>
              <w:rPr>
                <w:noProof/>
                <w:webHidden/>
              </w:rPr>
              <w:fldChar w:fldCharType="end"/>
            </w:r>
          </w:hyperlink>
        </w:p>
        <w:p w14:paraId="564EFEBD" w14:textId="5B5CC7A6" w:rsidR="004370C6" w:rsidRDefault="004370C6">
          <w:pPr>
            <w:pStyle w:val="TOC4"/>
            <w:tabs>
              <w:tab w:val="right" w:leader="dot" w:pos="9350"/>
            </w:tabs>
            <w:rPr>
              <w:noProof/>
              <w:kern w:val="2"/>
              <w:lang w:val="en-AU" w:eastAsia="en-AU"/>
              <w14:ligatures w14:val="standardContextual"/>
            </w:rPr>
          </w:pPr>
          <w:hyperlink w:anchor="_Toc224732189" w:history="1">
            <w:r w:rsidRPr="00B5521D">
              <w:rPr>
                <w:rStyle w:val="Hyperlink"/>
                <w:rFonts w:ascii="Arial" w:hAnsi="Arial" w:cs="Arial"/>
                <w:noProof/>
              </w:rPr>
              <w:t>Quarter Two - Comprehensive Income Statement</w:t>
            </w:r>
            <w:r>
              <w:rPr>
                <w:noProof/>
                <w:webHidden/>
              </w:rPr>
              <w:tab/>
            </w:r>
            <w:r>
              <w:rPr>
                <w:noProof/>
                <w:webHidden/>
              </w:rPr>
              <w:fldChar w:fldCharType="begin"/>
            </w:r>
            <w:r>
              <w:rPr>
                <w:noProof/>
                <w:webHidden/>
              </w:rPr>
              <w:instrText xml:space="preserve"> PAGEREF _Toc224732189 \h </w:instrText>
            </w:r>
            <w:r>
              <w:rPr>
                <w:noProof/>
                <w:webHidden/>
              </w:rPr>
            </w:r>
            <w:r>
              <w:rPr>
                <w:noProof/>
                <w:webHidden/>
              </w:rPr>
              <w:fldChar w:fldCharType="separate"/>
            </w:r>
            <w:r>
              <w:rPr>
                <w:noProof/>
                <w:webHidden/>
              </w:rPr>
              <w:t>41</w:t>
            </w:r>
            <w:r>
              <w:rPr>
                <w:noProof/>
                <w:webHidden/>
              </w:rPr>
              <w:fldChar w:fldCharType="end"/>
            </w:r>
          </w:hyperlink>
        </w:p>
        <w:p w14:paraId="2F8F877B" w14:textId="49B8197A" w:rsidR="004370C6" w:rsidRDefault="004370C6">
          <w:pPr>
            <w:pStyle w:val="TOC4"/>
            <w:tabs>
              <w:tab w:val="right" w:leader="dot" w:pos="9350"/>
            </w:tabs>
            <w:rPr>
              <w:noProof/>
              <w:kern w:val="2"/>
              <w:lang w:val="en-AU" w:eastAsia="en-AU"/>
              <w14:ligatures w14:val="standardContextual"/>
            </w:rPr>
          </w:pPr>
          <w:hyperlink w:anchor="_Toc224732190" w:history="1">
            <w:r w:rsidRPr="00B5521D">
              <w:rPr>
                <w:rStyle w:val="Hyperlink"/>
                <w:rFonts w:ascii="Arial" w:hAnsi="Arial" w:cs="Arial"/>
                <w:noProof/>
              </w:rPr>
              <w:t>Revenue</w:t>
            </w:r>
            <w:r>
              <w:rPr>
                <w:noProof/>
                <w:webHidden/>
              </w:rPr>
              <w:tab/>
            </w:r>
            <w:r>
              <w:rPr>
                <w:noProof/>
                <w:webHidden/>
              </w:rPr>
              <w:fldChar w:fldCharType="begin"/>
            </w:r>
            <w:r>
              <w:rPr>
                <w:noProof/>
                <w:webHidden/>
              </w:rPr>
              <w:instrText xml:space="preserve"> PAGEREF _Toc224732190 \h </w:instrText>
            </w:r>
            <w:r>
              <w:rPr>
                <w:noProof/>
                <w:webHidden/>
              </w:rPr>
            </w:r>
            <w:r>
              <w:rPr>
                <w:noProof/>
                <w:webHidden/>
              </w:rPr>
              <w:fldChar w:fldCharType="separate"/>
            </w:r>
            <w:r>
              <w:rPr>
                <w:noProof/>
                <w:webHidden/>
              </w:rPr>
              <w:t>42</w:t>
            </w:r>
            <w:r>
              <w:rPr>
                <w:noProof/>
                <w:webHidden/>
              </w:rPr>
              <w:fldChar w:fldCharType="end"/>
            </w:r>
          </w:hyperlink>
        </w:p>
        <w:p w14:paraId="304D45F6" w14:textId="08F8BFDA" w:rsidR="004370C6" w:rsidRDefault="004370C6">
          <w:pPr>
            <w:pStyle w:val="TOC5"/>
            <w:tabs>
              <w:tab w:val="right" w:leader="dot" w:pos="9350"/>
            </w:tabs>
            <w:rPr>
              <w:noProof/>
              <w:kern w:val="2"/>
              <w:lang w:val="en-AU" w:eastAsia="en-AU"/>
              <w14:ligatures w14:val="standardContextual"/>
            </w:rPr>
          </w:pPr>
          <w:hyperlink w:anchor="_Toc224732191" w:history="1">
            <w:r w:rsidRPr="00B5521D">
              <w:rPr>
                <w:rStyle w:val="Hyperlink"/>
                <w:rFonts w:ascii="Arial" w:hAnsi="Arial" w:cs="Arial"/>
                <w:noProof/>
              </w:rPr>
              <w:t>a) Rates and Charges</w:t>
            </w:r>
            <w:r>
              <w:rPr>
                <w:noProof/>
                <w:webHidden/>
              </w:rPr>
              <w:tab/>
            </w:r>
            <w:r>
              <w:rPr>
                <w:noProof/>
                <w:webHidden/>
              </w:rPr>
              <w:fldChar w:fldCharType="begin"/>
            </w:r>
            <w:r>
              <w:rPr>
                <w:noProof/>
                <w:webHidden/>
              </w:rPr>
              <w:instrText xml:space="preserve"> PAGEREF _Toc224732191 \h </w:instrText>
            </w:r>
            <w:r>
              <w:rPr>
                <w:noProof/>
                <w:webHidden/>
              </w:rPr>
            </w:r>
            <w:r>
              <w:rPr>
                <w:noProof/>
                <w:webHidden/>
              </w:rPr>
              <w:fldChar w:fldCharType="separate"/>
            </w:r>
            <w:r>
              <w:rPr>
                <w:noProof/>
                <w:webHidden/>
              </w:rPr>
              <w:t>42</w:t>
            </w:r>
            <w:r>
              <w:rPr>
                <w:noProof/>
                <w:webHidden/>
              </w:rPr>
              <w:fldChar w:fldCharType="end"/>
            </w:r>
          </w:hyperlink>
        </w:p>
        <w:p w14:paraId="1F81C4C3" w14:textId="6976432D" w:rsidR="004370C6" w:rsidRDefault="004370C6">
          <w:pPr>
            <w:pStyle w:val="TOC5"/>
            <w:tabs>
              <w:tab w:val="right" w:leader="dot" w:pos="9350"/>
            </w:tabs>
            <w:rPr>
              <w:noProof/>
              <w:kern w:val="2"/>
              <w:lang w:val="en-AU" w:eastAsia="en-AU"/>
              <w14:ligatures w14:val="standardContextual"/>
            </w:rPr>
          </w:pPr>
          <w:hyperlink w:anchor="_Toc224732192" w:history="1">
            <w:r w:rsidRPr="00B5521D">
              <w:rPr>
                <w:rStyle w:val="Hyperlink"/>
                <w:rFonts w:ascii="Arial" w:hAnsi="Arial" w:cs="Arial"/>
                <w:noProof/>
              </w:rPr>
              <w:t>b) Statutory Fees</w:t>
            </w:r>
            <w:r>
              <w:rPr>
                <w:noProof/>
                <w:webHidden/>
              </w:rPr>
              <w:tab/>
            </w:r>
            <w:r>
              <w:rPr>
                <w:noProof/>
                <w:webHidden/>
              </w:rPr>
              <w:fldChar w:fldCharType="begin"/>
            </w:r>
            <w:r>
              <w:rPr>
                <w:noProof/>
                <w:webHidden/>
              </w:rPr>
              <w:instrText xml:space="preserve"> PAGEREF _Toc224732192 \h </w:instrText>
            </w:r>
            <w:r>
              <w:rPr>
                <w:noProof/>
                <w:webHidden/>
              </w:rPr>
            </w:r>
            <w:r>
              <w:rPr>
                <w:noProof/>
                <w:webHidden/>
              </w:rPr>
              <w:fldChar w:fldCharType="separate"/>
            </w:r>
            <w:r>
              <w:rPr>
                <w:noProof/>
                <w:webHidden/>
              </w:rPr>
              <w:t>42</w:t>
            </w:r>
            <w:r>
              <w:rPr>
                <w:noProof/>
                <w:webHidden/>
              </w:rPr>
              <w:fldChar w:fldCharType="end"/>
            </w:r>
          </w:hyperlink>
        </w:p>
        <w:p w14:paraId="506630E0" w14:textId="7A26F024" w:rsidR="004370C6" w:rsidRDefault="004370C6">
          <w:pPr>
            <w:pStyle w:val="TOC5"/>
            <w:tabs>
              <w:tab w:val="right" w:leader="dot" w:pos="9350"/>
            </w:tabs>
            <w:rPr>
              <w:noProof/>
              <w:kern w:val="2"/>
              <w:lang w:val="en-AU" w:eastAsia="en-AU"/>
              <w14:ligatures w14:val="standardContextual"/>
            </w:rPr>
          </w:pPr>
          <w:hyperlink w:anchor="_Toc224732193" w:history="1">
            <w:r w:rsidRPr="00B5521D">
              <w:rPr>
                <w:rStyle w:val="Hyperlink"/>
                <w:rFonts w:ascii="Arial" w:hAnsi="Arial" w:cs="Arial"/>
                <w:noProof/>
              </w:rPr>
              <w:t>c) User Fees</w:t>
            </w:r>
            <w:r>
              <w:rPr>
                <w:noProof/>
                <w:webHidden/>
              </w:rPr>
              <w:tab/>
            </w:r>
            <w:r>
              <w:rPr>
                <w:noProof/>
                <w:webHidden/>
              </w:rPr>
              <w:fldChar w:fldCharType="begin"/>
            </w:r>
            <w:r>
              <w:rPr>
                <w:noProof/>
                <w:webHidden/>
              </w:rPr>
              <w:instrText xml:space="preserve"> PAGEREF _Toc224732193 \h </w:instrText>
            </w:r>
            <w:r>
              <w:rPr>
                <w:noProof/>
                <w:webHidden/>
              </w:rPr>
            </w:r>
            <w:r>
              <w:rPr>
                <w:noProof/>
                <w:webHidden/>
              </w:rPr>
              <w:fldChar w:fldCharType="separate"/>
            </w:r>
            <w:r>
              <w:rPr>
                <w:noProof/>
                <w:webHidden/>
              </w:rPr>
              <w:t>42</w:t>
            </w:r>
            <w:r>
              <w:rPr>
                <w:noProof/>
                <w:webHidden/>
              </w:rPr>
              <w:fldChar w:fldCharType="end"/>
            </w:r>
          </w:hyperlink>
        </w:p>
        <w:p w14:paraId="7B6DD883" w14:textId="62CEC52E" w:rsidR="004370C6" w:rsidRDefault="004370C6">
          <w:pPr>
            <w:pStyle w:val="TOC5"/>
            <w:tabs>
              <w:tab w:val="right" w:leader="dot" w:pos="9350"/>
            </w:tabs>
            <w:rPr>
              <w:noProof/>
              <w:kern w:val="2"/>
              <w:lang w:val="en-AU" w:eastAsia="en-AU"/>
              <w14:ligatures w14:val="standardContextual"/>
            </w:rPr>
          </w:pPr>
          <w:hyperlink w:anchor="_Toc224732194" w:history="1">
            <w:r w:rsidRPr="00B5521D">
              <w:rPr>
                <w:rStyle w:val="Hyperlink"/>
                <w:rFonts w:ascii="Arial" w:hAnsi="Arial" w:cs="Arial"/>
                <w:noProof/>
              </w:rPr>
              <w:t>d) Grants - Operating</w:t>
            </w:r>
            <w:r>
              <w:rPr>
                <w:noProof/>
                <w:webHidden/>
              </w:rPr>
              <w:tab/>
            </w:r>
            <w:r>
              <w:rPr>
                <w:noProof/>
                <w:webHidden/>
              </w:rPr>
              <w:fldChar w:fldCharType="begin"/>
            </w:r>
            <w:r>
              <w:rPr>
                <w:noProof/>
                <w:webHidden/>
              </w:rPr>
              <w:instrText xml:space="preserve"> PAGEREF _Toc224732194 \h </w:instrText>
            </w:r>
            <w:r>
              <w:rPr>
                <w:noProof/>
                <w:webHidden/>
              </w:rPr>
            </w:r>
            <w:r>
              <w:rPr>
                <w:noProof/>
                <w:webHidden/>
              </w:rPr>
              <w:fldChar w:fldCharType="separate"/>
            </w:r>
            <w:r>
              <w:rPr>
                <w:noProof/>
                <w:webHidden/>
              </w:rPr>
              <w:t>42</w:t>
            </w:r>
            <w:r>
              <w:rPr>
                <w:noProof/>
                <w:webHidden/>
              </w:rPr>
              <w:fldChar w:fldCharType="end"/>
            </w:r>
          </w:hyperlink>
        </w:p>
        <w:p w14:paraId="4018234F" w14:textId="168DC2EC" w:rsidR="004370C6" w:rsidRDefault="004370C6">
          <w:pPr>
            <w:pStyle w:val="TOC5"/>
            <w:tabs>
              <w:tab w:val="right" w:leader="dot" w:pos="9350"/>
            </w:tabs>
            <w:rPr>
              <w:noProof/>
              <w:kern w:val="2"/>
              <w:lang w:val="en-AU" w:eastAsia="en-AU"/>
              <w14:ligatures w14:val="standardContextual"/>
            </w:rPr>
          </w:pPr>
          <w:hyperlink w:anchor="_Toc224732195" w:history="1">
            <w:r w:rsidRPr="00B5521D">
              <w:rPr>
                <w:rStyle w:val="Hyperlink"/>
                <w:rFonts w:ascii="Arial" w:hAnsi="Arial" w:cs="Arial"/>
                <w:noProof/>
              </w:rPr>
              <w:t>e) Grants - Capital</w:t>
            </w:r>
            <w:r>
              <w:rPr>
                <w:noProof/>
                <w:webHidden/>
              </w:rPr>
              <w:tab/>
            </w:r>
            <w:r>
              <w:rPr>
                <w:noProof/>
                <w:webHidden/>
              </w:rPr>
              <w:fldChar w:fldCharType="begin"/>
            </w:r>
            <w:r>
              <w:rPr>
                <w:noProof/>
                <w:webHidden/>
              </w:rPr>
              <w:instrText xml:space="preserve"> PAGEREF _Toc224732195 \h </w:instrText>
            </w:r>
            <w:r>
              <w:rPr>
                <w:noProof/>
                <w:webHidden/>
              </w:rPr>
            </w:r>
            <w:r>
              <w:rPr>
                <w:noProof/>
                <w:webHidden/>
              </w:rPr>
              <w:fldChar w:fldCharType="separate"/>
            </w:r>
            <w:r>
              <w:rPr>
                <w:noProof/>
                <w:webHidden/>
              </w:rPr>
              <w:t>43</w:t>
            </w:r>
            <w:r>
              <w:rPr>
                <w:noProof/>
                <w:webHidden/>
              </w:rPr>
              <w:fldChar w:fldCharType="end"/>
            </w:r>
          </w:hyperlink>
        </w:p>
        <w:p w14:paraId="790F6224" w14:textId="3C922605" w:rsidR="004370C6" w:rsidRDefault="004370C6">
          <w:pPr>
            <w:pStyle w:val="TOC5"/>
            <w:tabs>
              <w:tab w:val="right" w:leader="dot" w:pos="9350"/>
            </w:tabs>
            <w:rPr>
              <w:noProof/>
              <w:kern w:val="2"/>
              <w:lang w:val="en-AU" w:eastAsia="en-AU"/>
              <w14:ligatures w14:val="standardContextual"/>
            </w:rPr>
          </w:pPr>
          <w:hyperlink w:anchor="_Toc224732196" w:history="1">
            <w:r w:rsidRPr="00B5521D">
              <w:rPr>
                <w:rStyle w:val="Hyperlink"/>
                <w:rFonts w:ascii="Arial" w:hAnsi="Arial" w:cs="Arial"/>
                <w:noProof/>
              </w:rPr>
              <w:t>e) Contributions - Other Monetary</w:t>
            </w:r>
            <w:r>
              <w:rPr>
                <w:noProof/>
                <w:webHidden/>
              </w:rPr>
              <w:tab/>
            </w:r>
            <w:r>
              <w:rPr>
                <w:noProof/>
                <w:webHidden/>
              </w:rPr>
              <w:fldChar w:fldCharType="begin"/>
            </w:r>
            <w:r>
              <w:rPr>
                <w:noProof/>
                <w:webHidden/>
              </w:rPr>
              <w:instrText xml:space="preserve"> PAGEREF _Toc224732196 \h </w:instrText>
            </w:r>
            <w:r>
              <w:rPr>
                <w:noProof/>
                <w:webHidden/>
              </w:rPr>
            </w:r>
            <w:r>
              <w:rPr>
                <w:noProof/>
                <w:webHidden/>
              </w:rPr>
              <w:fldChar w:fldCharType="separate"/>
            </w:r>
            <w:r>
              <w:rPr>
                <w:noProof/>
                <w:webHidden/>
              </w:rPr>
              <w:t>43</w:t>
            </w:r>
            <w:r>
              <w:rPr>
                <w:noProof/>
                <w:webHidden/>
              </w:rPr>
              <w:fldChar w:fldCharType="end"/>
            </w:r>
          </w:hyperlink>
        </w:p>
        <w:p w14:paraId="5E34F41D" w14:textId="3FDA2963" w:rsidR="004370C6" w:rsidRDefault="004370C6">
          <w:pPr>
            <w:pStyle w:val="TOC5"/>
            <w:tabs>
              <w:tab w:val="right" w:leader="dot" w:pos="9350"/>
            </w:tabs>
            <w:rPr>
              <w:noProof/>
              <w:kern w:val="2"/>
              <w:lang w:val="en-AU" w:eastAsia="en-AU"/>
              <w14:ligatures w14:val="standardContextual"/>
            </w:rPr>
          </w:pPr>
          <w:hyperlink w:anchor="_Toc224732197" w:history="1">
            <w:r w:rsidRPr="00B5521D">
              <w:rPr>
                <w:rStyle w:val="Hyperlink"/>
                <w:rFonts w:ascii="Arial" w:hAnsi="Arial" w:cs="Arial"/>
                <w:noProof/>
              </w:rPr>
              <w:t>f) Reimbursements</w:t>
            </w:r>
            <w:r>
              <w:rPr>
                <w:noProof/>
                <w:webHidden/>
              </w:rPr>
              <w:tab/>
            </w:r>
            <w:r>
              <w:rPr>
                <w:noProof/>
                <w:webHidden/>
              </w:rPr>
              <w:fldChar w:fldCharType="begin"/>
            </w:r>
            <w:r>
              <w:rPr>
                <w:noProof/>
                <w:webHidden/>
              </w:rPr>
              <w:instrText xml:space="preserve"> PAGEREF _Toc224732197 \h </w:instrText>
            </w:r>
            <w:r>
              <w:rPr>
                <w:noProof/>
                <w:webHidden/>
              </w:rPr>
            </w:r>
            <w:r>
              <w:rPr>
                <w:noProof/>
                <w:webHidden/>
              </w:rPr>
              <w:fldChar w:fldCharType="separate"/>
            </w:r>
            <w:r>
              <w:rPr>
                <w:noProof/>
                <w:webHidden/>
              </w:rPr>
              <w:t>43</w:t>
            </w:r>
            <w:r>
              <w:rPr>
                <w:noProof/>
                <w:webHidden/>
              </w:rPr>
              <w:fldChar w:fldCharType="end"/>
            </w:r>
          </w:hyperlink>
        </w:p>
        <w:p w14:paraId="3085F240" w14:textId="5B86C034" w:rsidR="004370C6" w:rsidRDefault="004370C6">
          <w:pPr>
            <w:pStyle w:val="TOC5"/>
            <w:tabs>
              <w:tab w:val="right" w:leader="dot" w:pos="9350"/>
            </w:tabs>
            <w:rPr>
              <w:noProof/>
              <w:kern w:val="2"/>
              <w:lang w:val="en-AU" w:eastAsia="en-AU"/>
              <w14:ligatures w14:val="standardContextual"/>
            </w:rPr>
          </w:pPr>
          <w:hyperlink w:anchor="_Toc224732198" w:history="1">
            <w:r w:rsidRPr="00B5521D">
              <w:rPr>
                <w:rStyle w:val="Hyperlink"/>
                <w:rFonts w:ascii="Arial" w:hAnsi="Arial" w:cs="Arial"/>
                <w:noProof/>
              </w:rPr>
              <w:t>g) Other Income</w:t>
            </w:r>
            <w:r>
              <w:rPr>
                <w:noProof/>
                <w:webHidden/>
              </w:rPr>
              <w:tab/>
            </w:r>
            <w:r>
              <w:rPr>
                <w:noProof/>
                <w:webHidden/>
              </w:rPr>
              <w:fldChar w:fldCharType="begin"/>
            </w:r>
            <w:r>
              <w:rPr>
                <w:noProof/>
                <w:webHidden/>
              </w:rPr>
              <w:instrText xml:space="preserve"> PAGEREF _Toc224732198 \h </w:instrText>
            </w:r>
            <w:r>
              <w:rPr>
                <w:noProof/>
                <w:webHidden/>
              </w:rPr>
            </w:r>
            <w:r>
              <w:rPr>
                <w:noProof/>
                <w:webHidden/>
              </w:rPr>
              <w:fldChar w:fldCharType="separate"/>
            </w:r>
            <w:r>
              <w:rPr>
                <w:noProof/>
                <w:webHidden/>
              </w:rPr>
              <w:t>43</w:t>
            </w:r>
            <w:r>
              <w:rPr>
                <w:noProof/>
                <w:webHidden/>
              </w:rPr>
              <w:fldChar w:fldCharType="end"/>
            </w:r>
          </w:hyperlink>
        </w:p>
        <w:p w14:paraId="1DAB4271" w14:textId="1B424376" w:rsidR="004370C6" w:rsidRDefault="004370C6">
          <w:pPr>
            <w:pStyle w:val="TOC5"/>
            <w:tabs>
              <w:tab w:val="right" w:leader="dot" w:pos="9350"/>
            </w:tabs>
            <w:rPr>
              <w:noProof/>
              <w:kern w:val="2"/>
              <w:lang w:val="en-AU" w:eastAsia="en-AU"/>
              <w14:ligatures w14:val="standardContextual"/>
            </w:rPr>
          </w:pPr>
          <w:hyperlink w:anchor="_Toc224732199" w:history="1">
            <w:r w:rsidRPr="00B5521D">
              <w:rPr>
                <w:rStyle w:val="Hyperlink"/>
                <w:rFonts w:ascii="Arial" w:hAnsi="Arial" w:cs="Arial"/>
                <w:noProof/>
              </w:rPr>
              <w:t>h) Net gain on disposal of assets</w:t>
            </w:r>
            <w:r>
              <w:rPr>
                <w:noProof/>
                <w:webHidden/>
              </w:rPr>
              <w:tab/>
            </w:r>
            <w:r>
              <w:rPr>
                <w:noProof/>
                <w:webHidden/>
              </w:rPr>
              <w:fldChar w:fldCharType="begin"/>
            </w:r>
            <w:r>
              <w:rPr>
                <w:noProof/>
                <w:webHidden/>
              </w:rPr>
              <w:instrText xml:space="preserve"> PAGEREF _Toc224732199 \h </w:instrText>
            </w:r>
            <w:r>
              <w:rPr>
                <w:noProof/>
                <w:webHidden/>
              </w:rPr>
            </w:r>
            <w:r>
              <w:rPr>
                <w:noProof/>
                <w:webHidden/>
              </w:rPr>
              <w:fldChar w:fldCharType="separate"/>
            </w:r>
            <w:r>
              <w:rPr>
                <w:noProof/>
                <w:webHidden/>
              </w:rPr>
              <w:t>44</w:t>
            </w:r>
            <w:r>
              <w:rPr>
                <w:noProof/>
                <w:webHidden/>
              </w:rPr>
              <w:fldChar w:fldCharType="end"/>
            </w:r>
          </w:hyperlink>
        </w:p>
        <w:p w14:paraId="4E209D93" w14:textId="48720807" w:rsidR="004370C6" w:rsidRDefault="004370C6">
          <w:pPr>
            <w:pStyle w:val="TOC4"/>
            <w:tabs>
              <w:tab w:val="right" w:leader="dot" w:pos="9350"/>
            </w:tabs>
            <w:rPr>
              <w:noProof/>
              <w:kern w:val="2"/>
              <w:lang w:val="en-AU" w:eastAsia="en-AU"/>
              <w14:ligatures w14:val="standardContextual"/>
            </w:rPr>
          </w:pPr>
          <w:hyperlink w:anchor="_Toc224732200" w:history="1">
            <w:r w:rsidRPr="00B5521D">
              <w:rPr>
                <w:rStyle w:val="Hyperlink"/>
                <w:rFonts w:ascii="Arial" w:hAnsi="Arial" w:cs="Arial"/>
                <w:noProof/>
              </w:rPr>
              <w:t>Expenses</w:t>
            </w:r>
            <w:r>
              <w:rPr>
                <w:noProof/>
                <w:webHidden/>
              </w:rPr>
              <w:tab/>
            </w:r>
            <w:r>
              <w:rPr>
                <w:noProof/>
                <w:webHidden/>
              </w:rPr>
              <w:fldChar w:fldCharType="begin"/>
            </w:r>
            <w:r>
              <w:rPr>
                <w:noProof/>
                <w:webHidden/>
              </w:rPr>
              <w:instrText xml:space="preserve"> PAGEREF _Toc224732200 \h </w:instrText>
            </w:r>
            <w:r>
              <w:rPr>
                <w:noProof/>
                <w:webHidden/>
              </w:rPr>
            </w:r>
            <w:r>
              <w:rPr>
                <w:noProof/>
                <w:webHidden/>
              </w:rPr>
              <w:fldChar w:fldCharType="separate"/>
            </w:r>
            <w:r>
              <w:rPr>
                <w:noProof/>
                <w:webHidden/>
              </w:rPr>
              <w:t>44</w:t>
            </w:r>
            <w:r>
              <w:rPr>
                <w:noProof/>
                <w:webHidden/>
              </w:rPr>
              <w:fldChar w:fldCharType="end"/>
            </w:r>
          </w:hyperlink>
        </w:p>
        <w:p w14:paraId="5449F6E7" w14:textId="07DF013C" w:rsidR="004370C6" w:rsidRDefault="004370C6">
          <w:pPr>
            <w:pStyle w:val="TOC5"/>
            <w:tabs>
              <w:tab w:val="right" w:leader="dot" w:pos="9350"/>
            </w:tabs>
            <w:rPr>
              <w:noProof/>
              <w:kern w:val="2"/>
              <w:lang w:val="en-AU" w:eastAsia="en-AU"/>
              <w14:ligatures w14:val="standardContextual"/>
            </w:rPr>
          </w:pPr>
          <w:hyperlink w:anchor="_Toc224732201" w:history="1">
            <w:r w:rsidRPr="00B5521D">
              <w:rPr>
                <w:rStyle w:val="Hyperlink"/>
                <w:rFonts w:ascii="Arial" w:hAnsi="Arial" w:cs="Arial"/>
                <w:noProof/>
              </w:rPr>
              <w:t>i) Employee Costs</w:t>
            </w:r>
            <w:r>
              <w:rPr>
                <w:noProof/>
                <w:webHidden/>
              </w:rPr>
              <w:tab/>
            </w:r>
            <w:r>
              <w:rPr>
                <w:noProof/>
                <w:webHidden/>
              </w:rPr>
              <w:fldChar w:fldCharType="begin"/>
            </w:r>
            <w:r>
              <w:rPr>
                <w:noProof/>
                <w:webHidden/>
              </w:rPr>
              <w:instrText xml:space="preserve"> PAGEREF _Toc224732201 \h </w:instrText>
            </w:r>
            <w:r>
              <w:rPr>
                <w:noProof/>
                <w:webHidden/>
              </w:rPr>
            </w:r>
            <w:r>
              <w:rPr>
                <w:noProof/>
                <w:webHidden/>
              </w:rPr>
              <w:fldChar w:fldCharType="separate"/>
            </w:r>
            <w:r>
              <w:rPr>
                <w:noProof/>
                <w:webHidden/>
              </w:rPr>
              <w:t>44</w:t>
            </w:r>
            <w:r>
              <w:rPr>
                <w:noProof/>
                <w:webHidden/>
              </w:rPr>
              <w:fldChar w:fldCharType="end"/>
            </w:r>
          </w:hyperlink>
        </w:p>
        <w:p w14:paraId="3491E857" w14:textId="3C91B3E7" w:rsidR="004370C6" w:rsidRDefault="004370C6">
          <w:pPr>
            <w:pStyle w:val="TOC5"/>
            <w:tabs>
              <w:tab w:val="right" w:leader="dot" w:pos="9350"/>
            </w:tabs>
            <w:rPr>
              <w:noProof/>
              <w:kern w:val="2"/>
              <w:lang w:val="en-AU" w:eastAsia="en-AU"/>
              <w14:ligatures w14:val="standardContextual"/>
            </w:rPr>
          </w:pPr>
          <w:hyperlink w:anchor="_Toc224732202" w:history="1">
            <w:r w:rsidRPr="00B5521D">
              <w:rPr>
                <w:rStyle w:val="Hyperlink"/>
                <w:rFonts w:ascii="Arial" w:hAnsi="Arial" w:cs="Arial"/>
                <w:noProof/>
              </w:rPr>
              <w:t>j) Materials &amp; Services</w:t>
            </w:r>
            <w:r>
              <w:rPr>
                <w:noProof/>
                <w:webHidden/>
              </w:rPr>
              <w:tab/>
            </w:r>
            <w:r>
              <w:rPr>
                <w:noProof/>
                <w:webHidden/>
              </w:rPr>
              <w:fldChar w:fldCharType="begin"/>
            </w:r>
            <w:r>
              <w:rPr>
                <w:noProof/>
                <w:webHidden/>
              </w:rPr>
              <w:instrText xml:space="preserve"> PAGEREF _Toc224732202 \h </w:instrText>
            </w:r>
            <w:r>
              <w:rPr>
                <w:noProof/>
                <w:webHidden/>
              </w:rPr>
            </w:r>
            <w:r>
              <w:rPr>
                <w:noProof/>
                <w:webHidden/>
              </w:rPr>
              <w:fldChar w:fldCharType="separate"/>
            </w:r>
            <w:r>
              <w:rPr>
                <w:noProof/>
                <w:webHidden/>
              </w:rPr>
              <w:t>44</w:t>
            </w:r>
            <w:r>
              <w:rPr>
                <w:noProof/>
                <w:webHidden/>
              </w:rPr>
              <w:fldChar w:fldCharType="end"/>
            </w:r>
          </w:hyperlink>
        </w:p>
        <w:p w14:paraId="5C8B2513" w14:textId="31E6DDF0" w:rsidR="004370C6" w:rsidRDefault="004370C6">
          <w:pPr>
            <w:pStyle w:val="TOC5"/>
            <w:tabs>
              <w:tab w:val="right" w:leader="dot" w:pos="9350"/>
            </w:tabs>
            <w:rPr>
              <w:noProof/>
              <w:kern w:val="2"/>
              <w:lang w:val="en-AU" w:eastAsia="en-AU"/>
              <w14:ligatures w14:val="standardContextual"/>
            </w:rPr>
          </w:pPr>
          <w:hyperlink w:anchor="_Toc224732203" w:history="1">
            <w:r w:rsidRPr="00B5521D">
              <w:rPr>
                <w:rStyle w:val="Hyperlink"/>
                <w:rFonts w:ascii="Arial" w:hAnsi="Arial" w:cs="Arial"/>
                <w:noProof/>
              </w:rPr>
              <w:t>k) Other Expenses</w:t>
            </w:r>
            <w:r>
              <w:rPr>
                <w:noProof/>
                <w:webHidden/>
              </w:rPr>
              <w:tab/>
            </w:r>
            <w:r>
              <w:rPr>
                <w:noProof/>
                <w:webHidden/>
              </w:rPr>
              <w:fldChar w:fldCharType="begin"/>
            </w:r>
            <w:r>
              <w:rPr>
                <w:noProof/>
                <w:webHidden/>
              </w:rPr>
              <w:instrText xml:space="preserve"> PAGEREF _Toc224732203 \h </w:instrText>
            </w:r>
            <w:r>
              <w:rPr>
                <w:noProof/>
                <w:webHidden/>
              </w:rPr>
            </w:r>
            <w:r>
              <w:rPr>
                <w:noProof/>
                <w:webHidden/>
              </w:rPr>
              <w:fldChar w:fldCharType="separate"/>
            </w:r>
            <w:r>
              <w:rPr>
                <w:noProof/>
                <w:webHidden/>
              </w:rPr>
              <w:t>45</w:t>
            </w:r>
            <w:r>
              <w:rPr>
                <w:noProof/>
                <w:webHidden/>
              </w:rPr>
              <w:fldChar w:fldCharType="end"/>
            </w:r>
          </w:hyperlink>
        </w:p>
        <w:p w14:paraId="611A3114" w14:textId="39EC565E" w:rsidR="004370C6" w:rsidRDefault="004370C6">
          <w:pPr>
            <w:pStyle w:val="TOC5"/>
            <w:tabs>
              <w:tab w:val="right" w:leader="dot" w:pos="9350"/>
            </w:tabs>
            <w:rPr>
              <w:noProof/>
              <w:kern w:val="2"/>
              <w:lang w:val="en-AU" w:eastAsia="en-AU"/>
              <w14:ligatures w14:val="standardContextual"/>
            </w:rPr>
          </w:pPr>
          <w:hyperlink w:anchor="_Toc224732204" w:history="1">
            <w:r w:rsidRPr="00B5521D">
              <w:rPr>
                <w:rStyle w:val="Hyperlink"/>
                <w:rFonts w:ascii="Arial" w:hAnsi="Arial" w:cs="Arial"/>
                <w:noProof/>
              </w:rPr>
              <w:t>l) Bad and doubtful debts</w:t>
            </w:r>
            <w:r>
              <w:rPr>
                <w:noProof/>
                <w:webHidden/>
              </w:rPr>
              <w:tab/>
            </w:r>
            <w:r>
              <w:rPr>
                <w:noProof/>
                <w:webHidden/>
              </w:rPr>
              <w:fldChar w:fldCharType="begin"/>
            </w:r>
            <w:r>
              <w:rPr>
                <w:noProof/>
                <w:webHidden/>
              </w:rPr>
              <w:instrText xml:space="preserve"> PAGEREF _Toc224732204 \h </w:instrText>
            </w:r>
            <w:r>
              <w:rPr>
                <w:noProof/>
                <w:webHidden/>
              </w:rPr>
            </w:r>
            <w:r>
              <w:rPr>
                <w:noProof/>
                <w:webHidden/>
              </w:rPr>
              <w:fldChar w:fldCharType="separate"/>
            </w:r>
            <w:r>
              <w:rPr>
                <w:noProof/>
                <w:webHidden/>
              </w:rPr>
              <w:t>45</w:t>
            </w:r>
            <w:r>
              <w:rPr>
                <w:noProof/>
                <w:webHidden/>
              </w:rPr>
              <w:fldChar w:fldCharType="end"/>
            </w:r>
          </w:hyperlink>
        </w:p>
        <w:p w14:paraId="44D9AAAD" w14:textId="11A8D563" w:rsidR="004370C6" w:rsidRDefault="004370C6">
          <w:pPr>
            <w:pStyle w:val="TOC4"/>
            <w:tabs>
              <w:tab w:val="right" w:leader="dot" w:pos="9350"/>
            </w:tabs>
            <w:rPr>
              <w:noProof/>
              <w:kern w:val="2"/>
              <w:lang w:val="en-AU" w:eastAsia="en-AU"/>
              <w14:ligatures w14:val="standardContextual"/>
            </w:rPr>
          </w:pPr>
          <w:hyperlink w:anchor="_Toc224732205" w:history="1">
            <w:r w:rsidRPr="00B5521D">
              <w:rPr>
                <w:rStyle w:val="Hyperlink"/>
                <w:rFonts w:ascii="Arial" w:hAnsi="Arial" w:cs="Arial"/>
                <w:noProof/>
              </w:rPr>
              <w:t>Quarter Two - Financial Sustainability Ratios</w:t>
            </w:r>
            <w:r>
              <w:rPr>
                <w:noProof/>
                <w:webHidden/>
              </w:rPr>
              <w:tab/>
            </w:r>
            <w:r>
              <w:rPr>
                <w:noProof/>
                <w:webHidden/>
              </w:rPr>
              <w:fldChar w:fldCharType="begin"/>
            </w:r>
            <w:r>
              <w:rPr>
                <w:noProof/>
                <w:webHidden/>
              </w:rPr>
              <w:instrText xml:space="preserve"> PAGEREF _Toc224732205 \h </w:instrText>
            </w:r>
            <w:r>
              <w:rPr>
                <w:noProof/>
                <w:webHidden/>
              </w:rPr>
            </w:r>
            <w:r>
              <w:rPr>
                <w:noProof/>
                <w:webHidden/>
              </w:rPr>
              <w:fldChar w:fldCharType="separate"/>
            </w:r>
            <w:r>
              <w:rPr>
                <w:noProof/>
                <w:webHidden/>
              </w:rPr>
              <w:t>47</w:t>
            </w:r>
            <w:r>
              <w:rPr>
                <w:noProof/>
                <w:webHidden/>
              </w:rPr>
              <w:fldChar w:fldCharType="end"/>
            </w:r>
          </w:hyperlink>
        </w:p>
        <w:p w14:paraId="6D758397" w14:textId="7B2A615A" w:rsidR="004370C6" w:rsidRDefault="004370C6">
          <w:pPr>
            <w:pStyle w:val="TOC5"/>
            <w:tabs>
              <w:tab w:val="right" w:leader="dot" w:pos="9350"/>
            </w:tabs>
            <w:rPr>
              <w:noProof/>
              <w:kern w:val="2"/>
              <w:lang w:val="en-AU" w:eastAsia="en-AU"/>
              <w14:ligatures w14:val="standardContextual"/>
            </w:rPr>
          </w:pPr>
          <w:hyperlink w:anchor="_Toc224732206" w:history="1">
            <w:r w:rsidRPr="00B5521D">
              <w:rPr>
                <w:rStyle w:val="Hyperlink"/>
                <w:rFonts w:ascii="Arial" w:hAnsi="Arial" w:cs="Arial"/>
                <w:noProof/>
              </w:rPr>
              <w:t>Adjusted underlying surplus (deficit) / adjusted underlying revenue</w:t>
            </w:r>
            <w:r>
              <w:rPr>
                <w:noProof/>
                <w:webHidden/>
              </w:rPr>
              <w:tab/>
            </w:r>
            <w:r>
              <w:rPr>
                <w:noProof/>
                <w:webHidden/>
              </w:rPr>
              <w:fldChar w:fldCharType="begin"/>
            </w:r>
            <w:r>
              <w:rPr>
                <w:noProof/>
                <w:webHidden/>
              </w:rPr>
              <w:instrText xml:space="preserve"> PAGEREF _Toc224732206 \h </w:instrText>
            </w:r>
            <w:r>
              <w:rPr>
                <w:noProof/>
                <w:webHidden/>
              </w:rPr>
            </w:r>
            <w:r>
              <w:rPr>
                <w:noProof/>
                <w:webHidden/>
              </w:rPr>
              <w:fldChar w:fldCharType="separate"/>
            </w:r>
            <w:r>
              <w:rPr>
                <w:noProof/>
                <w:webHidden/>
              </w:rPr>
              <w:t>47</w:t>
            </w:r>
            <w:r>
              <w:rPr>
                <w:noProof/>
                <w:webHidden/>
              </w:rPr>
              <w:fldChar w:fldCharType="end"/>
            </w:r>
          </w:hyperlink>
        </w:p>
        <w:p w14:paraId="50462267" w14:textId="40ABEC32" w:rsidR="004370C6" w:rsidRDefault="004370C6">
          <w:pPr>
            <w:pStyle w:val="TOC5"/>
            <w:tabs>
              <w:tab w:val="right" w:leader="dot" w:pos="9350"/>
            </w:tabs>
            <w:rPr>
              <w:noProof/>
              <w:kern w:val="2"/>
              <w:lang w:val="en-AU" w:eastAsia="en-AU"/>
              <w14:ligatures w14:val="standardContextual"/>
            </w:rPr>
          </w:pPr>
          <w:hyperlink w:anchor="_Toc224732207" w:history="1">
            <w:r w:rsidRPr="00B5521D">
              <w:rPr>
                <w:rStyle w:val="Hyperlink"/>
                <w:rFonts w:ascii="Arial" w:hAnsi="Arial" w:cs="Arial"/>
                <w:noProof/>
              </w:rPr>
              <w:t>Current assets / current liabilities</w:t>
            </w:r>
            <w:r>
              <w:rPr>
                <w:noProof/>
                <w:webHidden/>
              </w:rPr>
              <w:tab/>
            </w:r>
            <w:r>
              <w:rPr>
                <w:noProof/>
                <w:webHidden/>
              </w:rPr>
              <w:fldChar w:fldCharType="begin"/>
            </w:r>
            <w:r>
              <w:rPr>
                <w:noProof/>
                <w:webHidden/>
              </w:rPr>
              <w:instrText xml:space="preserve"> PAGEREF _Toc224732207 \h </w:instrText>
            </w:r>
            <w:r>
              <w:rPr>
                <w:noProof/>
                <w:webHidden/>
              </w:rPr>
            </w:r>
            <w:r>
              <w:rPr>
                <w:noProof/>
                <w:webHidden/>
              </w:rPr>
              <w:fldChar w:fldCharType="separate"/>
            </w:r>
            <w:r>
              <w:rPr>
                <w:noProof/>
                <w:webHidden/>
              </w:rPr>
              <w:t>48</w:t>
            </w:r>
            <w:r>
              <w:rPr>
                <w:noProof/>
                <w:webHidden/>
              </w:rPr>
              <w:fldChar w:fldCharType="end"/>
            </w:r>
          </w:hyperlink>
        </w:p>
        <w:p w14:paraId="2DA2AEA6" w14:textId="3F79D35F" w:rsidR="004370C6" w:rsidRDefault="004370C6">
          <w:pPr>
            <w:pStyle w:val="TOC5"/>
            <w:tabs>
              <w:tab w:val="right" w:leader="dot" w:pos="9350"/>
            </w:tabs>
            <w:rPr>
              <w:noProof/>
              <w:kern w:val="2"/>
              <w:lang w:val="en-AU" w:eastAsia="en-AU"/>
              <w14:ligatures w14:val="standardContextual"/>
            </w:rPr>
          </w:pPr>
          <w:hyperlink w:anchor="_Toc224732208" w:history="1">
            <w:r w:rsidRPr="00B5521D">
              <w:rPr>
                <w:rStyle w:val="Hyperlink"/>
                <w:rFonts w:ascii="Arial" w:hAnsi="Arial" w:cs="Arial"/>
                <w:noProof/>
              </w:rPr>
              <w:t>Renewal &amp; upgrade spend/ depreciation</w:t>
            </w:r>
            <w:r>
              <w:rPr>
                <w:noProof/>
                <w:webHidden/>
              </w:rPr>
              <w:tab/>
            </w:r>
            <w:r>
              <w:rPr>
                <w:noProof/>
                <w:webHidden/>
              </w:rPr>
              <w:fldChar w:fldCharType="begin"/>
            </w:r>
            <w:r>
              <w:rPr>
                <w:noProof/>
                <w:webHidden/>
              </w:rPr>
              <w:instrText xml:space="preserve"> PAGEREF _Toc224732208 \h </w:instrText>
            </w:r>
            <w:r>
              <w:rPr>
                <w:noProof/>
                <w:webHidden/>
              </w:rPr>
            </w:r>
            <w:r>
              <w:rPr>
                <w:noProof/>
                <w:webHidden/>
              </w:rPr>
              <w:fldChar w:fldCharType="separate"/>
            </w:r>
            <w:r>
              <w:rPr>
                <w:noProof/>
                <w:webHidden/>
              </w:rPr>
              <w:t>48</w:t>
            </w:r>
            <w:r>
              <w:rPr>
                <w:noProof/>
                <w:webHidden/>
              </w:rPr>
              <w:fldChar w:fldCharType="end"/>
            </w:r>
          </w:hyperlink>
        </w:p>
        <w:p w14:paraId="5512D8FD" w14:textId="2C6F6535" w:rsidR="004370C6" w:rsidRDefault="004370C6">
          <w:pPr>
            <w:pStyle w:val="TOC5"/>
            <w:tabs>
              <w:tab w:val="right" w:leader="dot" w:pos="9350"/>
            </w:tabs>
            <w:rPr>
              <w:noProof/>
              <w:kern w:val="2"/>
              <w:lang w:val="en-AU" w:eastAsia="en-AU"/>
              <w14:ligatures w14:val="standardContextual"/>
            </w:rPr>
          </w:pPr>
          <w:hyperlink w:anchor="_Toc224732209" w:history="1">
            <w:r w:rsidRPr="00B5521D">
              <w:rPr>
                <w:rStyle w:val="Hyperlink"/>
                <w:rFonts w:ascii="Arial" w:hAnsi="Arial" w:cs="Arial"/>
                <w:noProof/>
              </w:rPr>
              <w:t>Non-current liabilities / own-source revenue</w:t>
            </w:r>
            <w:r>
              <w:rPr>
                <w:noProof/>
                <w:webHidden/>
              </w:rPr>
              <w:tab/>
            </w:r>
            <w:r>
              <w:rPr>
                <w:noProof/>
                <w:webHidden/>
              </w:rPr>
              <w:fldChar w:fldCharType="begin"/>
            </w:r>
            <w:r>
              <w:rPr>
                <w:noProof/>
                <w:webHidden/>
              </w:rPr>
              <w:instrText xml:space="preserve"> PAGEREF _Toc224732209 \h </w:instrText>
            </w:r>
            <w:r>
              <w:rPr>
                <w:noProof/>
                <w:webHidden/>
              </w:rPr>
            </w:r>
            <w:r>
              <w:rPr>
                <w:noProof/>
                <w:webHidden/>
              </w:rPr>
              <w:fldChar w:fldCharType="separate"/>
            </w:r>
            <w:r>
              <w:rPr>
                <w:noProof/>
                <w:webHidden/>
              </w:rPr>
              <w:t>49</w:t>
            </w:r>
            <w:r>
              <w:rPr>
                <w:noProof/>
                <w:webHidden/>
              </w:rPr>
              <w:fldChar w:fldCharType="end"/>
            </w:r>
          </w:hyperlink>
        </w:p>
        <w:p w14:paraId="4F1B5513" w14:textId="00CDB8AB" w:rsidR="004370C6" w:rsidRDefault="004370C6">
          <w:pPr>
            <w:pStyle w:val="TOC4"/>
            <w:tabs>
              <w:tab w:val="right" w:leader="dot" w:pos="9350"/>
            </w:tabs>
            <w:rPr>
              <w:noProof/>
              <w:kern w:val="2"/>
              <w:lang w:val="en-AU" w:eastAsia="en-AU"/>
              <w14:ligatures w14:val="standardContextual"/>
            </w:rPr>
          </w:pPr>
          <w:hyperlink w:anchor="_Toc224732210" w:history="1">
            <w:r w:rsidRPr="00B5521D">
              <w:rPr>
                <w:rStyle w:val="Hyperlink"/>
                <w:rFonts w:ascii="Arial" w:hAnsi="Arial" w:cs="Arial"/>
                <w:noProof/>
              </w:rPr>
              <w:t>Treasury Corporation of Victoria (TCV) Loan financial covenants</w:t>
            </w:r>
            <w:r>
              <w:rPr>
                <w:noProof/>
                <w:webHidden/>
              </w:rPr>
              <w:tab/>
            </w:r>
            <w:r>
              <w:rPr>
                <w:noProof/>
                <w:webHidden/>
              </w:rPr>
              <w:fldChar w:fldCharType="begin"/>
            </w:r>
            <w:r>
              <w:rPr>
                <w:noProof/>
                <w:webHidden/>
              </w:rPr>
              <w:instrText xml:space="preserve"> PAGEREF _Toc224732210 \h </w:instrText>
            </w:r>
            <w:r>
              <w:rPr>
                <w:noProof/>
                <w:webHidden/>
              </w:rPr>
            </w:r>
            <w:r>
              <w:rPr>
                <w:noProof/>
                <w:webHidden/>
              </w:rPr>
              <w:fldChar w:fldCharType="separate"/>
            </w:r>
            <w:r>
              <w:rPr>
                <w:noProof/>
                <w:webHidden/>
              </w:rPr>
              <w:t>50</w:t>
            </w:r>
            <w:r>
              <w:rPr>
                <w:noProof/>
                <w:webHidden/>
              </w:rPr>
              <w:fldChar w:fldCharType="end"/>
            </w:r>
          </w:hyperlink>
        </w:p>
        <w:p w14:paraId="669B9AB5" w14:textId="6F9D6256" w:rsidR="004370C6" w:rsidRDefault="004370C6">
          <w:pPr>
            <w:pStyle w:val="TOC4"/>
            <w:tabs>
              <w:tab w:val="right" w:leader="dot" w:pos="9350"/>
            </w:tabs>
            <w:rPr>
              <w:noProof/>
              <w:kern w:val="2"/>
              <w:lang w:val="en-AU" w:eastAsia="en-AU"/>
              <w14:ligatures w14:val="standardContextual"/>
            </w:rPr>
          </w:pPr>
          <w:hyperlink w:anchor="_Toc224732211" w:history="1">
            <w:r w:rsidRPr="00B5521D">
              <w:rPr>
                <w:rStyle w:val="Hyperlink"/>
                <w:rFonts w:ascii="Arial" w:hAnsi="Arial" w:cs="Arial"/>
                <w:noProof/>
              </w:rPr>
              <w:t>Quarter Two - Statement of Financial Position</w:t>
            </w:r>
            <w:r>
              <w:rPr>
                <w:noProof/>
                <w:webHidden/>
              </w:rPr>
              <w:tab/>
            </w:r>
            <w:r>
              <w:rPr>
                <w:noProof/>
                <w:webHidden/>
              </w:rPr>
              <w:fldChar w:fldCharType="begin"/>
            </w:r>
            <w:r>
              <w:rPr>
                <w:noProof/>
                <w:webHidden/>
              </w:rPr>
              <w:instrText xml:space="preserve"> PAGEREF _Toc224732211 \h </w:instrText>
            </w:r>
            <w:r>
              <w:rPr>
                <w:noProof/>
                <w:webHidden/>
              </w:rPr>
            </w:r>
            <w:r>
              <w:rPr>
                <w:noProof/>
                <w:webHidden/>
              </w:rPr>
              <w:fldChar w:fldCharType="separate"/>
            </w:r>
            <w:r>
              <w:rPr>
                <w:noProof/>
                <w:webHidden/>
              </w:rPr>
              <w:t>51</w:t>
            </w:r>
            <w:r>
              <w:rPr>
                <w:noProof/>
                <w:webHidden/>
              </w:rPr>
              <w:fldChar w:fldCharType="end"/>
            </w:r>
          </w:hyperlink>
        </w:p>
        <w:p w14:paraId="7A8B05AA" w14:textId="38E4C10C" w:rsidR="004370C6" w:rsidRDefault="004370C6">
          <w:pPr>
            <w:pStyle w:val="TOC4"/>
            <w:tabs>
              <w:tab w:val="right" w:leader="dot" w:pos="9350"/>
            </w:tabs>
            <w:rPr>
              <w:noProof/>
              <w:kern w:val="2"/>
              <w:lang w:val="en-AU" w:eastAsia="en-AU"/>
              <w14:ligatures w14:val="standardContextual"/>
            </w:rPr>
          </w:pPr>
          <w:hyperlink w:anchor="_Toc224732212" w:history="1">
            <w:r w:rsidRPr="00B5521D">
              <w:rPr>
                <w:rStyle w:val="Hyperlink"/>
                <w:rFonts w:ascii="Arial" w:hAnsi="Arial" w:cs="Arial"/>
                <w:noProof/>
              </w:rPr>
              <w:t>Quarter Two - Statement of Cash Flows</w:t>
            </w:r>
            <w:r>
              <w:rPr>
                <w:noProof/>
                <w:webHidden/>
              </w:rPr>
              <w:tab/>
            </w:r>
            <w:r>
              <w:rPr>
                <w:noProof/>
                <w:webHidden/>
              </w:rPr>
              <w:fldChar w:fldCharType="begin"/>
            </w:r>
            <w:r>
              <w:rPr>
                <w:noProof/>
                <w:webHidden/>
              </w:rPr>
              <w:instrText xml:space="preserve"> PAGEREF _Toc224732212 \h </w:instrText>
            </w:r>
            <w:r>
              <w:rPr>
                <w:noProof/>
                <w:webHidden/>
              </w:rPr>
            </w:r>
            <w:r>
              <w:rPr>
                <w:noProof/>
                <w:webHidden/>
              </w:rPr>
              <w:fldChar w:fldCharType="separate"/>
            </w:r>
            <w:r>
              <w:rPr>
                <w:noProof/>
                <w:webHidden/>
              </w:rPr>
              <w:t>58</w:t>
            </w:r>
            <w:r>
              <w:rPr>
                <w:noProof/>
                <w:webHidden/>
              </w:rPr>
              <w:fldChar w:fldCharType="end"/>
            </w:r>
          </w:hyperlink>
        </w:p>
        <w:p w14:paraId="42654AE3" w14:textId="27D8BC13" w:rsidR="004370C6" w:rsidRDefault="004370C6">
          <w:pPr>
            <w:pStyle w:val="TOC4"/>
            <w:tabs>
              <w:tab w:val="right" w:leader="dot" w:pos="9350"/>
            </w:tabs>
            <w:rPr>
              <w:noProof/>
              <w:kern w:val="2"/>
              <w:lang w:val="en-AU" w:eastAsia="en-AU"/>
              <w14:ligatures w14:val="standardContextual"/>
            </w:rPr>
          </w:pPr>
          <w:hyperlink w:anchor="_Toc224732213" w:history="1">
            <w:r w:rsidRPr="00B5521D">
              <w:rPr>
                <w:rStyle w:val="Hyperlink"/>
                <w:rFonts w:ascii="Arial" w:hAnsi="Arial" w:cs="Arial"/>
                <w:noProof/>
              </w:rPr>
              <w:t>Quarter Two - Statement of Capital Works</w:t>
            </w:r>
            <w:r>
              <w:rPr>
                <w:noProof/>
                <w:webHidden/>
              </w:rPr>
              <w:tab/>
            </w:r>
            <w:r>
              <w:rPr>
                <w:noProof/>
                <w:webHidden/>
              </w:rPr>
              <w:fldChar w:fldCharType="begin"/>
            </w:r>
            <w:r>
              <w:rPr>
                <w:noProof/>
                <w:webHidden/>
              </w:rPr>
              <w:instrText xml:space="preserve"> PAGEREF _Toc224732213 \h </w:instrText>
            </w:r>
            <w:r>
              <w:rPr>
                <w:noProof/>
                <w:webHidden/>
              </w:rPr>
            </w:r>
            <w:r>
              <w:rPr>
                <w:noProof/>
                <w:webHidden/>
              </w:rPr>
              <w:fldChar w:fldCharType="separate"/>
            </w:r>
            <w:r>
              <w:rPr>
                <w:noProof/>
                <w:webHidden/>
              </w:rPr>
              <w:t>59</w:t>
            </w:r>
            <w:r>
              <w:rPr>
                <w:noProof/>
                <w:webHidden/>
              </w:rPr>
              <w:fldChar w:fldCharType="end"/>
            </w:r>
          </w:hyperlink>
        </w:p>
        <w:p w14:paraId="42F6B151" w14:textId="5077DC47" w:rsidR="004370C6" w:rsidRDefault="004370C6">
          <w:pPr>
            <w:pStyle w:val="TOC1"/>
            <w:tabs>
              <w:tab w:val="right" w:leader="dot" w:pos="9350"/>
            </w:tabs>
            <w:rPr>
              <w:noProof/>
              <w:kern w:val="2"/>
              <w:lang w:val="en-AU" w:eastAsia="en-AU"/>
              <w14:ligatures w14:val="standardContextual"/>
            </w:rPr>
          </w:pPr>
          <w:hyperlink w:anchor="_Toc224732214" w:history="1">
            <w:r w:rsidRPr="00B5521D">
              <w:rPr>
                <w:rStyle w:val="Hyperlink"/>
                <w:rFonts w:ascii="Arial" w:eastAsia="Times New Roman" w:hAnsi="Arial" w:cs="Arial"/>
                <w:noProof/>
                <w:lang w:val="en-AU" w:eastAsia="en-AU"/>
              </w:rPr>
              <w:t>Footpaths and cycleways</w:t>
            </w:r>
            <w:r>
              <w:rPr>
                <w:noProof/>
                <w:webHidden/>
              </w:rPr>
              <w:tab/>
            </w:r>
            <w:r>
              <w:rPr>
                <w:noProof/>
                <w:webHidden/>
              </w:rPr>
              <w:fldChar w:fldCharType="begin"/>
            </w:r>
            <w:r>
              <w:rPr>
                <w:noProof/>
                <w:webHidden/>
              </w:rPr>
              <w:instrText xml:space="preserve"> PAGEREF _Toc224732214 \h </w:instrText>
            </w:r>
            <w:r>
              <w:rPr>
                <w:noProof/>
                <w:webHidden/>
              </w:rPr>
            </w:r>
            <w:r>
              <w:rPr>
                <w:noProof/>
                <w:webHidden/>
              </w:rPr>
              <w:fldChar w:fldCharType="separate"/>
            </w:r>
            <w:r>
              <w:rPr>
                <w:noProof/>
                <w:webHidden/>
              </w:rPr>
              <w:t>59</w:t>
            </w:r>
            <w:r>
              <w:rPr>
                <w:noProof/>
                <w:webHidden/>
              </w:rPr>
              <w:fldChar w:fldCharType="end"/>
            </w:r>
          </w:hyperlink>
        </w:p>
        <w:p w14:paraId="0CFD5BE0" w14:textId="3FDA10FB" w:rsidR="004370C6" w:rsidRDefault="004370C6">
          <w:pPr>
            <w:pStyle w:val="TOC4"/>
            <w:tabs>
              <w:tab w:val="right" w:leader="dot" w:pos="9350"/>
            </w:tabs>
            <w:rPr>
              <w:noProof/>
              <w:kern w:val="2"/>
              <w:lang w:val="en-AU" w:eastAsia="en-AU"/>
              <w14:ligatures w14:val="standardContextual"/>
            </w:rPr>
          </w:pPr>
          <w:hyperlink w:anchor="_Toc224732215" w:history="1">
            <w:r w:rsidRPr="00B5521D">
              <w:rPr>
                <w:rStyle w:val="Hyperlink"/>
                <w:rFonts w:ascii="Arial" w:hAnsi="Arial" w:cs="Arial"/>
                <w:noProof/>
              </w:rPr>
              <w:t>Quarter Two - Operating performance</w:t>
            </w:r>
            <w:r>
              <w:rPr>
                <w:noProof/>
                <w:webHidden/>
              </w:rPr>
              <w:tab/>
            </w:r>
            <w:r>
              <w:rPr>
                <w:noProof/>
                <w:webHidden/>
              </w:rPr>
              <w:fldChar w:fldCharType="begin"/>
            </w:r>
            <w:r>
              <w:rPr>
                <w:noProof/>
                <w:webHidden/>
              </w:rPr>
              <w:instrText xml:space="preserve"> PAGEREF _Toc224732215 \h </w:instrText>
            </w:r>
            <w:r>
              <w:rPr>
                <w:noProof/>
                <w:webHidden/>
              </w:rPr>
            </w:r>
            <w:r>
              <w:rPr>
                <w:noProof/>
                <w:webHidden/>
              </w:rPr>
              <w:fldChar w:fldCharType="separate"/>
            </w:r>
            <w:r>
              <w:rPr>
                <w:noProof/>
                <w:webHidden/>
              </w:rPr>
              <w:t>60</w:t>
            </w:r>
            <w:r>
              <w:rPr>
                <w:noProof/>
                <w:webHidden/>
              </w:rPr>
              <w:fldChar w:fldCharType="end"/>
            </w:r>
          </w:hyperlink>
        </w:p>
        <w:p w14:paraId="6EBA65FB" w14:textId="07983F70" w:rsidR="004370C6" w:rsidRDefault="004370C6">
          <w:pPr>
            <w:pStyle w:val="TOC5"/>
            <w:tabs>
              <w:tab w:val="right" w:leader="dot" w:pos="9350"/>
            </w:tabs>
            <w:rPr>
              <w:noProof/>
              <w:kern w:val="2"/>
              <w:lang w:val="en-AU" w:eastAsia="en-AU"/>
              <w14:ligatures w14:val="standardContextual"/>
            </w:rPr>
          </w:pPr>
          <w:hyperlink w:anchor="_Toc224732216" w:history="1">
            <w:r w:rsidRPr="00B5521D">
              <w:rPr>
                <w:rStyle w:val="Hyperlink"/>
                <w:rFonts w:ascii="Arial" w:hAnsi="Arial" w:cs="Arial"/>
                <w:noProof/>
              </w:rPr>
              <w:t>Statutory fees</w:t>
            </w:r>
            <w:r>
              <w:rPr>
                <w:noProof/>
                <w:webHidden/>
              </w:rPr>
              <w:tab/>
            </w:r>
            <w:r>
              <w:rPr>
                <w:noProof/>
                <w:webHidden/>
              </w:rPr>
              <w:fldChar w:fldCharType="begin"/>
            </w:r>
            <w:r>
              <w:rPr>
                <w:noProof/>
                <w:webHidden/>
              </w:rPr>
              <w:instrText xml:space="preserve"> PAGEREF _Toc224732216 \h </w:instrText>
            </w:r>
            <w:r>
              <w:rPr>
                <w:noProof/>
                <w:webHidden/>
              </w:rPr>
            </w:r>
            <w:r>
              <w:rPr>
                <w:noProof/>
                <w:webHidden/>
              </w:rPr>
              <w:fldChar w:fldCharType="separate"/>
            </w:r>
            <w:r>
              <w:rPr>
                <w:noProof/>
                <w:webHidden/>
              </w:rPr>
              <w:t>60</w:t>
            </w:r>
            <w:r>
              <w:rPr>
                <w:noProof/>
                <w:webHidden/>
              </w:rPr>
              <w:fldChar w:fldCharType="end"/>
            </w:r>
          </w:hyperlink>
        </w:p>
        <w:p w14:paraId="7FE74491" w14:textId="31AE11E8" w:rsidR="004370C6" w:rsidRDefault="004370C6">
          <w:pPr>
            <w:pStyle w:val="TOC5"/>
            <w:tabs>
              <w:tab w:val="right" w:leader="dot" w:pos="9350"/>
            </w:tabs>
            <w:rPr>
              <w:noProof/>
              <w:kern w:val="2"/>
              <w:lang w:val="en-AU" w:eastAsia="en-AU"/>
              <w14:ligatures w14:val="standardContextual"/>
            </w:rPr>
          </w:pPr>
          <w:hyperlink w:anchor="_Toc224732217" w:history="1">
            <w:r w:rsidRPr="00B5521D">
              <w:rPr>
                <w:rStyle w:val="Hyperlink"/>
                <w:rFonts w:ascii="Arial" w:hAnsi="Arial" w:cs="Arial"/>
                <w:noProof/>
              </w:rPr>
              <w:t>Recreation and Leisure Income</w:t>
            </w:r>
            <w:r>
              <w:rPr>
                <w:noProof/>
                <w:webHidden/>
              </w:rPr>
              <w:tab/>
            </w:r>
            <w:r>
              <w:rPr>
                <w:noProof/>
                <w:webHidden/>
              </w:rPr>
              <w:fldChar w:fldCharType="begin"/>
            </w:r>
            <w:r>
              <w:rPr>
                <w:noProof/>
                <w:webHidden/>
              </w:rPr>
              <w:instrText xml:space="preserve"> PAGEREF _Toc224732217 \h </w:instrText>
            </w:r>
            <w:r>
              <w:rPr>
                <w:noProof/>
                <w:webHidden/>
              </w:rPr>
            </w:r>
            <w:r>
              <w:rPr>
                <w:noProof/>
                <w:webHidden/>
              </w:rPr>
              <w:fldChar w:fldCharType="separate"/>
            </w:r>
            <w:r>
              <w:rPr>
                <w:noProof/>
                <w:webHidden/>
              </w:rPr>
              <w:t>60</w:t>
            </w:r>
            <w:r>
              <w:rPr>
                <w:noProof/>
                <w:webHidden/>
              </w:rPr>
              <w:fldChar w:fldCharType="end"/>
            </w:r>
          </w:hyperlink>
        </w:p>
        <w:p w14:paraId="663E6E94" w14:textId="3F973B1B" w:rsidR="004370C6" w:rsidRDefault="004370C6">
          <w:pPr>
            <w:pStyle w:val="TOC4"/>
            <w:tabs>
              <w:tab w:val="right" w:leader="dot" w:pos="9350"/>
            </w:tabs>
            <w:rPr>
              <w:noProof/>
              <w:kern w:val="2"/>
              <w:lang w:val="en-AU" w:eastAsia="en-AU"/>
              <w14:ligatures w14:val="standardContextual"/>
            </w:rPr>
          </w:pPr>
          <w:hyperlink w:anchor="_Toc224732218" w:history="1">
            <w:r w:rsidRPr="00B5521D">
              <w:rPr>
                <w:rStyle w:val="Hyperlink"/>
                <w:rFonts w:ascii="Arial" w:hAnsi="Arial" w:cs="Arial"/>
                <w:noProof/>
              </w:rPr>
              <w:t>Rates Collection</w:t>
            </w:r>
            <w:r>
              <w:rPr>
                <w:noProof/>
                <w:webHidden/>
              </w:rPr>
              <w:tab/>
            </w:r>
            <w:r>
              <w:rPr>
                <w:noProof/>
                <w:webHidden/>
              </w:rPr>
              <w:fldChar w:fldCharType="begin"/>
            </w:r>
            <w:r>
              <w:rPr>
                <w:noProof/>
                <w:webHidden/>
              </w:rPr>
              <w:instrText xml:space="preserve"> PAGEREF _Toc224732218 \h </w:instrText>
            </w:r>
            <w:r>
              <w:rPr>
                <w:noProof/>
                <w:webHidden/>
              </w:rPr>
            </w:r>
            <w:r>
              <w:rPr>
                <w:noProof/>
                <w:webHidden/>
              </w:rPr>
              <w:fldChar w:fldCharType="separate"/>
            </w:r>
            <w:r>
              <w:rPr>
                <w:noProof/>
                <w:webHidden/>
              </w:rPr>
              <w:t>61</w:t>
            </w:r>
            <w:r>
              <w:rPr>
                <w:noProof/>
                <w:webHidden/>
              </w:rPr>
              <w:fldChar w:fldCharType="end"/>
            </w:r>
          </w:hyperlink>
        </w:p>
        <w:p w14:paraId="04250002" w14:textId="0D3CA2D7" w:rsidR="004370C6" w:rsidRDefault="004370C6">
          <w:pPr>
            <w:pStyle w:val="TOC3"/>
            <w:tabs>
              <w:tab w:val="right" w:leader="dot" w:pos="9350"/>
            </w:tabs>
            <w:rPr>
              <w:noProof/>
              <w:kern w:val="2"/>
              <w:lang w:val="en-AU" w:eastAsia="en-AU"/>
              <w14:ligatures w14:val="standardContextual"/>
            </w:rPr>
          </w:pPr>
          <w:hyperlink w:anchor="_Toc224732219" w:history="1">
            <w:r w:rsidRPr="00B5521D">
              <w:rPr>
                <w:rStyle w:val="Hyperlink"/>
                <w:rFonts w:ascii="Arial" w:hAnsi="Arial" w:cs="Arial"/>
                <w:noProof/>
              </w:rPr>
              <w:t>Parking Revenue</w:t>
            </w:r>
            <w:r>
              <w:rPr>
                <w:noProof/>
                <w:webHidden/>
              </w:rPr>
              <w:tab/>
            </w:r>
            <w:r>
              <w:rPr>
                <w:noProof/>
                <w:webHidden/>
              </w:rPr>
              <w:fldChar w:fldCharType="begin"/>
            </w:r>
            <w:r>
              <w:rPr>
                <w:noProof/>
                <w:webHidden/>
              </w:rPr>
              <w:instrText xml:space="preserve"> PAGEREF _Toc224732219 \h </w:instrText>
            </w:r>
            <w:r>
              <w:rPr>
                <w:noProof/>
                <w:webHidden/>
              </w:rPr>
            </w:r>
            <w:r>
              <w:rPr>
                <w:noProof/>
                <w:webHidden/>
              </w:rPr>
              <w:fldChar w:fldCharType="separate"/>
            </w:r>
            <w:r>
              <w:rPr>
                <w:noProof/>
                <w:webHidden/>
              </w:rPr>
              <w:t>61</w:t>
            </w:r>
            <w:r>
              <w:rPr>
                <w:noProof/>
                <w:webHidden/>
              </w:rPr>
              <w:fldChar w:fldCharType="end"/>
            </w:r>
          </w:hyperlink>
        </w:p>
        <w:p w14:paraId="1A7DF0D8" w14:textId="2C0FF0DA" w:rsidR="004370C6" w:rsidRDefault="004370C6">
          <w:pPr>
            <w:pStyle w:val="TOC4"/>
            <w:tabs>
              <w:tab w:val="right" w:leader="dot" w:pos="9350"/>
            </w:tabs>
            <w:rPr>
              <w:noProof/>
              <w:kern w:val="2"/>
              <w:lang w:val="en-AU" w:eastAsia="en-AU"/>
              <w14:ligatures w14:val="standardContextual"/>
            </w:rPr>
          </w:pPr>
          <w:hyperlink w:anchor="_Toc224732220" w:history="1">
            <w:r w:rsidRPr="00B5521D">
              <w:rPr>
                <w:rStyle w:val="Hyperlink"/>
                <w:rFonts w:ascii="Arial" w:hAnsi="Arial" w:cs="Arial"/>
                <w:noProof/>
              </w:rPr>
              <w:t>Q2 Overall paid parking revenue</w:t>
            </w:r>
            <w:r>
              <w:rPr>
                <w:noProof/>
                <w:webHidden/>
              </w:rPr>
              <w:tab/>
            </w:r>
            <w:r>
              <w:rPr>
                <w:noProof/>
                <w:webHidden/>
              </w:rPr>
              <w:fldChar w:fldCharType="begin"/>
            </w:r>
            <w:r>
              <w:rPr>
                <w:noProof/>
                <w:webHidden/>
              </w:rPr>
              <w:instrText xml:space="preserve"> PAGEREF _Toc224732220 \h </w:instrText>
            </w:r>
            <w:r>
              <w:rPr>
                <w:noProof/>
                <w:webHidden/>
              </w:rPr>
            </w:r>
            <w:r>
              <w:rPr>
                <w:noProof/>
                <w:webHidden/>
              </w:rPr>
              <w:fldChar w:fldCharType="separate"/>
            </w:r>
            <w:r>
              <w:rPr>
                <w:noProof/>
                <w:webHidden/>
              </w:rPr>
              <w:t>62</w:t>
            </w:r>
            <w:r>
              <w:rPr>
                <w:noProof/>
                <w:webHidden/>
              </w:rPr>
              <w:fldChar w:fldCharType="end"/>
            </w:r>
          </w:hyperlink>
        </w:p>
        <w:p w14:paraId="6C8D5712" w14:textId="294DE8D7" w:rsidR="004370C6" w:rsidRDefault="004370C6">
          <w:pPr>
            <w:pStyle w:val="TOC4"/>
            <w:tabs>
              <w:tab w:val="right" w:leader="dot" w:pos="9350"/>
            </w:tabs>
            <w:rPr>
              <w:noProof/>
              <w:kern w:val="2"/>
              <w:lang w:val="en-AU" w:eastAsia="en-AU"/>
              <w14:ligatures w14:val="standardContextual"/>
            </w:rPr>
          </w:pPr>
          <w:hyperlink w:anchor="_Toc224732221" w:history="1">
            <w:r w:rsidRPr="00B5521D">
              <w:rPr>
                <w:rStyle w:val="Hyperlink"/>
                <w:rFonts w:ascii="Arial" w:hAnsi="Arial" w:cs="Arial"/>
                <w:noProof/>
              </w:rPr>
              <w:t>Quarter 2 Paid parking meters</w:t>
            </w:r>
            <w:r>
              <w:rPr>
                <w:noProof/>
                <w:webHidden/>
              </w:rPr>
              <w:tab/>
            </w:r>
            <w:r>
              <w:rPr>
                <w:noProof/>
                <w:webHidden/>
              </w:rPr>
              <w:fldChar w:fldCharType="begin"/>
            </w:r>
            <w:r>
              <w:rPr>
                <w:noProof/>
                <w:webHidden/>
              </w:rPr>
              <w:instrText xml:space="preserve"> PAGEREF _Toc224732221 \h </w:instrText>
            </w:r>
            <w:r>
              <w:rPr>
                <w:noProof/>
                <w:webHidden/>
              </w:rPr>
            </w:r>
            <w:r>
              <w:rPr>
                <w:noProof/>
                <w:webHidden/>
              </w:rPr>
              <w:fldChar w:fldCharType="separate"/>
            </w:r>
            <w:r>
              <w:rPr>
                <w:noProof/>
                <w:webHidden/>
              </w:rPr>
              <w:t>62</w:t>
            </w:r>
            <w:r>
              <w:rPr>
                <w:noProof/>
                <w:webHidden/>
              </w:rPr>
              <w:fldChar w:fldCharType="end"/>
            </w:r>
          </w:hyperlink>
        </w:p>
        <w:p w14:paraId="05524E1F" w14:textId="322B1163" w:rsidR="004370C6" w:rsidRDefault="004370C6">
          <w:pPr>
            <w:pStyle w:val="TOC4"/>
            <w:tabs>
              <w:tab w:val="right" w:leader="dot" w:pos="9350"/>
            </w:tabs>
            <w:rPr>
              <w:noProof/>
              <w:kern w:val="2"/>
              <w:lang w:val="en-AU" w:eastAsia="en-AU"/>
              <w14:ligatures w14:val="standardContextual"/>
            </w:rPr>
          </w:pPr>
          <w:hyperlink w:anchor="_Toc224732222" w:history="1">
            <w:r w:rsidRPr="00B5521D">
              <w:rPr>
                <w:rStyle w:val="Hyperlink"/>
                <w:rFonts w:ascii="Arial" w:hAnsi="Arial" w:cs="Arial"/>
                <w:noProof/>
              </w:rPr>
              <w:t>Quarter 2 Parking infringement revenue</w:t>
            </w:r>
            <w:r>
              <w:rPr>
                <w:noProof/>
                <w:webHidden/>
              </w:rPr>
              <w:tab/>
            </w:r>
            <w:r>
              <w:rPr>
                <w:noProof/>
                <w:webHidden/>
              </w:rPr>
              <w:fldChar w:fldCharType="begin"/>
            </w:r>
            <w:r>
              <w:rPr>
                <w:noProof/>
                <w:webHidden/>
              </w:rPr>
              <w:instrText xml:space="preserve"> PAGEREF _Toc224732222 \h </w:instrText>
            </w:r>
            <w:r>
              <w:rPr>
                <w:noProof/>
                <w:webHidden/>
              </w:rPr>
            </w:r>
            <w:r>
              <w:rPr>
                <w:noProof/>
                <w:webHidden/>
              </w:rPr>
              <w:fldChar w:fldCharType="separate"/>
            </w:r>
            <w:r>
              <w:rPr>
                <w:noProof/>
                <w:webHidden/>
              </w:rPr>
              <w:t>62</w:t>
            </w:r>
            <w:r>
              <w:rPr>
                <w:noProof/>
                <w:webHidden/>
              </w:rPr>
              <w:fldChar w:fldCharType="end"/>
            </w:r>
          </w:hyperlink>
        </w:p>
        <w:p w14:paraId="418BA30D" w14:textId="6A0E107F" w:rsidR="004370C6" w:rsidRDefault="004370C6">
          <w:pPr>
            <w:pStyle w:val="TOC3"/>
            <w:tabs>
              <w:tab w:val="right" w:leader="dot" w:pos="9350"/>
            </w:tabs>
            <w:rPr>
              <w:noProof/>
              <w:kern w:val="2"/>
              <w:lang w:val="en-AU" w:eastAsia="en-AU"/>
              <w14:ligatures w14:val="standardContextual"/>
            </w:rPr>
          </w:pPr>
          <w:hyperlink w:anchor="_Toc224732223" w:history="1">
            <w:r w:rsidRPr="00B5521D">
              <w:rPr>
                <w:rStyle w:val="Hyperlink"/>
                <w:rFonts w:ascii="Arial" w:hAnsi="Arial" w:cs="Arial"/>
                <w:noProof/>
              </w:rPr>
              <w:t>Financial Sustainability Strategy</w:t>
            </w:r>
            <w:r>
              <w:rPr>
                <w:noProof/>
                <w:webHidden/>
              </w:rPr>
              <w:tab/>
            </w:r>
            <w:r>
              <w:rPr>
                <w:noProof/>
                <w:webHidden/>
              </w:rPr>
              <w:fldChar w:fldCharType="begin"/>
            </w:r>
            <w:r>
              <w:rPr>
                <w:noProof/>
                <w:webHidden/>
              </w:rPr>
              <w:instrText xml:space="preserve"> PAGEREF _Toc224732223 \h </w:instrText>
            </w:r>
            <w:r>
              <w:rPr>
                <w:noProof/>
                <w:webHidden/>
              </w:rPr>
            </w:r>
            <w:r>
              <w:rPr>
                <w:noProof/>
                <w:webHidden/>
              </w:rPr>
              <w:fldChar w:fldCharType="separate"/>
            </w:r>
            <w:r>
              <w:rPr>
                <w:noProof/>
                <w:webHidden/>
              </w:rPr>
              <w:t>63</w:t>
            </w:r>
            <w:r>
              <w:rPr>
                <w:noProof/>
                <w:webHidden/>
              </w:rPr>
              <w:fldChar w:fldCharType="end"/>
            </w:r>
          </w:hyperlink>
        </w:p>
        <w:p w14:paraId="24FAEE82" w14:textId="49048A1C" w:rsidR="004370C6" w:rsidRDefault="004370C6">
          <w:pPr>
            <w:pStyle w:val="TOC3"/>
            <w:tabs>
              <w:tab w:val="right" w:leader="dot" w:pos="9350"/>
            </w:tabs>
            <w:rPr>
              <w:noProof/>
              <w:kern w:val="2"/>
              <w:lang w:val="en-AU" w:eastAsia="en-AU"/>
              <w14:ligatures w14:val="standardContextual"/>
            </w:rPr>
          </w:pPr>
          <w:hyperlink w:anchor="_Toc224732224" w:history="1">
            <w:r w:rsidRPr="00B5521D">
              <w:rPr>
                <w:rStyle w:val="Hyperlink"/>
                <w:rFonts w:ascii="Arial" w:hAnsi="Arial" w:cs="Arial"/>
                <w:noProof/>
              </w:rPr>
              <w:t>Governance Update</w:t>
            </w:r>
            <w:r>
              <w:rPr>
                <w:noProof/>
                <w:webHidden/>
              </w:rPr>
              <w:tab/>
            </w:r>
            <w:r>
              <w:rPr>
                <w:noProof/>
                <w:webHidden/>
              </w:rPr>
              <w:fldChar w:fldCharType="begin"/>
            </w:r>
            <w:r>
              <w:rPr>
                <w:noProof/>
                <w:webHidden/>
              </w:rPr>
              <w:instrText xml:space="preserve"> PAGEREF _Toc224732224 \h </w:instrText>
            </w:r>
            <w:r>
              <w:rPr>
                <w:noProof/>
                <w:webHidden/>
              </w:rPr>
            </w:r>
            <w:r>
              <w:rPr>
                <w:noProof/>
                <w:webHidden/>
              </w:rPr>
              <w:fldChar w:fldCharType="separate"/>
            </w:r>
            <w:r>
              <w:rPr>
                <w:noProof/>
                <w:webHidden/>
              </w:rPr>
              <w:t>63</w:t>
            </w:r>
            <w:r>
              <w:rPr>
                <w:noProof/>
                <w:webHidden/>
              </w:rPr>
              <w:fldChar w:fldCharType="end"/>
            </w:r>
          </w:hyperlink>
        </w:p>
        <w:p w14:paraId="499CC153" w14:textId="1F8C9754" w:rsidR="004370C6" w:rsidRDefault="004370C6">
          <w:pPr>
            <w:pStyle w:val="TOC2"/>
            <w:tabs>
              <w:tab w:val="right" w:leader="dot" w:pos="9350"/>
            </w:tabs>
            <w:rPr>
              <w:noProof/>
              <w:kern w:val="2"/>
              <w:lang w:val="en-AU" w:eastAsia="en-AU"/>
              <w14:ligatures w14:val="standardContextual"/>
            </w:rPr>
          </w:pPr>
          <w:hyperlink w:anchor="_Toc224732225" w:history="1">
            <w:r w:rsidRPr="00B5521D">
              <w:rPr>
                <w:rStyle w:val="Hyperlink"/>
                <w:rFonts w:ascii="Arial" w:hAnsi="Arial" w:cs="Arial"/>
                <w:noProof/>
              </w:rPr>
              <w:t>Action Plan performance</w:t>
            </w:r>
            <w:r>
              <w:rPr>
                <w:noProof/>
                <w:webHidden/>
              </w:rPr>
              <w:tab/>
            </w:r>
            <w:r>
              <w:rPr>
                <w:noProof/>
                <w:webHidden/>
              </w:rPr>
              <w:fldChar w:fldCharType="begin"/>
            </w:r>
            <w:r>
              <w:rPr>
                <w:noProof/>
                <w:webHidden/>
              </w:rPr>
              <w:instrText xml:space="preserve"> PAGEREF _Toc224732225 \h </w:instrText>
            </w:r>
            <w:r>
              <w:rPr>
                <w:noProof/>
                <w:webHidden/>
              </w:rPr>
            </w:r>
            <w:r>
              <w:rPr>
                <w:noProof/>
                <w:webHidden/>
              </w:rPr>
              <w:fldChar w:fldCharType="separate"/>
            </w:r>
            <w:r>
              <w:rPr>
                <w:noProof/>
                <w:webHidden/>
              </w:rPr>
              <w:t>65</w:t>
            </w:r>
            <w:r>
              <w:rPr>
                <w:noProof/>
                <w:webHidden/>
              </w:rPr>
              <w:fldChar w:fldCharType="end"/>
            </w:r>
          </w:hyperlink>
        </w:p>
        <w:p w14:paraId="1DB16DAA" w14:textId="71465137" w:rsidR="004370C6" w:rsidRDefault="004370C6">
          <w:pPr>
            <w:pStyle w:val="TOC3"/>
            <w:tabs>
              <w:tab w:val="right" w:leader="dot" w:pos="9350"/>
            </w:tabs>
            <w:rPr>
              <w:noProof/>
              <w:kern w:val="2"/>
              <w:lang w:val="en-AU" w:eastAsia="en-AU"/>
              <w14:ligatures w14:val="standardContextual"/>
            </w:rPr>
          </w:pPr>
          <w:hyperlink w:anchor="_Toc224732226" w:history="1">
            <w:r w:rsidRPr="00B5521D">
              <w:rPr>
                <w:rStyle w:val="Hyperlink"/>
                <w:rFonts w:ascii="Arial" w:hAnsi="Arial" w:cs="Arial"/>
                <w:noProof/>
              </w:rPr>
              <w:t>Living in the City</w:t>
            </w:r>
            <w:r>
              <w:rPr>
                <w:noProof/>
                <w:webHidden/>
              </w:rPr>
              <w:tab/>
            </w:r>
            <w:r>
              <w:rPr>
                <w:noProof/>
                <w:webHidden/>
              </w:rPr>
              <w:fldChar w:fldCharType="begin"/>
            </w:r>
            <w:r>
              <w:rPr>
                <w:noProof/>
                <w:webHidden/>
              </w:rPr>
              <w:instrText xml:space="preserve"> PAGEREF _Toc224732226 \h </w:instrText>
            </w:r>
            <w:r>
              <w:rPr>
                <w:noProof/>
                <w:webHidden/>
              </w:rPr>
            </w:r>
            <w:r>
              <w:rPr>
                <w:noProof/>
                <w:webHidden/>
              </w:rPr>
              <w:fldChar w:fldCharType="separate"/>
            </w:r>
            <w:r>
              <w:rPr>
                <w:noProof/>
                <w:webHidden/>
              </w:rPr>
              <w:t>66</w:t>
            </w:r>
            <w:r>
              <w:rPr>
                <w:noProof/>
                <w:webHidden/>
              </w:rPr>
              <w:fldChar w:fldCharType="end"/>
            </w:r>
          </w:hyperlink>
        </w:p>
        <w:p w14:paraId="3AC8C470" w14:textId="5F0B1DF6" w:rsidR="004370C6" w:rsidRDefault="004370C6">
          <w:pPr>
            <w:pStyle w:val="TOC4"/>
            <w:tabs>
              <w:tab w:val="right" w:leader="dot" w:pos="9350"/>
            </w:tabs>
            <w:rPr>
              <w:noProof/>
              <w:kern w:val="2"/>
              <w:lang w:val="en-AU" w:eastAsia="en-AU"/>
              <w14:ligatures w14:val="standardContextual"/>
            </w:rPr>
          </w:pPr>
          <w:hyperlink w:anchor="_Toc224732227" w:history="1">
            <w:r w:rsidRPr="00B5521D">
              <w:rPr>
                <w:rStyle w:val="Hyperlink"/>
                <w:rFonts w:ascii="Arial" w:hAnsi="Arial" w:cs="Arial"/>
                <w:noProof/>
              </w:rPr>
              <w:t>Action Title: 1.1.2.1 Year 2 Climate Emergency Plan Implementation</w:t>
            </w:r>
            <w:r>
              <w:rPr>
                <w:noProof/>
                <w:webHidden/>
              </w:rPr>
              <w:tab/>
            </w:r>
            <w:r>
              <w:rPr>
                <w:noProof/>
                <w:webHidden/>
              </w:rPr>
              <w:fldChar w:fldCharType="begin"/>
            </w:r>
            <w:r>
              <w:rPr>
                <w:noProof/>
                <w:webHidden/>
              </w:rPr>
              <w:instrText xml:space="preserve"> PAGEREF _Toc224732227 \h </w:instrText>
            </w:r>
            <w:r>
              <w:rPr>
                <w:noProof/>
                <w:webHidden/>
              </w:rPr>
            </w:r>
            <w:r>
              <w:rPr>
                <w:noProof/>
                <w:webHidden/>
              </w:rPr>
              <w:fldChar w:fldCharType="separate"/>
            </w:r>
            <w:r>
              <w:rPr>
                <w:noProof/>
                <w:webHidden/>
              </w:rPr>
              <w:t>66</w:t>
            </w:r>
            <w:r>
              <w:rPr>
                <w:noProof/>
                <w:webHidden/>
              </w:rPr>
              <w:fldChar w:fldCharType="end"/>
            </w:r>
          </w:hyperlink>
        </w:p>
        <w:p w14:paraId="4324C093" w14:textId="577BFFE1" w:rsidR="004370C6" w:rsidRDefault="004370C6">
          <w:pPr>
            <w:pStyle w:val="TOC4"/>
            <w:tabs>
              <w:tab w:val="right" w:leader="dot" w:pos="9350"/>
            </w:tabs>
            <w:rPr>
              <w:noProof/>
              <w:kern w:val="2"/>
              <w:lang w:val="en-AU" w:eastAsia="en-AU"/>
              <w14:ligatures w14:val="standardContextual"/>
            </w:rPr>
          </w:pPr>
          <w:hyperlink w:anchor="_Toc224732228" w:history="1">
            <w:r w:rsidRPr="00B5521D">
              <w:rPr>
                <w:rStyle w:val="Hyperlink"/>
                <w:rFonts w:ascii="Arial" w:hAnsi="Arial" w:cs="Arial"/>
                <w:noProof/>
              </w:rPr>
              <w:t>Action Title: 1.1.3.1 Conduct a localised Community Safety Audit</w:t>
            </w:r>
            <w:r>
              <w:rPr>
                <w:noProof/>
                <w:webHidden/>
              </w:rPr>
              <w:tab/>
            </w:r>
            <w:r>
              <w:rPr>
                <w:noProof/>
                <w:webHidden/>
              </w:rPr>
              <w:fldChar w:fldCharType="begin"/>
            </w:r>
            <w:r>
              <w:rPr>
                <w:noProof/>
                <w:webHidden/>
              </w:rPr>
              <w:instrText xml:space="preserve"> PAGEREF _Toc224732228 \h </w:instrText>
            </w:r>
            <w:r>
              <w:rPr>
                <w:noProof/>
                <w:webHidden/>
              </w:rPr>
            </w:r>
            <w:r>
              <w:rPr>
                <w:noProof/>
                <w:webHidden/>
              </w:rPr>
              <w:fldChar w:fldCharType="separate"/>
            </w:r>
            <w:r>
              <w:rPr>
                <w:noProof/>
                <w:webHidden/>
              </w:rPr>
              <w:t>67</w:t>
            </w:r>
            <w:r>
              <w:rPr>
                <w:noProof/>
                <w:webHidden/>
              </w:rPr>
              <w:fldChar w:fldCharType="end"/>
            </w:r>
          </w:hyperlink>
        </w:p>
        <w:p w14:paraId="73FC909B" w14:textId="607CCB95" w:rsidR="004370C6" w:rsidRDefault="004370C6">
          <w:pPr>
            <w:pStyle w:val="TOC4"/>
            <w:tabs>
              <w:tab w:val="right" w:leader="dot" w:pos="9350"/>
            </w:tabs>
            <w:rPr>
              <w:noProof/>
              <w:kern w:val="2"/>
              <w:lang w:val="en-AU" w:eastAsia="en-AU"/>
              <w14:ligatures w14:val="standardContextual"/>
            </w:rPr>
          </w:pPr>
          <w:hyperlink w:anchor="_Toc224732229" w:history="1">
            <w:r w:rsidRPr="00B5521D">
              <w:rPr>
                <w:rStyle w:val="Hyperlink"/>
                <w:rFonts w:ascii="Arial" w:hAnsi="Arial" w:cs="Arial"/>
                <w:noProof/>
              </w:rPr>
              <w:t>Action Title: 1.2.1.1 Minor Richmond Library renewal works with business case for major redevelopment of the Library</w:t>
            </w:r>
            <w:r>
              <w:rPr>
                <w:noProof/>
                <w:webHidden/>
              </w:rPr>
              <w:tab/>
            </w:r>
            <w:r>
              <w:rPr>
                <w:noProof/>
                <w:webHidden/>
              </w:rPr>
              <w:fldChar w:fldCharType="begin"/>
            </w:r>
            <w:r>
              <w:rPr>
                <w:noProof/>
                <w:webHidden/>
              </w:rPr>
              <w:instrText xml:space="preserve"> PAGEREF _Toc224732229 \h </w:instrText>
            </w:r>
            <w:r>
              <w:rPr>
                <w:noProof/>
                <w:webHidden/>
              </w:rPr>
            </w:r>
            <w:r>
              <w:rPr>
                <w:noProof/>
                <w:webHidden/>
              </w:rPr>
              <w:fldChar w:fldCharType="separate"/>
            </w:r>
            <w:r>
              <w:rPr>
                <w:noProof/>
                <w:webHidden/>
              </w:rPr>
              <w:t>67</w:t>
            </w:r>
            <w:r>
              <w:rPr>
                <w:noProof/>
                <w:webHidden/>
              </w:rPr>
              <w:fldChar w:fldCharType="end"/>
            </w:r>
          </w:hyperlink>
        </w:p>
        <w:p w14:paraId="3B4475E8" w14:textId="0CDA25B8" w:rsidR="004370C6" w:rsidRDefault="004370C6">
          <w:pPr>
            <w:pStyle w:val="TOC4"/>
            <w:tabs>
              <w:tab w:val="right" w:leader="dot" w:pos="9350"/>
            </w:tabs>
            <w:rPr>
              <w:noProof/>
              <w:kern w:val="2"/>
              <w:lang w:val="en-AU" w:eastAsia="en-AU"/>
              <w14:ligatures w14:val="standardContextual"/>
            </w:rPr>
          </w:pPr>
          <w:hyperlink w:anchor="_Toc224732230" w:history="1">
            <w:r w:rsidRPr="00B5521D">
              <w:rPr>
                <w:rStyle w:val="Hyperlink"/>
                <w:rFonts w:ascii="Arial" w:hAnsi="Arial" w:cs="Arial"/>
                <w:noProof/>
              </w:rPr>
              <w:t>Action Title: 1.2.3.1 Kindergarten Infrastructure and Services Plan for Yarra</w:t>
            </w:r>
            <w:r>
              <w:rPr>
                <w:noProof/>
                <w:webHidden/>
              </w:rPr>
              <w:tab/>
            </w:r>
            <w:r>
              <w:rPr>
                <w:noProof/>
                <w:webHidden/>
              </w:rPr>
              <w:fldChar w:fldCharType="begin"/>
            </w:r>
            <w:r>
              <w:rPr>
                <w:noProof/>
                <w:webHidden/>
              </w:rPr>
              <w:instrText xml:space="preserve"> PAGEREF _Toc224732230 \h </w:instrText>
            </w:r>
            <w:r>
              <w:rPr>
                <w:noProof/>
                <w:webHidden/>
              </w:rPr>
            </w:r>
            <w:r>
              <w:rPr>
                <w:noProof/>
                <w:webHidden/>
              </w:rPr>
              <w:fldChar w:fldCharType="separate"/>
            </w:r>
            <w:r>
              <w:rPr>
                <w:noProof/>
                <w:webHidden/>
              </w:rPr>
              <w:t>67</w:t>
            </w:r>
            <w:r>
              <w:rPr>
                <w:noProof/>
                <w:webHidden/>
              </w:rPr>
              <w:fldChar w:fldCharType="end"/>
            </w:r>
          </w:hyperlink>
        </w:p>
        <w:p w14:paraId="4C6C18D3" w14:textId="351ADAEA" w:rsidR="004370C6" w:rsidRDefault="004370C6">
          <w:pPr>
            <w:pStyle w:val="TOC4"/>
            <w:tabs>
              <w:tab w:val="right" w:leader="dot" w:pos="9350"/>
            </w:tabs>
            <w:rPr>
              <w:noProof/>
              <w:kern w:val="2"/>
              <w:lang w:val="en-AU" w:eastAsia="en-AU"/>
              <w14:ligatures w14:val="standardContextual"/>
            </w:rPr>
          </w:pPr>
          <w:hyperlink w:anchor="_Toc224732231" w:history="1">
            <w:r w:rsidRPr="00B5521D">
              <w:rPr>
                <w:rStyle w:val="Hyperlink"/>
                <w:rFonts w:ascii="Arial" w:hAnsi="Arial" w:cs="Arial"/>
                <w:noProof/>
              </w:rPr>
              <w:t>Action Title: 1.2.4.1 Design and delivery of programs arising from the New Municipal Public Health and Wellbeing Plan</w:t>
            </w:r>
            <w:r>
              <w:rPr>
                <w:noProof/>
                <w:webHidden/>
              </w:rPr>
              <w:tab/>
            </w:r>
            <w:r>
              <w:rPr>
                <w:noProof/>
                <w:webHidden/>
              </w:rPr>
              <w:fldChar w:fldCharType="begin"/>
            </w:r>
            <w:r>
              <w:rPr>
                <w:noProof/>
                <w:webHidden/>
              </w:rPr>
              <w:instrText xml:space="preserve"> PAGEREF _Toc224732231 \h </w:instrText>
            </w:r>
            <w:r>
              <w:rPr>
                <w:noProof/>
                <w:webHidden/>
              </w:rPr>
            </w:r>
            <w:r>
              <w:rPr>
                <w:noProof/>
                <w:webHidden/>
              </w:rPr>
              <w:fldChar w:fldCharType="separate"/>
            </w:r>
            <w:r>
              <w:rPr>
                <w:noProof/>
                <w:webHidden/>
              </w:rPr>
              <w:t>68</w:t>
            </w:r>
            <w:r>
              <w:rPr>
                <w:noProof/>
                <w:webHidden/>
              </w:rPr>
              <w:fldChar w:fldCharType="end"/>
            </w:r>
          </w:hyperlink>
        </w:p>
        <w:p w14:paraId="6A0144CB" w14:textId="43F69B64" w:rsidR="004370C6" w:rsidRDefault="004370C6">
          <w:pPr>
            <w:pStyle w:val="TOC3"/>
            <w:tabs>
              <w:tab w:val="right" w:leader="dot" w:pos="9350"/>
            </w:tabs>
            <w:rPr>
              <w:noProof/>
              <w:kern w:val="2"/>
              <w:lang w:val="en-AU" w:eastAsia="en-AU"/>
              <w14:ligatures w14:val="standardContextual"/>
            </w:rPr>
          </w:pPr>
          <w:hyperlink w:anchor="_Toc224732232" w:history="1">
            <w:r w:rsidRPr="00B5521D">
              <w:rPr>
                <w:rStyle w:val="Hyperlink"/>
                <w:rFonts w:ascii="Arial" w:hAnsi="Arial" w:cs="Arial"/>
                <w:noProof/>
              </w:rPr>
              <w:t>Building the City</w:t>
            </w:r>
            <w:r>
              <w:rPr>
                <w:noProof/>
                <w:webHidden/>
              </w:rPr>
              <w:tab/>
            </w:r>
            <w:r>
              <w:rPr>
                <w:noProof/>
                <w:webHidden/>
              </w:rPr>
              <w:fldChar w:fldCharType="begin"/>
            </w:r>
            <w:r>
              <w:rPr>
                <w:noProof/>
                <w:webHidden/>
              </w:rPr>
              <w:instrText xml:space="preserve"> PAGEREF _Toc224732232 \h </w:instrText>
            </w:r>
            <w:r>
              <w:rPr>
                <w:noProof/>
                <w:webHidden/>
              </w:rPr>
            </w:r>
            <w:r>
              <w:rPr>
                <w:noProof/>
                <w:webHidden/>
              </w:rPr>
              <w:fldChar w:fldCharType="separate"/>
            </w:r>
            <w:r>
              <w:rPr>
                <w:noProof/>
                <w:webHidden/>
              </w:rPr>
              <w:t>69</w:t>
            </w:r>
            <w:r>
              <w:rPr>
                <w:noProof/>
                <w:webHidden/>
              </w:rPr>
              <w:fldChar w:fldCharType="end"/>
            </w:r>
          </w:hyperlink>
        </w:p>
        <w:p w14:paraId="4DB92066" w14:textId="28788EFE" w:rsidR="004370C6" w:rsidRDefault="004370C6">
          <w:pPr>
            <w:pStyle w:val="TOC4"/>
            <w:tabs>
              <w:tab w:val="right" w:leader="dot" w:pos="9350"/>
            </w:tabs>
            <w:rPr>
              <w:noProof/>
              <w:kern w:val="2"/>
              <w:lang w:val="en-AU" w:eastAsia="en-AU"/>
              <w14:ligatures w14:val="standardContextual"/>
            </w:rPr>
          </w:pPr>
          <w:hyperlink w:anchor="_Toc224732233" w:history="1">
            <w:r w:rsidRPr="00B5521D">
              <w:rPr>
                <w:rStyle w:val="Hyperlink"/>
                <w:rFonts w:ascii="Arial" w:hAnsi="Arial" w:cs="Arial"/>
                <w:noProof/>
              </w:rPr>
              <w:t>Action Title: 2.1.1.1 Progress New Deal for Cycling corridor projects</w:t>
            </w:r>
            <w:r>
              <w:rPr>
                <w:noProof/>
                <w:webHidden/>
              </w:rPr>
              <w:tab/>
            </w:r>
            <w:r>
              <w:rPr>
                <w:noProof/>
                <w:webHidden/>
              </w:rPr>
              <w:fldChar w:fldCharType="begin"/>
            </w:r>
            <w:r>
              <w:rPr>
                <w:noProof/>
                <w:webHidden/>
              </w:rPr>
              <w:instrText xml:space="preserve"> PAGEREF _Toc224732233 \h </w:instrText>
            </w:r>
            <w:r>
              <w:rPr>
                <w:noProof/>
                <w:webHidden/>
              </w:rPr>
            </w:r>
            <w:r>
              <w:rPr>
                <w:noProof/>
                <w:webHidden/>
              </w:rPr>
              <w:fldChar w:fldCharType="separate"/>
            </w:r>
            <w:r>
              <w:rPr>
                <w:noProof/>
                <w:webHidden/>
              </w:rPr>
              <w:t>69</w:t>
            </w:r>
            <w:r>
              <w:rPr>
                <w:noProof/>
                <w:webHidden/>
              </w:rPr>
              <w:fldChar w:fldCharType="end"/>
            </w:r>
          </w:hyperlink>
        </w:p>
        <w:p w14:paraId="521CBE2C" w14:textId="426565C1" w:rsidR="004370C6" w:rsidRDefault="004370C6">
          <w:pPr>
            <w:pStyle w:val="TOC4"/>
            <w:tabs>
              <w:tab w:val="right" w:leader="dot" w:pos="9350"/>
            </w:tabs>
            <w:rPr>
              <w:noProof/>
              <w:kern w:val="2"/>
              <w:lang w:val="en-AU" w:eastAsia="en-AU"/>
              <w14:ligatures w14:val="standardContextual"/>
            </w:rPr>
          </w:pPr>
          <w:hyperlink w:anchor="_Toc224732234" w:history="1">
            <w:r w:rsidRPr="00B5521D">
              <w:rPr>
                <w:rStyle w:val="Hyperlink"/>
                <w:rFonts w:ascii="Arial" w:hAnsi="Arial" w:cs="Arial"/>
                <w:noProof/>
              </w:rPr>
              <w:t>Action Title: 2.1.2.1 Progress the preparation of a Kerbside and Parking Strategy</w:t>
            </w:r>
            <w:r>
              <w:rPr>
                <w:noProof/>
                <w:webHidden/>
              </w:rPr>
              <w:tab/>
            </w:r>
            <w:r>
              <w:rPr>
                <w:noProof/>
                <w:webHidden/>
              </w:rPr>
              <w:fldChar w:fldCharType="begin"/>
            </w:r>
            <w:r>
              <w:rPr>
                <w:noProof/>
                <w:webHidden/>
              </w:rPr>
              <w:instrText xml:space="preserve"> PAGEREF _Toc224732234 \h </w:instrText>
            </w:r>
            <w:r>
              <w:rPr>
                <w:noProof/>
                <w:webHidden/>
              </w:rPr>
            </w:r>
            <w:r>
              <w:rPr>
                <w:noProof/>
                <w:webHidden/>
              </w:rPr>
              <w:fldChar w:fldCharType="separate"/>
            </w:r>
            <w:r>
              <w:rPr>
                <w:noProof/>
                <w:webHidden/>
              </w:rPr>
              <w:t>69</w:t>
            </w:r>
            <w:r>
              <w:rPr>
                <w:noProof/>
                <w:webHidden/>
              </w:rPr>
              <w:fldChar w:fldCharType="end"/>
            </w:r>
          </w:hyperlink>
        </w:p>
        <w:p w14:paraId="33B88503" w14:textId="0408A8FB" w:rsidR="004370C6" w:rsidRDefault="004370C6">
          <w:pPr>
            <w:pStyle w:val="TOC4"/>
            <w:tabs>
              <w:tab w:val="right" w:leader="dot" w:pos="9350"/>
            </w:tabs>
            <w:rPr>
              <w:noProof/>
              <w:kern w:val="2"/>
              <w:lang w:val="en-AU" w:eastAsia="en-AU"/>
              <w14:ligatures w14:val="standardContextual"/>
            </w:rPr>
          </w:pPr>
          <w:hyperlink w:anchor="_Toc224732235" w:history="1">
            <w:r w:rsidRPr="00B5521D">
              <w:rPr>
                <w:rStyle w:val="Hyperlink"/>
                <w:rFonts w:ascii="Arial" w:hAnsi="Arial" w:cs="Arial"/>
                <w:noProof/>
              </w:rPr>
              <w:t>Action Title: 2.1.3.1 Update the Transport Action Plan and implement</w:t>
            </w:r>
            <w:r>
              <w:rPr>
                <w:noProof/>
                <w:webHidden/>
              </w:rPr>
              <w:tab/>
            </w:r>
            <w:r>
              <w:rPr>
                <w:noProof/>
                <w:webHidden/>
              </w:rPr>
              <w:fldChar w:fldCharType="begin"/>
            </w:r>
            <w:r>
              <w:rPr>
                <w:noProof/>
                <w:webHidden/>
              </w:rPr>
              <w:instrText xml:space="preserve"> PAGEREF _Toc224732235 \h </w:instrText>
            </w:r>
            <w:r>
              <w:rPr>
                <w:noProof/>
                <w:webHidden/>
              </w:rPr>
            </w:r>
            <w:r>
              <w:rPr>
                <w:noProof/>
                <w:webHidden/>
              </w:rPr>
              <w:fldChar w:fldCharType="separate"/>
            </w:r>
            <w:r>
              <w:rPr>
                <w:noProof/>
                <w:webHidden/>
              </w:rPr>
              <w:t>70</w:t>
            </w:r>
            <w:r>
              <w:rPr>
                <w:noProof/>
                <w:webHidden/>
              </w:rPr>
              <w:fldChar w:fldCharType="end"/>
            </w:r>
          </w:hyperlink>
        </w:p>
        <w:p w14:paraId="48D39490" w14:textId="5C3230C7" w:rsidR="004370C6" w:rsidRDefault="004370C6">
          <w:pPr>
            <w:pStyle w:val="TOC4"/>
            <w:tabs>
              <w:tab w:val="right" w:leader="dot" w:pos="9350"/>
            </w:tabs>
            <w:rPr>
              <w:noProof/>
              <w:kern w:val="2"/>
              <w:lang w:val="en-AU" w:eastAsia="en-AU"/>
              <w14:ligatures w14:val="standardContextual"/>
            </w:rPr>
          </w:pPr>
          <w:hyperlink w:anchor="_Toc224732236" w:history="1">
            <w:r w:rsidRPr="00B5521D">
              <w:rPr>
                <w:rStyle w:val="Hyperlink"/>
                <w:rFonts w:ascii="Arial" w:hAnsi="Arial" w:cs="Arial"/>
                <w:noProof/>
              </w:rPr>
              <w:t>Action Title: 2.2.1.1 Strategic Planning Agility: Implementing the State Government’s housing target and activity centre program</w:t>
            </w:r>
            <w:r>
              <w:rPr>
                <w:noProof/>
                <w:webHidden/>
              </w:rPr>
              <w:tab/>
            </w:r>
            <w:r>
              <w:rPr>
                <w:noProof/>
                <w:webHidden/>
              </w:rPr>
              <w:fldChar w:fldCharType="begin"/>
            </w:r>
            <w:r>
              <w:rPr>
                <w:noProof/>
                <w:webHidden/>
              </w:rPr>
              <w:instrText xml:space="preserve"> PAGEREF _Toc224732236 \h </w:instrText>
            </w:r>
            <w:r>
              <w:rPr>
                <w:noProof/>
                <w:webHidden/>
              </w:rPr>
            </w:r>
            <w:r>
              <w:rPr>
                <w:noProof/>
                <w:webHidden/>
              </w:rPr>
              <w:fldChar w:fldCharType="separate"/>
            </w:r>
            <w:r>
              <w:rPr>
                <w:noProof/>
                <w:webHidden/>
              </w:rPr>
              <w:t>70</w:t>
            </w:r>
            <w:r>
              <w:rPr>
                <w:noProof/>
                <w:webHidden/>
              </w:rPr>
              <w:fldChar w:fldCharType="end"/>
            </w:r>
          </w:hyperlink>
        </w:p>
        <w:p w14:paraId="77F7354C" w14:textId="1472C22B" w:rsidR="004370C6" w:rsidRDefault="004370C6">
          <w:pPr>
            <w:pStyle w:val="TOC4"/>
            <w:tabs>
              <w:tab w:val="right" w:leader="dot" w:pos="9350"/>
            </w:tabs>
            <w:rPr>
              <w:noProof/>
              <w:kern w:val="2"/>
              <w:lang w:val="en-AU" w:eastAsia="en-AU"/>
              <w14:ligatures w14:val="standardContextual"/>
            </w:rPr>
          </w:pPr>
          <w:hyperlink w:anchor="_Toc224732237" w:history="1">
            <w:r w:rsidRPr="00B5521D">
              <w:rPr>
                <w:rStyle w:val="Hyperlink"/>
                <w:rFonts w:ascii="Arial" w:hAnsi="Arial" w:cs="Arial"/>
                <w:noProof/>
              </w:rPr>
              <w:t>Action Title: 2.2.4.1 Reactivate the Collingwood Town Hall precinct housing proposal</w:t>
            </w:r>
            <w:r>
              <w:rPr>
                <w:noProof/>
                <w:webHidden/>
              </w:rPr>
              <w:tab/>
            </w:r>
            <w:r>
              <w:rPr>
                <w:noProof/>
                <w:webHidden/>
              </w:rPr>
              <w:fldChar w:fldCharType="begin"/>
            </w:r>
            <w:r>
              <w:rPr>
                <w:noProof/>
                <w:webHidden/>
              </w:rPr>
              <w:instrText xml:space="preserve"> PAGEREF _Toc224732237 \h </w:instrText>
            </w:r>
            <w:r>
              <w:rPr>
                <w:noProof/>
                <w:webHidden/>
              </w:rPr>
            </w:r>
            <w:r>
              <w:rPr>
                <w:noProof/>
                <w:webHidden/>
              </w:rPr>
              <w:fldChar w:fldCharType="separate"/>
            </w:r>
            <w:r>
              <w:rPr>
                <w:noProof/>
                <w:webHidden/>
              </w:rPr>
              <w:t>70</w:t>
            </w:r>
            <w:r>
              <w:rPr>
                <w:noProof/>
                <w:webHidden/>
              </w:rPr>
              <w:fldChar w:fldCharType="end"/>
            </w:r>
          </w:hyperlink>
        </w:p>
        <w:p w14:paraId="61C48E68" w14:textId="4D55F993" w:rsidR="004370C6" w:rsidRDefault="004370C6">
          <w:pPr>
            <w:pStyle w:val="TOC4"/>
            <w:tabs>
              <w:tab w:val="right" w:leader="dot" w:pos="9350"/>
            </w:tabs>
            <w:rPr>
              <w:noProof/>
              <w:kern w:val="2"/>
              <w:lang w:val="en-AU" w:eastAsia="en-AU"/>
              <w14:ligatures w14:val="standardContextual"/>
            </w:rPr>
          </w:pPr>
          <w:hyperlink w:anchor="_Toc224732238" w:history="1">
            <w:r w:rsidRPr="00B5521D">
              <w:rPr>
                <w:rStyle w:val="Hyperlink"/>
                <w:rFonts w:ascii="Arial" w:hAnsi="Arial" w:cs="Arial"/>
                <w:noProof/>
              </w:rPr>
              <w:t>Action Title: 2.3.3.1 Finalise the Community Infrastructure Plan</w:t>
            </w:r>
            <w:r>
              <w:rPr>
                <w:noProof/>
                <w:webHidden/>
              </w:rPr>
              <w:tab/>
            </w:r>
            <w:r>
              <w:rPr>
                <w:noProof/>
                <w:webHidden/>
              </w:rPr>
              <w:fldChar w:fldCharType="begin"/>
            </w:r>
            <w:r>
              <w:rPr>
                <w:noProof/>
                <w:webHidden/>
              </w:rPr>
              <w:instrText xml:space="preserve"> PAGEREF _Toc224732238 \h </w:instrText>
            </w:r>
            <w:r>
              <w:rPr>
                <w:noProof/>
                <w:webHidden/>
              </w:rPr>
            </w:r>
            <w:r>
              <w:rPr>
                <w:noProof/>
                <w:webHidden/>
              </w:rPr>
              <w:fldChar w:fldCharType="separate"/>
            </w:r>
            <w:r>
              <w:rPr>
                <w:noProof/>
                <w:webHidden/>
              </w:rPr>
              <w:t>71</w:t>
            </w:r>
            <w:r>
              <w:rPr>
                <w:noProof/>
                <w:webHidden/>
              </w:rPr>
              <w:fldChar w:fldCharType="end"/>
            </w:r>
          </w:hyperlink>
        </w:p>
        <w:p w14:paraId="4C9817E7" w14:textId="1B77C5F7" w:rsidR="004370C6" w:rsidRDefault="004370C6">
          <w:pPr>
            <w:pStyle w:val="TOC4"/>
            <w:tabs>
              <w:tab w:val="right" w:leader="dot" w:pos="9350"/>
            </w:tabs>
            <w:rPr>
              <w:noProof/>
              <w:kern w:val="2"/>
              <w:lang w:val="en-AU" w:eastAsia="en-AU"/>
              <w14:ligatures w14:val="standardContextual"/>
            </w:rPr>
          </w:pPr>
          <w:hyperlink w:anchor="_Toc224732239" w:history="1">
            <w:r w:rsidRPr="00B5521D">
              <w:rPr>
                <w:rStyle w:val="Hyperlink"/>
                <w:rFonts w:ascii="Arial" w:hAnsi="Arial" w:cs="Arial"/>
                <w:noProof/>
              </w:rPr>
              <w:t>Action Title: 2.3.4.1 Strategic rollout of electric vehicle charging stations across Yarra</w:t>
            </w:r>
            <w:r>
              <w:rPr>
                <w:noProof/>
                <w:webHidden/>
              </w:rPr>
              <w:tab/>
            </w:r>
            <w:r>
              <w:rPr>
                <w:noProof/>
                <w:webHidden/>
              </w:rPr>
              <w:fldChar w:fldCharType="begin"/>
            </w:r>
            <w:r>
              <w:rPr>
                <w:noProof/>
                <w:webHidden/>
              </w:rPr>
              <w:instrText xml:space="preserve"> PAGEREF _Toc224732239 \h </w:instrText>
            </w:r>
            <w:r>
              <w:rPr>
                <w:noProof/>
                <w:webHidden/>
              </w:rPr>
            </w:r>
            <w:r>
              <w:rPr>
                <w:noProof/>
                <w:webHidden/>
              </w:rPr>
              <w:fldChar w:fldCharType="separate"/>
            </w:r>
            <w:r>
              <w:rPr>
                <w:noProof/>
                <w:webHidden/>
              </w:rPr>
              <w:t>71</w:t>
            </w:r>
            <w:r>
              <w:rPr>
                <w:noProof/>
                <w:webHidden/>
              </w:rPr>
              <w:fldChar w:fldCharType="end"/>
            </w:r>
          </w:hyperlink>
        </w:p>
        <w:p w14:paraId="01D9D6E2" w14:textId="5A2FB83B" w:rsidR="004370C6" w:rsidRDefault="004370C6">
          <w:pPr>
            <w:pStyle w:val="TOC4"/>
            <w:tabs>
              <w:tab w:val="right" w:leader="dot" w:pos="9350"/>
            </w:tabs>
            <w:rPr>
              <w:noProof/>
              <w:kern w:val="2"/>
              <w:lang w:val="en-AU" w:eastAsia="en-AU"/>
              <w14:ligatures w14:val="standardContextual"/>
            </w:rPr>
          </w:pPr>
          <w:hyperlink w:anchor="_Toc224732240" w:history="1">
            <w:r w:rsidRPr="00B5521D">
              <w:rPr>
                <w:rStyle w:val="Hyperlink"/>
                <w:rFonts w:ascii="Arial" w:hAnsi="Arial" w:cs="Arial"/>
                <w:noProof/>
              </w:rPr>
              <w:t>Action Title: 2.4.1.1 Continuation of the Brunswick Street Oval Project</w:t>
            </w:r>
            <w:r>
              <w:rPr>
                <w:noProof/>
                <w:webHidden/>
              </w:rPr>
              <w:tab/>
            </w:r>
            <w:r>
              <w:rPr>
                <w:noProof/>
                <w:webHidden/>
              </w:rPr>
              <w:fldChar w:fldCharType="begin"/>
            </w:r>
            <w:r>
              <w:rPr>
                <w:noProof/>
                <w:webHidden/>
              </w:rPr>
              <w:instrText xml:space="preserve"> PAGEREF _Toc224732240 \h </w:instrText>
            </w:r>
            <w:r>
              <w:rPr>
                <w:noProof/>
                <w:webHidden/>
              </w:rPr>
            </w:r>
            <w:r>
              <w:rPr>
                <w:noProof/>
                <w:webHidden/>
              </w:rPr>
              <w:fldChar w:fldCharType="separate"/>
            </w:r>
            <w:r>
              <w:rPr>
                <w:noProof/>
                <w:webHidden/>
              </w:rPr>
              <w:t>71</w:t>
            </w:r>
            <w:r>
              <w:rPr>
                <w:noProof/>
                <w:webHidden/>
              </w:rPr>
              <w:fldChar w:fldCharType="end"/>
            </w:r>
          </w:hyperlink>
        </w:p>
        <w:p w14:paraId="1D15470A" w14:textId="7BDBDC1E" w:rsidR="004370C6" w:rsidRDefault="004370C6">
          <w:pPr>
            <w:pStyle w:val="TOC4"/>
            <w:tabs>
              <w:tab w:val="right" w:leader="dot" w:pos="9350"/>
            </w:tabs>
            <w:rPr>
              <w:noProof/>
              <w:kern w:val="2"/>
              <w:lang w:val="en-AU" w:eastAsia="en-AU"/>
              <w14:ligatures w14:val="standardContextual"/>
            </w:rPr>
          </w:pPr>
          <w:hyperlink w:anchor="_Toc224732241" w:history="1">
            <w:r w:rsidRPr="00B5521D">
              <w:rPr>
                <w:rStyle w:val="Hyperlink"/>
                <w:rFonts w:ascii="Arial" w:hAnsi="Arial" w:cs="Arial"/>
                <w:noProof/>
              </w:rPr>
              <w:t>Action Title: 2.4.1.1 New Open Space</w:t>
            </w:r>
            <w:r>
              <w:rPr>
                <w:noProof/>
                <w:webHidden/>
              </w:rPr>
              <w:tab/>
            </w:r>
            <w:r>
              <w:rPr>
                <w:noProof/>
                <w:webHidden/>
              </w:rPr>
              <w:fldChar w:fldCharType="begin"/>
            </w:r>
            <w:r>
              <w:rPr>
                <w:noProof/>
                <w:webHidden/>
              </w:rPr>
              <w:instrText xml:space="preserve"> PAGEREF _Toc224732241 \h </w:instrText>
            </w:r>
            <w:r>
              <w:rPr>
                <w:noProof/>
                <w:webHidden/>
              </w:rPr>
            </w:r>
            <w:r>
              <w:rPr>
                <w:noProof/>
                <w:webHidden/>
              </w:rPr>
              <w:fldChar w:fldCharType="separate"/>
            </w:r>
            <w:r>
              <w:rPr>
                <w:noProof/>
                <w:webHidden/>
              </w:rPr>
              <w:t>72</w:t>
            </w:r>
            <w:r>
              <w:rPr>
                <w:noProof/>
                <w:webHidden/>
              </w:rPr>
              <w:fldChar w:fldCharType="end"/>
            </w:r>
          </w:hyperlink>
        </w:p>
        <w:p w14:paraId="5453012F" w14:textId="3C4C2D79" w:rsidR="004370C6" w:rsidRDefault="004370C6">
          <w:pPr>
            <w:pStyle w:val="TOC4"/>
            <w:tabs>
              <w:tab w:val="right" w:leader="dot" w:pos="9350"/>
            </w:tabs>
            <w:rPr>
              <w:noProof/>
              <w:kern w:val="2"/>
              <w:lang w:val="en-AU" w:eastAsia="en-AU"/>
              <w14:ligatures w14:val="standardContextual"/>
            </w:rPr>
          </w:pPr>
          <w:hyperlink w:anchor="_Toc224732242" w:history="1">
            <w:r w:rsidRPr="00B5521D">
              <w:rPr>
                <w:rStyle w:val="Hyperlink"/>
                <w:rFonts w:ascii="Arial" w:hAnsi="Arial" w:cs="Arial"/>
                <w:noProof/>
              </w:rPr>
              <w:t>Action Title: 2.4.1.2 Deliver Capital Works Projects</w:t>
            </w:r>
            <w:r>
              <w:rPr>
                <w:noProof/>
                <w:webHidden/>
              </w:rPr>
              <w:tab/>
            </w:r>
            <w:r>
              <w:rPr>
                <w:noProof/>
                <w:webHidden/>
              </w:rPr>
              <w:fldChar w:fldCharType="begin"/>
            </w:r>
            <w:r>
              <w:rPr>
                <w:noProof/>
                <w:webHidden/>
              </w:rPr>
              <w:instrText xml:space="preserve"> PAGEREF _Toc224732242 \h </w:instrText>
            </w:r>
            <w:r>
              <w:rPr>
                <w:noProof/>
                <w:webHidden/>
              </w:rPr>
            </w:r>
            <w:r>
              <w:rPr>
                <w:noProof/>
                <w:webHidden/>
              </w:rPr>
              <w:fldChar w:fldCharType="separate"/>
            </w:r>
            <w:r>
              <w:rPr>
                <w:noProof/>
                <w:webHidden/>
              </w:rPr>
              <w:t>72</w:t>
            </w:r>
            <w:r>
              <w:rPr>
                <w:noProof/>
                <w:webHidden/>
              </w:rPr>
              <w:fldChar w:fldCharType="end"/>
            </w:r>
          </w:hyperlink>
        </w:p>
        <w:p w14:paraId="0F613B8C" w14:textId="33DFA880" w:rsidR="004370C6" w:rsidRDefault="004370C6">
          <w:pPr>
            <w:pStyle w:val="TOC3"/>
            <w:tabs>
              <w:tab w:val="right" w:leader="dot" w:pos="9350"/>
            </w:tabs>
            <w:rPr>
              <w:noProof/>
              <w:kern w:val="2"/>
              <w:lang w:val="en-AU" w:eastAsia="en-AU"/>
              <w14:ligatures w14:val="standardContextual"/>
            </w:rPr>
          </w:pPr>
          <w:hyperlink w:anchor="_Toc224732243" w:history="1">
            <w:r w:rsidRPr="00B5521D">
              <w:rPr>
                <w:rStyle w:val="Hyperlink"/>
                <w:rFonts w:ascii="Arial" w:hAnsi="Arial" w:cs="Arial"/>
                <w:noProof/>
              </w:rPr>
              <w:t>Working and Playing in the City</w:t>
            </w:r>
            <w:r>
              <w:rPr>
                <w:noProof/>
                <w:webHidden/>
              </w:rPr>
              <w:tab/>
            </w:r>
            <w:r>
              <w:rPr>
                <w:noProof/>
                <w:webHidden/>
              </w:rPr>
              <w:fldChar w:fldCharType="begin"/>
            </w:r>
            <w:r>
              <w:rPr>
                <w:noProof/>
                <w:webHidden/>
              </w:rPr>
              <w:instrText xml:space="preserve"> PAGEREF _Toc224732243 \h </w:instrText>
            </w:r>
            <w:r>
              <w:rPr>
                <w:noProof/>
                <w:webHidden/>
              </w:rPr>
            </w:r>
            <w:r>
              <w:rPr>
                <w:noProof/>
                <w:webHidden/>
              </w:rPr>
              <w:fldChar w:fldCharType="separate"/>
            </w:r>
            <w:r>
              <w:rPr>
                <w:noProof/>
                <w:webHidden/>
              </w:rPr>
              <w:t>74</w:t>
            </w:r>
            <w:r>
              <w:rPr>
                <w:noProof/>
                <w:webHidden/>
              </w:rPr>
              <w:fldChar w:fldCharType="end"/>
            </w:r>
          </w:hyperlink>
        </w:p>
        <w:p w14:paraId="20362AAD" w14:textId="69840048" w:rsidR="004370C6" w:rsidRDefault="004370C6">
          <w:pPr>
            <w:pStyle w:val="TOC4"/>
            <w:tabs>
              <w:tab w:val="right" w:leader="dot" w:pos="9350"/>
            </w:tabs>
            <w:rPr>
              <w:noProof/>
              <w:kern w:val="2"/>
              <w:lang w:val="en-AU" w:eastAsia="en-AU"/>
              <w14:ligatures w14:val="standardContextual"/>
            </w:rPr>
          </w:pPr>
          <w:hyperlink w:anchor="_Toc224732244" w:history="1">
            <w:r w:rsidRPr="00B5521D">
              <w:rPr>
                <w:rStyle w:val="Hyperlink"/>
                <w:rFonts w:ascii="Arial" w:hAnsi="Arial" w:cs="Arial"/>
                <w:noProof/>
              </w:rPr>
              <w:t>Action Title: 3.1.2.1 Activate our local economy by working with local trader group and associations</w:t>
            </w:r>
            <w:r>
              <w:rPr>
                <w:noProof/>
                <w:webHidden/>
              </w:rPr>
              <w:tab/>
            </w:r>
            <w:r>
              <w:rPr>
                <w:noProof/>
                <w:webHidden/>
              </w:rPr>
              <w:fldChar w:fldCharType="begin"/>
            </w:r>
            <w:r>
              <w:rPr>
                <w:noProof/>
                <w:webHidden/>
              </w:rPr>
              <w:instrText xml:space="preserve"> PAGEREF _Toc224732244 \h </w:instrText>
            </w:r>
            <w:r>
              <w:rPr>
                <w:noProof/>
                <w:webHidden/>
              </w:rPr>
            </w:r>
            <w:r>
              <w:rPr>
                <w:noProof/>
                <w:webHidden/>
              </w:rPr>
              <w:fldChar w:fldCharType="separate"/>
            </w:r>
            <w:r>
              <w:rPr>
                <w:noProof/>
                <w:webHidden/>
              </w:rPr>
              <w:t>74</w:t>
            </w:r>
            <w:r>
              <w:rPr>
                <w:noProof/>
                <w:webHidden/>
              </w:rPr>
              <w:fldChar w:fldCharType="end"/>
            </w:r>
          </w:hyperlink>
        </w:p>
        <w:p w14:paraId="590FE6E5" w14:textId="468D2689" w:rsidR="004370C6" w:rsidRDefault="004370C6">
          <w:pPr>
            <w:pStyle w:val="TOC4"/>
            <w:tabs>
              <w:tab w:val="right" w:leader="dot" w:pos="9350"/>
            </w:tabs>
            <w:rPr>
              <w:noProof/>
              <w:kern w:val="2"/>
              <w:lang w:val="en-AU" w:eastAsia="en-AU"/>
              <w14:ligatures w14:val="standardContextual"/>
            </w:rPr>
          </w:pPr>
          <w:hyperlink w:anchor="_Toc224732245" w:history="1">
            <w:r w:rsidRPr="00B5521D">
              <w:rPr>
                <w:rStyle w:val="Hyperlink"/>
                <w:rFonts w:ascii="Arial" w:hAnsi="Arial" w:cs="Arial"/>
                <w:noProof/>
              </w:rPr>
              <w:t>Action Title: 3.2.2.1 Implement planning service review outcomes</w:t>
            </w:r>
            <w:r>
              <w:rPr>
                <w:noProof/>
                <w:webHidden/>
              </w:rPr>
              <w:tab/>
            </w:r>
            <w:r>
              <w:rPr>
                <w:noProof/>
                <w:webHidden/>
              </w:rPr>
              <w:fldChar w:fldCharType="begin"/>
            </w:r>
            <w:r>
              <w:rPr>
                <w:noProof/>
                <w:webHidden/>
              </w:rPr>
              <w:instrText xml:space="preserve"> PAGEREF _Toc224732245 \h </w:instrText>
            </w:r>
            <w:r>
              <w:rPr>
                <w:noProof/>
                <w:webHidden/>
              </w:rPr>
            </w:r>
            <w:r>
              <w:rPr>
                <w:noProof/>
                <w:webHidden/>
              </w:rPr>
              <w:fldChar w:fldCharType="separate"/>
            </w:r>
            <w:r>
              <w:rPr>
                <w:noProof/>
                <w:webHidden/>
              </w:rPr>
              <w:t>74</w:t>
            </w:r>
            <w:r>
              <w:rPr>
                <w:noProof/>
                <w:webHidden/>
              </w:rPr>
              <w:fldChar w:fldCharType="end"/>
            </w:r>
          </w:hyperlink>
        </w:p>
        <w:p w14:paraId="5219B3EF" w14:textId="5D913098" w:rsidR="004370C6" w:rsidRDefault="004370C6">
          <w:pPr>
            <w:pStyle w:val="TOC4"/>
            <w:tabs>
              <w:tab w:val="right" w:leader="dot" w:pos="9350"/>
            </w:tabs>
            <w:rPr>
              <w:noProof/>
              <w:kern w:val="2"/>
              <w:lang w:val="en-AU" w:eastAsia="en-AU"/>
              <w14:ligatures w14:val="standardContextual"/>
            </w:rPr>
          </w:pPr>
          <w:hyperlink w:anchor="_Toc224732246" w:history="1">
            <w:r w:rsidRPr="00B5521D">
              <w:rPr>
                <w:rStyle w:val="Hyperlink"/>
                <w:rFonts w:ascii="Arial" w:hAnsi="Arial" w:cs="Arial"/>
                <w:noProof/>
              </w:rPr>
              <w:t>Action Title: 3.2.3.1 New Economic Development Strategy</w:t>
            </w:r>
            <w:r>
              <w:rPr>
                <w:noProof/>
                <w:webHidden/>
              </w:rPr>
              <w:tab/>
            </w:r>
            <w:r>
              <w:rPr>
                <w:noProof/>
                <w:webHidden/>
              </w:rPr>
              <w:fldChar w:fldCharType="begin"/>
            </w:r>
            <w:r>
              <w:rPr>
                <w:noProof/>
                <w:webHidden/>
              </w:rPr>
              <w:instrText xml:space="preserve"> PAGEREF _Toc224732246 \h </w:instrText>
            </w:r>
            <w:r>
              <w:rPr>
                <w:noProof/>
                <w:webHidden/>
              </w:rPr>
            </w:r>
            <w:r>
              <w:rPr>
                <w:noProof/>
                <w:webHidden/>
              </w:rPr>
              <w:fldChar w:fldCharType="separate"/>
            </w:r>
            <w:r>
              <w:rPr>
                <w:noProof/>
                <w:webHidden/>
              </w:rPr>
              <w:t>74</w:t>
            </w:r>
            <w:r>
              <w:rPr>
                <w:noProof/>
                <w:webHidden/>
              </w:rPr>
              <w:fldChar w:fldCharType="end"/>
            </w:r>
          </w:hyperlink>
        </w:p>
        <w:p w14:paraId="3F18C25F" w14:textId="3A40C802" w:rsidR="004370C6" w:rsidRDefault="004370C6">
          <w:pPr>
            <w:pStyle w:val="TOC3"/>
            <w:tabs>
              <w:tab w:val="right" w:leader="dot" w:pos="9350"/>
            </w:tabs>
            <w:rPr>
              <w:noProof/>
              <w:kern w:val="2"/>
              <w:lang w:val="en-AU" w:eastAsia="en-AU"/>
              <w14:ligatures w14:val="standardContextual"/>
            </w:rPr>
          </w:pPr>
          <w:hyperlink w:anchor="_Toc224732247" w:history="1">
            <w:r w:rsidRPr="00B5521D">
              <w:rPr>
                <w:rStyle w:val="Hyperlink"/>
                <w:rFonts w:ascii="Arial" w:hAnsi="Arial" w:cs="Arial"/>
                <w:noProof/>
              </w:rPr>
              <w:t>Running the City</w:t>
            </w:r>
            <w:r>
              <w:rPr>
                <w:noProof/>
                <w:webHidden/>
              </w:rPr>
              <w:tab/>
            </w:r>
            <w:r>
              <w:rPr>
                <w:noProof/>
                <w:webHidden/>
              </w:rPr>
              <w:fldChar w:fldCharType="begin"/>
            </w:r>
            <w:r>
              <w:rPr>
                <w:noProof/>
                <w:webHidden/>
              </w:rPr>
              <w:instrText xml:space="preserve"> PAGEREF _Toc224732247 \h </w:instrText>
            </w:r>
            <w:r>
              <w:rPr>
                <w:noProof/>
                <w:webHidden/>
              </w:rPr>
            </w:r>
            <w:r>
              <w:rPr>
                <w:noProof/>
                <w:webHidden/>
              </w:rPr>
              <w:fldChar w:fldCharType="separate"/>
            </w:r>
            <w:r>
              <w:rPr>
                <w:noProof/>
                <w:webHidden/>
              </w:rPr>
              <w:t>76</w:t>
            </w:r>
            <w:r>
              <w:rPr>
                <w:noProof/>
                <w:webHidden/>
              </w:rPr>
              <w:fldChar w:fldCharType="end"/>
            </w:r>
          </w:hyperlink>
        </w:p>
        <w:p w14:paraId="33E59B97" w14:textId="28E1DB91" w:rsidR="004370C6" w:rsidRDefault="004370C6">
          <w:pPr>
            <w:pStyle w:val="TOC4"/>
            <w:tabs>
              <w:tab w:val="right" w:leader="dot" w:pos="9350"/>
            </w:tabs>
            <w:rPr>
              <w:noProof/>
              <w:kern w:val="2"/>
              <w:lang w:val="en-AU" w:eastAsia="en-AU"/>
              <w14:ligatures w14:val="standardContextual"/>
            </w:rPr>
          </w:pPr>
          <w:hyperlink w:anchor="_Toc224732248" w:history="1">
            <w:r w:rsidRPr="00B5521D">
              <w:rPr>
                <w:rStyle w:val="Hyperlink"/>
                <w:rFonts w:ascii="Arial" w:hAnsi="Arial" w:cs="Arial"/>
                <w:noProof/>
              </w:rPr>
              <w:t>Action Title: 4.1.1.1 Implement recommendations from the Financial Sustainability Strategy</w:t>
            </w:r>
            <w:r>
              <w:rPr>
                <w:noProof/>
                <w:webHidden/>
              </w:rPr>
              <w:tab/>
            </w:r>
            <w:r>
              <w:rPr>
                <w:noProof/>
                <w:webHidden/>
              </w:rPr>
              <w:fldChar w:fldCharType="begin"/>
            </w:r>
            <w:r>
              <w:rPr>
                <w:noProof/>
                <w:webHidden/>
              </w:rPr>
              <w:instrText xml:space="preserve"> PAGEREF _Toc224732248 \h </w:instrText>
            </w:r>
            <w:r>
              <w:rPr>
                <w:noProof/>
                <w:webHidden/>
              </w:rPr>
            </w:r>
            <w:r>
              <w:rPr>
                <w:noProof/>
                <w:webHidden/>
              </w:rPr>
              <w:fldChar w:fldCharType="separate"/>
            </w:r>
            <w:r>
              <w:rPr>
                <w:noProof/>
                <w:webHidden/>
              </w:rPr>
              <w:t>76</w:t>
            </w:r>
            <w:r>
              <w:rPr>
                <w:noProof/>
                <w:webHidden/>
              </w:rPr>
              <w:fldChar w:fldCharType="end"/>
            </w:r>
          </w:hyperlink>
        </w:p>
        <w:p w14:paraId="0A8ECAF9" w14:textId="554D74E4" w:rsidR="004370C6" w:rsidRDefault="004370C6">
          <w:pPr>
            <w:pStyle w:val="TOC4"/>
            <w:tabs>
              <w:tab w:val="right" w:leader="dot" w:pos="9350"/>
            </w:tabs>
            <w:rPr>
              <w:noProof/>
              <w:kern w:val="2"/>
              <w:lang w:val="en-AU" w:eastAsia="en-AU"/>
              <w14:ligatures w14:val="standardContextual"/>
            </w:rPr>
          </w:pPr>
          <w:hyperlink w:anchor="_Toc224732249" w:history="1">
            <w:r w:rsidRPr="00B5521D">
              <w:rPr>
                <w:rStyle w:val="Hyperlink"/>
                <w:rFonts w:ascii="Arial" w:hAnsi="Arial" w:cs="Arial"/>
                <w:noProof/>
              </w:rPr>
              <w:t>Action Title: 4.1.2.1 Local Law Review</w:t>
            </w:r>
            <w:r>
              <w:rPr>
                <w:noProof/>
                <w:webHidden/>
              </w:rPr>
              <w:tab/>
            </w:r>
            <w:r>
              <w:rPr>
                <w:noProof/>
                <w:webHidden/>
              </w:rPr>
              <w:fldChar w:fldCharType="begin"/>
            </w:r>
            <w:r>
              <w:rPr>
                <w:noProof/>
                <w:webHidden/>
              </w:rPr>
              <w:instrText xml:space="preserve"> PAGEREF _Toc224732249 \h </w:instrText>
            </w:r>
            <w:r>
              <w:rPr>
                <w:noProof/>
                <w:webHidden/>
              </w:rPr>
            </w:r>
            <w:r>
              <w:rPr>
                <w:noProof/>
                <w:webHidden/>
              </w:rPr>
              <w:fldChar w:fldCharType="separate"/>
            </w:r>
            <w:r>
              <w:rPr>
                <w:noProof/>
                <w:webHidden/>
              </w:rPr>
              <w:t>76</w:t>
            </w:r>
            <w:r>
              <w:rPr>
                <w:noProof/>
                <w:webHidden/>
              </w:rPr>
              <w:fldChar w:fldCharType="end"/>
            </w:r>
          </w:hyperlink>
        </w:p>
        <w:p w14:paraId="230D6124" w14:textId="2D5A965C" w:rsidR="004370C6" w:rsidRDefault="004370C6">
          <w:pPr>
            <w:pStyle w:val="TOC4"/>
            <w:tabs>
              <w:tab w:val="right" w:leader="dot" w:pos="9350"/>
            </w:tabs>
            <w:rPr>
              <w:noProof/>
              <w:kern w:val="2"/>
              <w:lang w:val="en-AU" w:eastAsia="en-AU"/>
              <w14:ligatures w14:val="standardContextual"/>
            </w:rPr>
          </w:pPr>
          <w:hyperlink w:anchor="_Toc224732250" w:history="1">
            <w:r w:rsidRPr="00B5521D">
              <w:rPr>
                <w:rStyle w:val="Hyperlink"/>
                <w:rFonts w:ascii="Arial" w:hAnsi="Arial" w:cs="Arial"/>
                <w:noProof/>
              </w:rPr>
              <w:t>Action Title: 4.1.3.1 Develop the Benefits Management Framework</w:t>
            </w:r>
            <w:r>
              <w:rPr>
                <w:noProof/>
                <w:webHidden/>
              </w:rPr>
              <w:tab/>
            </w:r>
            <w:r>
              <w:rPr>
                <w:noProof/>
                <w:webHidden/>
              </w:rPr>
              <w:fldChar w:fldCharType="begin"/>
            </w:r>
            <w:r>
              <w:rPr>
                <w:noProof/>
                <w:webHidden/>
              </w:rPr>
              <w:instrText xml:space="preserve"> PAGEREF _Toc224732250 \h </w:instrText>
            </w:r>
            <w:r>
              <w:rPr>
                <w:noProof/>
                <w:webHidden/>
              </w:rPr>
            </w:r>
            <w:r>
              <w:rPr>
                <w:noProof/>
                <w:webHidden/>
              </w:rPr>
              <w:fldChar w:fldCharType="separate"/>
            </w:r>
            <w:r>
              <w:rPr>
                <w:noProof/>
                <w:webHidden/>
              </w:rPr>
              <w:t>76</w:t>
            </w:r>
            <w:r>
              <w:rPr>
                <w:noProof/>
                <w:webHidden/>
              </w:rPr>
              <w:fldChar w:fldCharType="end"/>
            </w:r>
          </w:hyperlink>
        </w:p>
        <w:p w14:paraId="53545BC6" w14:textId="4C44767F" w:rsidR="004370C6" w:rsidRDefault="004370C6">
          <w:pPr>
            <w:pStyle w:val="TOC4"/>
            <w:tabs>
              <w:tab w:val="right" w:leader="dot" w:pos="9350"/>
            </w:tabs>
            <w:rPr>
              <w:noProof/>
              <w:kern w:val="2"/>
              <w:lang w:val="en-AU" w:eastAsia="en-AU"/>
              <w14:ligatures w14:val="standardContextual"/>
            </w:rPr>
          </w:pPr>
          <w:hyperlink w:anchor="_Toc224732251" w:history="1">
            <w:r w:rsidRPr="00B5521D">
              <w:rPr>
                <w:rStyle w:val="Hyperlink"/>
                <w:rFonts w:ascii="Arial" w:hAnsi="Arial" w:cs="Arial"/>
                <w:noProof/>
              </w:rPr>
              <w:t>Action Title: 4.2.1.1 Development of a Waste and Recycling Strategy</w:t>
            </w:r>
            <w:r>
              <w:rPr>
                <w:noProof/>
                <w:webHidden/>
              </w:rPr>
              <w:tab/>
            </w:r>
            <w:r>
              <w:rPr>
                <w:noProof/>
                <w:webHidden/>
              </w:rPr>
              <w:fldChar w:fldCharType="begin"/>
            </w:r>
            <w:r>
              <w:rPr>
                <w:noProof/>
                <w:webHidden/>
              </w:rPr>
              <w:instrText xml:space="preserve"> PAGEREF _Toc224732251 \h </w:instrText>
            </w:r>
            <w:r>
              <w:rPr>
                <w:noProof/>
                <w:webHidden/>
              </w:rPr>
            </w:r>
            <w:r>
              <w:rPr>
                <w:noProof/>
                <w:webHidden/>
              </w:rPr>
              <w:fldChar w:fldCharType="separate"/>
            </w:r>
            <w:r>
              <w:rPr>
                <w:noProof/>
                <w:webHidden/>
              </w:rPr>
              <w:t>76</w:t>
            </w:r>
            <w:r>
              <w:rPr>
                <w:noProof/>
                <w:webHidden/>
              </w:rPr>
              <w:fldChar w:fldCharType="end"/>
            </w:r>
          </w:hyperlink>
        </w:p>
        <w:p w14:paraId="66518F86" w14:textId="2ACECBAE" w:rsidR="004370C6" w:rsidRDefault="004370C6">
          <w:pPr>
            <w:pStyle w:val="TOC4"/>
            <w:tabs>
              <w:tab w:val="right" w:leader="dot" w:pos="9350"/>
            </w:tabs>
            <w:rPr>
              <w:noProof/>
              <w:kern w:val="2"/>
              <w:lang w:val="en-AU" w:eastAsia="en-AU"/>
              <w14:ligatures w14:val="standardContextual"/>
            </w:rPr>
          </w:pPr>
          <w:hyperlink w:anchor="_Toc224732252" w:history="1">
            <w:r w:rsidRPr="00B5521D">
              <w:rPr>
                <w:rStyle w:val="Hyperlink"/>
                <w:rFonts w:ascii="Arial" w:hAnsi="Arial" w:cs="Arial"/>
                <w:noProof/>
              </w:rPr>
              <w:t>Action Title: 4.3.1.1 Implement the Yana Ngargna Policy and increase and strengthen partnerships with Aboriginal Controlled organisations</w:t>
            </w:r>
            <w:r>
              <w:rPr>
                <w:noProof/>
                <w:webHidden/>
              </w:rPr>
              <w:tab/>
            </w:r>
            <w:r>
              <w:rPr>
                <w:noProof/>
                <w:webHidden/>
              </w:rPr>
              <w:fldChar w:fldCharType="begin"/>
            </w:r>
            <w:r>
              <w:rPr>
                <w:noProof/>
                <w:webHidden/>
              </w:rPr>
              <w:instrText xml:space="preserve"> PAGEREF _Toc224732252 \h </w:instrText>
            </w:r>
            <w:r>
              <w:rPr>
                <w:noProof/>
                <w:webHidden/>
              </w:rPr>
            </w:r>
            <w:r>
              <w:rPr>
                <w:noProof/>
                <w:webHidden/>
              </w:rPr>
              <w:fldChar w:fldCharType="separate"/>
            </w:r>
            <w:r>
              <w:rPr>
                <w:noProof/>
                <w:webHidden/>
              </w:rPr>
              <w:t>77</w:t>
            </w:r>
            <w:r>
              <w:rPr>
                <w:noProof/>
                <w:webHidden/>
              </w:rPr>
              <w:fldChar w:fldCharType="end"/>
            </w:r>
          </w:hyperlink>
        </w:p>
        <w:p w14:paraId="61FBE44A" w14:textId="7A195D5C" w:rsidR="004370C6" w:rsidRDefault="004370C6">
          <w:pPr>
            <w:pStyle w:val="TOC4"/>
            <w:tabs>
              <w:tab w:val="right" w:leader="dot" w:pos="9350"/>
            </w:tabs>
            <w:rPr>
              <w:noProof/>
              <w:kern w:val="2"/>
              <w:lang w:val="en-AU" w:eastAsia="en-AU"/>
              <w14:ligatures w14:val="standardContextual"/>
            </w:rPr>
          </w:pPr>
          <w:hyperlink w:anchor="_Toc224732253" w:history="1">
            <w:r w:rsidRPr="00B5521D">
              <w:rPr>
                <w:rStyle w:val="Hyperlink"/>
                <w:rFonts w:ascii="Arial" w:hAnsi="Arial" w:cs="Arial"/>
                <w:noProof/>
              </w:rPr>
              <w:t>Action Title: 4.5.1.1 Commence implementation of an Enterprise Resource Planning technology system</w:t>
            </w:r>
            <w:r>
              <w:rPr>
                <w:noProof/>
                <w:webHidden/>
              </w:rPr>
              <w:tab/>
            </w:r>
            <w:r>
              <w:rPr>
                <w:noProof/>
                <w:webHidden/>
              </w:rPr>
              <w:fldChar w:fldCharType="begin"/>
            </w:r>
            <w:r>
              <w:rPr>
                <w:noProof/>
                <w:webHidden/>
              </w:rPr>
              <w:instrText xml:space="preserve"> PAGEREF _Toc224732253 \h </w:instrText>
            </w:r>
            <w:r>
              <w:rPr>
                <w:noProof/>
                <w:webHidden/>
              </w:rPr>
            </w:r>
            <w:r>
              <w:rPr>
                <w:noProof/>
                <w:webHidden/>
              </w:rPr>
              <w:fldChar w:fldCharType="separate"/>
            </w:r>
            <w:r>
              <w:rPr>
                <w:noProof/>
                <w:webHidden/>
              </w:rPr>
              <w:t>77</w:t>
            </w:r>
            <w:r>
              <w:rPr>
                <w:noProof/>
                <w:webHidden/>
              </w:rPr>
              <w:fldChar w:fldCharType="end"/>
            </w:r>
          </w:hyperlink>
        </w:p>
        <w:p w14:paraId="1771D835" w14:textId="68939282" w:rsidR="004370C6" w:rsidRDefault="004370C6">
          <w:pPr>
            <w:pStyle w:val="TOC4"/>
            <w:tabs>
              <w:tab w:val="right" w:leader="dot" w:pos="9350"/>
            </w:tabs>
            <w:rPr>
              <w:noProof/>
              <w:kern w:val="2"/>
              <w:lang w:val="en-AU" w:eastAsia="en-AU"/>
              <w14:ligatures w14:val="standardContextual"/>
            </w:rPr>
          </w:pPr>
          <w:hyperlink w:anchor="_Toc224732254" w:history="1">
            <w:r w:rsidRPr="00B5521D">
              <w:rPr>
                <w:rStyle w:val="Hyperlink"/>
                <w:rFonts w:ascii="Arial" w:hAnsi="Arial" w:cs="Arial"/>
                <w:noProof/>
              </w:rPr>
              <w:t>Action Title: 4.5.1.2 Improve Customer Experience</w:t>
            </w:r>
            <w:r>
              <w:rPr>
                <w:noProof/>
                <w:webHidden/>
              </w:rPr>
              <w:tab/>
            </w:r>
            <w:r>
              <w:rPr>
                <w:noProof/>
                <w:webHidden/>
              </w:rPr>
              <w:fldChar w:fldCharType="begin"/>
            </w:r>
            <w:r>
              <w:rPr>
                <w:noProof/>
                <w:webHidden/>
              </w:rPr>
              <w:instrText xml:space="preserve"> PAGEREF _Toc224732254 \h </w:instrText>
            </w:r>
            <w:r>
              <w:rPr>
                <w:noProof/>
                <w:webHidden/>
              </w:rPr>
            </w:r>
            <w:r>
              <w:rPr>
                <w:noProof/>
                <w:webHidden/>
              </w:rPr>
              <w:fldChar w:fldCharType="separate"/>
            </w:r>
            <w:r>
              <w:rPr>
                <w:noProof/>
                <w:webHidden/>
              </w:rPr>
              <w:t>78</w:t>
            </w:r>
            <w:r>
              <w:rPr>
                <w:noProof/>
                <w:webHidden/>
              </w:rPr>
              <w:fldChar w:fldCharType="end"/>
            </w:r>
          </w:hyperlink>
        </w:p>
        <w:p w14:paraId="59011185" w14:textId="34C6CC3B" w:rsidR="0674D22F" w:rsidRPr="004370C6" w:rsidRDefault="0674D22F" w:rsidP="0674D22F">
          <w:pPr>
            <w:pStyle w:val="TOC2"/>
            <w:tabs>
              <w:tab w:val="right" w:leader="dot" w:pos="9360"/>
            </w:tabs>
            <w:rPr>
              <w:rStyle w:val="Hyperlink"/>
              <w:rFonts w:ascii="Arial" w:hAnsi="Arial" w:cs="Arial"/>
              <w:color w:val="auto"/>
            </w:rPr>
          </w:pPr>
          <w:r w:rsidRPr="004370C6">
            <w:rPr>
              <w:rFonts w:ascii="Arial" w:hAnsi="Arial" w:cs="Arial"/>
            </w:rPr>
            <w:fldChar w:fldCharType="end"/>
          </w:r>
        </w:p>
      </w:sdtContent>
    </w:sdt>
    <w:p w14:paraId="59992BB1" w14:textId="77777777" w:rsidR="004C064F" w:rsidRPr="004370C6" w:rsidRDefault="004C064F">
      <w:pPr>
        <w:rPr>
          <w:rFonts w:ascii="Arial" w:eastAsiaTheme="majorEastAsia" w:hAnsi="Arial" w:cs="Arial"/>
          <w:sz w:val="32"/>
          <w:szCs w:val="32"/>
        </w:rPr>
      </w:pPr>
      <w:r w:rsidRPr="004370C6">
        <w:rPr>
          <w:rFonts w:ascii="Arial" w:hAnsi="Arial" w:cs="Arial"/>
        </w:rPr>
        <w:br w:type="page"/>
      </w:r>
    </w:p>
    <w:p w14:paraId="61BB6377" w14:textId="48F0D145" w:rsidR="5A0B852B" w:rsidRPr="004370C6" w:rsidRDefault="05AA6D9E" w:rsidP="131C9040">
      <w:pPr>
        <w:pStyle w:val="Heading2"/>
        <w:rPr>
          <w:rFonts w:ascii="Arial" w:hAnsi="Arial" w:cs="Arial"/>
          <w:color w:val="auto"/>
        </w:rPr>
      </w:pPr>
      <w:bookmarkStart w:id="1" w:name="_Toc224732131"/>
      <w:r w:rsidRPr="004370C6">
        <w:rPr>
          <w:rFonts w:ascii="Arial" w:hAnsi="Arial" w:cs="Arial"/>
          <w:color w:val="auto"/>
        </w:rPr>
        <w:lastRenderedPageBreak/>
        <w:t>CEO Message</w:t>
      </w:r>
      <w:bookmarkEnd w:id="1"/>
      <w:r w:rsidRPr="004370C6">
        <w:rPr>
          <w:rFonts w:ascii="Arial" w:hAnsi="Arial" w:cs="Arial"/>
          <w:color w:val="auto"/>
        </w:rPr>
        <w:t xml:space="preserve"> </w:t>
      </w:r>
    </w:p>
    <w:p w14:paraId="01B26D2A" w14:textId="4656EADA" w:rsidR="0046396B" w:rsidRPr="004370C6" w:rsidRDefault="001572B4" w:rsidP="001572B4">
      <w:pPr>
        <w:spacing w:line="276" w:lineRule="auto"/>
        <w:rPr>
          <w:rFonts w:ascii="Arial" w:eastAsia="Aptos" w:hAnsi="Arial" w:cs="Arial"/>
          <w:lang w:val="en-AU"/>
        </w:rPr>
      </w:pPr>
      <w:r w:rsidRPr="004370C6">
        <w:rPr>
          <w:rFonts w:ascii="Arial" w:eastAsia="Aptos" w:hAnsi="Arial" w:cs="Arial"/>
          <w:lang w:val="en-AU"/>
        </w:rPr>
        <w:t xml:space="preserve">I am pleased to share our </w:t>
      </w:r>
      <w:r w:rsidR="0071162B" w:rsidRPr="004370C6">
        <w:rPr>
          <w:rFonts w:ascii="Arial" w:eastAsia="Aptos" w:hAnsi="Arial" w:cs="Arial"/>
          <w:lang w:val="en-AU"/>
        </w:rPr>
        <w:t>q</w:t>
      </w:r>
      <w:r w:rsidRPr="004370C6">
        <w:rPr>
          <w:rFonts w:ascii="Arial" w:eastAsia="Aptos" w:hAnsi="Arial" w:cs="Arial"/>
          <w:lang w:val="en-AU"/>
        </w:rPr>
        <w:t xml:space="preserve">uarter 2 update on how Council is delivering on the 2025–2029 Council Plan for </w:t>
      </w:r>
      <w:r w:rsidR="00FD5F54" w:rsidRPr="004370C6">
        <w:rPr>
          <w:rFonts w:ascii="Arial" w:eastAsia="Aptos" w:hAnsi="Arial" w:cs="Arial"/>
          <w:lang w:val="en-AU"/>
        </w:rPr>
        <w:t>our</w:t>
      </w:r>
      <w:r w:rsidRPr="004370C6">
        <w:rPr>
          <w:rFonts w:ascii="Arial" w:eastAsia="Aptos" w:hAnsi="Arial" w:cs="Arial"/>
          <w:lang w:val="en-AU"/>
        </w:rPr>
        <w:t xml:space="preserve"> community. This report outlines the work underway across our city to support inclusive neighbourhoods, strong local services and places where people can live, visit and work with pride. </w:t>
      </w:r>
    </w:p>
    <w:p w14:paraId="20517A71" w14:textId="7CB688FE" w:rsidR="001572B4" w:rsidRPr="004370C6" w:rsidRDefault="001572B4" w:rsidP="001572B4">
      <w:pPr>
        <w:spacing w:line="276" w:lineRule="auto"/>
        <w:rPr>
          <w:rFonts w:ascii="Arial" w:eastAsia="Aptos" w:hAnsi="Arial" w:cs="Arial"/>
          <w:lang w:val="en-AU"/>
        </w:rPr>
      </w:pPr>
      <w:r w:rsidRPr="004370C6">
        <w:rPr>
          <w:rFonts w:ascii="Arial" w:eastAsia="Aptos" w:hAnsi="Arial" w:cs="Arial"/>
          <w:lang w:val="en-AU"/>
        </w:rPr>
        <w:t>By the end of December 2025, performance against the 2025/26 Council Plan Action Plan reached 92%, exceeding our target of 75% and demonstrating strong progress on the priorities that matter to our community.</w:t>
      </w:r>
    </w:p>
    <w:p w14:paraId="6A1EF988" w14:textId="0E9B9493" w:rsidR="00F839D2" w:rsidRPr="004370C6" w:rsidRDefault="00F839D2" w:rsidP="00F839D2">
      <w:pPr>
        <w:spacing w:line="276" w:lineRule="auto"/>
        <w:rPr>
          <w:rFonts w:ascii="Arial" w:hAnsi="Arial" w:cs="Arial"/>
        </w:rPr>
      </w:pPr>
      <w:r w:rsidRPr="004370C6">
        <w:rPr>
          <w:rFonts w:ascii="Arial" w:eastAsia="Aptos" w:hAnsi="Arial" w:cs="Arial"/>
        </w:rPr>
        <w:t>Council continued to improve local infrastructure while balancing competing demands for space, access and amenity. Capital works progressed strongly during quarter 2 with road renewal and targeted upgrades such as Citizens Park in Richmond. Council has secured a new open space acquisition at 364–368 Wellington Street, Collingwood, with further opportunities being explored to convert road space into valued community open space.</w:t>
      </w:r>
    </w:p>
    <w:p w14:paraId="57ECA1FA" w14:textId="2DDC79A9" w:rsidR="6DD71AFA" w:rsidRPr="004370C6" w:rsidRDefault="6DD71AFA" w:rsidP="6DAD6152">
      <w:pPr>
        <w:spacing w:line="276" w:lineRule="auto"/>
        <w:rPr>
          <w:rFonts w:ascii="Arial" w:hAnsi="Arial" w:cs="Arial"/>
        </w:rPr>
      </w:pPr>
      <w:r w:rsidRPr="004370C6">
        <w:rPr>
          <w:rFonts w:ascii="Arial" w:eastAsia="Aptos" w:hAnsi="Arial" w:cs="Arial"/>
        </w:rPr>
        <w:t>Our annual Community Awards are one way Council recognises th</w:t>
      </w:r>
      <w:r w:rsidR="110AF0CE" w:rsidRPr="004370C6">
        <w:rPr>
          <w:rFonts w:ascii="Arial" w:eastAsia="Aptos" w:hAnsi="Arial" w:cs="Arial"/>
        </w:rPr>
        <w:t>e contribution our diverse community makes to Yarra</w:t>
      </w:r>
      <w:r w:rsidRPr="004370C6">
        <w:rPr>
          <w:rFonts w:ascii="Arial" w:eastAsia="Aptos" w:hAnsi="Arial" w:cs="Arial"/>
        </w:rPr>
        <w:t xml:space="preserve">. This year </w:t>
      </w:r>
      <w:r w:rsidR="3B11650C" w:rsidRPr="004370C6">
        <w:rPr>
          <w:rFonts w:ascii="Arial" w:eastAsia="Aptos" w:hAnsi="Arial" w:cs="Arial"/>
        </w:rPr>
        <w:t>Council</w:t>
      </w:r>
      <w:r w:rsidRPr="004370C6">
        <w:rPr>
          <w:rFonts w:ascii="Arial" w:eastAsia="Aptos" w:hAnsi="Arial" w:cs="Arial"/>
        </w:rPr>
        <w:t xml:space="preserve"> received </w:t>
      </w:r>
      <w:r w:rsidR="00164EA9" w:rsidRPr="004370C6">
        <w:rPr>
          <w:rFonts w:ascii="Arial" w:eastAsia="Aptos" w:hAnsi="Arial" w:cs="Arial"/>
        </w:rPr>
        <w:t xml:space="preserve">the highest number of nominations received to date with </w:t>
      </w:r>
      <w:r w:rsidRPr="004370C6">
        <w:rPr>
          <w:rFonts w:ascii="Arial" w:eastAsia="Aptos" w:hAnsi="Arial" w:cs="Arial"/>
        </w:rPr>
        <w:t>83 nominations</w:t>
      </w:r>
      <w:r w:rsidR="005B45FC" w:rsidRPr="004370C6">
        <w:rPr>
          <w:rFonts w:ascii="Arial" w:eastAsia="Aptos" w:hAnsi="Arial" w:cs="Arial"/>
        </w:rPr>
        <w:t xml:space="preserve">, </w:t>
      </w:r>
      <w:r w:rsidRPr="004370C6">
        <w:rPr>
          <w:rFonts w:ascii="Arial" w:eastAsia="Aptos" w:hAnsi="Arial" w:cs="Arial"/>
        </w:rPr>
        <w:t xml:space="preserve">reflecting the care and pride across our municipality. </w:t>
      </w:r>
    </w:p>
    <w:p w14:paraId="3019605C" w14:textId="149872DB" w:rsidR="6DD71AFA" w:rsidRPr="004370C6" w:rsidRDefault="6DD71AFA" w:rsidP="6DAD6152">
      <w:pPr>
        <w:spacing w:line="276" w:lineRule="auto"/>
        <w:rPr>
          <w:rFonts w:ascii="Arial" w:hAnsi="Arial" w:cs="Arial"/>
        </w:rPr>
      </w:pPr>
      <w:r w:rsidRPr="004370C6">
        <w:rPr>
          <w:rFonts w:ascii="Arial" w:eastAsia="Aptos" w:hAnsi="Arial" w:cs="Arial"/>
        </w:rPr>
        <w:t>This quarter highlights strong outcomes in Council services for children and families. Keele Street Children’s Centre and the newly opened Yallabirrang Kindergarten</w:t>
      </w:r>
      <w:r w:rsidR="00C53565" w:rsidRPr="004370C6">
        <w:rPr>
          <w:rFonts w:ascii="Arial" w:eastAsia="Aptos" w:hAnsi="Arial" w:cs="Arial"/>
        </w:rPr>
        <w:t xml:space="preserve"> </w:t>
      </w:r>
      <w:r w:rsidRPr="004370C6">
        <w:rPr>
          <w:rFonts w:ascii="Arial" w:eastAsia="Aptos" w:hAnsi="Arial" w:cs="Arial"/>
        </w:rPr>
        <w:t>were assessed as Exceeding National Quality Standards across all seven quality areas. In Fitzroy, Connie Benn Early Learning Centre received a Victorian Early Years Award for promoting children’s health and wellbeing</w:t>
      </w:r>
      <w:r w:rsidR="348A36BC" w:rsidRPr="004370C6">
        <w:rPr>
          <w:rFonts w:ascii="Arial" w:eastAsia="Aptos" w:hAnsi="Arial" w:cs="Arial"/>
        </w:rPr>
        <w:t>.</w:t>
      </w:r>
    </w:p>
    <w:p w14:paraId="69628814" w14:textId="6E3F8F1F" w:rsidR="6DD71AFA" w:rsidRPr="004370C6" w:rsidRDefault="6DD71AFA" w:rsidP="6DAD6152">
      <w:pPr>
        <w:spacing w:line="276" w:lineRule="auto"/>
        <w:rPr>
          <w:rFonts w:ascii="Arial" w:hAnsi="Arial" w:cs="Arial"/>
        </w:rPr>
      </w:pPr>
      <w:r w:rsidRPr="004370C6">
        <w:rPr>
          <w:rFonts w:ascii="Arial" w:eastAsia="Aptos" w:hAnsi="Arial" w:cs="Arial"/>
        </w:rPr>
        <w:t xml:space="preserve">Libraries continued to be trusted places of learning, connection and inclusion. Richmond Library’s screening of the 1984 documentary </w:t>
      </w:r>
      <w:r w:rsidRPr="004370C6">
        <w:rPr>
          <w:rFonts w:ascii="Arial" w:eastAsia="Aptos" w:hAnsi="Arial" w:cs="Arial"/>
          <w:i/>
          <w:iCs/>
        </w:rPr>
        <w:t>Đông gặp Tây (East Meets West)</w:t>
      </w:r>
      <w:r w:rsidRPr="004370C6">
        <w:rPr>
          <w:rFonts w:ascii="Arial" w:eastAsia="Aptos" w:hAnsi="Arial" w:cs="Arial"/>
        </w:rPr>
        <w:t>, marking 50 years of Vietnamese migration to Yarra, created space for reflection and story-sharing.  Programs like Bird Count for Beginners also showed how libraries can foster wellbeing through simple ways to learn and connect with nature.</w:t>
      </w:r>
    </w:p>
    <w:p w14:paraId="0A789ECE" w14:textId="42F71C2B" w:rsidR="6DD71AFA" w:rsidRPr="004370C6" w:rsidRDefault="6DD71AFA" w:rsidP="6DAD6152">
      <w:pPr>
        <w:spacing w:line="276" w:lineRule="auto"/>
        <w:rPr>
          <w:rFonts w:ascii="Arial" w:hAnsi="Arial" w:cs="Arial"/>
        </w:rPr>
      </w:pPr>
      <w:r w:rsidRPr="004370C6">
        <w:rPr>
          <w:rFonts w:ascii="Arial" w:eastAsia="Aptos" w:hAnsi="Arial" w:cs="Arial"/>
        </w:rPr>
        <w:t>Yarra’s climate action progressed significantly. Through the Community Charge Neighbourhood Batteries project</w:t>
      </w:r>
      <w:r w:rsidR="00541283" w:rsidRPr="004370C6">
        <w:rPr>
          <w:rFonts w:ascii="Arial" w:eastAsia="Aptos" w:hAnsi="Arial" w:cs="Arial"/>
        </w:rPr>
        <w:t xml:space="preserve"> </w:t>
      </w:r>
      <w:r w:rsidRPr="004370C6">
        <w:rPr>
          <w:rFonts w:ascii="Arial" w:eastAsia="Aptos" w:hAnsi="Arial" w:cs="Arial"/>
        </w:rPr>
        <w:t>Council installed batteries across four community facilities</w:t>
      </w:r>
      <w:r w:rsidR="00541283" w:rsidRPr="004370C6">
        <w:rPr>
          <w:rFonts w:ascii="Arial" w:eastAsia="Aptos" w:hAnsi="Arial" w:cs="Arial"/>
        </w:rPr>
        <w:t xml:space="preserve">. </w:t>
      </w:r>
      <w:r w:rsidRPr="004370C6">
        <w:rPr>
          <w:rFonts w:ascii="Arial" w:eastAsia="Aptos" w:hAnsi="Arial" w:cs="Arial"/>
        </w:rPr>
        <w:t>Yarra Home Energy Upgrades has supported concession card holders to improve comfort and safety during extreme temperatures, and Cool Spaces has activated libraries and leisure centres as refuges during severe heat</w:t>
      </w:r>
      <w:r w:rsidR="00C909A1" w:rsidRPr="004370C6">
        <w:rPr>
          <w:rFonts w:ascii="Arial" w:eastAsia="Aptos" w:hAnsi="Arial" w:cs="Arial"/>
        </w:rPr>
        <w:t xml:space="preserve"> - these </w:t>
      </w:r>
      <w:r w:rsidRPr="004370C6">
        <w:rPr>
          <w:rFonts w:ascii="Arial" w:eastAsia="Aptos" w:hAnsi="Arial" w:cs="Arial"/>
        </w:rPr>
        <w:t>practical responses strengthen resilience and reduce emissions.</w:t>
      </w:r>
    </w:p>
    <w:p w14:paraId="3E06E096" w14:textId="19685EF5" w:rsidR="6DD71AFA" w:rsidRPr="004370C6" w:rsidRDefault="6DD71AFA" w:rsidP="6DAD6152">
      <w:pPr>
        <w:spacing w:line="276" w:lineRule="auto"/>
        <w:rPr>
          <w:rFonts w:ascii="Arial" w:hAnsi="Arial" w:cs="Arial"/>
        </w:rPr>
      </w:pPr>
      <w:r w:rsidRPr="004370C6">
        <w:rPr>
          <w:rFonts w:ascii="Arial" w:eastAsia="Aptos" w:hAnsi="Arial" w:cs="Arial"/>
        </w:rPr>
        <w:t xml:space="preserve">Good outcomes also rely on good governance and disciplined delivery. This quarter we strengthened advisory committees to ensure community voices inform decision-making </w:t>
      </w:r>
      <w:r w:rsidRPr="004370C6">
        <w:rPr>
          <w:rFonts w:ascii="Arial" w:eastAsia="Aptos" w:hAnsi="Arial" w:cs="Arial"/>
        </w:rPr>
        <w:lastRenderedPageBreak/>
        <w:t xml:space="preserve">and maintained a strong focus on implementation. </w:t>
      </w:r>
      <w:r w:rsidR="00C662C2" w:rsidRPr="004370C6">
        <w:rPr>
          <w:rFonts w:ascii="Arial" w:eastAsia="Aptos" w:hAnsi="Arial" w:cs="Arial"/>
        </w:rPr>
        <w:t xml:space="preserve">We also progressed </w:t>
      </w:r>
      <w:r w:rsidR="007F6652" w:rsidRPr="004370C6">
        <w:rPr>
          <w:rFonts w:ascii="Arial" w:eastAsia="Aptos" w:hAnsi="Arial" w:cs="Arial"/>
        </w:rPr>
        <w:t xml:space="preserve">our </w:t>
      </w:r>
      <w:r w:rsidR="00C662C2" w:rsidRPr="004370C6">
        <w:rPr>
          <w:rFonts w:ascii="Arial" w:eastAsia="Aptos" w:hAnsi="Arial" w:cs="Arial"/>
        </w:rPr>
        <w:t>Advocacy Roadmap, including coordinated action to protect essential local health services and ongoing engagement with State Government reforms affecting planning and transport.</w:t>
      </w:r>
    </w:p>
    <w:p w14:paraId="4D2EEB8E" w14:textId="0F582D83" w:rsidR="6DD71AFA" w:rsidRPr="004370C6" w:rsidRDefault="6DD71AFA" w:rsidP="6DAD6152">
      <w:pPr>
        <w:spacing w:line="276" w:lineRule="auto"/>
        <w:rPr>
          <w:rFonts w:ascii="Arial" w:hAnsi="Arial" w:cs="Arial"/>
        </w:rPr>
      </w:pPr>
      <w:r w:rsidRPr="004370C6">
        <w:rPr>
          <w:rFonts w:ascii="Arial" w:eastAsia="Aptos" w:hAnsi="Arial" w:cs="Arial"/>
        </w:rPr>
        <w:t xml:space="preserve">To close, I acknowledge Council staff across all service areas for their professionalism and dedication, and I thank community members, volunteers, partner organisations and local businesses for the work you do every day to make Yarra a fairer, more connected and more vibrant city. </w:t>
      </w:r>
    </w:p>
    <w:p w14:paraId="5AF0533D" w14:textId="434A846C" w:rsidR="6DAD6152" w:rsidRPr="004370C6" w:rsidRDefault="6DD71AFA" w:rsidP="00C70348">
      <w:pPr>
        <w:spacing w:line="276" w:lineRule="auto"/>
        <w:rPr>
          <w:rFonts w:ascii="Arial" w:eastAsia="Aptos" w:hAnsi="Arial" w:cs="Arial"/>
        </w:rPr>
      </w:pPr>
      <w:r w:rsidRPr="004370C6">
        <w:rPr>
          <w:rFonts w:ascii="Arial" w:eastAsia="Aptos" w:hAnsi="Arial" w:cs="Arial"/>
        </w:rPr>
        <w:t>As we move into 2026, we will continue to focus on delivering services that matter, investing in infrastructure, and advocating for the support we need to grow in a way that maintains and enhances everything that makes Yarra great.</w:t>
      </w:r>
    </w:p>
    <w:p w14:paraId="1CC89249" w14:textId="1D351464" w:rsidR="00953619" w:rsidRPr="004370C6" w:rsidRDefault="00953619" w:rsidP="00C70348">
      <w:pPr>
        <w:spacing w:line="276" w:lineRule="auto"/>
        <w:rPr>
          <w:rFonts w:ascii="Arial" w:eastAsia="Aptos" w:hAnsi="Arial" w:cs="Arial"/>
        </w:rPr>
      </w:pPr>
      <w:r w:rsidRPr="004370C6">
        <w:rPr>
          <w:rFonts w:ascii="Arial" w:eastAsia="Aptos" w:hAnsi="Arial" w:cs="Arial"/>
        </w:rPr>
        <w:t>Regards</w:t>
      </w:r>
    </w:p>
    <w:p w14:paraId="66DF8B57" w14:textId="17E73AD4" w:rsidR="00F4153F" w:rsidRPr="004370C6" w:rsidRDefault="00F4153F" w:rsidP="00A019F6">
      <w:pPr>
        <w:spacing w:after="0" w:line="276" w:lineRule="auto"/>
        <w:rPr>
          <w:rFonts w:ascii="Arial" w:eastAsia="Aptos" w:hAnsi="Arial" w:cs="Arial"/>
        </w:rPr>
      </w:pPr>
      <w:r w:rsidRPr="004370C6">
        <w:rPr>
          <w:rFonts w:ascii="Arial" w:eastAsia="Aptos" w:hAnsi="Arial" w:cs="Arial"/>
        </w:rPr>
        <w:t>Sue Wilkinson</w:t>
      </w:r>
      <w:r w:rsidR="00653C0E" w:rsidRPr="004370C6">
        <w:rPr>
          <w:rFonts w:ascii="Arial" w:eastAsia="Aptos" w:hAnsi="Arial" w:cs="Arial"/>
        </w:rPr>
        <w:t>,</w:t>
      </w:r>
    </w:p>
    <w:p w14:paraId="59FC32A7" w14:textId="74014883" w:rsidR="00653C0E" w:rsidRPr="004370C6" w:rsidRDefault="00653C0E" w:rsidP="00A019F6">
      <w:pPr>
        <w:spacing w:after="0" w:line="276" w:lineRule="auto"/>
        <w:rPr>
          <w:rFonts w:ascii="Arial" w:hAnsi="Arial" w:cs="Arial"/>
        </w:rPr>
      </w:pPr>
      <w:r w:rsidRPr="004370C6">
        <w:rPr>
          <w:rFonts w:ascii="Arial" w:eastAsia="Aptos" w:hAnsi="Arial" w:cs="Arial"/>
        </w:rPr>
        <w:t xml:space="preserve">Chief Executive Officer, Yarra City Council </w:t>
      </w:r>
    </w:p>
    <w:p w14:paraId="71C8AE96" w14:textId="6577A044" w:rsidR="000F6A20" w:rsidRPr="004370C6" w:rsidRDefault="000F6A20">
      <w:pPr>
        <w:rPr>
          <w:rFonts w:ascii="Arial" w:hAnsi="Arial" w:cs="Arial"/>
        </w:rPr>
      </w:pPr>
      <w:r w:rsidRPr="004370C6">
        <w:rPr>
          <w:rFonts w:ascii="Arial" w:hAnsi="Arial" w:cs="Arial"/>
        </w:rPr>
        <w:br w:type="page"/>
      </w:r>
    </w:p>
    <w:p w14:paraId="0F2D3925" w14:textId="2A42539E" w:rsidR="5A0B852B" w:rsidRPr="004370C6" w:rsidRDefault="5A0B852B" w:rsidP="0674D22F">
      <w:pPr>
        <w:pStyle w:val="Heading1"/>
        <w:rPr>
          <w:rFonts w:ascii="Arial" w:hAnsi="Arial" w:cs="Arial"/>
          <w:color w:val="auto"/>
        </w:rPr>
      </w:pPr>
      <w:bookmarkStart w:id="2" w:name="_Toc224732132"/>
      <w:r w:rsidRPr="004370C6">
        <w:rPr>
          <w:rFonts w:ascii="Arial" w:hAnsi="Arial" w:cs="Arial"/>
          <w:color w:val="auto"/>
        </w:rPr>
        <w:lastRenderedPageBreak/>
        <w:t xml:space="preserve">Quarter 2 </w:t>
      </w:r>
      <w:r w:rsidR="0039573A" w:rsidRPr="004370C6">
        <w:rPr>
          <w:rFonts w:ascii="Arial" w:hAnsi="Arial" w:cs="Arial"/>
          <w:color w:val="auto"/>
        </w:rPr>
        <w:t>R</w:t>
      </w:r>
      <w:r w:rsidRPr="004370C6">
        <w:rPr>
          <w:rFonts w:ascii="Arial" w:hAnsi="Arial" w:cs="Arial"/>
          <w:color w:val="auto"/>
        </w:rPr>
        <w:t>eport</w:t>
      </w:r>
      <w:bookmarkEnd w:id="2"/>
      <w:r w:rsidRPr="004370C6">
        <w:rPr>
          <w:rFonts w:ascii="Arial" w:hAnsi="Arial" w:cs="Arial"/>
          <w:color w:val="auto"/>
        </w:rPr>
        <w:t xml:space="preserve">  </w:t>
      </w:r>
    </w:p>
    <w:p w14:paraId="2B66D760" w14:textId="50A02B4F" w:rsidR="131C9040" w:rsidRPr="004370C6" w:rsidRDefault="05AA6D9E" w:rsidP="1CDEE14B">
      <w:pPr>
        <w:pStyle w:val="Heading2"/>
        <w:rPr>
          <w:rFonts w:ascii="Arial" w:hAnsi="Arial" w:cs="Arial"/>
          <w:color w:val="auto"/>
        </w:rPr>
      </w:pPr>
      <w:bookmarkStart w:id="3" w:name="_Toc224732133"/>
      <w:r w:rsidRPr="004370C6">
        <w:rPr>
          <w:rFonts w:ascii="Arial" w:hAnsi="Arial" w:cs="Arial"/>
          <w:color w:val="auto"/>
        </w:rPr>
        <w:t>Strategic objective 1: Living in the City</w:t>
      </w:r>
      <w:bookmarkEnd w:id="3"/>
      <w:r w:rsidRPr="004370C6">
        <w:rPr>
          <w:rFonts w:ascii="Arial" w:hAnsi="Arial" w:cs="Arial"/>
          <w:color w:val="auto"/>
        </w:rPr>
        <w:t xml:space="preserve">  </w:t>
      </w:r>
    </w:p>
    <w:p w14:paraId="428A0049" w14:textId="25FBD6F0" w:rsidR="131C9040" w:rsidRPr="004370C6" w:rsidRDefault="3D083C0E" w:rsidP="1CDEE14B">
      <w:pPr>
        <w:pStyle w:val="Heading3"/>
        <w:rPr>
          <w:rFonts w:ascii="Arial" w:hAnsi="Arial" w:cs="Arial"/>
          <w:color w:val="auto"/>
        </w:rPr>
      </w:pPr>
      <w:bookmarkStart w:id="4" w:name="_Toc224732134"/>
      <w:r w:rsidRPr="004370C6">
        <w:rPr>
          <w:rFonts w:ascii="Arial" w:hAnsi="Arial" w:cs="Arial"/>
          <w:color w:val="auto"/>
        </w:rPr>
        <w:t>Community Awards</w:t>
      </w:r>
      <w:bookmarkEnd w:id="4"/>
      <w:r w:rsidRPr="004370C6">
        <w:rPr>
          <w:rFonts w:ascii="Arial" w:hAnsi="Arial" w:cs="Arial"/>
          <w:color w:val="auto"/>
        </w:rPr>
        <w:t xml:space="preserve"> </w:t>
      </w:r>
    </w:p>
    <w:p w14:paraId="07E3510A" w14:textId="76DCFE65" w:rsidR="131C9040" w:rsidRPr="004370C6" w:rsidRDefault="3D083C0E" w:rsidP="00B7513D">
      <w:pPr>
        <w:rPr>
          <w:rFonts w:ascii="Arial" w:hAnsi="Arial" w:cs="Arial"/>
        </w:rPr>
      </w:pPr>
      <w:r w:rsidRPr="004370C6">
        <w:rPr>
          <w:rFonts w:ascii="Arial" w:hAnsi="Arial" w:cs="Arial"/>
        </w:rPr>
        <w:t xml:space="preserve">Yarra's Community Awards are held every year to recognise the outstanding contributions of individuals and local community groups to life in the City of Yarra.  </w:t>
      </w:r>
    </w:p>
    <w:p w14:paraId="26172C44" w14:textId="3805EAA6" w:rsidR="131C9040" w:rsidRPr="004370C6" w:rsidRDefault="3D083C0E" w:rsidP="00B7513D">
      <w:pPr>
        <w:rPr>
          <w:rFonts w:ascii="Arial" w:hAnsi="Arial" w:cs="Arial"/>
        </w:rPr>
      </w:pPr>
      <w:r w:rsidRPr="004370C6">
        <w:rPr>
          <w:rFonts w:ascii="Arial" w:hAnsi="Arial" w:cs="Arial"/>
        </w:rPr>
        <w:t xml:space="preserve">This initiative aligns with the Council Plan's community-strengthening (social equity and health) focus, as well as Council's Volunteer Policy, which acknowledges and celebrates volunteering in our community. </w:t>
      </w:r>
    </w:p>
    <w:p w14:paraId="33885CE2" w14:textId="54C4C3DD" w:rsidR="131C9040" w:rsidRPr="004370C6" w:rsidRDefault="3D083C0E" w:rsidP="00B7513D">
      <w:pPr>
        <w:rPr>
          <w:rFonts w:ascii="Arial" w:hAnsi="Arial" w:cs="Arial"/>
        </w:rPr>
      </w:pPr>
      <w:r w:rsidRPr="004370C6">
        <w:rPr>
          <w:rFonts w:ascii="Arial" w:hAnsi="Arial" w:cs="Arial"/>
        </w:rPr>
        <w:t xml:space="preserve">A monetary prize of $500 is awarded to each winner of Citizen of the Year, Young Citizen of the Year and Community Initiative of the Year. A monetary prize of $250 is awarded to the winners in each remaining category. </w:t>
      </w:r>
    </w:p>
    <w:p w14:paraId="3BD05ECF" w14:textId="1AA3B1BA" w:rsidR="131C9040" w:rsidRPr="004370C6" w:rsidRDefault="3D083C0E" w:rsidP="00B7513D">
      <w:pPr>
        <w:rPr>
          <w:rFonts w:ascii="Arial" w:hAnsi="Arial" w:cs="Arial"/>
        </w:rPr>
      </w:pPr>
      <w:r w:rsidRPr="004370C6">
        <w:rPr>
          <w:rFonts w:ascii="Arial" w:hAnsi="Arial" w:cs="Arial"/>
        </w:rPr>
        <w:t xml:space="preserve">We were thrilled to receive 83 nominations this year, the highest number of submissions to date. </w:t>
      </w:r>
    </w:p>
    <w:p w14:paraId="61D80383" w14:textId="026D21C7" w:rsidR="131C9040" w:rsidRPr="004370C6" w:rsidRDefault="3D083C0E" w:rsidP="00B7513D">
      <w:pPr>
        <w:rPr>
          <w:rFonts w:ascii="Arial" w:hAnsi="Arial" w:cs="Arial"/>
        </w:rPr>
      </w:pPr>
      <w:r w:rsidRPr="004370C6">
        <w:rPr>
          <w:rFonts w:ascii="Arial" w:hAnsi="Arial" w:cs="Arial"/>
        </w:rPr>
        <w:t xml:space="preserve">Nominees were judged on their contribution to Yarra over the past 12 months, including the positive impact they made on the lives of others in the following areas: cultural harmony, equality and equity, improving community health and wellbeing, and community connectedness.   </w:t>
      </w:r>
    </w:p>
    <w:p w14:paraId="53501AB8" w14:textId="6CBF3E51" w:rsidR="131C9040" w:rsidRPr="004370C6" w:rsidRDefault="3D083C0E" w:rsidP="00B7513D">
      <w:pPr>
        <w:rPr>
          <w:rFonts w:ascii="Arial" w:hAnsi="Arial" w:cs="Arial"/>
        </w:rPr>
      </w:pPr>
      <w:r w:rsidRPr="004370C6">
        <w:rPr>
          <w:rFonts w:ascii="Arial" w:hAnsi="Arial" w:cs="Arial"/>
        </w:rPr>
        <w:t xml:space="preserve">This year's nominees have shown incredible dedication, leadership and commitment to cultivating a vibrant community; from advocating for public housing residents to educating the community about climate change and teaching young people life skills through sports – this year's Community Awards recipients have worked tirelessly to make Yarra a more caring and connected place to live, work and play.   </w:t>
      </w:r>
    </w:p>
    <w:p w14:paraId="2A37F11A" w14:textId="443F54E2" w:rsidR="131C9040" w:rsidRPr="004370C6" w:rsidRDefault="3D083C0E" w:rsidP="00B7513D">
      <w:pPr>
        <w:rPr>
          <w:rFonts w:ascii="Arial" w:hAnsi="Arial" w:cs="Arial"/>
        </w:rPr>
      </w:pPr>
      <w:r w:rsidRPr="004370C6">
        <w:rPr>
          <w:rFonts w:ascii="Arial" w:hAnsi="Arial" w:cs="Arial"/>
        </w:rPr>
        <w:t xml:space="preserve">Winners in each category were announced and presented with awards at a special ceremonial event on 26 November 2025 at Richmond Town Hall, where over 150 guests joined in the celebration. </w:t>
      </w:r>
    </w:p>
    <w:p w14:paraId="551DDD9A" w14:textId="1F72C519" w:rsidR="131C9040" w:rsidRPr="004370C6" w:rsidRDefault="3D083C0E" w:rsidP="00B7513D">
      <w:pPr>
        <w:rPr>
          <w:rFonts w:ascii="Arial" w:hAnsi="Arial" w:cs="Arial"/>
        </w:rPr>
      </w:pPr>
      <w:r w:rsidRPr="004370C6">
        <w:rPr>
          <w:rFonts w:ascii="Arial" w:hAnsi="Arial" w:cs="Arial"/>
        </w:rPr>
        <w:t xml:space="preserve">Our 2025 Community Awards winners are: </w:t>
      </w:r>
    </w:p>
    <w:p w14:paraId="7DE8E335" w14:textId="117035C1" w:rsidR="131C9040" w:rsidRPr="004370C6" w:rsidRDefault="3D083C0E" w:rsidP="00E4643C">
      <w:pPr>
        <w:pStyle w:val="ListParagraph"/>
        <w:numPr>
          <w:ilvl w:val="0"/>
          <w:numId w:val="1"/>
        </w:numPr>
        <w:rPr>
          <w:rFonts w:ascii="Arial" w:hAnsi="Arial" w:cs="Arial"/>
        </w:rPr>
      </w:pPr>
      <w:r w:rsidRPr="004370C6">
        <w:rPr>
          <w:rFonts w:ascii="Arial" w:hAnsi="Arial" w:cs="Arial"/>
        </w:rPr>
        <w:t xml:space="preserve">Person of the Year: Ms Thi Mai Tran </w:t>
      </w:r>
    </w:p>
    <w:p w14:paraId="6FCB3E2C" w14:textId="7EA8C731" w:rsidR="131C9040" w:rsidRPr="004370C6" w:rsidRDefault="3D083C0E" w:rsidP="00E4643C">
      <w:pPr>
        <w:pStyle w:val="ListParagraph"/>
        <w:numPr>
          <w:ilvl w:val="0"/>
          <w:numId w:val="1"/>
        </w:numPr>
        <w:rPr>
          <w:rFonts w:ascii="Arial" w:hAnsi="Arial" w:cs="Arial"/>
        </w:rPr>
      </w:pPr>
      <w:r w:rsidRPr="004370C6">
        <w:rPr>
          <w:rFonts w:ascii="Arial" w:hAnsi="Arial" w:cs="Arial"/>
        </w:rPr>
        <w:t xml:space="preserve">Young Person of the Year: Miss Minh Chau Doan </w:t>
      </w:r>
    </w:p>
    <w:p w14:paraId="16A7159C" w14:textId="7C926A75" w:rsidR="131C9040" w:rsidRPr="004370C6" w:rsidRDefault="3D083C0E" w:rsidP="00E4643C">
      <w:pPr>
        <w:pStyle w:val="ListParagraph"/>
        <w:numPr>
          <w:ilvl w:val="0"/>
          <w:numId w:val="1"/>
        </w:numPr>
        <w:rPr>
          <w:rFonts w:ascii="Arial" w:hAnsi="Arial" w:cs="Arial"/>
        </w:rPr>
      </w:pPr>
      <w:r w:rsidRPr="004370C6">
        <w:rPr>
          <w:rFonts w:ascii="Arial" w:hAnsi="Arial" w:cs="Arial"/>
        </w:rPr>
        <w:t xml:space="preserve">Community Initiative of the Year: Richmond Community Market </w:t>
      </w:r>
    </w:p>
    <w:p w14:paraId="17D23388" w14:textId="7315DE67" w:rsidR="131C9040" w:rsidRPr="004370C6" w:rsidRDefault="3D083C0E" w:rsidP="00E4643C">
      <w:pPr>
        <w:pStyle w:val="ListParagraph"/>
        <w:numPr>
          <w:ilvl w:val="0"/>
          <w:numId w:val="1"/>
        </w:numPr>
        <w:rPr>
          <w:rFonts w:ascii="Arial" w:hAnsi="Arial" w:cs="Arial"/>
        </w:rPr>
      </w:pPr>
      <w:r w:rsidRPr="004370C6">
        <w:rPr>
          <w:rFonts w:ascii="Arial" w:hAnsi="Arial" w:cs="Arial"/>
        </w:rPr>
        <w:t xml:space="preserve">Contribution to Arts and Culture: The Boite's Portfolio Project </w:t>
      </w:r>
    </w:p>
    <w:p w14:paraId="3848E0E0" w14:textId="762DBCD0" w:rsidR="131C9040" w:rsidRPr="004370C6" w:rsidRDefault="3D083C0E" w:rsidP="00E4643C">
      <w:pPr>
        <w:pStyle w:val="ListParagraph"/>
        <w:numPr>
          <w:ilvl w:val="0"/>
          <w:numId w:val="1"/>
        </w:numPr>
        <w:rPr>
          <w:rFonts w:ascii="Arial" w:hAnsi="Arial" w:cs="Arial"/>
        </w:rPr>
      </w:pPr>
      <w:r w:rsidRPr="004370C6">
        <w:rPr>
          <w:rFonts w:ascii="Arial" w:hAnsi="Arial" w:cs="Arial"/>
        </w:rPr>
        <w:t xml:space="preserve">Contribution to Sport: Mr Michael Pratt (Yarra Tri Club) </w:t>
      </w:r>
    </w:p>
    <w:p w14:paraId="2C53CC4A" w14:textId="6BE1E945" w:rsidR="131C9040" w:rsidRPr="004370C6" w:rsidRDefault="3D083C0E" w:rsidP="00E4643C">
      <w:pPr>
        <w:pStyle w:val="ListParagraph"/>
        <w:numPr>
          <w:ilvl w:val="0"/>
          <w:numId w:val="1"/>
        </w:numPr>
        <w:rPr>
          <w:rFonts w:ascii="Arial" w:hAnsi="Arial" w:cs="Arial"/>
        </w:rPr>
      </w:pPr>
      <w:r w:rsidRPr="004370C6">
        <w:rPr>
          <w:rFonts w:ascii="Arial" w:hAnsi="Arial" w:cs="Arial"/>
        </w:rPr>
        <w:t xml:space="preserve">Contribution to Sustainability: Wattle (youth environmental group)  </w:t>
      </w:r>
    </w:p>
    <w:p w14:paraId="6158961E" w14:textId="716E4343" w:rsidR="131C9040" w:rsidRPr="004370C6" w:rsidRDefault="3D083C0E" w:rsidP="00E4643C">
      <w:pPr>
        <w:pStyle w:val="ListParagraph"/>
        <w:numPr>
          <w:ilvl w:val="0"/>
          <w:numId w:val="1"/>
        </w:numPr>
        <w:rPr>
          <w:rFonts w:ascii="Arial" w:hAnsi="Arial" w:cs="Arial"/>
        </w:rPr>
      </w:pPr>
      <w:r w:rsidRPr="004370C6">
        <w:rPr>
          <w:rFonts w:ascii="Arial" w:hAnsi="Arial" w:cs="Arial"/>
        </w:rPr>
        <w:t>Contribution to Diversity and Inclusion: Queer Muslim Naarm</w:t>
      </w:r>
    </w:p>
    <w:p w14:paraId="7248FB85" w14:textId="20B27ADF" w:rsidR="131C9040" w:rsidRPr="004370C6" w:rsidRDefault="0C628B2F" w:rsidP="1CDEE14B">
      <w:pPr>
        <w:pStyle w:val="Heading3"/>
        <w:rPr>
          <w:rFonts w:ascii="Arial" w:hAnsi="Arial" w:cs="Arial"/>
          <w:color w:val="auto"/>
        </w:rPr>
      </w:pPr>
      <w:bookmarkStart w:id="5" w:name="_Toc224732135"/>
      <w:r w:rsidRPr="004370C6">
        <w:rPr>
          <w:rFonts w:ascii="Arial" w:hAnsi="Arial" w:cs="Arial"/>
          <w:color w:val="auto"/>
        </w:rPr>
        <w:lastRenderedPageBreak/>
        <w:t>Community Grants</w:t>
      </w:r>
      <w:bookmarkEnd w:id="5"/>
      <w:r w:rsidRPr="004370C6">
        <w:rPr>
          <w:rFonts w:ascii="Arial" w:hAnsi="Arial" w:cs="Arial"/>
          <w:color w:val="auto"/>
        </w:rPr>
        <w:t xml:space="preserve">  </w:t>
      </w:r>
    </w:p>
    <w:p w14:paraId="0D317EB1" w14:textId="20957644" w:rsidR="0C628B2F" w:rsidRPr="004370C6" w:rsidRDefault="0C628B2F" w:rsidP="00C8501D">
      <w:pPr>
        <w:rPr>
          <w:rFonts w:ascii="Arial" w:hAnsi="Arial" w:cs="Arial"/>
        </w:rPr>
      </w:pPr>
      <w:r w:rsidRPr="004370C6">
        <w:rPr>
          <w:rFonts w:ascii="Arial" w:hAnsi="Arial" w:cs="Arial"/>
        </w:rPr>
        <w:t>The Community Grants Program is a key mechanism for Council to support community-led projects and activities. The program provides funding to a broad range of initiatives delivered by Yarra’s not-for-profit organisations, local community groups, and individual artists.</w:t>
      </w:r>
    </w:p>
    <w:p w14:paraId="21B475F6" w14:textId="7DA19761" w:rsidR="0C628B2F" w:rsidRPr="004370C6" w:rsidRDefault="0C628B2F" w:rsidP="00C8501D">
      <w:pPr>
        <w:rPr>
          <w:rFonts w:ascii="Arial" w:hAnsi="Arial" w:cs="Arial"/>
        </w:rPr>
      </w:pPr>
      <w:r w:rsidRPr="004370C6">
        <w:rPr>
          <w:rFonts w:ascii="Arial" w:hAnsi="Arial" w:cs="Arial"/>
        </w:rPr>
        <w:t xml:space="preserve">In May 2025, Council endorsed a revised Community Grants Program incorporating updated objectives aligned to the new Council Plan, simplified funding streams, new guidelines, and </w:t>
      </w:r>
      <w:r w:rsidR="00540F85" w:rsidRPr="004370C6">
        <w:rPr>
          <w:rFonts w:ascii="Arial" w:hAnsi="Arial" w:cs="Arial"/>
        </w:rPr>
        <w:t>enhanced</w:t>
      </w:r>
      <w:r w:rsidRPr="004370C6">
        <w:rPr>
          <w:rFonts w:ascii="Arial" w:hAnsi="Arial" w:cs="Arial"/>
        </w:rPr>
        <w:t xml:space="preserve"> assessment process. At the December 2025 Council, Council approved the awarding of 70 grants totalling $1,065,147 for the 2026 program.</w:t>
      </w:r>
    </w:p>
    <w:p w14:paraId="2E8C4BBD" w14:textId="29D6A2E9" w:rsidR="0C628B2F" w:rsidRPr="004370C6" w:rsidRDefault="0C628B2F" w:rsidP="00C8501D">
      <w:pPr>
        <w:rPr>
          <w:rFonts w:ascii="Arial" w:hAnsi="Arial" w:cs="Arial"/>
        </w:rPr>
      </w:pPr>
      <w:r w:rsidRPr="004370C6">
        <w:rPr>
          <w:rFonts w:ascii="Arial" w:hAnsi="Arial" w:cs="Arial"/>
        </w:rPr>
        <w:t xml:space="preserve">The new grants program has six streams: </w:t>
      </w:r>
      <w:r w:rsidRPr="004370C6">
        <w:rPr>
          <w:rFonts w:ascii="Arial" w:eastAsia="Arial" w:hAnsi="Arial" w:cs="Arial"/>
        </w:rPr>
        <w:t xml:space="preserve"> </w:t>
      </w:r>
      <w:r w:rsidRPr="004370C6">
        <w:rPr>
          <w:rFonts w:ascii="Arial" w:hAnsi="Arial" w:cs="Arial"/>
        </w:rPr>
        <w:t> </w:t>
      </w:r>
    </w:p>
    <w:p w14:paraId="6EA7A798" w14:textId="4B652B78" w:rsidR="0C628B2F" w:rsidRPr="004370C6" w:rsidRDefault="0C628B2F" w:rsidP="00E4643C">
      <w:pPr>
        <w:pStyle w:val="ListParagraph"/>
        <w:numPr>
          <w:ilvl w:val="0"/>
          <w:numId w:val="2"/>
        </w:numPr>
        <w:rPr>
          <w:rFonts w:ascii="Arial" w:hAnsi="Arial" w:cs="Arial"/>
          <w:sz w:val="22"/>
          <w:szCs w:val="22"/>
        </w:rPr>
      </w:pPr>
      <w:r w:rsidRPr="004370C6">
        <w:rPr>
          <w:rFonts w:ascii="Arial" w:hAnsi="Arial" w:cs="Arial"/>
          <w:sz w:val="22"/>
          <w:szCs w:val="22"/>
        </w:rPr>
        <w:t>First Peoples’ Self-Determination and Partnerships</w:t>
      </w:r>
    </w:p>
    <w:p w14:paraId="6CBE491F" w14:textId="2FCE859C" w:rsidR="0C628B2F" w:rsidRPr="004370C6" w:rsidRDefault="0C628B2F" w:rsidP="00E4643C">
      <w:pPr>
        <w:pStyle w:val="ListParagraph"/>
        <w:numPr>
          <w:ilvl w:val="0"/>
          <w:numId w:val="2"/>
        </w:numPr>
        <w:rPr>
          <w:rFonts w:ascii="Arial" w:hAnsi="Arial" w:cs="Arial"/>
        </w:rPr>
      </w:pPr>
      <w:r w:rsidRPr="004370C6">
        <w:rPr>
          <w:rFonts w:ascii="Arial" w:hAnsi="Arial" w:cs="Arial"/>
        </w:rPr>
        <w:t>Healthy, Inclusive and Connected Communities</w:t>
      </w:r>
    </w:p>
    <w:p w14:paraId="2791E0C4" w14:textId="4ABA3897" w:rsidR="0C628B2F" w:rsidRPr="004370C6" w:rsidRDefault="0C628B2F" w:rsidP="00E4643C">
      <w:pPr>
        <w:pStyle w:val="ListParagraph"/>
        <w:numPr>
          <w:ilvl w:val="0"/>
          <w:numId w:val="2"/>
        </w:numPr>
        <w:rPr>
          <w:rFonts w:ascii="Arial" w:hAnsi="Arial" w:cs="Arial"/>
        </w:rPr>
      </w:pPr>
      <w:r w:rsidRPr="004370C6">
        <w:rPr>
          <w:rFonts w:ascii="Arial" w:hAnsi="Arial" w:cs="Arial"/>
        </w:rPr>
        <w:t>Vibrant and Resilient Local Economies</w:t>
      </w:r>
    </w:p>
    <w:p w14:paraId="373AC796" w14:textId="40CE1D1B" w:rsidR="0C628B2F" w:rsidRPr="004370C6" w:rsidRDefault="0C628B2F" w:rsidP="00E4643C">
      <w:pPr>
        <w:pStyle w:val="ListParagraph"/>
        <w:numPr>
          <w:ilvl w:val="0"/>
          <w:numId w:val="2"/>
        </w:numPr>
        <w:rPr>
          <w:rFonts w:ascii="Arial" w:hAnsi="Arial" w:cs="Arial"/>
        </w:rPr>
      </w:pPr>
      <w:r w:rsidRPr="004370C6">
        <w:rPr>
          <w:rFonts w:ascii="Arial" w:hAnsi="Arial" w:cs="Arial"/>
        </w:rPr>
        <w:t>Creative City and Cultural Participation</w:t>
      </w:r>
    </w:p>
    <w:p w14:paraId="5954B31F" w14:textId="1FB2AA1A" w:rsidR="0C628B2F" w:rsidRPr="004370C6" w:rsidRDefault="0C628B2F" w:rsidP="00E4643C">
      <w:pPr>
        <w:pStyle w:val="ListParagraph"/>
        <w:numPr>
          <w:ilvl w:val="0"/>
          <w:numId w:val="2"/>
        </w:numPr>
        <w:rPr>
          <w:rFonts w:ascii="Arial" w:hAnsi="Arial" w:cs="Arial"/>
        </w:rPr>
      </w:pPr>
      <w:r w:rsidRPr="004370C6">
        <w:rPr>
          <w:rFonts w:ascii="Arial" w:hAnsi="Arial" w:cs="Arial"/>
        </w:rPr>
        <w:t>A Climate-Resilient and Adapted City </w:t>
      </w:r>
    </w:p>
    <w:p w14:paraId="5A9AC274" w14:textId="13E62F2B" w:rsidR="0C628B2F" w:rsidRPr="004370C6" w:rsidRDefault="0C628B2F" w:rsidP="00E4643C">
      <w:pPr>
        <w:pStyle w:val="ListParagraph"/>
        <w:numPr>
          <w:ilvl w:val="0"/>
          <w:numId w:val="2"/>
        </w:numPr>
        <w:rPr>
          <w:rFonts w:ascii="Arial" w:eastAsia="Arial" w:hAnsi="Arial" w:cs="Arial"/>
        </w:rPr>
      </w:pPr>
      <w:r w:rsidRPr="004370C6">
        <w:rPr>
          <w:rFonts w:ascii="Arial" w:hAnsi="Arial" w:cs="Arial"/>
        </w:rPr>
        <w:t xml:space="preserve">Safe, Clean and Welcoming Neighbourhoods </w:t>
      </w:r>
      <w:r w:rsidRPr="004370C6">
        <w:rPr>
          <w:rFonts w:ascii="Arial" w:eastAsia="Arial" w:hAnsi="Arial" w:cs="Arial"/>
          <w:lang w:val="en-GB"/>
        </w:rPr>
        <w:t xml:space="preserve"> </w:t>
      </w:r>
    </w:p>
    <w:p w14:paraId="60757477" w14:textId="68A942EE" w:rsidR="0C628B2F" w:rsidRPr="004370C6" w:rsidRDefault="0C628B2F" w:rsidP="00C8501D">
      <w:pPr>
        <w:rPr>
          <w:rFonts w:ascii="Arial" w:hAnsi="Arial" w:cs="Arial"/>
        </w:rPr>
      </w:pPr>
      <w:r w:rsidRPr="004370C6">
        <w:rPr>
          <w:rFonts w:ascii="Arial" w:hAnsi="Arial" w:cs="Arial"/>
        </w:rPr>
        <w:t xml:space="preserve">Along with the revised grant streams, a universal model was applied, with three tiers based on project scale and complexity: small (up to $4,000), medium ($4,001- $20,000), and large ($20,001–$40,000). </w:t>
      </w:r>
    </w:p>
    <w:p w14:paraId="58CA7AAF" w14:textId="090F46D1" w:rsidR="0C628B2F" w:rsidRPr="004370C6" w:rsidRDefault="0C628B2F" w:rsidP="00C8501D">
      <w:pPr>
        <w:rPr>
          <w:rFonts w:ascii="Arial" w:hAnsi="Arial" w:cs="Arial"/>
        </w:rPr>
      </w:pPr>
      <w:r w:rsidRPr="004370C6">
        <w:rPr>
          <w:rFonts w:ascii="Arial" w:hAnsi="Arial" w:cs="Arial"/>
        </w:rPr>
        <w:t>The 2026 Community Grants Round opened on 8 September 2025 and closed on 19 October 2025. During this period, Council received 248 applications across the medium and large grant categories. The Small/Quick Response Grants are an open round that closes only when funds are expended.</w:t>
      </w:r>
    </w:p>
    <w:p w14:paraId="6DC3258A" w14:textId="0D919F2C" w:rsidR="000F6A20" w:rsidRPr="004370C6" w:rsidRDefault="000F6A20">
      <w:pPr>
        <w:rPr>
          <w:rFonts w:ascii="Arial" w:hAnsi="Arial" w:cs="Arial"/>
        </w:rPr>
      </w:pPr>
      <w:r w:rsidRPr="004370C6">
        <w:rPr>
          <w:rFonts w:ascii="Arial" w:hAnsi="Arial" w:cs="Arial"/>
        </w:rPr>
        <w:br w:type="page"/>
      </w:r>
    </w:p>
    <w:p w14:paraId="248AEEB4" w14:textId="67FB8CE6" w:rsidR="66308B21" w:rsidRPr="004370C6" w:rsidRDefault="66308B21" w:rsidP="1CDEE14B">
      <w:pPr>
        <w:pStyle w:val="Heading3"/>
        <w:rPr>
          <w:rFonts w:ascii="Arial" w:hAnsi="Arial" w:cs="Arial"/>
          <w:color w:val="auto"/>
        </w:rPr>
      </w:pPr>
      <w:bookmarkStart w:id="6" w:name="_Toc224732136"/>
      <w:r w:rsidRPr="004370C6">
        <w:rPr>
          <w:rFonts w:ascii="Arial" w:hAnsi="Arial" w:cs="Arial"/>
          <w:color w:val="auto"/>
        </w:rPr>
        <w:lastRenderedPageBreak/>
        <w:t>Family, Youth and Children's Services</w:t>
      </w:r>
      <w:bookmarkEnd w:id="6"/>
    </w:p>
    <w:p w14:paraId="38164891" w14:textId="6B0FDB7E" w:rsidR="66308B21" w:rsidRPr="004370C6" w:rsidRDefault="66308B21" w:rsidP="1CDEE14B">
      <w:pPr>
        <w:rPr>
          <w:rFonts w:ascii="Arial" w:hAnsi="Arial" w:cs="Arial"/>
          <w:i/>
          <w:iCs/>
        </w:rPr>
      </w:pPr>
      <w:r w:rsidRPr="004370C6">
        <w:rPr>
          <w:rFonts w:ascii="Arial" w:hAnsi="Arial" w:cs="Arial"/>
          <w:i/>
          <w:iCs/>
        </w:rPr>
        <w:t xml:space="preserve">Council delivers quality services for children </w:t>
      </w:r>
    </w:p>
    <w:p w14:paraId="0B8ACD9E" w14:textId="4D26B0D5" w:rsidR="66308B21" w:rsidRPr="004370C6" w:rsidRDefault="66308B21" w:rsidP="1CDEE14B">
      <w:pPr>
        <w:rPr>
          <w:rFonts w:ascii="Arial" w:hAnsi="Arial" w:cs="Arial"/>
        </w:rPr>
      </w:pPr>
      <w:bookmarkStart w:id="7" w:name="_Toc224732137"/>
      <w:r w:rsidRPr="004370C6">
        <w:rPr>
          <w:rStyle w:val="Heading4Char"/>
          <w:rFonts w:ascii="Arial" w:hAnsi="Arial" w:cs="Arial"/>
          <w:color w:val="auto"/>
        </w:rPr>
        <w:t>Collingwood College Early Years Precinct</w:t>
      </w:r>
      <w:bookmarkEnd w:id="7"/>
      <w:r w:rsidRPr="004370C6">
        <w:rPr>
          <w:rFonts w:ascii="Arial" w:hAnsi="Arial" w:cs="Arial"/>
        </w:rPr>
        <w:t xml:space="preserve"> </w:t>
      </w:r>
      <w:r w:rsidRPr="004370C6">
        <w:rPr>
          <w:rFonts w:ascii="Arial" w:hAnsi="Arial" w:cs="Arial"/>
        </w:rPr>
        <w:br/>
        <w:t xml:space="preserve">This year, Collingwood College Early Years Precinct underwent two Assessment and Rating processes conducted by the Department of Education. Both Keele Street Children’s Centre and the newly opened Yallabirrang Kindergarten were assessed as Exceeding National Quality Standards in all seven quality areas. These results place the services among the top 7% of early childhood programs in Australia and reflect the ongoing professionalism and innovation of educators, teachers, and leadership teams. Key highlights include the implementation of bush kinder programs, integration of First Nations pedagogy, partnerships with local schools, and a strong commitment to sustainable practices. </w:t>
      </w:r>
    </w:p>
    <w:p w14:paraId="4C70190A" w14:textId="1BA980D1" w:rsidR="66308B21" w:rsidRPr="004370C6" w:rsidRDefault="66308B21" w:rsidP="1CDEE14B">
      <w:pPr>
        <w:rPr>
          <w:rFonts w:ascii="Arial" w:hAnsi="Arial" w:cs="Arial"/>
        </w:rPr>
      </w:pPr>
      <w:bookmarkStart w:id="8" w:name="_Toc224732138"/>
      <w:r w:rsidRPr="004370C6">
        <w:rPr>
          <w:rStyle w:val="Heading4Char"/>
          <w:rFonts w:ascii="Arial" w:hAnsi="Arial" w:cs="Arial"/>
          <w:color w:val="auto"/>
        </w:rPr>
        <w:t>Connie Benn Early Learning Centre</w:t>
      </w:r>
      <w:bookmarkEnd w:id="8"/>
      <w:r w:rsidRPr="004370C6">
        <w:rPr>
          <w:rFonts w:ascii="Arial" w:hAnsi="Arial" w:cs="Arial"/>
        </w:rPr>
        <w:t xml:space="preserve"> </w:t>
      </w:r>
      <w:r w:rsidRPr="004370C6">
        <w:rPr>
          <w:rFonts w:ascii="Arial" w:hAnsi="Arial" w:cs="Arial"/>
        </w:rPr>
        <w:br/>
        <w:t>Connie Benn Early Learning Centre, part of Council’s Fitzroy Early Years Precinct, received the Victorian Early Years Award for promoting children’s health and wellbeing. This award recognises a six-year journey of continuous improvement, transforming the centre from a service with improvements identified to one that exceeds standards and explores innovative approaches for supporting children and families with complex needs. Over the past three years, the team has partnered with Heidelberg Psychological Services to strengthen trauma-responsive practices. This collaboration has enabled educators and leadership to better manage emotionally challenging situations, reduce staff turnover, and invest in highly specialised practitioners who provide wraparound support for children requiring nuanced care.</w:t>
      </w:r>
    </w:p>
    <w:p w14:paraId="09DA1E8D" w14:textId="3B8C95C3" w:rsidR="6975EEDA" w:rsidRPr="004370C6" w:rsidRDefault="6975EEDA" w:rsidP="1CDEE14B">
      <w:pPr>
        <w:pStyle w:val="Heading3"/>
        <w:rPr>
          <w:rFonts w:ascii="Arial" w:hAnsi="Arial" w:cs="Arial"/>
          <w:color w:val="auto"/>
        </w:rPr>
      </w:pPr>
      <w:bookmarkStart w:id="9" w:name="_Toc224732139"/>
      <w:r w:rsidRPr="004370C6">
        <w:rPr>
          <w:rFonts w:ascii="Arial" w:hAnsi="Arial" w:cs="Arial"/>
          <w:color w:val="auto"/>
        </w:rPr>
        <w:t>Libraries</w:t>
      </w:r>
      <w:bookmarkEnd w:id="9"/>
      <w:r w:rsidRPr="004370C6">
        <w:rPr>
          <w:rFonts w:ascii="Arial" w:hAnsi="Arial" w:cs="Arial"/>
          <w:color w:val="auto"/>
        </w:rPr>
        <w:t xml:space="preserve">  </w:t>
      </w:r>
    </w:p>
    <w:p w14:paraId="77EA61E0" w14:textId="375B45A6" w:rsidR="6975EEDA" w:rsidRPr="004370C6" w:rsidRDefault="6975EEDA" w:rsidP="1CDEE14B">
      <w:pPr>
        <w:rPr>
          <w:rFonts w:ascii="Arial" w:hAnsi="Arial" w:cs="Arial"/>
        </w:rPr>
      </w:pPr>
      <w:bookmarkStart w:id="10" w:name="_Toc224732140"/>
      <w:r w:rsidRPr="004370C6">
        <w:rPr>
          <w:rStyle w:val="Heading4Char"/>
          <w:rFonts w:ascii="Arial" w:hAnsi="Arial" w:cs="Arial"/>
          <w:color w:val="auto"/>
        </w:rPr>
        <w:t>East Meets West / Đông gặp Tây (1984) – Film Screening</w:t>
      </w:r>
      <w:bookmarkEnd w:id="10"/>
      <w:r w:rsidRPr="004370C6">
        <w:rPr>
          <w:rFonts w:ascii="Arial" w:hAnsi="Arial" w:cs="Arial"/>
        </w:rPr>
        <w:t xml:space="preserve"> </w:t>
      </w:r>
      <w:r w:rsidRPr="004370C6">
        <w:rPr>
          <w:rFonts w:ascii="Arial" w:hAnsi="Arial" w:cs="Arial"/>
        </w:rPr>
        <w:br/>
        <w:t xml:space="preserve">As part of our celebration of 50 years of Vietnamese migration to Yarra, Richmond Library held a film screening and Q&amp;A with the director of the 1984 documentary, Đông gặp Tây (East Meets West). The event welcomed 72 local community members to learn about the West Theatre Company and their production of a theatrical event that tied performance with historical footage and personal stories of the war, the escape from Vietnam and resettlement in Australia.  </w:t>
      </w:r>
    </w:p>
    <w:p w14:paraId="71622512" w14:textId="68858525" w:rsidR="6975EEDA" w:rsidRPr="004370C6" w:rsidRDefault="6975EEDA" w:rsidP="1CDEE14B">
      <w:pPr>
        <w:rPr>
          <w:rFonts w:ascii="Arial" w:hAnsi="Arial" w:cs="Arial"/>
        </w:rPr>
      </w:pPr>
      <w:bookmarkStart w:id="11" w:name="_Toc224732141"/>
      <w:r w:rsidRPr="004370C6">
        <w:rPr>
          <w:rStyle w:val="Heading4Char"/>
          <w:rFonts w:ascii="Arial" w:hAnsi="Arial" w:cs="Arial"/>
          <w:color w:val="auto"/>
        </w:rPr>
        <w:t>Trans Day of Remembrance Vigil</w:t>
      </w:r>
      <w:bookmarkEnd w:id="11"/>
      <w:r w:rsidRPr="004370C6">
        <w:rPr>
          <w:rFonts w:ascii="Arial" w:hAnsi="Arial" w:cs="Arial"/>
        </w:rPr>
        <w:t xml:space="preserve"> </w:t>
      </w:r>
      <w:r w:rsidRPr="004370C6">
        <w:rPr>
          <w:rFonts w:ascii="Arial" w:hAnsi="Arial" w:cs="Arial"/>
        </w:rPr>
        <w:br/>
        <w:t>Delivered in partnership with Transgender Victoria, the Collingwood Town Hall vigil for Transgender Day of Remembrance (20 November) honoured the lives of transgender and gender</w:t>
      </w:r>
      <w:r w:rsidRPr="004370C6">
        <w:rPr>
          <w:rFonts w:ascii="Cambria Math" w:hAnsi="Cambria Math" w:cs="Cambria Math"/>
        </w:rPr>
        <w:t>‑</w:t>
      </w:r>
      <w:r w:rsidRPr="004370C6">
        <w:rPr>
          <w:rFonts w:ascii="Arial" w:hAnsi="Arial" w:cs="Arial"/>
        </w:rPr>
        <w:t>diverse people lost to violence and provided a safe, inclusive space for reflection. The library highlighted collection items by trans and gender</w:t>
      </w:r>
      <w:r w:rsidRPr="004370C6">
        <w:rPr>
          <w:rFonts w:ascii="Cambria Math" w:hAnsi="Cambria Math" w:cs="Cambria Math"/>
        </w:rPr>
        <w:t>‑</w:t>
      </w:r>
      <w:r w:rsidRPr="004370C6">
        <w:rPr>
          <w:rFonts w:ascii="Arial" w:hAnsi="Arial" w:cs="Arial"/>
        </w:rPr>
        <w:t xml:space="preserve">diverse authors </w:t>
      </w:r>
      <w:r w:rsidRPr="004370C6">
        <w:rPr>
          <w:rFonts w:ascii="Arial" w:hAnsi="Arial" w:cs="Arial"/>
        </w:rPr>
        <w:lastRenderedPageBreak/>
        <w:t>and connected attendees to on</w:t>
      </w:r>
      <w:r w:rsidRPr="004370C6">
        <w:rPr>
          <w:rFonts w:ascii="Cambria Math" w:hAnsi="Cambria Math" w:cs="Cambria Math"/>
        </w:rPr>
        <w:t>‑</w:t>
      </w:r>
      <w:r w:rsidRPr="004370C6">
        <w:rPr>
          <w:rFonts w:ascii="Arial" w:hAnsi="Arial" w:cs="Arial"/>
        </w:rPr>
        <w:t xml:space="preserve">site counselling and referral services, fostering solidarity and support. Approximately 170 people were in attendance. </w:t>
      </w:r>
    </w:p>
    <w:p w14:paraId="6905AF4F" w14:textId="256182B2" w:rsidR="6975EEDA" w:rsidRPr="004370C6" w:rsidRDefault="6975EEDA" w:rsidP="1CDEE14B">
      <w:pPr>
        <w:rPr>
          <w:rFonts w:ascii="Arial" w:hAnsi="Arial" w:cs="Arial"/>
        </w:rPr>
      </w:pPr>
      <w:bookmarkStart w:id="12" w:name="_Toc224732142"/>
      <w:r w:rsidRPr="004370C6">
        <w:rPr>
          <w:rStyle w:val="Heading5Char"/>
          <w:rFonts w:ascii="Arial" w:hAnsi="Arial" w:cs="Arial"/>
          <w:color w:val="auto"/>
        </w:rPr>
        <w:t>Bird Count for Beginners</w:t>
      </w:r>
      <w:bookmarkEnd w:id="12"/>
      <w:r w:rsidRPr="004370C6">
        <w:rPr>
          <w:rFonts w:ascii="Arial" w:hAnsi="Arial" w:cs="Arial"/>
        </w:rPr>
        <w:t xml:space="preserve">  </w:t>
      </w:r>
      <w:r w:rsidRPr="004370C6">
        <w:rPr>
          <w:rFonts w:ascii="Arial" w:hAnsi="Arial" w:cs="Arial"/>
        </w:rPr>
        <w:br/>
        <w:t>A guided, beginner</w:t>
      </w:r>
      <w:r w:rsidRPr="004370C6">
        <w:rPr>
          <w:rFonts w:ascii="Cambria Math" w:hAnsi="Cambria Math" w:cs="Cambria Math"/>
        </w:rPr>
        <w:t>‑</w:t>
      </w:r>
      <w:r w:rsidRPr="004370C6">
        <w:rPr>
          <w:rFonts w:ascii="Arial" w:hAnsi="Arial" w:cs="Arial"/>
        </w:rPr>
        <w:t>friendly citizen</w:t>
      </w:r>
      <w:r w:rsidRPr="004370C6">
        <w:rPr>
          <w:rFonts w:ascii="Cambria Math" w:hAnsi="Cambria Math" w:cs="Cambria Math"/>
        </w:rPr>
        <w:t>‑</w:t>
      </w:r>
      <w:r w:rsidRPr="004370C6">
        <w:rPr>
          <w:rFonts w:ascii="Arial" w:hAnsi="Arial" w:cs="Arial"/>
        </w:rPr>
        <w:t>science walk led by an expert to observe and record local birdlife along the Birrarung/Yarra. Timed with the Victorian Seniors Festival and the national Aussie Bird Count, the session made it easy for older residents to get outdoors, learn bird</w:t>
      </w:r>
      <w:r w:rsidRPr="004370C6">
        <w:rPr>
          <w:rFonts w:ascii="Cambria Math" w:hAnsi="Cambria Math" w:cs="Cambria Math"/>
        </w:rPr>
        <w:t>‑</w:t>
      </w:r>
      <w:r w:rsidRPr="004370C6">
        <w:rPr>
          <w:rFonts w:ascii="Arial" w:hAnsi="Arial" w:cs="Arial"/>
        </w:rPr>
        <w:t xml:space="preserve">ID basics and contribute a local snapshot of biodiversity. 19 participants met at Collingwood Library which served as a start and </w:t>
      </w:r>
      <w:r w:rsidR="00540F85" w:rsidRPr="004370C6">
        <w:rPr>
          <w:rFonts w:ascii="Arial" w:hAnsi="Arial" w:cs="Arial"/>
        </w:rPr>
        <w:t>endpoint</w:t>
      </w:r>
      <w:r w:rsidRPr="004370C6">
        <w:rPr>
          <w:rFonts w:ascii="Arial" w:hAnsi="Arial" w:cs="Arial"/>
        </w:rPr>
        <w:t xml:space="preserve"> for the event, providing refreshments and a space for participants to socialise.</w:t>
      </w:r>
    </w:p>
    <w:p w14:paraId="2EB0BD6A" w14:textId="77777777" w:rsidR="000F6A20" w:rsidRPr="004370C6" w:rsidRDefault="000F6A20" w:rsidP="1CDEE14B">
      <w:pPr>
        <w:rPr>
          <w:rFonts w:ascii="Arial" w:hAnsi="Arial" w:cs="Arial"/>
        </w:rPr>
      </w:pPr>
    </w:p>
    <w:p w14:paraId="249954AB" w14:textId="2B220E0F" w:rsidR="1CDEE14B" w:rsidRPr="004370C6" w:rsidRDefault="38A5F1A4" w:rsidP="0674D22F">
      <w:pPr>
        <w:pStyle w:val="Heading3"/>
        <w:rPr>
          <w:rFonts w:ascii="Arial" w:hAnsi="Arial" w:cs="Arial"/>
          <w:color w:val="auto"/>
        </w:rPr>
      </w:pPr>
      <w:bookmarkStart w:id="13" w:name="_Toc224732143"/>
      <w:r w:rsidRPr="004370C6">
        <w:rPr>
          <w:rFonts w:ascii="Arial" w:hAnsi="Arial" w:cs="Arial"/>
          <w:color w:val="auto"/>
        </w:rPr>
        <w:t>Climate Emergency Plan Update</w:t>
      </w:r>
      <w:bookmarkEnd w:id="13"/>
      <w:r w:rsidRPr="004370C6">
        <w:rPr>
          <w:rFonts w:ascii="Arial" w:hAnsi="Arial" w:cs="Arial"/>
          <w:color w:val="auto"/>
        </w:rPr>
        <w:t xml:space="preserve"> </w:t>
      </w:r>
    </w:p>
    <w:p w14:paraId="71BB1E1E" w14:textId="3B42520A" w:rsidR="38A5F1A4" w:rsidRPr="004370C6" w:rsidRDefault="38A5F1A4" w:rsidP="00450305">
      <w:pPr>
        <w:pStyle w:val="Heading4"/>
        <w:rPr>
          <w:rStyle w:val="Heading5Char"/>
          <w:rFonts w:ascii="Arial" w:hAnsi="Arial" w:cs="Arial"/>
          <w:color w:val="auto"/>
        </w:rPr>
      </w:pPr>
      <w:bookmarkStart w:id="14" w:name="_Toc224732144"/>
      <w:r w:rsidRPr="004370C6">
        <w:rPr>
          <w:rStyle w:val="Heading5Char"/>
          <w:rFonts w:ascii="Arial" w:hAnsi="Arial" w:cs="Arial"/>
          <w:color w:val="auto"/>
        </w:rPr>
        <w:t>Community Charge Neighbourhood Batteries</w:t>
      </w:r>
      <w:bookmarkEnd w:id="14"/>
    </w:p>
    <w:p w14:paraId="4326627C" w14:textId="1D3AB122" w:rsidR="38A5F1A4" w:rsidRPr="004370C6" w:rsidRDefault="38A5F1A4" w:rsidP="0045165F">
      <w:pPr>
        <w:rPr>
          <w:rFonts w:ascii="Arial" w:hAnsi="Arial" w:cs="Arial"/>
        </w:rPr>
      </w:pPr>
      <w:r w:rsidRPr="004370C6">
        <w:rPr>
          <w:rFonts w:ascii="Arial" w:hAnsi="Arial" w:cs="Arial"/>
        </w:rPr>
        <w:t>Council’s Community Charge project is an innovative project installing neighbourhood batteries at four community facilities, supported by</w:t>
      </w:r>
      <w:r w:rsidRPr="004370C6">
        <w:rPr>
          <w:rFonts w:ascii="Arial" w:eastAsia="Arial" w:hAnsi="Arial" w:cs="Arial"/>
        </w:rPr>
        <w:t xml:space="preserve"> </w:t>
      </w:r>
      <w:r w:rsidRPr="004370C6">
        <w:rPr>
          <w:rFonts w:ascii="Arial" w:hAnsi="Arial" w:cs="Arial"/>
        </w:rPr>
        <w:t>a $398,000 grant through the Victorian Government’s 100 Neighbourhood Batteries Program. The batteries are expected to be fully operational by the end of December 2025. With 360kW of batteries, the Community Charge project will power four buildings, and export renewable energy into the grid during the evenings.</w:t>
      </w:r>
    </w:p>
    <w:p w14:paraId="48AD7461" w14:textId="3C6D19D1" w:rsidR="38A5F1A4" w:rsidRPr="004370C6" w:rsidRDefault="38A5F1A4" w:rsidP="00450305">
      <w:pPr>
        <w:pStyle w:val="Heading4"/>
        <w:rPr>
          <w:rStyle w:val="Heading5Char"/>
          <w:rFonts w:ascii="Arial" w:hAnsi="Arial" w:cs="Arial"/>
          <w:color w:val="auto"/>
        </w:rPr>
      </w:pPr>
      <w:bookmarkStart w:id="15" w:name="_Toc224732145"/>
      <w:r w:rsidRPr="004370C6">
        <w:rPr>
          <w:rStyle w:val="Heading5Char"/>
          <w:rFonts w:ascii="Arial" w:hAnsi="Arial" w:cs="Arial"/>
          <w:color w:val="auto"/>
        </w:rPr>
        <w:t>Yarra Home Energy Upgrades program</w:t>
      </w:r>
      <w:bookmarkEnd w:id="15"/>
    </w:p>
    <w:p w14:paraId="67C16599" w14:textId="7EFF1724" w:rsidR="38A5F1A4" w:rsidRPr="004370C6" w:rsidRDefault="38A5F1A4" w:rsidP="0045165F">
      <w:pPr>
        <w:rPr>
          <w:rFonts w:ascii="Arial" w:hAnsi="Arial" w:cs="Arial"/>
        </w:rPr>
      </w:pPr>
      <w:r w:rsidRPr="004370C6">
        <w:rPr>
          <w:rFonts w:ascii="Arial" w:hAnsi="Arial" w:cs="Arial"/>
        </w:rPr>
        <w:t xml:space="preserve">To date, 39 concession card holders have received a place in this year’s Yarra Home Energy Upgrades program, to receive energy upgrades including reverse cycle air conditioning, insulation or draughtproofing to make their homes more comfortable in extreme temperatures. Eligible residents can still apply to join the waitlist. </w:t>
      </w:r>
    </w:p>
    <w:p w14:paraId="1CB68DB9" w14:textId="2E96B928" w:rsidR="38A5F1A4" w:rsidRPr="004370C6" w:rsidRDefault="38A5F1A4" w:rsidP="00450305">
      <w:pPr>
        <w:pStyle w:val="Heading4"/>
        <w:rPr>
          <w:rStyle w:val="Heading5Char"/>
          <w:rFonts w:ascii="Arial" w:hAnsi="Arial" w:cs="Arial"/>
          <w:color w:val="auto"/>
        </w:rPr>
      </w:pPr>
      <w:bookmarkStart w:id="16" w:name="_Toc224732146"/>
      <w:r w:rsidRPr="004370C6">
        <w:rPr>
          <w:rStyle w:val="Heading5Char"/>
          <w:rFonts w:ascii="Arial" w:hAnsi="Arial" w:cs="Arial"/>
          <w:color w:val="auto"/>
        </w:rPr>
        <w:t>Cool Spaces</w:t>
      </w:r>
      <w:bookmarkEnd w:id="16"/>
    </w:p>
    <w:p w14:paraId="3264EA79" w14:textId="46B3BDC9" w:rsidR="38A5F1A4" w:rsidRPr="004370C6" w:rsidRDefault="38A5F1A4" w:rsidP="0045165F">
      <w:pPr>
        <w:rPr>
          <w:rFonts w:ascii="Arial" w:hAnsi="Arial" w:cs="Arial"/>
        </w:rPr>
      </w:pPr>
      <w:r w:rsidRPr="004370C6">
        <w:rPr>
          <w:rFonts w:ascii="Arial" w:hAnsi="Arial" w:cs="Arial"/>
        </w:rPr>
        <w:t xml:space="preserve">The </w:t>
      </w:r>
      <w:r w:rsidRPr="004370C6">
        <w:rPr>
          <w:rFonts w:ascii="Arial" w:hAnsi="Arial" w:cs="Arial"/>
          <w:i/>
          <w:iCs/>
        </w:rPr>
        <w:t>Cool Spaces</w:t>
      </w:r>
      <w:r w:rsidRPr="004370C6">
        <w:rPr>
          <w:rFonts w:ascii="Arial" w:hAnsi="Arial" w:cs="Arial"/>
        </w:rPr>
        <w:t xml:space="preserve"> program for the 2025/26 heatwave season has activated two libraries (Bargoonga Nganjin North Fitzroy Library and Richmond Library) and two leisure centres (Collingwood Leisure Centre and Richmond Recreation Centre) as safe, accessible spaces for community members during heatwaves. The sites will operate during severe and extreme heatwaves, as defined and declared by the Bureau of Meteorology, provided there is sufficient warning. </w:t>
      </w:r>
    </w:p>
    <w:p w14:paraId="457FB516" w14:textId="666C0DC2" w:rsidR="38A5F1A4" w:rsidRPr="004370C6" w:rsidRDefault="38A5F1A4" w:rsidP="0045165F">
      <w:pPr>
        <w:rPr>
          <w:rFonts w:ascii="Arial" w:hAnsi="Arial" w:cs="Arial"/>
        </w:rPr>
      </w:pPr>
      <w:r w:rsidRPr="004370C6">
        <w:rPr>
          <w:rFonts w:ascii="Arial" w:hAnsi="Arial" w:cs="Arial"/>
        </w:rPr>
        <w:t>550 ‘cool kits’ – including water bottles, sunscreen and cooling towels – are available during heatwaves to community members who may be struggling in the heat.</w:t>
      </w:r>
    </w:p>
    <w:p w14:paraId="665A14C3" w14:textId="41AA1334" w:rsidR="38A5F1A4" w:rsidRPr="004370C6" w:rsidRDefault="38A5F1A4" w:rsidP="00450305">
      <w:pPr>
        <w:pStyle w:val="Heading4"/>
        <w:rPr>
          <w:rStyle w:val="Heading5Char"/>
          <w:rFonts w:ascii="Arial" w:hAnsi="Arial" w:cs="Arial"/>
          <w:color w:val="auto"/>
        </w:rPr>
      </w:pPr>
      <w:bookmarkStart w:id="17" w:name="_Toc224732147"/>
      <w:r w:rsidRPr="004370C6">
        <w:rPr>
          <w:rStyle w:val="Heading5Char"/>
          <w:rFonts w:ascii="Arial" w:hAnsi="Arial" w:cs="Arial"/>
          <w:color w:val="auto"/>
        </w:rPr>
        <w:t>Collingwood Leisure Centre community battery and Electric Vehicle Chargers</w:t>
      </w:r>
      <w:bookmarkEnd w:id="17"/>
    </w:p>
    <w:p w14:paraId="3D0ED538" w14:textId="1CF3DB2B" w:rsidR="0674D22F" w:rsidRPr="004370C6" w:rsidRDefault="0674D22F" w:rsidP="0674D22F">
      <w:pPr>
        <w:spacing w:after="0" w:line="278" w:lineRule="auto"/>
        <w:rPr>
          <w:rFonts w:ascii="Arial" w:eastAsia="Aptos" w:hAnsi="Arial" w:cs="Arial"/>
        </w:rPr>
      </w:pPr>
    </w:p>
    <w:p w14:paraId="72B3A4B6" w14:textId="7EF860DA" w:rsidR="38A5F1A4" w:rsidRPr="004370C6" w:rsidRDefault="38A5F1A4" w:rsidP="0045165F">
      <w:pPr>
        <w:rPr>
          <w:rFonts w:ascii="Arial" w:hAnsi="Arial" w:cs="Arial"/>
        </w:rPr>
      </w:pPr>
      <w:r w:rsidRPr="004370C6">
        <w:rPr>
          <w:rFonts w:ascii="Arial" w:hAnsi="Arial" w:cs="Arial"/>
        </w:rPr>
        <w:t xml:space="preserve">Council and the Yarra Energy Foundation (YEF) have reached a key milestone to progress the installation of YEF’s community battery and two accessible electric vehicle </w:t>
      </w:r>
      <w:r w:rsidRPr="004370C6">
        <w:rPr>
          <w:rFonts w:ascii="Arial" w:hAnsi="Arial" w:cs="Arial"/>
        </w:rPr>
        <w:lastRenderedPageBreak/>
        <w:t xml:space="preserve">charging bays at the front of the Collingwood Leisure Centre. License agreements have now been fully executed by both parties. The battery and electric vehicle charging bays are expected to be installed early in the new year and operational by March 2026. The project is funded by a $750,000 grant from the Victorian Government’s Neighbourhood Battery Initiative. </w:t>
      </w:r>
    </w:p>
    <w:p w14:paraId="613C1505" w14:textId="77777777" w:rsidR="000F6A20" w:rsidRPr="004370C6" w:rsidRDefault="000F6A20" w:rsidP="0045165F">
      <w:pPr>
        <w:rPr>
          <w:rFonts w:ascii="Arial" w:eastAsiaTheme="majorEastAsia" w:hAnsi="Arial" w:cs="Arial"/>
          <w:sz w:val="32"/>
          <w:szCs w:val="32"/>
        </w:rPr>
      </w:pPr>
      <w:r w:rsidRPr="004370C6">
        <w:rPr>
          <w:rFonts w:ascii="Arial" w:hAnsi="Arial" w:cs="Arial"/>
        </w:rPr>
        <w:br w:type="page"/>
      </w:r>
    </w:p>
    <w:p w14:paraId="2B3A9A4A" w14:textId="3B770D0A" w:rsidR="64C03470" w:rsidRPr="004370C6" w:rsidRDefault="64C03470" w:rsidP="131C9040">
      <w:pPr>
        <w:pStyle w:val="Heading2"/>
        <w:rPr>
          <w:rFonts w:ascii="Arial" w:hAnsi="Arial" w:cs="Arial"/>
          <w:color w:val="auto"/>
        </w:rPr>
      </w:pPr>
      <w:bookmarkStart w:id="18" w:name="_Toc224732148"/>
      <w:r w:rsidRPr="004370C6">
        <w:rPr>
          <w:rFonts w:ascii="Arial" w:hAnsi="Arial" w:cs="Arial"/>
          <w:color w:val="auto"/>
        </w:rPr>
        <w:lastRenderedPageBreak/>
        <w:t>Strategic objective 2: Building the City</w:t>
      </w:r>
      <w:bookmarkEnd w:id="18"/>
      <w:r w:rsidRPr="004370C6">
        <w:rPr>
          <w:rFonts w:ascii="Arial" w:hAnsi="Arial" w:cs="Arial"/>
          <w:color w:val="auto"/>
        </w:rPr>
        <w:t xml:space="preserve"> </w:t>
      </w:r>
    </w:p>
    <w:p w14:paraId="7D94A5D0" w14:textId="38C0C09F" w:rsidR="2C68FB66" w:rsidRPr="004370C6" w:rsidRDefault="2C68FB66" w:rsidP="00632B83">
      <w:pPr>
        <w:pStyle w:val="Heading3"/>
        <w:rPr>
          <w:rFonts w:ascii="Arial" w:hAnsi="Arial" w:cs="Arial"/>
          <w:color w:val="auto"/>
        </w:rPr>
      </w:pPr>
      <w:bookmarkStart w:id="19" w:name="_Toc224732149"/>
      <w:r w:rsidRPr="004370C6">
        <w:rPr>
          <w:rFonts w:ascii="Arial" w:hAnsi="Arial" w:cs="Arial"/>
          <w:color w:val="auto"/>
        </w:rPr>
        <w:t xml:space="preserve">Capital Works </w:t>
      </w:r>
      <w:r w:rsidR="00430E51" w:rsidRPr="004370C6">
        <w:rPr>
          <w:rFonts w:ascii="Arial" w:hAnsi="Arial" w:cs="Arial"/>
          <w:color w:val="auto"/>
        </w:rPr>
        <w:t>u</w:t>
      </w:r>
      <w:r w:rsidRPr="004370C6">
        <w:rPr>
          <w:rFonts w:ascii="Arial" w:hAnsi="Arial" w:cs="Arial"/>
          <w:color w:val="auto"/>
        </w:rPr>
        <w:t>pdate</w:t>
      </w:r>
      <w:bookmarkEnd w:id="19"/>
      <w:r w:rsidRPr="004370C6">
        <w:rPr>
          <w:rFonts w:ascii="Arial" w:hAnsi="Arial" w:cs="Arial"/>
          <w:color w:val="auto"/>
        </w:rPr>
        <w:t xml:space="preserve"> </w:t>
      </w:r>
    </w:p>
    <w:p w14:paraId="385277CD" w14:textId="77777777" w:rsidR="00957A8C" w:rsidRPr="004370C6" w:rsidRDefault="00957A8C" w:rsidP="0045165F">
      <w:pPr>
        <w:rPr>
          <w:rFonts w:ascii="Arial" w:hAnsi="Arial" w:cs="Arial"/>
        </w:rPr>
      </w:pPr>
      <w:r w:rsidRPr="004370C6">
        <w:rPr>
          <w:rFonts w:ascii="Arial" w:hAnsi="Arial" w:cs="Arial"/>
        </w:rPr>
        <w:t>In 2025/26 Council is investing $38.51m through its Capital Works Program. This includes $2.75m of projects carried over from the previous financial year (2024/25).</w:t>
      </w:r>
    </w:p>
    <w:p w14:paraId="4ECAC332" w14:textId="77777777" w:rsidR="00957A8C" w:rsidRPr="004370C6" w:rsidRDefault="00957A8C" w:rsidP="0045165F">
      <w:pPr>
        <w:rPr>
          <w:rFonts w:ascii="Arial" w:hAnsi="Arial" w:cs="Arial"/>
        </w:rPr>
      </w:pPr>
      <w:r w:rsidRPr="004370C6">
        <w:rPr>
          <w:rFonts w:ascii="Arial" w:hAnsi="Arial" w:cs="Arial"/>
        </w:rPr>
        <w:t xml:space="preserve">Council continues to deliver capital projects that positively impact on our community, assets and infrastructure by: </w:t>
      </w:r>
    </w:p>
    <w:p w14:paraId="53AF3931" w14:textId="77777777" w:rsidR="00957A8C" w:rsidRPr="004370C6" w:rsidRDefault="00957A8C" w:rsidP="00E4643C">
      <w:pPr>
        <w:pStyle w:val="ListParagraph"/>
        <w:numPr>
          <w:ilvl w:val="0"/>
          <w:numId w:val="3"/>
        </w:numPr>
        <w:rPr>
          <w:rFonts w:ascii="Arial" w:hAnsi="Arial" w:cs="Arial"/>
        </w:rPr>
      </w:pPr>
      <w:r w:rsidRPr="004370C6">
        <w:rPr>
          <w:rFonts w:ascii="Arial" w:hAnsi="Arial" w:cs="Arial"/>
        </w:rPr>
        <w:t xml:space="preserve">improving community safety and asset functionality, </w:t>
      </w:r>
    </w:p>
    <w:p w14:paraId="0431F973" w14:textId="77777777" w:rsidR="00957A8C" w:rsidRPr="004370C6" w:rsidRDefault="00957A8C" w:rsidP="00E4643C">
      <w:pPr>
        <w:pStyle w:val="ListParagraph"/>
        <w:numPr>
          <w:ilvl w:val="0"/>
          <w:numId w:val="3"/>
        </w:numPr>
        <w:rPr>
          <w:rFonts w:ascii="Arial" w:hAnsi="Arial" w:cs="Arial"/>
        </w:rPr>
      </w:pPr>
      <w:r w:rsidRPr="004370C6">
        <w:rPr>
          <w:rFonts w:ascii="Arial" w:hAnsi="Arial" w:cs="Arial"/>
        </w:rPr>
        <w:t xml:space="preserve">increasing the life and reliability of assets, </w:t>
      </w:r>
    </w:p>
    <w:p w14:paraId="0C3B72CB" w14:textId="77777777" w:rsidR="00957A8C" w:rsidRPr="004370C6" w:rsidRDefault="00957A8C" w:rsidP="00E4643C">
      <w:pPr>
        <w:pStyle w:val="ListParagraph"/>
        <w:numPr>
          <w:ilvl w:val="0"/>
          <w:numId w:val="3"/>
        </w:numPr>
        <w:rPr>
          <w:rFonts w:ascii="Arial" w:hAnsi="Arial" w:cs="Arial"/>
        </w:rPr>
      </w:pPr>
      <w:r w:rsidRPr="004370C6">
        <w:rPr>
          <w:rFonts w:ascii="Arial" w:hAnsi="Arial" w:cs="Arial"/>
        </w:rPr>
        <w:t xml:space="preserve">increasing usability and efficiency, and </w:t>
      </w:r>
    </w:p>
    <w:p w14:paraId="5FAF8A32" w14:textId="77777777" w:rsidR="00957A8C" w:rsidRPr="004370C6" w:rsidRDefault="00957A8C" w:rsidP="00E4643C">
      <w:pPr>
        <w:pStyle w:val="ListParagraph"/>
        <w:numPr>
          <w:ilvl w:val="0"/>
          <w:numId w:val="3"/>
        </w:numPr>
        <w:rPr>
          <w:rFonts w:ascii="Arial" w:hAnsi="Arial" w:cs="Arial"/>
        </w:rPr>
      </w:pPr>
      <w:r w:rsidRPr="004370C6">
        <w:rPr>
          <w:rFonts w:ascii="Arial" w:hAnsi="Arial" w:cs="Arial"/>
        </w:rPr>
        <w:t>addressing our community’s current and future needs.</w:t>
      </w:r>
    </w:p>
    <w:p w14:paraId="6C557FB2" w14:textId="77777777" w:rsidR="00957A8C" w:rsidRPr="004370C6" w:rsidRDefault="00957A8C" w:rsidP="0045165F">
      <w:pPr>
        <w:rPr>
          <w:rFonts w:ascii="Arial" w:hAnsi="Arial" w:cs="Arial"/>
        </w:rPr>
      </w:pPr>
      <w:r w:rsidRPr="004370C6">
        <w:rPr>
          <w:rFonts w:ascii="Arial" w:hAnsi="Arial" w:cs="Arial"/>
        </w:rPr>
        <w:t>A summary of the capital program delivery at the end of quarter 2 (October to December 2025) is provided below.</w:t>
      </w:r>
    </w:p>
    <w:p w14:paraId="2710C035" w14:textId="71E58CE9" w:rsidR="00957A8C" w:rsidRPr="004370C6" w:rsidRDefault="00957A8C" w:rsidP="00632B83">
      <w:pPr>
        <w:pStyle w:val="Heading4"/>
        <w:rPr>
          <w:rFonts w:ascii="Arial" w:hAnsi="Arial" w:cs="Arial"/>
          <w:color w:val="auto"/>
        </w:rPr>
      </w:pPr>
      <w:bookmarkStart w:id="20" w:name="_Toc224732150"/>
      <w:r w:rsidRPr="004370C6">
        <w:rPr>
          <w:rFonts w:ascii="Arial" w:hAnsi="Arial" w:cs="Arial"/>
          <w:color w:val="auto"/>
        </w:rPr>
        <w:t xml:space="preserve">Overall </w:t>
      </w:r>
      <w:r w:rsidR="007F4B28" w:rsidRPr="004370C6">
        <w:rPr>
          <w:rFonts w:ascii="Arial" w:hAnsi="Arial" w:cs="Arial"/>
          <w:color w:val="auto"/>
        </w:rPr>
        <w:t>p</w:t>
      </w:r>
      <w:r w:rsidRPr="004370C6">
        <w:rPr>
          <w:rFonts w:ascii="Arial" w:hAnsi="Arial" w:cs="Arial"/>
          <w:color w:val="auto"/>
        </w:rPr>
        <w:t>erformance</w:t>
      </w:r>
      <w:bookmarkEnd w:id="20"/>
      <w:r w:rsidRPr="004370C6">
        <w:rPr>
          <w:rFonts w:ascii="Arial" w:hAnsi="Arial" w:cs="Arial"/>
          <w:color w:val="auto"/>
        </w:rPr>
        <w:t xml:space="preserve"> </w:t>
      </w:r>
    </w:p>
    <w:p w14:paraId="48AA8480" w14:textId="77777777" w:rsidR="00957A8C" w:rsidRPr="004370C6" w:rsidRDefault="00957A8C" w:rsidP="004B35F8">
      <w:pPr>
        <w:rPr>
          <w:rFonts w:ascii="Arial" w:hAnsi="Arial" w:cs="Arial"/>
        </w:rPr>
      </w:pPr>
      <w:r w:rsidRPr="004370C6">
        <w:rPr>
          <w:rFonts w:ascii="Arial" w:hAnsi="Arial" w:cs="Arial"/>
        </w:rPr>
        <w:t xml:space="preserve">The program is progressing as planned with measures in place to manage any risks which may emerge. A total of $13.51m (35.07%) of the adopted capital works budget was spent in quarters 1 and 2. </w:t>
      </w:r>
    </w:p>
    <w:tbl>
      <w:tblPr>
        <w:tblStyle w:val="TableGrid"/>
        <w:tblW w:w="0" w:type="auto"/>
        <w:jc w:val="center"/>
        <w:tblLook w:val="04A0" w:firstRow="1" w:lastRow="0" w:firstColumn="1" w:lastColumn="0" w:noHBand="0" w:noVBand="1"/>
      </w:tblPr>
      <w:tblGrid>
        <w:gridCol w:w="2425"/>
        <w:gridCol w:w="2340"/>
      </w:tblGrid>
      <w:tr w:rsidR="003C1AB7" w:rsidRPr="004370C6" w14:paraId="793C7CD1" w14:textId="77777777" w:rsidTr="008F7C8F">
        <w:trPr>
          <w:trHeight w:val="251"/>
          <w:jc w:val="center"/>
        </w:trPr>
        <w:tc>
          <w:tcPr>
            <w:tcW w:w="2425" w:type="dxa"/>
          </w:tcPr>
          <w:p w14:paraId="50A9F4C5" w14:textId="77777777" w:rsidR="00957A8C" w:rsidRPr="004370C6" w:rsidRDefault="00957A8C" w:rsidP="008F7C8F">
            <w:pPr>
              <w:spacing w:after="160" w:line="278" w:lineRule="auto"/>
              <w:rPr>
                <w:rFonts w:ascii="Arial" w:eastAsiaTheme="minorHAnsi" w:hAnsi="Arial" w:cs="Arial"/>
                <w:kern w:val="2"/>
                <w:sz w:val="22"/>
                <w:szCs w:val="22"/>
                <w:lang w:val="en-AU" w:eastAsia="en-US"/>
                <w14:ligatures w14:val="standardContextual"/>
              </w:rPr>
            </w:pPr>
            <w:r w:rsidRPr="004370C6">
              <w:rPr>
                <w:rFonts w:ascii="Arial" w:eastAsiaTheme="minorHAnsi" w:hAnsi="Arial" w:cs="Arial"/>
                <w:kern w:val="2"/>
                <w:sz w:val="22"/>
                <w:szCs w:val="22"/>
                <w:lang w:val="en-AU" w:eastAsia="en-US"/>
                <w14:ligatures w14:val="standardContextual"/>
              </w:rPr>
              <w:t>Project Status</w:t>
            </w:r>
          </w:p>
        </w:tc>
        <w:tc>
          <w:tcPr>
            <w:tcW w:w="2340" w:type="dxa"/>
          </w:tcPr>
          <w:p w14:paraId="23201457" w14:textId="77777777" w:rsidR="00957A8C" w:rsidRPr="004370C6" w:rsidRDefault="00957A8C" w:rsidP="008F7C8F">
            <w:pPr>
              <w:spacing w:line="278" w:lineRule="auto"/>
              <w:jc w:val="center"/>
              <w:rPr>
                <w:rFonts w:ascii="Arial" w:hAnsi="Arial" w:cs="Arial"/>
                <w:kern w:val="2"/>
                <w:sz w:val="22"/>
                <w:szCs w:val="22"/>
                <w:lang w:val="en-AU" w:eastAsia="en-US"/>
                <w14:ligatures w14:val="standardContextual"/>
              </w:rPr>
            </w:pPr>
            <w:r w:rsidRPr="004370C6">
              <w:rPr>
                <w:rFonts w:ascii="Arial" w:hAnsi="Arial" w:cs="Arial"/>
                <w:sz w:val="22"/>
                <w:szCs w:val="22"/>
                <w:lang w:val="en-AU" w:eastAsia="en-US"/>
              </w:rPr>
              <w:t xml:space="preserve">Year-To-Date totals </w:t>
            </w:r>
          </w:p>
          <w:p w14:paraId="20B9213A" w14:textId="77777777" w:rsidR="00957A8C" w:rsidRPr="004370C6" w:rsidRDefault="00957A8C" w:rsidP="008F7C8F">
            <w:pPr>
              <w:spacing w:line="278" w:lineRule="auto"/>
              <w:jc w:val="center"/>
              <w:rPr>
                <w:rFonts w:ascii="Arial" w:hAnsi="Arial" w:cs="Arial"/>
                <w:kern w:val="2"/>
                <w:sz w:val="22"/>
                <w:szCs w:val="22"/>
                <w:lang w:val="en-AU" w:eastAsia="en-US"/>
                <w14:ligatures w14:val="standardContextual"/>
              </w:rPr>
            </w:pPr>
            <w:r w:rsidRPr="004370C6">
              <w:rPr>
                <w:rFonts w:ascii="Arial" w:hAnsi="Arial" w:cs="Arial"/>
                <w:kern w:val="2"/>
                <w:sz w:val="22"/>
                <w:szCs w:val="22"/>
                <w:lang w:val="en-AU" w:eastAsia="en-US"/>
                <w14:ligatures w14:val="standardContextual"/>
              </w:rPr>
              <w:t>(Q1+Q2)</w:t>
            </w:r>
          </w:p>
        </w:tc>
      </w:tr>
      <w:tr w:rsidR="003C1AB7" w:rsidRPr="004370C6" w14:paraId="077C4CE3" w14:textId="77777777" w:rsidTr="008F7C8F">
        <w:trPr>
          <w:trHeight w:val="162"/>
          <w:jc w:val="center"/>
        </w:trPr>
        <w:tc>
          <w:tcPr>
            <w:tcW w:w="2425" w:type="dxa"/>
          </w:tcPr>
          <w:p w14:paraId="208D5A75" w14:textId="77777777" w:rsidR="00957A8C" w:rsidRPr="004370C6" w:rsidRDefault="00957A8C" w:rsidP="008F7C8F">
            <w:pPr>
              <w:spacing w:after="160" w:line="278" w:lineRule="auto"/>
              <w:rPr>
                <w:rFonts w:ascii="Arial" w:eastAsiaTheme="minorHAnsi" w:hAnsi="Arial" w:cs="Arial"/>
                <w:kern w:val="2"/>
                <w:sz w:val="22"/>
                <w:szCs w:val="22"/>
                <w:lang w:val="en-AU" w:eastAsia="en-US"/>
                <w14:ligatures w14:val="standardContextual"/>
              </w:rPr>
            </w:pPr>
            <w:r w:rsidRPr="004370C6">
              <w:rPr>
                <w:rFonts w:ascii="Arial" w:eastAsiaTheme="minorHAnsi" w:hAnsi="Arial" w:cs="Arial"/>
                <w:kern w:val="2"/>
                <w:sz w:val="22"/>
                <w:szCs w:val="22"/>
                <w:lang w:val="en-AU" w:eastAsia="en-US"/>
                <w14:ligatures w14:val="standardContextual"/>
              </w:rPr>
              <w:t>Completed</w:t>
            </w:r>
          </w:p>
        </w:tc>
        <w:tc>
          <w:tcPr>
            <w:tcW w:w="2340" w:type="dxa"/>
          </w:tcPr>
          <w:p w14:paraId="69D41025" w14:textId="77777777" w:rsidR="00957A8C" w:rsidRPr="004370C6" w:rsidRDefault="00957A8C" w:rsidP="008F7C8F">
            <w:pPr>
              <w:shd w:val="clear" w:color="auto" w:fill="FFFFFF" w:themeFill="background1"/>
              <w:spacing w:after="160" w:line="278" w:lineRule="auto"/>
              <w:jc w:val="center"/>
              <w:rPr>
                <w:rFonts w:ascii="Arial" w:eastAsiaTheme="minorHAnsi" w:hAnsi="Arial" w:cs="Arial"/>
                <w:kern w:val="2"/>
                <w:sz w:val="22"/>
                <w:szCs w:val="22"/>
                <w:lang w:val="en-AU" w:eastAsia="en-US"/>
                <w14:ligatures w14:val="standardContextual"/>
              </w:rPr>
            </w:pPr>
            <w:r w:rsidRPr="004370C6">
              <w:rPr>
                <w:rFonts w:ascii="Arial" w:eastAsiaTheme="minorHAnsi" w:hAnsi="Arial" w:cs="Arial"/>
                <w:kern w:val="2"/>
                <w:sz w:val="22"/>
                <w:szCs w:val="22"/>
                <w:lang w:val="en-AU" w:eastAsia="en-US"/>
                <w14:ligatures w14:val="standardContextual"/>
              </w:rPr>
              <w:t>32</w:t>
            </w:r>
          </w:p>
        </w:tc>
      </w:tr>
      <w:tr w:rsidR="003C1AB7" w:rsidRPr="004370C6" w14:paraId="5E7935E0" w14:textId="77777777" w:rsidTr="008F7C8F">
        <w:trPr>
          <w:trHeight w:val="162"/>
          <w:jc w:val="center"/>
        </w:trPr>
        <w:tc>
          <w:tcPr>
            <w:tcW w:w="2425" w:type="dxa"/>
          </w:tcPr>
          <w:p w14:paraId="469E5417" w14:textId="77777777" w:rsidR="00957A8C" w:rsidRPr="004370C6" w:rsidRDefault="00957A8C" w:rsidP="008F7C8F">
            <w:pPr>
              <w:spacing w:after="160" w:line="278" w:lineRule="auto"/>
              <w:rPr>
                <w:rFonts w:ascii="Arial" w:eastAsiaTheme="minorHAnsi" w:hAnsi="Arial" w:cs="Arial"/>
                <w:kern w:val="2"/>
                <w:sz w:val="22"/>
                <w:szCs w:val="22"/>
                <w:lang w:val="en-AU" w:eastAsia="en-US"/>
                <w14:ligatures w14:val="standardContextual"/>
              </w:rPr>
            </w:pPr>
            <w:r w:rsidRPr="004370C6">
              <w:rPr>
                <w:rFonts w:ascii="Arial" w:eastAsiaTheme="minorHAnsi" w:hAnsi="Arial" w:cs="Arial"/>
                <w:kern w:val="2"/>
                <w:sz w:val="22"/>
                <w:szCs w:val="22"/>
                <w:lang w:val="en-AU" w:eastAsia="en-US"/>
                <w14:ligatures w14:val="standardContextual"/>
              </w:rPr>
              <w:t>Underway</w:t>
            </w:r>
          </w:p>
        </w:tc>
        <w:tc>
          <w:tcPr>
            <w:tcW w:w="2340" w:type="dxa"/>
          </w:tcPr>
          <w:p w14:paraId="430CD5F7" w14:textId="77777777" w:rsidR="00957A8C" w:rsidRPr="004370C6" w:rsidRDefault="00957A8C" w:rsidP="008F7C8F">
            <w:pPr>
              <w:shd w:val="clear" w:color="auto" w:fill="FFFFFF" w:themeFill="background1"/>
              <w:spacing w:after="160" w:line="278" w:lineRule="auto"/>
              <w:jc w:val="center"/>
              <w:rPr>
                <w:rFonts w:ascii="Arial" w:eastAsiaTheme="minorHAnsi" w:hAnsi="Arial" w:cs="Arial"/>
                <w:kern w:val="2"/>
                <w:sz w:val="22"/>
                <w:szCs w:val="22"/>
                <w:lang w:val="en-AU" w:eastAsia="en-US"/>
                <w14:ligatures w14:val="standardContextual"/>
              </w:rPr>
            </w:pPr>
            <w:r w:rsidRPr="004370C6">
              <w:rPr>
                <w:rFonts w:ascii="Arial" w:eastAsiaTheme="minorHAnsi" w:hAnsi="Arial" w:cs="Arial"/>
                <w:kern w:val="2"/>
                <w:sz w:val="22"/>
                <w:szCs w:val="22"/>
                <w:lang w:val="en-AU" w:eastAsia="en-US"/>
                <w14:ligatures w14:val="standardContextual"/>
              </w:rPr>
              <w:t>143</w:t>
            </w:r>
          </w:p>
        </w:tc>
      </w:tr>
      <w:tr w:rsidR="009D0440" w:rsidRPr="004370C6" w14:paraId="532F2D01" w14:textId="77777777" w:rsidTr="008F7C8F">
        <w:trPr>
          <w:trHeight w:val="162"/>
          <w:jc w:val="center"/>
        </w:trPr>
        <w:tc>
          <w:tcPr>
            <w:tcW w:w="2425" w:type="dxa"/>
          </w:tcPr>
          <w:p w14:paraId="6B14C7B6" w14:textId="77777777" w:rsidR="00957A8C" w:rsidRPr="004370C6" w:rsidRDefault="00957A8C" w:rsidP="008F7C8F">
            <w:pPr>
              <w:spacing w:after="160" w:line="278" w:lineRule="auto"/>
              <w:rPr>
                <w:rFonts w:ascii="Arial" w:eastAsiaTheme="minorHAnsi" w:hAnsi="Arial" w:cs="Arial"/>
                <w:kern w:val="2"/>
                <w:sz w:val="22"/>
                <w:szCs w:val="22"/>
                <w:lang w:val="en-AU" w:eastAsia="en-US"/>
                <w14:ligatures w14:val="standardContextual"/>
              </w:rPr>
            </w:pPr>
            <w:r w:rsidRPr="004370C6">
              <w:rPr>
                <w:rFonts w:ascii="Arial" w:eastAsiaTheme="minorHAnsi" w:hAnsi="Arial" w:cs="Arial"/>
                <w:kern w:val="2"/>
                <w:sz w:val="22"/>
                <w:szCs w:val="22"/>
                <w:lang w:val="en-AU" w:eastAsia="en-US"/>
                <w14:ligatures w14:val="standardContextual"/>
              </w:rPr>
              <w:t>Cancelled/ deferred</w:t>
            </w:r>
          </w:p>
        </w:tc>
        <w:tc>
          <w:tcPr>
            <w:tcW w:w="2340" w:type="dxa"/>
          </w:tcPr>
          <w:p w14:paraId="173E7C31" w14:textId="77777777" w:rsidR="00957A8C" w:rsidRPr="004370C6" w:rsidRDefault="00957A8C" w:rsidP="008F7C8F">
            <w:pPr>
              <w:spacing w:after="160" w:line="278" w:lineRule="auto"/>
              <w:jc w:val="center"/>
              <w:rPr>
                <w:rFonts w:ascii="Arial" w:eastAsiaTheme="minorHAnsi" w:hAnsi="Arial" w:cs="Arial"/>
                <w:kern w:val="2"/>
                <w:sz w:val="22"/>
                <w:szCs w:val="22"/>
                <w:lang w:val="en-AU" w:eastAsia="en-US"/>
                <w14:ligatures w14:val="standardContextual"/>
              </w:rPr>
            </w:pPr>
            <w:r w:rsidRPr="004370C6">
              <w:rPr>
                <w:rFonts w:ascii="Arial" w:eastAsiaTheme="minorHAnsi" w:hAnsi="Arial" w:cs="Arial"/>
                <w:kern w:val="2"/>
                <w:sz w:val="22"/>
                <w:szCs w:val="22"/>
                <w:lang w:val="en-AU" w:eastAsia="en-US"/>
                <w14:ligatures w14:val="standardContextual"/>
              </w:rPr>
              <w:t>8</w:t>
            </w:r>
          </w:p>
        </w:tc>
      </w:tr>
    </w:tbl>
    <w:p w14:paraId="53DE6AF6" w14:textId="77777777" w:rsidR="00957A8C" w:rsidRPr="004370C6" w:rsidRDefault="00957A8C" w:rsidP="00957A8C">
      <w:pPr>
        <w:rPr>
          <w:rFonts w:ascii="Arial" w:hAnsi="Arial" w:cs="Arial"/>
          <w:sz w:val="22"/>
          <w:szCs w:val="22"/>
        </w:rPr>
      </w:pPr>
    </w:p>
    <w:p w14:paraId="16BA32EA" w14:textId="77777777" w:rsidR="00957A8C" w:rsidRPr="004370C6" w:rsidRDefault="00957A8C" w:rsidP="004B35F8">
      <w:pPr>
        <w:rPr>
          <w:rFonts w:ascii="Arial" w:hAnsi="Arial" w:cs="Arial"/>
        </w:rPr>
      </w:pPr>
      <w:r w:rsidRPr="004370C6">
        <w:rPr>
          <w:rFonts w:ascii="Arial" w:hAnsi="Arial" w:cs="Arial"/>
          <w:sz w:val="22"/>
          <w:szCs w:val="22"/>
        </w:rPr>
        <w:t>More details about each</w:t>
      </w:r>
      <w:r w:rsidRPr="004370C6">
        <w:rPr>
          <w:rFonts w:ascii="Arial" w:hAnsi="Arial" w:cs="Arial"/>
        </w:rPr>
        <w:t xml:space="preserve"> category of capital works are provided below. </w:t>
      </w:r>
    </w:p>
    <w:p w14:paraId="004002CB" w14:textId="4639308E" w:rsidR="00957A8C" w:rsidRPr="004370C6" w:rsidRDefault="00957A8C" w:rsidP="00632B83">
      <w:pPr>
        <w:pStyle w:val="Heading4"/>
        <w:rPr>
          <w:rFonts w:ascii="Arial" w:hAnsi="Arial" w:cs="Arial"/>
          <w:color w:val="auto"/>
        </w:rPr>
      </w:pPr>
      <w:bookmarkStart w:id="21" w:name="_Toc224732151"/>
      <w:r w:rsidRPr="004370C6">
        <w:rPr>
          <w:rFonts w:ascii="Arial" w:hAnsi="Arial" w:cs="Arial"/>
          <w:color w:val="auto"/>
        </w:rPr>
        <w:t xml:space="preserve">Infrastructure (including </w:t>
      </w:r>
      <w:r w:rsidR="008F2905" w:rsidRPr="004370C6">
        <w:rPr>
          <w:rFonts w:ascii="Arial" w:hAnsi="Arial" w:cs="Arial"/>
          <w:color w:val="auto"/>
        </w:rPr>
        <w:t>o</w:t>
      </w:r>
      <w:r w:rsidRPr="004370C6">
        <w:rPr>
          <w:rFonts w:ascii="Arial" w:hAnsi="Arial" w:cs="Arial"/>
          <w:color w:val="auto"/>
        </w:rPr>
        <w:t xml:space="preserve">pen </w:t>
      </w:r>
      <w:r w:rsidR="008F2905" w:rsidRPr="004370C6">
        <w:rPr>
          <w:rFonts w:ascii="Arial" w:hAnsi="Arial" w:cs="Arial"/>
          <w:color w:val="auto"/>
        </w:rPr>
        <w:t>s</w:t>
      </w:r>
      <w:r w:rsidRPr="004370C6">
        <w:rPr>
          <w:rFonts w:ascii="Arial" w:hAnsi="Arial" w:cs="Arial"/>
          <w:color w:val="auto"/>
        </w:rPr>
        <w:t xml:space="preserve">paces, </w:t>
      </w:r>
      <w:r w:rsidR="008F2905" w:rsidRPr="004370C6">
        <w:rPr>
          <w:rFonts w:ascii="Arial" w:hAnsi="Arial" w:cs="Arial"/>
          <w:color w:val="auto"/>
        </w:rPr>
        <w:t>t</w:t>
      </w:r>
      <w:r w:rsidRPr="004370C6">
        <w:rPr>
          <w:rFonts w:ascii="Arial" w:hAnsi="Arial" w:cs="Arial"/>
          <w:color w:val="auto"/>
        </w:rPr>
        <w:t xml:space="preserve">ransport, and </w:t>
      </w:r>
      <w:r w:rsidR="008F2905" w:rsidRPr="004370C6">
        <w:rPr>
          <w:rFonts w:ascii="Arial" w:hAnsi="Arial" w:cs="Arial"/>
          <w:color w:val="auto"/>
        </w:rPr>
        <w:t>s</w:t>
      </w:r>
      <w:r w:rsidRPr="004370C6">
        <w:rPr>
          <w:rFonts w:ascii="Arial" w:hAnsi="Arial" w:cs="Arial"/>
          <w:color w:val="auto"/>
        </w:rPr>
        <w:t>tormwater)</w:t>
      </w:r>
      <w:bookmarkEnd w:id="21"/>
    </w:p>
    <w:p w14:paraId="32B7D9AC" w14:textId="77777777" w:rsidR="00957A8C" w:rsidRPr="004370C6" w:rsidRDefault="00957A8C" w:rsidP="004B35F8">
      <w:pPr>
        <w:rPr>
          <w:rFonts w:ascii="Arial" w:hAnsi="Arial" w:cs="Arial"/>
        </w:rPr>
      </w:pPr>
      <w:r w:rsidRPr="004370C6">
        <w:rPr>
          <w:rFonts w:ascii="Arial" w:hAnsi="Arial" w:cs="Arial"/>
        </w:rPr>
        <w:t>This category includes planned renewals, and upgrades to open spaces, footpaths, roads, kerb and channel, drainage and cycling infrastructure across 136 projects.</w:t>
      </w:r>
    </w:p>
    <w:p w14:paraId="5226709B" w14:textId="4D73920B" w:rsidR="00957A8C" w:rsidRPr="004370C6" w:rsidRDefault="00957A8C" w:rsidP="004B35F8">
      <w:pPr>
        <w:rPr>
          <w:rFonts w:ascii="Arial" w:hAnsi="Arial" w:cs="Arial"/>
        </w:rPr>
      </w:pPr>
      <w:r w:rsidRPr="004370C6">
        <w:rPr>
          <w:rFonts w:ascii="Arial" w:hAnsi="Arial" w:cs="Arial"/>
        </w:rPr>
        <w:t>At the end of quarter 2,</w:t>
      </w:r>
      <w:r w:rsidRPr="004370C6" w:rsidDel="008E06C7">
        <w:rPr>
          <w:rFonts w:ascii="Arial" w:hAnsi="Arial" w:cs="Arial"/>
        </w:rPr>
        <w:t xml:space="preserve"> </w:t>
      </w:r>
      <w:r w:rsidRPr="004370C6">
        <w:rPr>
          <w:rFonts w:ascii="Arial" w:hAnsi="Arial" w:cs="Arial"/>
        </w:rPr>
        <w:t>expenditure on the infrastructure category was $9.66m, representing 41.17% of the adopted budget for these assets. Fifteen projects were completed in this quarter (28 total for 25/26), listed below</w:t>
      </w:r>
      <w:r w:rsidR="004B35F8" w:rsidRPr="004370C6">
        <w:rPr>
          <w:rFonts w:ascii="Arial" w:hAnsi="Arial" w:cs="Arial"/>
        </w:rPr>
        <w:t>.</w:t>
      </w:r>
    </w:p>
    <w:p w14:paraId="27BAB95C" w14:textId="7D5079D2" w:rsidR="00957A8C" w:rsidRPr="004370C6" w:rsidRDefault="00957A8C" w:rsidP="00632B83">
      <w:pPr>
        <w:pStyle w:val="Heading4"/>
        <w:rPr>
          <w:rFonts w:ascii="Arial" w:hAnsi="Arial" w:cs="Arial"/>
          <w:color w:val="auto"/>
        </w:rPr>
      </w:pPr>
      <w:bookmarkStart w:id="22" w:name="_Toc224732152"/>
      <w:r w:rsidRPr="004370C6">
        <w:rPr>
          <w:rFonts w:ascii="Arial" w:hAnsi="Arial" w:cs="Arial"/>
          <w:color w:val="auto"/>
        </w:rPr>
        <w:t xml:space="preserve">Completed </w:t>
      </w:r>
      <w:r w:rsidR="008F2905" w:rsidRPr="004370C6">
        <w:rPr>
          <w:rFonts w:ascii="Arial" w:hAnsi="Arial" w:cs="Arial"/>
          <w:color w:val="auto"/>
        </w:rPr>
        <w:t>o</w:t>
      </w:r>
      <w:r w:rsidRPr="004370C6">
        <w:rPr>
          <w:rFonts w:ascii="Arial" w:hAnsi="Arial" w:cs="Arial"/>
          <w:color w:val="auto"/>
        </w:rPr>
        <w:t xml:space="preserve">pen </w:t>
      </w:r>
      <w:r w:rsidR="008F2905" w:rsidRPr="004370C6">
        <w:rPr>
          <w:rFonts w:ascii="Arial" w:hAnsi="Arial" w:cs="Arial"/>
          <w:color w:val="auto"/>
        </w:rPr>
        <w:t>s</w:t>
      </w:r>
      <w:r w:rsidRPr="004370C6">
        <w:rPr>
          <w:rFonts w:ascii="Arial" w:hAnsi="Arial" w:cs="Arial"/>
          <w:color w:val="auto"/>
        </w:rPr>
        <w:t>pace projects</w:t>
      </w:r>
      <w:r w:rsidR="009C2E1D" w:rsidRPr="004370C6">
        <w:rPr>
          <w:rFonts w:ascii="Arial" w:hAnsi="Arial" w:cs="Arial"/>
          <w:color w:val="auto"/>
        </w:rPr>
        <w:t xml:space="preserve"> in Q2</w:t>
      </w:r>
      <w:bookmarkEnd w:id="22"/>
    </w:p>
    <w:p w14:paraId="2B53DCBE" w14:textId="66006D2C" w:rsidR="009C2E1D" w:rsidRPr="004370C6" w:rsidRDefault="009C2E1D" w:rsidP="00E4643C">
      <w:pPr>
        <w:pStyle w:val="ListParagraph"/>
        <w:numPr>
          <w:ilvl w:val="0"/>
          <w:numId w:val="4"/>
        </w:numPr>
        <w:rPr>
          <w:rFonts w:ascii="Arial" w:hAnsi="Arial" w:cs="Arial"/>
        </w:rPr>
      </w:pPr>
      <w:r w:rsidRPr="004370C6">
        <w:rPr>
          <w:rFonts w:ascii="Arial" w:hAnsi="Arial" w:cs="Arial"/>
        </w:rPr>
        <w:t xml:space="preserve">Streetscape improvement - </w:t>
      </w:r>
      <w:r w:rsidR="00992F1D" w:rsidRPr="004370C6">
        <w:rPr>
          <w:rFonts w:ascii="Arial" w:hAnsi="Arial" w:cs="Arial"/>
        </w:rPr>
        <w:t>corner</w:t>
      </w:r>
      <w:r w:rsidRPr="004370C6">
        <w:rPr>
          <w:rFonts w:ascii="Arial" w:hAnsi="Arial" w:cs="Arial"/>
        </w:rPr>
        <w:t xml:space="preserve"> Gertrude and Brunswick St, Fitzroy</w:t>
      </w:r>
    </w:p>
    <w:p w14:paraId="4B4837BE" w14:textId="77777777" w:rsidR="009C2E1D" w:rsidRPr="004370C6" w:rsidRDefault="009C2E1D" w:rsidP="00E4643C">
      <w:pPr>
        <w:pStyle w:val="ListParagraph"/>
        <w:numPr>
          <w:ilvl w:val="0"/>
          <w:numId w:val="4"/>
        </w:numPr>
        <w:rPr>
          <w:rFonts w:ascii="Arial" w:hAnsi="Arial" w:cs="Arial"/>
        </w:rPr>
      </w:pPr>
      <w:r w:rsidRPr="004370C6">
        <w:rPr>
          <w:rFonts w:ascii="Arial" w:hAnsi="Arial" w:cs="Arial"/>
        </w:rPr>
        <w:t>Open space pathway renewals</w:t>
      </w:r>
    </w:p>
    <w:p w14:paraId="3C4250E3" w14:textId="2C8F623F" w:rsidR="009C2E1D" w:rsidRPr="004370C6" w:rsidRDefault="009C2E1D" w:rsidP="00E4643C">
      <w:pPr>
        <w:pStyle w:val="ListParagraph"/>
        <w:numPr>
          <w:ilvl w:val="0"/>
          <w:numId w:val="4"/>
        </w:numPr>
        <w:rPr>
          <w:rFonts w:ascii="Arial" w:hAnsi="Arial" w:cs="Arial"/>
        </w:rPr>
      </w:pPr>
      <w:r w:rsidRPr="004370C6">
        <w:rPr>
          <w:rFonts w:ascii="Arial" w:hAnsi="Arial" w:cs="Arial"/>
        </w:rPr>
        <w:lastRenderedPageBreak/>
        <w:t>Ottery ramp upgrade, Richmond</w:t>
      </w:r>
    </w:p>
    <w:p w14:paraId="041BBF8B" w14:textId="60975B69" w:rsidR="00957A8C" w:rsidRPr="004370C6" w:rsidRDefault="00957A8C" w:rsidP="00632B83">
      <w:pPr>
        <w:pStyle w:val="Heading4"/>
        <w:rPr>
          <w:rFonts w:ascii="Arial" w:hAnsi="Arial" w:cs="Arial"/>
          <w:color w:val="auto"/>
        </w:rPr>
      </w:pPr>
      <w:bookmarkStart w:id="23" w:name="_Toc224732153"/>
      <w:r w:rsidRPr="004370C6">
        <w:rPr>
          <w:rFonts w:ascii="Arial" w:hAnsi="Arial" w:cs="Arial"/>
          <w:color w:val="auto"/>
        </w:rPr>
        <w:t xml:space="preserve">Completed </w:t>
      </w:r>
      <w:r w:rsidR="008F2905" w:rsidRPr="004370C6">
        <w:rPr>
          <w:rFonts w:ascii="Arial" w:hAnsi="Arial" w:cs="Arial"/>
          <w:color w:val="auto"/>
        </w:rPr>
        <w:t>r</w:t>
      </w:r>
      <w:r w:rsidRPr="004370C6">
        <w:rPr>
          <w:rFonts w:ascii="Arial" w:hAnsi="Arial" w:cs="Arial"/>
          <w:color w:val="auto"/>
        </w:rPr>
        <w:t>oads projects</w:t>
      </w:r>
      <w:r w:rsidR="009C2E1D" w:rsidRPr="004370C6">
        <w:rPr>
          <w:rFonts w:ascii="Arial" w:hAnsi="Arial" w:cs="Arial"/>
          <w:color w:val="auto"/>
        </w:rPr>
        <w:t xml:space="preserve"> in Q2</w:t>
      </w:r>
      <w:bookmarkEnd w:id="23"/>
    </w:p>
    <w:p w14:paraId="38447A06" w14:textId="77777777" w:rsidR="009C2E1D" w:rsidRPr="004370C6" w:rsidRDefault="009C2E1D" w:rsidP="00E4643C">
      <w:pPr>
        <w:pStyle w:val="ListParagraph"/>
        <w:numPr>
          <w:ilvl w:val="0"/>
          <w:numId w:val="5"/>
        </w:numPr>
        <w:rPr>
          <w:rFonts w:ascii="Arial" w:hAnsi="Arial" w:cs="Arial"/>
        </w:rPr>
      </w:pPr>
      <w:r w:rsidRPr="004370C6">
        <w:rPr>
          <w:rFonts w:ascii="Arial" w:hAnsi="Arial" w:cs="Arial"/>
        </w:rPr>
        <w:t>Footpath and kerb and channel renewal works - Council St, Clifton Hill (Smith St to Wellington St)</w:t>
      </w:r>
    </w:p>
    <w:p w14:paraId="360A110C" w14:textId="77777777" w:rsidR="009C2E1D" w:rsidRPr="004370C6" w:rsidRDefault="009C2E1D" w:rsidP="00E4643C">
      <w:pPr>
        <w:pStyle w:val="ListParagraph"/>
        <w:numPr>
          <w:ilvl w:val="0"/>
          <w:numId w:val="5"/>
        </w:numPr>
        <w:rPr>
          <w:rFonts w:ascii="Arial" w:hAnsi="Arial" w:cs="Arial"/>
        </w:rPr>
      </w:pPr>
      <w:r w:rsidRPr="004370C6">
        <w:rPr>
          <w:rFonts w:ascii="Arial" w:hAnsi="Arial" w:cs="Arial"/>
        </w:rPr>
        <w:t>Footpath and kerb and channel renewal works - McCutcheon St, Collingwood (Cromwell St to Campbell St)</w:t>
      </w:r>
    </w:p>
    <w:p w14:paraId="3B3CBD2C" w14:textId="77777777" w:rsidR="009C2E1D" w:rsidRPr="004370C6" w:rsidRDefault="009C2E1D" w:rsidP="00E4643C">
      <w:pPr>
        <w:pStyle w:val="ListParagraph"/>
        <w:numPr>
          <w:ilvl w:val="0"/>
          <w:numId w:val="5"/>
        </w:numPr>
        <w:rPr>
          <w:rFonts w:ascii="Arial" w:hAnsi="Arial" w:cs="Arial"/>
        </w:rPr>
      </w:pPr>
      <w:r w:rsidRPr="004370C6">
        <w:rPr>
          <w:rFonts w:ascii="Arial" w:hAnsi="Arial" w:cs="Arial"/>
        </w:rPr>
        <w:t>Road, kerb and channel, footpath renewal works - Amess St, Carlton North (Park St to Pigdon St)</w:t>
      </w:r>
    </w:p>
    <w:p w14:paraId="24320339" w14:textId="77777777" w:rsidR="009C2E1D" w:rsidRPr="004370C6" w:rsidRDefault="009C2E1D" w:rsidP="00E4643C">
      <w:pPr>
        <w:pStyle w:val="ListParagraph"/>
        <w:numPr>
          <w:ilvl w:val="0"/>
          <w:numId w:val="5"/>
        </w:numPr>
        <w:rPr>
          <w:rFonts w:ascii="Arial" w:hAnsi="Arial" w:cs="Arial"/>
        </w:rPr>
      </w:pPr>
      <w:r w:rsidRPr="004370C6">
        <w:rPr>
          <w:rFonts w:ascii="Arial" w:hAnsi="Arial" w:cs="Arial"/>
        </w:rPr>
        <w:t>Road, kerb and channel, footpath renewal works - James St, Fitzroy (Brunswick to Fitzroy)</w:t>
      </w:r>
    </w:p>
    <w:p w14:paraId="2DB26B10" w14:textId="77777777" w:rsidR="009C2E1D" w:rsidRPr="004370C6" w:rsidRDefault="009C2E1D" w:rsidP="00E4643C">
      <w:pPr>
        <w:pStyle w:val="ListParagraph"/>
        <w:numPr>
          <w:ilvl w:val="0"/>
          <w:numId w:val="5"/>
        </w:numPr>
        <w:rPr>
          <w:rFonts w:ascii="Arial" w:hAnsi="Arial" w:cs="Arial"/>
        </w:rPr>
      </w:pPr>
      <w:r w:rsidRPr="004370C6">
        <w:rPr>
          <w:rFonts w:ascii="Arial" w:hAnsi="Arial" w:cs="Arial"/>
        </w:rPr>
        <w:t>Road renewal works - Kennedy St, Richmond (Johnson to end of street)</w:t>
      </w:r>
    </w:p>
    <w:p w14:paraId="30C217FC" w14:textId="77777777" w:rsidR="009C2E1D" w:rsidRPr="004370C6" w:rsidRDefault="009C2E1D" w:rsidP="00E4643C">
      <w:pPr>
        <w:pStyle w:val="ListParagraph"/>
        <w:numPr>
          <w:ilvl w:val="0"/>
          <w:numId w:val="5"/>
        </w:numPr>
        <w:rPr>
          <w:rFonts w:ascii="Arial" w:hAnsi="Arial" w:cs="Arial"/>
        </w:rPr>
      </w:pPr>
      <w:r w:rsidRPr="004370C6">
        <w:rPr>
          <w:rFonts w:ascii="Arial" w:hAnsi="Arial" w:cs="Arial"/>
        </w:rPr>
        <w:t>Road and footpath renewal works - Scotchmer Street, North Fitzroy (Kleen St and Bennett St)</w:t>
      </w:r>
    </w:p>
    <w:p w14:paraId="211EE9DA" w14:textId="77777777" w:rsidR="009C2E1D" w:rsidRPr="004370C6" w:rsidRDefault="009C2E1D" w:rsidP="00E4643C">
      <w:pPr>
        <w:pStyle w:val="ListParagraph"/>
        <w:numPr>
          <w:ilvl w:val="0"/>
          <w:numId w:val="5"/>
        </w:numPr>
        <w:rPr>
          <w:rFonts w:ascii="Arial" w:hAnsi="Arial" w:cs="Arial"/>
        </w:rPr>
      </w:pPr>
      <w:r w:rsidRPr="004370C6">
        <w:rPr>
          <w:rFonts w:ascii="Arial" w:hAnsi="Arial" w:cs="Arial"/>
        </w:rPr>
        <w:t>Road, kerb and channel, footpath renewal works - Wellington St, Cremorne (Parkins Ln and Blanche St)</w:t>
      </w:r>
    </w:p>
    <w:p w14:paraId="39FE18BA" w14:textId="77777777" w:rsidR="009C2E1D" w:rsidRPr="004370C6" w:rsidRDefault="009C2E1D" w:rsidP="00E4643C">
      <w:pPr>
        <w:pStyle w:val="ListParagraph"/>
        <w:numPr>
          <w:ilvl w:val="0"/>
          <w:numId w:val="5"/>
        </w:numPr>
        <w:rPr>
          <w:rFonts w:ascii="Arial" w:hAnsi="Arial" w:cs="Arial"/>
        </w:rPr>
      </w:pPr>
      <w:r w:rsidRPr="004370C6">
        <w:rPr>
          <w:rFonts w:ascii="Arial" w:hAnsi="Arial" w:cs="Arial"/>
        </w:rPr>
        <w:t>Bike repair stations</w:t>
      </w:r>
    </w:p>
    <w:p w14:paraId="64134E85" w14:textId="64076AD0" w:rsidR="009C2E1D" w:rsidRPr="004370C6" w:rsidRDefault="009C2E1D" w:rsidP="00E4643C">
      <w:pPr>
        <w:pStyle w:val="ListParagraph"/>
        <w:numPr>
          <w:ilvl w:val="0"/>
          <w:numId w:val="5"/>
        </w:numPr>
        <w:rPr>
          <w:rFonts w:ascii="Arial" w:hAnsi="Arial" w:cs="Arial"/>
        </w:rPr>
      </w:pPr>
      <w:r w:rsidRPr="004370C6">
        <w:rPr>
          <w:rFonts w:ascii="Arial" w:hAnsi="Arial" w:cs="Arial"/>
        </w:rPr>
        <w:t>Construct pedestrian crossing at Alphington Grammar, Alphington</w:t>
      </w:r>
    </w:p>
    <w:p w14:paraId="58122043" w14:textId="7D35E2DD" w:rsidR="00957A8C" w:rsidRPr="004370C6" w:rsidRDefault="00957A8C" w:rsidP="00632B83">
      <w:pPr>
        <w:pStyle w:val="Heading4"/>
        <w:rPr>
          <w:rFonts w:ascii="Arial" w:hAnsi="Arial" w:cs="Arial"/>
          <w:color w:val="auto"/>
        </w:rPr>
      </w:pPr>
      <w:bookmarkStart w:id="24" w:name="_Toc224732154"/>
      <w:r w:rsidRPr="004370C6">
        <w:rPr>
          <w:rFonts w:ascii="Arial" w:hAnsi="Arial" w:cs="Arial"/>
          <w:color w:val="auto"/>
        </w:rPr>
        <w:t xml:space="preserve">Completed </w:t>
      </w:r>
      <w:r w:rsidR="008F2905" w:rsidRPr="004370C6">
        <w:rPr>
          <w:rFonts w:ascii="Arial" w:hAnsi="Arial" w:cs="Arial"/>
          <w:color w:val="auto"/>
        </w:rPr>
        <w:t>s</w:t>
      </w:r>
      <w:r w:rsidRPr="004370C6">
        <w:rPr>
          <w:rFonts w:ascii="Arial" w:hAnsi="Arial" w:cs="Arial"/>
          <w:color w:val="auto"/>
        </w:rPr>
        <w:t>tormwater projects</w:t>
      </w:r>
      <w:r w:rsidR="008F2905" w:rsidRPr="004370C6">
        <w:rPr>
          <w:rFonts w:ascii="Arial" w:hAnsi="Arial" w:cs="Arial"/>
          <w:color w:val="auto"/>
        </w:rPr>
        <w:t xml:space="preserve"> in Q2</w:t>
      </w:r>
      <w:bookmarkEnd w:id="24"/>
    </w:p>
    <w:p w14:paraId="77496DE7" w14:textId="77777777" w:rsidR="008F2905" w:rsidRPr="004370C6" w:rsidRDefault="008F2905" w:rsidP="00E4643C">
      <w:pPr>
        <w:pStyle w:val="ListParagraph"/>
        <w:numPr>
          <w:ilvl w:val="0"/>
          <w:numId w:val="6"/>
        </w:numPr>
        <w:rPr>
          <w:rFonts w:ascii="Arial" w:hAnsi="Arial" w:cs="Arial"/>
        </w:rPr>
      </w:pPr>
      <w:r w:rsidRPr="004370C6">
        <w:rPr>
          <w:rFonts w:ascii="Arial" w:hAnsi="Arial" w:cs="Arial"/>
        </w:rPr>
        <w:t>Brick drain renewal - Newry and Curtain St, Carlton (Canning St and Rathdowne St)</w:t>
      </w:r>
    </w:p>
    <w:p w14:paraId="570A22E3" w14:textId="77777777" w:rsidR="008F2905" w:rsidRPr="004370C6" w:rsidRDefault="008F2905" w:rsidP="00E4643C">
      <w:pPr>
        <w:pStyle w:val="ListParagraph"/>
        <w:numPr>
          <w:ilvl w:val="0"/>
          <w:numId w:val="6"/>
        </w:numPr>
        <w:rPr>
          <w:rFonts w:ascii="Arial" w:hAnsi="Arial" w:cs="Arial"/>
        </w:rPr>
      </w:pPr>
      <w:r w:rsidRPr="004370C6">
        <w:rPr>
          <w:rFonts w:ascii="Arial" w:hAnsi="Arial" w:cs="Arial"/>
        </w:rPr>
        <w:t>Brick drain renewal (relining works) - Pigdon St, Princess Hill</w:t>
      </w:r>
    </w:p>
    <w:p w14:paraId="542787F4" w14:textId="3AE954ED" w:rsidR="008F2905" w:rsidRPr="004370C6" w:rsidRDefault="008F2905" w:rsidP="00E4643C">
      <w:pPr>
        <w:pStyle w:val="ListParagraph"/>
        <w:numPr>
          <w:ilvl w:val="0"/>
          <w:numId w:val="6"/>
        </w:numPr>
        <w:rPr>
          <w:rFonts w:ascii="Arial" w:hAnsi="Arial" w:cs="Arial"/>
        </w:rPr>
      </w:pPr>
      <w:r w:rsidRPr="004370C6">
        <w:rPr>
          <w:rFonts w:ascii="Arial" w:hAnsi="Arial" w:cs="Arial"/>
        </w:rPr>
        <w:t>Drainage upgrade project - St. Phillips St (Gipps St and Vere St), Abbotsford</w:t>
      </w:r>
    </w:p>
    <w:p w14:paraId="59ADF206" w14:textId="0AF76E5B" w:rsidR="00957A8C" w:rsidRPr="004370C6" w:rsidRDefault="00957A8C" w:rsidP="00632B83">
      <w:pPr>
        <w:pStyle w:val="Heading4"/>
        <w:rPr>
          <w:rFonts w:ascii="Arial" w:hAnsi="Arial" w:cs="Arial"/>
          <w:color w:val="auto"/>
        </w:rPr>
      </w:pPr>
      <w:bookmarkStart w:id="25" w:name="_Toc224732155"/>
      <w:r w:rsidRPr="004370C6">
        <w:rPr>
          <w:rFonts w:ascii="Arial" w:hAnsi="Arial" w:cs="Arial"/>
          <w:color w:val="auto"/>
        </w:rPr>
        <w:t xml:space="preserve">Plant and </w:t>
      </w:r>
      <w:r w:rsidR="00430E51" w:rsidRPr="004370C6">
        <w:rPr>
          <w:rFonts w:ascii="Arial" w:hAnsi="Arial" w:cs="Arial"/>
          <w:color w:val="auto"/>
        </w:rPr>
        <w:t>e</w:t>
      </w:r>
      <w:r w:rsidRPr="004370C6">
        <w:rPr>
          <w:rFonts w:ascii="Arial" w:hAnsi="Arial" w:cs="Arial"/>
          <w:color w:val="auto"/>
        </w:rPr>
        <w:t>quipment</w:t>
      </w:r>
      <w:bookmarkEnd w:id="25"/>
    </w:p>
    <w:p w14:paraId="012AB2A4" w14:textId="77777777" w:rsidR="00957A8C" w:rsidRPr="004370C6" w:rsidRDefault="00957A8C" w:rsidP="0048531B">
      <w:pPr>
        <w:rPr>
          <w:rFonts w:ascii="Arial" w:hAnsi="Arial" w:cs="Arial"/>
        </w:rPr>
      </w:pPr>
      <w:r w:rsidRPr="004370C6">
        <w:rPr>
          <w:rFonts w:ascii="Arial" w:hAnsi="Arial" w:cs="Arial"/>
        </w:rPr>
        <w:t xml:space="preserve">This category involves plant, machinery, and equipment renewals, along with the purchase of library books, computers, and telecommunications. The 10 projects in this category are in progress with a year-to-date expenditure of $0.64m (41.75% of the adopted budget). </w:t>
      </w:r>
    </w:p>
    <w:p w14:paraId="5E13E49D" w14:textId="3D84CA7E" w:rsidR="00957A8C" w:rsidRPr="004370C6" w:rsidRDefault="00957A8C" w:rsidP="00632B83">
      <w:pPr>
        <w:pStyle w:val="Heading4"/>
        <w:rPr>
          <w:rFonts w:ascii="Arial" w:hAnsi="Arial" w:cs="Arial"/>
          <w:color w:val="auto"/>
        </w:rPr>
      </w:pPr>
      <w:bookmarkStart w:id="26" w:name="_Toc224732156"/>
      <w:r w:rsidRPr="004370C6">
        <w:rPr>
          <w:rFonts w:ascii="Arial" w:hAnsi="Arial" w:cs="Arial"/>
          <w:color w:val="auto"/>
        </w:rPr>
        <w:t xml:space="preserve">Property (including </w:t>
      </w:r>
      <w:r w:rsidR="008F2905" w:rsidRPr="004370C6">
        <w:rPr>
          <w:rFonts w:ascii="Arial" w:hAnsi="Arial" w:cs="Arial"/>
          <w:color w:val="auto"/>
        </w:rPr>
        <w:t>l</w:t>
      </w:r>
      <w:r w:rsidRPr="004370C6">
        <w:rPr>
          <w:rFonts w:ascii="Arial" w:hAnsi="Arial" w:cs="Arial"/>
          <w:color w:val="auto"/>
        </w:rPr>
        <w:t xml:space="preserve">and and </w:t>
      </w:r>
      <w:r w:rsidR="00430E51" w:rsidRPr="004370C6">
        <w:rPr>
          <w:rFonts w:ascii="Arial" w:hAnsi="Arial" w:cs="Arial"/>
          <w:color w:val="auto"/>
        </w:rPr>
        <w:t>b</w:t>
      </w:r>
      <w:r w:rsidRPr="004370C6">
        <w:rPr>
          <w:rFonts w:ascii="Arial" w:hAnsi="Arial" w:cs="Arial"/>
          <w:color w:val="auto"/>
        </w:rPr>
        <w:t>uildings)</w:t>
      </w:r>
      <w:bookmarkEnd w:id="26"/>
    </w:p>
    <w:p w14:paraId="3C364D3A" w14:textId="77777777" w:rsidR="00957A8C" w:rsidRPr="004370C6" w:rsidRDefault="00957A8C" w:rsidP="004B35F8">
      <w:pPr>
        <w:rPr>
          <w:rFonts w:ascii="Arial" w:hAnsi="Arial" w:cs="Arial"/>
        </w:rPr>
      </w:pPr>
      <w:r w:rsidRPr="004370C6">
        <w:rPr>
          <w:rFonts w:ascii="Arial" w:hAnsi="Arial" w:cs="Arial"/>
        </w:rPr>
        <w:t>This category covering planned renewals, upgrades, and refurbishments across council-owned buildings and facilities, includes 37 projects with allocated funding in 2025/26. Year-to-date expenditure is $3.22m, representing 23.77% of the adopted budget for renewing and upgrading these assets. The three projects that were completed during this quarter (4 total for 25/26) are listed below:</w:t>
      </w:r>
    </w:p>
    <w:p w14:paraId="0A3D887C" w14:textId="34E68355" w:rsidR="00957A8C" w:rsidRPr="004370C6" w:rsidRDefault="00957A8C" w:rsidP="00632B83">
      <w:pPr>
        <w:pStyle w:val="Heading4"/>
        <w:rPr>
          <w:rFonts w:ascii="Arial" w:hAnsi="Arial" w:cs="Arial"/>
          <w:color w:val="auto"/>
        </w:rPr>
      </w:pPr>
      <w:bookmarkStart w:id="27" w:name="_Toc224732157"/>
      <w:r w:rsidRPr="004370C6">
        <w:rPr>
          <w:rFonts w:ascii="Arial" w:hAnsi="Arial" w:cs="Arial"/>
          <w:color w:val="auto"/>
        </w:rPr>
        <w:t xml:space="preserve">Completed </w:t>
      </w:r>
      <w:r w:rsidR="00430E51" w:rsidRPr="004370C6">
        <w:rPr>
          <w:rFonts w:ascii="Arial" w:hAnsi="Arial" w:cs="Arial"/>
          <w:color w:val="auto"/>
        </w:rPr>
        <w:t>b</w:t>
      </w:r>
      <w:r w:rsidRPr="004370C6">
        <w:rPr>
          <w:rFonts w:ascii="Arial" w:hAnsi="Arial" w:cs="Arial"/>
          <w:color w:val="auto"/>
        </w:rPr>
        <w:t>uilding projects</w:t>
      </w:r>
      <w:r w:rsidR="00EF34D9" w:rsidRPr="004370C6">
        <w:rPr>
          <w:rFonts w:ascii="Arial" w:hAnsi="Arial" w:cs="Arial"/>
          <w:color w:val="auto"/>
        </w:rPr>
        <w:t xml:space="preserve"> in Q2</w:t>
      </w:r>
      <w:bookmarkEnd w:id="27"/>
    </w:p>
    <w:p w14:paraId="7366FBDB" w14:textId="77777777" w:rsidR="008F2905" w:rsidRPr="004370C6" w:rsidRDefault="008F2905" w:rsidP="00E4643C">
      <w:pPr>
        <w:pStyle w:val="ListParagraph"/>
        <w:numPr>
          <w:ilvl w:val="0"/>
          <w:numId w:val="7"/>
        </w:numPr>
        <w:rPr>
          <w:rFonts w:ascii="Arial" w:hAnsi="Arial" w:cs="Arial"/>
        </w:rPr>
      </w:pPr>
      <w:r w:rsidRPr="004370C6">
        <w:rPr>
          <w:rFonts w:ascii="Arial" w:hAnsi="Arial" w:cs="Arial"/>
        </w:rPr>
        <w:t>Richmond Town Hall roof renewal works, Bridge Road, Richmond</w:t>
      </w:r>
    </w:p>
    <w:p w14:paraId="50D8F54C" w14:textId="77777777" w:rsidR="008F2905" w:rsidRPr="004370C6" w:rsidRDefault="008F2905" w:rsidP="00E4643C">
      <w:pPr>
        <w:pStyle w:val="ListParagraph"/>
        <w:numPr>
          <w:ilvl w:val="0"/>
          <w:numId w:val="7"/>
        </w:numPr>
        <w:rPr>
          <w:rFonts w:ascii="Arial" w:hAnsi="Arial" w:cs="Arial"/>
        </w:rPr>
      </w:pPr>
      <w:r w:rsidRPr="004370C6">
        <w:rPr>
          <w:rFonts w:ascii="Arial" w:hAnsi="Arial" w:cs="Arial"/>
        </w:rPr>
        <w:t>Connie Benn Early Learning Centre acoustic treatment, Fitzroy</w:t>
      </w:r>
    </w:p>
    <w:p w14:paraId="3E3E33D9" w14:textId="2E473E73" w:rsidR="008F2905" w:rsidRPr="004370C6" w:rsidRDefault="008F2905" w:rsidP="00E4643C">
      <w:pPr>
        <w:pStyle w:val="ListParagraph"/>
        <w:numPr>
          <w:ilvl w:val="0"/>
          <w:numId w:val="7"/>
        </w:numPr>
        <w:rPr>
          <w:rFonts w:ascii="Arial" w:hAnsi="Arial" w:cs="Arial"/>
        </w:rPr>
      </w:pPr>
      <w:r w:rsidRPr="004370C6">
        <w:rPr>
          <w:rFonts w:ascii="Arial" w:hAnsi="Arial" w:cs="Arial"/>
        </w:rPr>
        <w:lastRenderedPageBreak/>
        <w:t>Maternal Childcare Centre building renewals and furniture, Citizen Park, Richmond</w:t>
      </w:r>
    </w:p>
    <w:p w14:paraId="30C64EC1" w14:textId="7975B7AD" w:rsidR="00957A8C" w:rsidRPr="004370C6" w:rsidRDefault="00957A8C" w:rsidP="00632B83">
      <w:pPr>
        <w:pStyle w:val="Heading4"/>
        <w:rPr>
          <w:rFonts w:ascii="Arial" w:hAnsi="Arial" w:cs="Arial"/>
          <w:color w:val="auto"/>
        </w:rPr>
      </w:pPr>
      <w:bookmarkStart w:id="28" w:name="_Toc224732158"/>
      <w:r w:rsidRPr="004370C6">
        <w:rPr>
          <w:rFonts w:ascii="Arial" w:hAnsi="Arial" w:cs="Arial"/>
          <w:color w:val="auto"/>
        </w:rPr>
        <w:t xml:space="preserve">Major Q2 </w:t>
      </w:r>
      <w:r w:rsidR="00430E51" w:rsidRPr="004370C6">
        <w:rPr>
          <w:rFonts w:ascii="Arial" w:hAnsi="Arial" w:cs="Arial"/>
          <w:color w:val="auto"/>
        </w:rPr>
        <w:t>A</w:t>
      </w:r>
      <w:r w:rsidRPr="004370C6">
        <w:rPr>
          <w:rFonts w:ascii="Arial" w:hAnsi="Arial" w:cs="Arial"/>
          <w:color w:val="auto"/>
        </w:rPr>
        <w:t>djustments</w:t>
      </w:r>
      <w:bookmarkEnd w:id="28"/>
    </w:p>
    <w:p w14:paraId="42C81FA0" w14:textId="77777777" w:rsidR="00957A8C" w:rsidRPr="004370C6" w:rsidRDefault="00957A8C" w:rsidP="004B35F8">
      <w:pPr>
        <w:rPr>
          <w:rFonts w:ascii="Arial" w:hAnsi="Arial" w:cs="Arial"/>
          <w:lang w:val="en-AU"/>
        </w:rPr>
      </w:pPr>
      <w:r w:rsidRPr="004370C6">
        <w:rPr>
          <w:rFonts w:ascii="Arial" w:hAnsi="Arial" w:cs="Arial"/>
          <w:lang w:val="en-AU"/>
        </w:rPr>
        <w:t>Budget adjustments are made throughout the financial year to respond to external factors.</w:t>
      </w:r>
    </w:p>
    <w:p w14:paraId="3C1BE818" w14:textId="0BF8D4DF" w:rsidR="00957A8C" w:rsidRPr="004370C6" w:rsidRDefault="00957A8C" w:rsidP="004B35F8">
      <w:pPr>
        <w:rPr>
          <w:rFonts w:ascii="Arial" w:hAnsi="Arial" w:cs="Arial"/>
        </w:rPr>
      </w:pPr>
      <w:r w:rsidRPr="004370C6">
        <w:rPr>
          <w:rFonts w:ascii="Arial" w:hAnsi="Arial" w:cs="Arial"/>
        </w:rPr>
        <w:t xml:space="preserve">The following outlines the key budget adjustments identified in </w:t>
      </w:r>
      <w:r w:rsidR="006443DE" w:rsidRPr="004370C6">
        <w:rPr>
          <w:rFonts w:ascii="Arial" w:hAnsi="Arial" w:cs="Arial"/>
        </w:rPr>
        <w:t>q</w:t>
      </w:r>
      <w:r w:rsidRPr="004370C6">
        <w:rPr>
          <w:rFonts w:ascii="Arial" w:hAnsi="Arial" w:cs="Arial"/>
        </w:rPr>
        <w:t>uarter 2:</w:t>
      </w:r>
    </w:p>
    <w:p w14:paraId="463B85FB"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Designs for a fence between Fletcher 1 and Fletcher 2 sports fields at Kevin Bartlett Reserve - $75K savings due to deferral. Works were deferred to 2026-27 to be incorporated with the broader soccer pitch project.</w:t>
      </w:r>
    </w:p>
    <w:p w14:paraId="748FD44F" w14:textId="2BC895F1" w:rsidR="00957A8C" w:rsidRPr="004370C6" w:rsidRDefault="00957A8C" w:rsidP="00E4643C">
      <w:pPr>
        <w:pStyle w:val="ListParagraph"/>
        <w:numPr>
          <w:ilvl w:val="0"/>
          <w:numId w:val="8"/>
        </w:numPr>
        <w:rPr>
          <w:rFonts w:ascii="Arial" w:hAnsi="Arial" w:cs="Arial"/>
        </w:rPr>
      </w:pPr>
      <w:r w:rsidRPr="004370C6">
        <w:rPr>
          <w:rFonts w:ascii="Arial" w:hAnsi="Arial" w:cs="Arial"/>
        </w:rPr>
        <w:t xml:space="preserve">Collingwood Leisure Centre plant upgrade - $500K budget reduction due to updated delivery schedule. This project is planned for </w:t>
      </w:r>
      <w:r w:rsidR="006F0785" w:rsidRPr="004370C6">
        <w:rPr>
          <w:rFonts w:ascii="Arial" w:hAnsi="Arial" w:cs="Arial"/>
        </w:rPr>
        <w:t>construction to finish</w:t>
      </w:r>
      <w:r w:rsidRPr="004370C6">
        <w:rPr>
          <w:rFonts w:ascii="Arial" w:hAnsi="Arial" w:cs="Arial"/>
        </w:rPr>
        <w:t xml:space="preserve"> in 2026-27. </w:t>
      </w:r>
    </w:p>
    <w:p w14:paraId="4CD0CAA4"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Roads to parks project feasibility and planning - $100K budget reduction due to delivery savings.</w:t>
      </w:r>
    </w:p>
    <w:p w14:paraId="00FADDCF"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Roads to parks – Kent St, Richmond - $290K budget reduction.  Further feasibility studies will be undertaken on this project in 2026-27.</w:t>
      </w:r>
    </w:p>
    <w:p w14:paraId="331BF4B7"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Roads to parks – Mater St, Collingwood - $100K budget reduction due to delivery savings. The designs and feasibility studies will proceed as planned.</w:t>
      </w:r>
    </w:p>
    <w:p w14:paraId="5287D1E5"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Charles Evans Reserve Park upgrade – construction - $340K additional budget to address budget shortfall. Quotes received were higher than estimated.</w:t>
      </w:r>
    </w:p>
    <w:p w14:paraId="3F8C131F"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Yambla Pavilion Upgrade - $200K additional budget due to ground conditions. Additional footing works were required, endorsed by Council in November 2025.</w:t>
      </w:r>
    </w:p>
    <w:p w14:paraId="7BC67502" w14:textId="16DDCE6E" w:rsidR="00957A8C" w:rsidRPr="004370C6" w:rsidRDefault="00957A8C" w:rsidP="00E4643C">
      <w:pPr>
        <w:pStyle w:val="ListParagraph"/>
        <w:numPr>
          <w:ilvl w:val="0"/>
          <w:numId w:val="8"/>
        </w:numPr>
        <w:rPr>
          <w:rFonts w:ascii="Arial" w:hAnsi="Arial" w:cs="Arial"/>
        </w:rPr>
      </w:pPr>
      <w:r w:rsidRPr="004370C6">
        <w:rPr>
          <w:rFonts w:ascii="Arial" w:hAnsi="Arial" w:cs="Arial"/>
        </w:rPr>
        <w:t xml:space="preserve">Golden Square Reserve Burnley playground and garden bed and tree plantings – Construction - $212K additional budget to address budget shortfall from higher </w:t>
      </w:r>
      <w:r w:rsidR="006F0785" w:rsidRPr="004370C6">
        <w:rPr>
          <w:rFonts w:ascii="Arial" w:hAnsi="Arial" w:cs="Arial"/>
        </w:rPr>
        <w:t>than estimated</w:t>
      </w:r>
      <w:r w:rsidRPr="004370C6">
        <w:rPr>
          <w:rFonts w:ascii="Arial" w:hAnsi="Arial" w:cs="Arial"/>
        </w:rPr>
        <w:t xml:space="preserve"> construction costs.</w:t>
      </w:r>
    </w:p>
    <w:p w14:paraId="0783CB63"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Yarralea Kindergarten redevelopment – $86K savings in 2025-26</w:t>
      </w:r>
    </w:p>
    <w:p w14:paraId="661E399A"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Clifton Hill Depot renewal works – $44K identified savings.</w:t>
      </w:r>
    </w:p>
    <w:p w14:paraId="3094C255"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Coppin Street Richmond intersection upgrades and bike lane modifications - $200K budget reduction, construction will not proceed in 2025–26. Works are planned for 2026–27, with funds reallocated to approvals and traffic signal design.</w:t>
      </w:r>
    </w:p>
    <w:p w14:paraId="55EFF43F"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Yarra Community Youth Centre veranda – $27K identified savings.</w:t>
      </w:r>
    </w:p>
    <w:p w14:paraId="7179E5A8"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Curtain St, Carlton - streetscape design – $45K budget reduction. This project was re-programmed for 2026–27.</w:t>
      </w:r>
    </w:p>
    <w:p w14:paraId="6C6C56E3"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Synthetic Pitch to replace turf pitch at Bastow 2 at Kevin Bartlett Reserve Burnley – Design – $100K identified savings returned to the open space reserve.</w:t>
      </w:r>
    </w:p>
    <w:p w14:paraId="134E4238"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Mayors Park Tennis and Netball Centre lighting upgrade, Clifton Hill – design – $30K identified savings returned to the open space reserve.</w:t>
      </w:r>
    </w:p>
    <w:p w14:paraId="3C4F2CA5"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lastRenderedPageBreak/>
        <w:t xml:space="preserve">Open space signage renewal – $20K identified savings. </w:t>
      </w:r>
    </w:p>
    <w:p w14:paraId="447088AA"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Mobile phone replacement program – $35K identified savings.</w:t>
      </w:r>
    </w:p>
    <w:p w14:paraId="2C37A99E"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Infrastructure Asset Renewal (Reactive Program Developer initiated) – $50K identified savings.</w:t>
      </w:r>
    </w:p>
    <w:p w14:paraId="6E72CD4A"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Speed hump for Napier St, Fitzroy near Fitzroy Town Hall – $10K savings achieved through delivery efficiencies.</w:t>
      </w:r>
    </w:p>
    <w:p w14:paraId="453A873E"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Design and investigation work for future year delivery – $30K savings achieved through delivery efficiencies.</w:t>
      </w:r>
    </w:p>
    <w:p w14:paraId="71633CFF"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Mobile tablet replacement – $15K identified savings.</w:t>
      </w:r>
    </w:p>
    <w:p w14:paraId="0727FCEC"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Community charge – community facilities leading the energy transition – $48K savings achieved through delivery efficiencies.</w:t>
      </w:r>
    </w:p>
    <w:p w14:paraId="241EADFF"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Electric vehicle chargers (design, investigation and delivery) – $50K identified savings.</w:t>
      </w:r>
    </w:p>
    <w:p w14:paraId="4805D552"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Passenger fleet electrification – $50K identified savings as available fleet options did not meet Council’s operational requirements.</w:t>
      </w:r>
    </w:p>
    <w:p w14:paraId="22D581C8"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Balmain Street, Cremorne crossing – $300K identified savings. This project does not align with the adopted Cremorne Urban Design Framework and delivery constraints were identified in the design and planning phase.</w:t>
      </w:r>
    </w:p>
    <w:p w14:paraId="73E0AB12"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 xml:space="preserve">Drainage improvement design – Cecil &amp; Napier / Westgarth Street – $30K reduction from the contingency budget.  </w:t>
      </w:r>
    </w:p>
    <w:p w14:paraId="0D0FD471" w14:textId="77777777" w:rsidR="00957A8C" w:rsidRPr="004370C6" w:rsidRDefault="00957A8C" w:rsidP="00E4643C">
      <w:pPr>
        <w:pStyle w:val="ListParagraph"/>
        <w:numPr>
          <w:ilvl w:val="0"/>
          <w:numId w:val="8"/>
        </w:numPr>
        <w:rPr>
          <w:rFonts w:ascii="Arial" w:hAnsi="Arial" w:cs="Arial"/>
        </w:rPr>
      </w:pPr>
      <w:r w:rsidRPr="004370C6">
        <w:rPr>
          <w:rFonts w:ascii="Arial" w:hAnsi="Arial" w:cs="Arial"/>
        </w:rPr>
        <w:t>Drainage upgrade project - Ramsden Street, Clifton Hill (Hoddle Street and Gordon Street) – $120K savings. This project was cancelled due to constructability constraints.</w:t>
      </w:r>
    </w:p>
    <w:p w14:paraId="2EBF875D" w14:textId="0F088316" w:rsidR="16008361" w:rsidRPr="004370C6" w:rsidRDefault="16008361" w:rsidP="00632B83">
      <w:pPr>
        <w:pStyle w:val="Heading3"/>
        <w:rPr>
          <w:rFonts w:ascii="Arial" w:hAnsi="Arial" w:cs="Arial"/>
          <w:color w:val="auto"/>
        </w:rPr>
      </w:pPr>
      <w:bookmarkStart w:id="29" w:name="_Toc224732159"/>
      <w:r w:rsidRPr="004370C6">
        <w:rPr>
          <w:rFonts w:ascii="Arial" w:hAnsi="Arial" w:cs="Arial"/>
          <w:color w:val="auto"/>
        </w:rPr>
        <w:t>Car Share</w:t>
      </w:r>
      <w:bookmarkEnd w:id="29"/>
      <w:r w:rsidRPr="004370C6">
        <w:rPr>
          <w:rFonts w:ascii="Arial" w:hAnsi="Arial" w:cs="Arial"/>
          <w:color w:val="auto"/>
        </w:rPr>
        <w:t xml:space="preserve"> </w:t>
      </w:r>
    </w:p>
    <w:p w14:paraId="6A85C78D" w14:textId="6606E41B" w:rsidR="16008361" w:rsidRPr="004370C6" w:rsidRDefault="16008361" w:rsidP="00D829C0">
      <w:pPr>
        <w:rPr>
          <w:rFonts w:ascii="Arial" w:hAnsi="Arial" w:cs="Arial"/>
        </w:rPr>
      </w:pPr>
      <w:r w:rsidRPr="004370C6">
        <w:rPr>
          <w:rFonts w:ascii="Arial" w:hAnsi="Arial" w:cs="Arial"/>
        </w:rPr>
        <w:t xml:space="preserve">Yarra currently has 194 Car Share Bay Permits across the municipality. This has decreased from 201 reported in Q1, as seven car share bays are being relocated to optimise their placement to reduce the impact on residents and/or boost their visibility and usage.  Once this process is finalised, the number of Car Share Bays will be 201. </w:t>
      </w:r>
    </w:p>
    <w:p w14:paraId="496B0233" w14:textId="220F927A" w:rsidR="16008361" w:rsidRPr="004370C6" w:rsidRDefault="16008361" w:rsidP="00D829C0">
      <w:pPr>
        <w:rPr>
          <w:rFonts w:ascii="Arial" w:hAnsi="Arial" w:cs="Arial"/>
        </w:rPr>
      </w:pPr>
      <w:r w:rsidRPr="004370C6">
        <w:rPr>
          <w:rFonts w:ascii="Arial" w:hAnsi="Arial" w:cs="Arial"/>
        </w:rPr>
        <w:t xml:space="preserve">The current breakdown of car share spaces by </w:t>
      </w:r>
      <w:r w:rsidR="00265532" w:rsidRPr="004370C6">
        <w:rPr>
          <w:rFonts w:ascii="Arial" w:hAnsi="Arial" w:cs="Arial"/>
        </w:rPr>
        <w:t>suburbs</w:t>
      </w:r>
      <w:r w:rsidRPr="004370C6">
        <w:rPr>
          <w:rFonts w:ascii="Arial" w:hAnsi="Arial" w:cs="Arial"/>
        </w:rPr>
        <w:t xml:space="preserve"> is as follows:</w:t>
      </w:r>
    </w:p>
    <w:tbl>
      <w:tblPr>
        <w:tblStyle w:val="TableGrid"/>
        <w:tblW w:w="0" w:type="auto"/>
        <w:jc w:val="center"/>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420"/>
        <w:gridCol w:w="3420"/>
      </w:tblGrid>
      <w:tr w:rsidR="003C1AB7" w:rsidRPr="004370C6" w14:paraId="66D6A695" w14:textId="77777777" w:rsidTr="00205A9D">
        <w:trPr>
          <w:trHeight w:val="285"/>
          <w:jc w:val="center"/>
        </w:trPr>
        <w:tc>
          <w:tcPr>
            <w:tcW w:w="3420" w:type="dxa"/>
            <w:tcMar>
              <w:left w:w="105" w:type="dxa"/>
              <w:right w:w="105" w:type="dxa"/>
            </w:tcMar>
            <w:vAlign w:val="center"/>
          </w:tcPr>
          <w:p w14:paraId="0EEE83CF" w14:textId="66DF3D11" w:rsidR="0674D22F" w:rsidRPr="004370C6" w:rsidRDefault="0674D22F" w:rsidP="00D829C0">
            <w:pPr>
              <w:rPr>
                <w:rFonts w:ascii="Arial" w:hAnsi="Arial" w:cs="Arial"/>
              </w:rPr>
            </w:pPr>
            <w:r w:rsidRPr="004370C6">
              <w:rPr>
                <w:rFonts w:ascii="Arial" w:hAnsi="Arial" w:cs="Arial"/>
              </w:rPr>
              <w:t>Suburb</w:t>
            </w:r>
          </w:p>
        </w:tc>
        <w:tc>
          <w:tcPr>
            <w:tcW w:w="3420" w:type="dxa"/>
            <w:tcMar>
              <w:left w:w="105" w:type="dxa"/>
              <w:right w:w="105" w:type="dxa"/>
            </w:tcMar>
            <w:vAlign w:val="center"/>
          </w:tcPr>
          <w:p w14:paraId="36FD9400" w14:textId="4616EA53" w:rsidR="0674D22F" w:rsidRPr="004370C6" w:rsidRDefault="0674D22F" w:rsidP="00D829C0">
            <w:pPr>
              <w:rPr>
                <w:rFonts w:ascii="Arial" w:hAnsi="Arial" w:cs="Arial"/>
              </w:rPr>
            </w:pPr>
            <w:r w:rsidRPr="004370C6">
              <w:rPr>
                <w:rFonts w:ascii="Arial" w:hAnsi="Arial" w:cs="Arial"/>
              </w:rPr>
              <w:t>Qty</w:t>
            </w:r>
          </w:p>
        </w:tc>
      </w:tr>
      <w:tr w:rsidR="003C1AB7" w:rsidRPr="004370C6" w14:paraId="3CEDA131" w14:textId="77777777" w:rsidTr="00205A9D">
        <w:trPr>
          <w:trHeight w:val="285"/>
          <w:jc w:val="center"/>
        </w:trPr>
        <w:tc>
          <w:tcPr>
            <w:tcW w:w="3420" w:type="dxa"/>
            <w:tcMar>
              <w:left w:w="105" w:type="dxa"/>
              <w:right w:w="105" w:type="dxa"/>
            </w:tcMar>
            <w:vAlign w:val="center"/>
          </w:tcPr>
          <w:p w14:paraId="39378B04" w14:textId="39D273C6" w:rsidR="0674D22F" w:rsidRPr="004370C6" w:rsidRDefault="0674D22F" w:rsidP="00D829C0">
            <w:pPr>
              <w:rPr>
                <w:rFonts w:ascii="Arial" w:hAnsi="Arial" w:cs="Arial"/>
              </w:rPr>
            </w:pPr>
            <w:r w:rsidRPr="004370C6">
              <w:rPr>
                <w:rFonts w:ascii="Arial" w:hAnsi="Arial" w:cs="Arial"/>
              </w:rPr>
              <w:t>Abbotsford</w:t>
            </w:r>
          </w:p>
        </w:tc>
        <w:tc>
          <w:tcPr>
            <w:tcW w:w="3420" w:type="dxa"/>
            <w:tcMar>
              <w:left w:w="105" w:type="dxa"/>
              <w:right w:w="105" w:type="dxa"/>
            </w:tcMar>
            <w:vAlign w:val="center"/>
          </w:tcPr>
          <w:p w14:paraId="345B650C" w14:textId="2654D08A" w:rsidR="0674D22F" w:rsidRPr="004370C6" w:rsidRDefault="0674D22F" w:rsidP="00D829C0">
            <w:pPr>
              <w:rPr>
                <w:rFonts w:ascii="Arial" w:hAnsi="Arial" w:cs="Arial"/>
              </w:rPr>
            </w:pPr>
            <w:r w:rsidRPr="004370C6">
              <w:rPr>
                <w:rFonts w:ascii="Arial" w:hAnsi="Arial" w:cs="Arial"/>
              </w:rPr>
              <w:t>22</w:t>
            </w:r>
          </w:p>
        </w:tc>
      </w:tr>
      <w:tr w:rsidR="003C1AB7" w:rsidRPr="004370C6" w14:paraId="322FE9D0" w14:textId="77777777" w:rsidTr="00205A9D">
        <w:trPr>
          <w:trHeight w:val="285"/>
          <w:jc w:val="center"/>
        </w:trPr>
        <w:tc>
          <w:tcPr>
            <w:tcW w:w="3420" w:type="dxa"/>
            <w:tcMar>
              <w:left w:w="105" w:type="dxa"/>
              <w:right w:w="105" w:type="dxa"/>
            </w:tcMar>
            <w:vAlign w:val="center"/>
          </w:tcPr>
          <w:p w14:paraId="1FF5285D" w14:textId="5619033C" w:rsidR="0674D22F" w:rsidRPr="004370C6" w:rsidRDefault="0674D22F" w:rsidP="00D829C0">
            <w:pPr>
              <w:rPr>
                <w:rFonts w:ascii="Arial" w:hAnsi="Arial" w:cs="Arial"/>
              </w:rPr>
            </w:pPr>
            <w:r w:rsidRPr="004370C6">
              <w:rPr>
                <w:rFonts w:ascii="Arial" w:hAnsi="Arial" w:cs="Arial"/>
              </w:rPr>
              <w:t>Alphington</w:t>
            </w:r>
          </w:p>
        </w:tc>
        <w:tc>
          <w:tcPr>
            <w:tcW w:w="3420" w:type="dxa"/>
            <w:tcMar>
              <w:left w:w="105" w:type="dxa"/>
              <w:right w:w="105" w:type="dxa"/>
            </w:tcMar>
            <w:vAlign w:val="center"/>
          </w:tcPr>
          <w:p w14:paraId="701E7ADA" w14:textId="2D7D43EF" w:rsidR="0674D22F" w:rsidRPr="004370C6" w:rsidRDefault="0674D22F" w:rsidP="00D829C0">
            <w:pPr>
              <w:rPr>
                <w:rFonts w:ascii="Arial" w:hAnsi="Arial" w:cs="Arial"/>
              </w:rPr>
            </w:pPr>
            <w:r w:rsidRPr="004370C6">
              <w:rPr>
                <w:rFonts w:ascii="Arial" w:hAnsi="Arial" w:cs="Arial"/>
              </w:rPr>
              <w:t>5</w:t>
            </w:r>
          </w:p>
        </w:tc>
      </w:tr>
      <w:tr w:rsidR="003C1AB7" w:rsidRPr="004370C6" w14:paraId="0212F51A" w14:textId="77777777" w:rsidTr="00205A9D">
        <w:trPr>
          <w:trHeight w:val="285"/>
          <w:jc w:val="center"/>
        </w:trPr>
        <w:tc>
          <w:tcPr>
            <w:tcW w:w="3420" w:type="dxa"/>
            <w:tcMar>
              <w:left w:w="105" w:type="dxa"/>
              <w:right w:w="105" w:type="dxa"/>
            </w:tcMar>
            <w:vAlign w:val="center"/>
          </w:tcPr>
          <w:p w14:paraId="23A4EF71" w14:textId="5DF22026" w:rsidR="0674D22F" w:rsidRPr="004370C6" w:rsidRDefault="0674D22F" w:rsidP="00D829C0">
            <w:pPr>
              <w:rPr>
                <w:rFonts w:ascii="Arial" w:hAnsi="Arial" w:cs="Arial"/>
              </w:rPr>
            </w:pPr>
            <w:r w:rsidRPr="004370C6">
              <w:rPr>
                <w:rFonts w:ascii="Arial" w:hAnsi="Arial" w:cs="Arial"/>
              </w:rPr>
              <w:t>Carlton North</w:t>
            </w:r>
          </w:p>
        </w:tc>
        <w:tc>
          <w:tcPr>
            <w:tcW w:w="3420" w:type="dxa"/>
            <w:tcMar>
              <w:left w:w="105" w:type="dxa"/>
              <w:right w:w="105" w:type="dxa"/>
            </w:tcMar>
            <w:vAlign w:val="center"/>
          </w:tcPr>
          <w:p w14:paraId="49DD143E" w14:textId="12E8C57D" w:rsidR="0674D22F" w:rsidRPr="004370C6" w:rsidRDefault="0674D22F" w:rsidP="00D829C0">
            <w:pPr>
              <w:rPr>
                <w:rFonts w:ascii="Arial" w:hAnsi="Arial" w:cs="Arial"/>
              </w:rPr>
            </w:pPr>
            <w:r w:rsidRPr="004370C6">
              <w:rPr>
                <w:rFonts w:ascii="Arial" w:hAnsi="Arial" w:cs="Arial"/>
              </w:rPr>
              <w:t>15</w:t>
            </w:r>
          </w:p>
        </w:tc>
      </w:tr>
      <w:tr w:rsidR="003C1AB7" w:rsidRPr="004370C6" w14:paraId="027A1665" w14:textId="77777777" w:rsidTr="00205A9D">
        <w:trPr>
          <w:trHeight w:val="285"/>
          <w:jc w:val="center"/>
        </w:trPr>
        <w:tc>
          <w:tcPr>
            <w:tcW w:w="3420" w:type="dxa"/>
            <w:tcMar>
              <w:left w:w="105" w:type="dxa"/>
              <w:right w:w="105" w:type="dxa"/>
            </w:tcMar>
            <w:vAlign w:val="center"/>
          </w:tcPr>
          <w:p w14:paraId="0C5BA7C4" w14:textId="46ACA123" w:rsidR="0674D22F" w:rsidRPr="004370C6" w:rsidRDefault="0674D22F" w:rsidP="00D829C0">
            <w:pPr>
              <w:rPr>
                <w:rFonts w:ascii="Arial" w:hAnsi="Arial" w:cs="Arial"/>
              </w:rPr>
            </w:pPr>
            <w:r w:rsidRPr="004370C6">
              <w:rPr>
                <w:rFonts w:ascii="Arial" w:hAnsi="Arial" w:cs="Arial"/>
              </w:rPr>
              <w:t>Clifton Hill</w:t>
            </w:r>
          </w:p>
        </w:tc>
        <w:tc>
          <w:tcPr>
            <w:tcW w:w="3420" w:type="dxa"/>
            <w:tcMar>
              <w:left w:w="105" w:type="dxa"/>
              <w:right w:w="105" w:type="dxa"/>
            </w:tcMar>
            <w:vAlign w:val="center"/>
          </w:tcPr>
          <w:p w14:paraId="1C10D6D0" w14:textId="375247EF" w:rsidR="0674D22F" w:rsidRPr="004370C6" w:rsidRDefault="0674D22F" w:rsidP="00D829C0">
            <w:pPr>
              <w:rPr>
                <w:rFonts w:ascii="Arial" w:hAnsi="Arial" w:cs="Arial"/>
              </w:rPr>
            </w:pPr>
            <w:r w:rsidRPr="004370C6">
              <w:rPr>
                <w:rFonts w:ascii="Arial" w:hAnsi="Arial" w:cs="Arial"/>
              </w:rPr>
              <w:t>12</w:t>
            </w:r>
          </w:p>
        </w:tc>
      </w:tr>
      <w:tr w:rsidR="003C1AB7" w:rsidRPr="004370C6" w14:paraId="69F6DBD3" w14:textId="77777777" w:rsidTr="00205A9D">
        <w:trPr>
          <w:trHeight w:val="285"/>
          <w:jc w:val="center"/>
        </w:trPr>
        <w:tc>
          <w:tcPr>
            <w:tcW w:w="3420" w:type="dxa"/>
            <w:tcMar>
              <w:left w:w="105" w:type="dxa"/>
              <w:right w:w="105" w:type="dxa"/>
            </w:tcMar>
            <w:vAlign w:val="center"/>
          </w:tcPr>
          <w:p w14:paraId="0D7EB1A3" w14:textId="475BE8F7" w:rsidR="0674D22F" w:rsidRPr="004370C6" w:rsidRDefault="0674D22F" w:rsidP="00D829C0">
            <w:pPr>
              <w:rPr>
                <w:rFonts w:ascii="Arial" w:hAnsi="Arial" w:cs="Arial"/>
              </w:rPr>
            </w:pPr>
            <w:r w:rsidRPr="004370C6">
              <w:rPr>
                <w:rFonts w:ascii="Arial" w:hAnsi="Arial" w:cs="Arial"/>
              </w:rPr>
              <w:t>Collingwood</w:t>
            </w:r>
          </w:p>
        </w:tc>
        <w:tc>
          <w:tcPr>
            <w:tcW w:w="3420" w:type="dxa"/>
            <w:tcMar>
              <w:left w:w="105" w:type="dxa"/>
              <w:right w:w="105" w:type="dxa"/>
            </w:tcMar>
            <w:vAlign w:val="center"/>
          </w:tcPr>
          <w:p w14:paraId="675E2CB4" w14:textId="3AB030EE" w:rsidR="0674D22F" w:rsidRPr="004370C6" w:rsidRDefault="0674D22F" w:rsidP="00D829C0">
            <w:pPr>
              <w:rPr>
                <w:rFonts w:ascii="Arial" w:hAnsi="Arial" w:cs="Arial"/>
              </w:rPr>
            </w:pPr>
            <w:r w:rsidRPr="004370C6">
              <w:rPr>
                <w:rFonts w:ascii="Arial" w:hAnsi="Arial" w:cs="Arial"/>
              </w:rPr>
              <w:t>22</w:t>
            </w:r>
          </w:p>
        </w:tc>
      </w:tr>
      <w:tr w:rsidR="003C1AB7" w:rsidRPr="004370C6" w14:paraId="01E233D5" w14:textId="77777777" w:rsidTr="00205A9D">
        <w:trPr>
          <w:trHeight w:val="285"/>
          <w:jc w:val="center"/>
        </w:trPr>
        <w:tc>
          <w:tcPr>
            <w:tcW w:w="3420" w:type="dxa"/>
            <w:tcMar>
              <w:left w:w="105" w:type="dxa"/>
              <w:right w:w="105" w:type="dxa"/>
            </w:tcMar>
            <w:vAlign w:val="center"/>
          </w:tcPr>
          <w:p w14:paraId="01A2A6EA" w14:textId="3F6ED74C" w:rsidR="0674D22F" w:rsidRPr="004370C6" w:rsidRDefault="0674D22F" w:rsidP="00D829C0">
            <w:pPr>
              <w:rPr>
                <w:rFonts w:ascii="Arial" w:hAnsi="Arial" w:cs="Arial"/>
              </w:rPr>
            </w:pPr>
            <w:r w:rsidRPr="004370C6">
              <w:rPr>
                <w:rFonts w:ascii="Arial" w:hAnsi="Arial" w:cs="Arial"/>
              </w:rPr>
              <w:t>Cremorne</w:t>
            </w:r>
          </w:p>
        </w:tc>
        <w:tc>
          <w:tcPr>
            <w:tcW w:w="3420" w:type="dxa"/>
            <w:tcMar>
              <w:left w:w="105" w:type="dxa"/>
              <w:right w:w="105" w:type="dxa"/>
            </w:tcMar>
            <w:vAlign w:val="center"/>
          </w:tcPr>
          <w:p w14:paraId="63E6DF2E" w14:textId="6AA924AE" w:rsidR="0674D22F" w:rsidRPr="004370C6" w:rsidRDefault="0674D22F" w:rsidP="00D829C0">
            <w:pPr>
              <w:rPr>
                <w:rFonts w:ascii="Arial" w:hAnsi="Arial" w:cs="Arial"/>
              </w:rPr>
            </w:pPr>
            <w:r w:rsidRPr="004370C6">
              <w:rPr>
                <w:rFonts w:ascii="Arial" w:hAnsi="Arial" w:cs="Arial"/>
              </w:rPr>
              <w:t>4</w:t>
            </w:r>
          </w:p>
        </w:tc>
      </w:tr>
      <w:tr w:rsidR="003C1AB7" w:rsidRPr="004370C6" w14:paraId="7F860A2F" w14:textId="77777777" w:rsidTr="00205A9D">
        <w:trPr>
          <w:trHeight w:val="285"/>
          <w:jc w:val="center"/>
        </w:trPr>
        <w:tc>
          <w:tcPr>
            <w:tcW w:w="3420" w:type="dxa"/>
            <w:tcMar>
              <w:left w:w="105" w:type="dxa"/>
              <w:right w:w="105" w:type="dxa"/>
            </w:tcMar>
            <w:vAlign w:val="center"/>
          </w:tcPr>
          <w:p w14:paraId="2FF0B514" w14:textId="00312BFD" w:rsidR="0674D22F" w:rsidRPr="004370C6" w:rsidRDefault="0674D22F" w:rsidP="00D829C0">
            <w:pPr>
              <w:rPr>
                <w:rFonts w:ascii="Arial" w:hAnsi="Arial" w:cs="Arial"/>
              </w:rPr>
            </w:pPr>
            <w:r w:rsidRPr="004370C6">
              <w:rPr>
                <w:rFonts w:ascii="Arial" w:hAnsi="Arial" w:cs="Arial"/>
              </w:rPr>
              <w:t>Fitzroy</w:t>
            </w:r>
          </w:p>
        </w:tc>
        <w:tc>
          <w:tcPr>
            <w:tcW w:w="3420" w:type="dxa"/>
            <w:tcMar>
              <w:left w:w="105" w:type="dxa"/>
              <w:right w:w="105" w:type="dxa"/>
            </w:tcMar>
            <w:vAlign w:val="center"/>
          </w:tcPr>
          <w:p w14:paraId="09ABE585" w14:textId="1B63E854" w:rsidR="0674D22F" w:rsidRPr="004370C6" w:rsidRDefault="0674D22F" w:rsidP="00D829C0">
            <w:pPr>
              <w:rPr>
                <w:rFonts w:ascii="Arial" w:hAnsi="Arial" w:cs="Arial"/>
              </w:rPr>
            </w:pPr>
            <w:r w:rsidRPr="004370C6">
              <w:rPr>
                <w:rFonts w:ascii="Arial" w:hAnsi="Arial" w:cs="Arial"/>
              </w:rPr>
              <w:t>30</w:t>
            </w:r>
          </w:p>
        </w:tc>
      </w:tr>
      <w:tr w:rsidR="003C1AB7" w:rsidRPr="004370C6" w14:paraId="3A1F2F89" w14:textId="77777777" w:rsidTr="00205A9D">
        <w:trPr>
          <w:trHeight w:val="285"/>
          <w:jc w:val="center"/>
        </w:trPr>
        <w:tc>
          <w:tcPr>
            <w:tcW w:w="3420" w:type="dxa"/>
            <w:tcMar>
              <w:left w:w="105" w:type="dxa"/>
              <w:right w:w="105" w:type="dxa"/>
            </w:tcMar>
            <w:vAlign w:val="center"/>
          </w:tcPr>
          <w:p w14:paraId="4B09678B" w14:textId="51AF2453" w:rsidR="0674D22F" w:rsidRPr="004370C6" w:rsidRDefault="0674D22F" w:rsidP="00D829C0">
            <w:pPr>
              <w:rPr>
                <w:rFonts w:ascii="Arial" w:hAnsi="Arial" w:cs="Arial"/>
              </w:rPr>
            </w:pPr>
            <w:r w:rsidRPr="004370C6">
              <w:rPr>
                <w:rFonts w:ascii="Arial" w:hAnsi="Arial" w:cs="Arial"/>
              </w:rPr>
              <w:t>Fitzroy North</w:t>
            </w:r>
          </w:p>
        </w:tc>
        <w:tc>
          <w:tcPr>
            <w:tcW w:w="3420" w:type="dxa"/>
            <w:tcMar>
              <w:left w:w="105" w:type="dxa"/>
              <w:right w:w="105" w:type="dxa"/>
            </w:tcMar>
            <w:vAlign w:val="center"/>
          </w:tcPr>
          <w:p w14:paraId="0887689D" w14:textId="71740233" w:rsidR="0674D22F" w:rsidRPr="004370C6" w:rsidRDefault="0674D22F" w:rsidP="00D829C0">
            <w:pPr>
              <w:rPr>
                <w:rFonts w:ascii="Arial" w:hAnsi="Arial" w:cs="Arial"/>
              </w:rPr>
            </w:pPr>
            <w:r w:rsidRPr="004370C6">
              <w:rPr>
                <w:rFonts w:ascii="Arial" w:hAnsi="Arial" w:cs="Arial"/>
              </w:rPr>
              <w:t>25</w:t>
            </w:r>
          </w:p>
        </w:tc>
      </w:tr>
      <w:tr w:rsidR="003C1AB7" w:rsidRPr="004370C6" w14:paraId="0B12649E" w14:textId="77777777" w:rsidTr="00205A9D">
        <w:trPr>
          <w:trHeight w:val="285"/>
          <w:jc w:val="center"/>
        </w:trPr>
        <w:tc>
          <w:tcPr>
            <w:tcW w:w="3420" w:type="dxa"/>
            <w:tcMar>
              <w:left w:w="105" w:type="dxa"/>
              <w:right w:w="105" w:type="dxa"/>
            </w:tcMar>
            <w:vAlign w:val="center"/>
          </w:tcPr>
          <w:p w14:paraId="64CD5560" w14:textId="2D35164F" w:rsidR="0674D22F" w:rsidRPr="004370C6" w:rsidRDefault="0674D22F" w:rsidP="00D829C0">
            <w:pPr>
              <w:rPr>
                <w:rFonts w:ascii="Arial" w:hAnsi="Arial" w:cs="Arial"/>
              </w:rPr>
            </w:pPr>
            <w:r w:rsidRPr="004370C6">
              <w:rPr>
                <w:rFonts w:ascii="Arial" w:hAnsi="Arial" w:cs="Arial"/>
              </w:rPr>
              <w:lastRenderedPageBreak/>
              <w:t>Princes Hill</w:t>
            </w:r>
          </w:p>
        </w:tc>
        <w:tc>
          <w:tcPr>
            <w:tcW w:w="3420" w:type="dxa"/>
            <w:tcMar>
              <w:left w:w="105" w:type="dxa"/>
              <w:right w:w="105" w:type="dxa"/>
            </w:tcMar>
            <w:vAlign w:val="center"/>
          </w:tcPr>
          <w:p w14:paraId="37C3E25A" w14:textId="5C3E5D66" w:rsidR="0674D22F" w:rsidRPr="004370C6" w:rsidRDefault="0674D22F" w:rsidP="00D829C0">
            <w:pPr>
              <w:rPr>
                <w:rFonts w:ascii="Arial" w:hAnsi="Arial" w:cs="Arial"/>
              </w:rPr>
            </w:pPr>
            <w:r w:rsidRPr="004370C6">
              <w:rPr>
                <w:rFonts w:ascii="Arial" w:hAnsi="Arial" w:cs="Arial"/>
              </w:rPr>
              <w:t>5</w:t>
            </w:r>
          </w:p>
        </w:tc>
      </w:tr>
      <w:tr w:rsidR="003C1AB7" w:rsidRPr="004370C6" w14:paraId="52B4B1C7" w14:textId="77777777" w:rsidTr="00205A9D">
        <w:trPr>
          <w:trHeight w:val="285"/>
          <w:jc w:val="center"/>
        </w:trPr>
        <w:tc>
          <w:tcPr>
            <w:tcW w:w="3420" w:type="dxa"/>
            <w:tcMar>
              <w:left w:w="105" w:type="dxa"/>
              <w:right w:w="105" w:type="dxa"/>
            </w:tcMar>
            <w:vAlign w:val="center"/>
          </w:tcPr>
          <w:p w14:paraId="212D5FF3" w14:textId="18E823ED" w:rsidR="0674D22F" w:rsidRPr="004370C6" w:rsidRDefault="0674D22F" w:rsidP="00D829C0">
            <w:pPr>
              <w:rPr>
                <w:rFonts w:ascii="Arial" w:hAnsi="Arial" w:cs="Arial"/>
              </w:rPr>
            </w:pPr>
            <w:r w:rsidRPr="004370C6">
              <w:rPr>
                <w:rFonts w:ascii="Arial" w:hAnsi="Arial" w:cs="Arial"/>
              </w:rPr>
              <w:t>Richmond</w:t>
            </w:r>
          </w:p>
        </w:tc>
        <w:tc>
          <w:tcPr>
            <w:tcW w:w="3420" w:type="dxa"/>
            <w:tcMar>
              <w:left w:w="105" w:type="dxa"/>
              <w:right w:w="105" w:type="dxa"/>
            </w:tcMar>
            <w:vAlign w:val="center"/>
          </w:tcPr>
          <w:p w14:paraId="61280BF5" w14:textId="55B076C1" w:rsidR="0674D22F" w:rsidRPr="004370C6" w:rsidRDefault="0674D22F" w:rsidP="00D829C0">
            <w:pPr>
              <w:rPr>
                <w:rFonts w:ascii="Arial" w:hAnsi="Arial" w:cs="Arial"/>
              </w:rPr>
            </w:pPr>
            <w:r w:rsidRPr="004370C6">
              <w:rPr>
                <w:rFonts w:ascii="Arial" w:hAnsi="Arial" w:cs="Arial"/>
              </w:rPr>
              <w:t>54</w:t>
            </w:r>
          </w:p>
        </w:tc>
      </w:tr>
      <w:tr w:rsidR="0011341D" w:rsidRPr="004370C6" w14:paraId="6A882966" w14:textId="77777777" w:rsidTr="00205A9D">
        <w:trPr>
          <w:trHeight w:val="285"/>
          <w:jc w:val="center"/>
        </w:trPr>
        <w:tc>
          <w:tcPr>
            <w:tcW w:w="3420" w:type="dxa"/>
            <w:tcMar>
              <w:left w:w="105" w:type="dxa"/>
              <w:right w:w="105" w:type="dxa"/>
            </w:tcMar>
            <w:vAlign w:val="center"/>
          </w:tcPr>
          <w:p w14:paraId="57A2F951" w14:textId="6B670BD9" w:rsidR="0674D22F" w:rsidRPr="004370C6" w:rsidRDefault="0674D22F" w:rsidP="00D829C0">
            <w:pPr>
              <w:rPr>
                <w:rFonts w:ascii="Arial" w:hAnsi="Arial" w:cs="Arial"/>
              </w:rPr>
            </w:pPr>
            <w:r w:rsidRPr="004370C6">
              <w:rPr>
                <w:rFonts w:ascii="Arial" w:hAnsi="Arial" w:cs="Arial"/>
              </w:rPr>
              <w:t>Total</w:t>
            </w:r>
          </w:p>
        </w:tc>
        <w:tc>
          <w:tcPr>
            <w:tcW w:w="3420" w:type="dxa"/>
            <w:tcMar>
              <w:left w:w="105" w:type="dxa"/>
              <w:right w:w="105" w:type="dxa"/>
            </w:tcMar>
            <w:vAlign w:val="center"/>
          </w:tcPr>
          <w:p w14:paraId="78961583" w14:textId="5C2E0AE5" w:rsidR="0674D22F" w:rsidRPr="004370C6" w:rsidRDefault="0674D22F" w:rsidP="00D829C0">
            <w:pPr>
              <w:rPr>
                <w:rFonts w:ascii="Arial" w:hAnsi="Arial" w:cs="Arial"/>
              </w:rPr>
            </w:pPr>
            <w:r w:rsidRPr="004370C6">
              <w:rPr>
                <w:rFonts w:ascii="Arial" w:hAnsi="Arial" w:cs="Arial"/>
              </w:rPr>
              <w:t>194</w:t>
            </w:r>
          </w:p>
        </w:tc>
      </w:tr>
    </w:tbl>
    <w:p w14:paraId="233AB1AC" w14:textId="77777777" w:rsidR="00B17716" w:rsidRPr="004370C6" w:rsidRDefault="00B17716">
      <w:pPr>
        <w:rPr>
          <w:rFonts w:ascii="Arial" w:eastAsiaTheme="majorEastAsia" w:hAnsi="Arial" w:cs="Arial"/>
          <w:sz w:val="28"/>
          <w:szCs w:val="28"/>
        </w:rPr>
      </w:pPr>
      <w:r w:rsidRPr="004370C6">
        <w:rPr>
          <w:rFonts w:ascii="Arial" w:hAnsi="Arial" w:cs="Arial"/>
        </w:rPr>
        <w:br w:type="page"/>
      </w:r>
    </w:p>
    <w:p w14:paraId="6EEB72D5" w14:textId="449BACA3" w:rsidR="2C68FB66" w:rsidRPr="004370C6" w:rsidRDefault="1D0A0BDD" w:rsidP="00886D2D">
      <w:pPr>
        <w:pStyle w:val="Heading3"/>
        <w:rPr>
          <w:rFonts w:ascii="Arial" w:hAnsi="Arial" w:cs="Arial"/>
          <w:color w:val="auto"/>
        </w:rPr>
      </w:pPr>
      <w:bookmarkStart w:id="30" w:name="_Toc224732160"/>
      <w:r w:rsidRPr="004370C6">
        <w:rPr>
          <w:rFonts w:ascii="Arial" w:hAnsi="Arial" w:cs="Arial"/>
          <w:color w:val="auto"/>
        </w:rPr>
        <w:lastRenderedPageBreak/>
        <w:t>Project Spotlights</w:t>
      </w:r>
      <w:bookmarkEnd w:id="30"/>
    </w:p>
    <w:p w14:paraId="3B0F932A" w14:textId="69A5D494" w:rsidR="5D27EF2E" w:rsidRPr="004370C6" w:rsidRDefault="5D27EF2E" w:rsidP="00886D2D">
      <w:pPr>
        <w:pStyle w:val="Heading4"/>
        <w:rPr>
          <w:rFonts w:ascii="Arial" w:hAnsi="Arial" w:cs="Arial"/>
          <w:color w:val="auto"/>
        </w:rPr>
      </w:pPr>
      <w:bookmarkStart w:id="31" w:name="_Toc224732161"/>
      <w:r w:rsidRPr="004370C6">
        <w:rPr>
          <w:rFonts w:ascii="Arial" w:hAnsi="Arial" w:cs="Arial"/>
          <w:color w:val="auto"/>
        </w:rPr>
        <w:t>Community facilities leading the energy transition</w:t>
      </w:r>
      <w:bookmarkEnd w:id="31"/>
      <w:r w:rsidRPr="004370C6">
        <w:rPr>
          <w:rFonts w:ascii="Arial" w:hAnsi="Arial" w:cs="Arial"/>
          <w:color w:val="auto"/>
        </w:rPr>
        <w:t xml:space="preserve"> </w:t>
      </w:r>
    </w:p>
    <w:p w14:paraId="726A5CD5" w14:textId="5D10F916" w:rsidR="5D27EF2E" w:rsidRPr="004370C6" w:rsidRDefault="5D27EF2E" w:rsidP="00205A9D">
      <w:pPr>
        <w:rPr>
          <w:rFonts w:ascii="Arial" w:hAnsi="Arial" w:cs="Arial"/>
        </w:rPr>
      </w:pPr>
      <w:r w:rsidRPr="004370C6">
        <w:rPr>
          <w:rFonts w:ascii="Arial" w:hAnsi="Arial" w:cs="Arial"/>
        </w:rPr>
        <w:t xml:space="preserve">The Community Charge Project, supported by a $398,000 grant from the Victorian Government’s “100 Neighbourhood Battery” Program, will deliver installation of 360 kWh of behind-the-meter (BTM) battery storage across four Yarra facilities: Alphington Park Pavilion, Fairfield Park Pavilion, Fairlea Netball Pavilion, and Mark Street Hall.  </w:t>
      </w:r>
    </w:p>
    <w:p w14:paraId="0F85DBA1" w14:textId="00D7A227" w:rsidR="5D27EF2E" w:rsidRPr="004370C6" w:rsidRDefault="5D27EF2E" w:rsidP="00205A9D">
      <w:pPr>
        <w:rPr>
          <w:rFonts w:ascii="Arial" w:hAnsi="Arial" w:cs="Arial"/>
        </w:rPr>
      </w:pPr>
      <w:r w:rsidRPr="004370C6">
        <w:rPr>
          <w:rFonts w:ascii="Arial" w:hAnsi="Arial" w:cs="Arial"/>
        </w:rPr>
        <w:t xml:space="preserve"> These sites typically have low daytime electricity consumption, particularly during periods of high solar generation. </w:t>
      </w:r>
    </w:p>
    <w:p w14:paraId="795093BE" w14:textId="30996333" w:rsidR="5D27EF2E" w:rsidRPr="004370C6" w:rsidRDefault="5D27EF2E" w:rsidP="00205A9D">
      <w:pPr>
        <w:rPr>
          <w:rFonts w:ascii="Arial" w:hAnsi="Arial" w:cs="Arial"/>
        </w:rPr>
      </w:pPr>
      <w:r w:rsidRPr="004370C6">
        <w:rPr>
          <w:rFonts w:ascii="Arial" w:hAnsi="Arial" w:cs="Arial"/>
        </w:rPr>
        <w:t xml:space="preserve">The Community Charge project integrates extensive solar arrays, large-scale battery systems, and smart energy management systems to ensure that the electricity demand at these sites is sourced from renewable energy generated and stored during daylight hours. </w:t>
      </w:r>
    </w:p>
    <w:p w14:paraId="5CEE8C5E" w14:textId="6F9F26BC" w:rsidR="5D27EF2E" w:rsidRPr="004370C6" w:rsidRDefault="5D27EF2E" w:rsidP="00205A9D">
      <w:pPr>
        <w:rPr>
          <w:rFonts w:ascii="Arial" w:hAnsi="Arial" w:cs="Arial"/>
        </w:rPr>
      </w:pPr>
      <w:r w:rsidRPr="004370C6">
        <w:rPr>
          <w:rFonts w:ascii="Arial" w:hAnsi="Arial" w:cs="Arial"/>
        </w:rPr>
        <w:t xml:space="preserve">In addition to meeting the energy needs of these facilities, the battery systems will also export renewable energy to the local grid during evening peak demand, contributing to improved energy resilience and reduced reliance on non-renewable sources. </w:t>
      </w:r>
    </w:p>
    <w:p w14:paraId="171CFAE7" w14:textId="3781CB81" w:rsidR="5D27EF2E" w:rsidRPr="004370C6" w:rsidRDefault="5D27EF2E" w:rsidP="00205A9D">
      <w:pPr>
        <w:rPr>
          <w:rFonts w:ascii="Arial" w:hAnsi="Arial" w:cs="Arial"/>
        </w:rPr>
      </w:pPr>
      <w:r w:rsidRPr="004370C6">
        <w:rPr>
          <w:rFonts w:ascii="Arial" w:hAnsi="Arial" w:cs="Arial"/>
        </w:rPr>
        <w:t xml:space="preserve">The Community Charge project will help trial the concept of behind the meter batteries playing an active, market-facing, role in supporting the energy transition to a 100% renewable network. </w:t>
      </w:r>
    </w:p>
    <w:p w14:paraId="4C7059D4" w14:textId="015002EB" w:rsidR="5D27EF2E" w:rsidRPr="004370C6" w:rsidRDefault="5D27EF2E" w:rsidP="00205A9D">
      <w:pPr>
        <w:rPr>
          <w:rFonts w:ascii="Arial" w:hAnsi="Arial" w:cs="Arial"/>
        </w:rPr>
      </w:pPr>
      <w:r w:rsidRPr="004370C6">
        <w:rPr>
          <w:rFonts w:ascii="Arial" w:hAnsi="Arial" w:cs="Arial"/>
        </w:rPr>
        <w:t xml:space="preserve">At the end of </w:t>
      </w:r>
      <w:r w:rsidR="00103777" w:rsidRPr="004370C6">
        <w:rPr>
          <w:rFonts w:ascii="Arial" w:hAnsi="Arial" w:cs="Arial"/>
        </w:rPr>
        <w:t>q</w:t>
      </w:r>
      <w:r w:rsidRPr="004370C6">
        <w:rPr>
          <w:rFonts w:ascii="Arial" w:hAnsi="Arial" w:cs="Arial"/>
        </w:rPr>
        <w:t xml:space="preserve">uarter 2, we </w:t>
      </w:r>
      <w:r w:rsidR="00265532" w:rsidRPr="004370C6">
        <w:rPr>
          <w:rFonts w:ascii="Arial" w:hAnsi="Arial" w:cs="Arial"/>
        </w:rPr>
        <w:t>completed</w:t>
      </w:r>
      <w:r w:rsidRPr="004370C6">
        <w:rPr>
          <w:rFonts w:ascii="Arial" w:hAnsi="Arial" w:cs="Arial"/>
        </w:rPr>
        <w:t xml:space="preserve"> the installation of the batteries at all four sites. The commissioning of these batteries will be completed by end of December, and the batteries will go live in January 2026.  </w:t>
      </w:r>
    </w:p>
    <w:p w14:paraId="664A072E" w14:textId="45B8FC79" w:rsidR="5D27EF2E" w:rsidRPr="004370C6" w:rsidRDefault="5D27EF2E" w:rsidP="00205A9D">
      <w:pPr>
        <w:rPr>
          <w:rFonts w:ascii="Arial" w:hAnsi="Arial" w:cs="Arial"/>
        </w:rPr>
      </w:pPr>
      <w:r w:rsidRPr="004370C6">
        <w:rPr>
          <w:rFonts w:ascii="Arial" w:hAnsi="Arial" w:cs="Arial"/>
        </w:rPr>
        <w:t xml:space="preserve">The next stage of this project involves integrating and installing the smart energy management system. This system will optimize energy usage at each site and enable the sale of stored energy back to the grid, generating additional revenue. The optimization of all sites is expected to be completed by February 2026. </w:t>
      </w:r>
    </w:p>
    <w:p w14:paraId="27D23BC2" w14:textId="17BE33E2" w:rsidR="5D27EF2E" w:rsidRPr="004370C6" w:rsidRDefault="5D27EF2E" w:rsidP="00886D2D">
      <w:pPr>
        <w:pStyle w:val="Heading4"/>
        <w:rPr>
          <w:rFonts w:ascii="Arial" w:hAnsi="Arial" w:cs="Arial"/>
          <w:color w:val="auto"/>
        </w:rPr>
      </w:pPr>
      <w:bookmarkStart w:id="32" w:name="_Toc224732162"/>
      <w:r w:rsidRPr="004370C6">
        <w:rPr>
          <w:rFonts w:ascii="Arial" w:hAnsi="Arial" w:cs="Arial"/>
          <w:color w:val="auto"/>
        </w:rPr>
        <w:t xml:space="preserve">Road renewal projects completed </w:t>
      </w:r>
      <w:r w:rsidR="493E173C" w:rsidRPr="004370C6">
        <w:rPr>
          <w:rFonts w:ascii="Arial" w:hAnsi="Arial" w:cs="Arial"/>
          <w:color w:val="auto"/>
        </w:rPr>
        <w:t>in</w:t>
      </w:r>
      <w:r w:rsidRPr="004370C6">
        <w:rPr>
          <w:rFonts w:ascii="Arial" w:hAnsi="Arial" w:cs="Arial"/>
          <w:color w:val="auto"/>
        </w:rPr>
        <w:t xml:space="preserve"> Q2</w:t>
      </w:r>
      <w:bookmarkEnd w:id="32"/>
      <w:r w:rsidRPr="004370C6">
        <w:rPr>
          <w:rFonts w:ascii="Arial" w:hAnsi="Arial" w:cs="Arial"/>
          <w:color w:val="auto"/>
        </w:rPr>
        <w:t xml:space="preserve">  </w:t>
      </w:r>
    </w:p>
    <w:p w14:paraId="07825D92" w14:textId="47725ACF" w:rsidR="5D27EF2E" w:rsidRPr="004370C6" w:rsidRDefault="5D27EF2E" w:rsidP="00205A9D">
      <w:pPr>
        <w:rPr>
          <w:rFonts w:ascii="Arial" w:hAnsi="Arial" w:cs="Arial"/>
        </w:rPr>
      </w:pPr>
      <w:r w:rsidRPr="004370C6">
        <w:rPr>
          <w:rFonts w:ascii="Arial" w:hAnsi="Arial" w:cs="Arial"/>
        </w:rPr>
        <w:t xml:space="preserve">At the midyear point of the 25-26 financial year, the Capital Works Team has delivered 75% of the core road renewal program. This achievement highlights the team's commitment to timely, high quality project delivery. </w:t>
      </w:r>
    </w:p>
    <w:p w14:paraId="3956F5E3" w14:textId="152D4ED1" w:rsidR="5D27EF2E" w:rsidRPr="004370C6" w:rsidRDefault="5D27EF2E" w:rsidP="00205A9D">
      <w:pPr>
        <w:rPr>
          <w:rFonts w:ascii="Arial" w:hAnsi="Arial" w:cs="Arial"/>
        </w:rPr>
      </w:pPr>
      <w:r w:rsidRPr="004370C6">
        <w:rPr>
          <w:rFonts w:ascii="Arial" w:hAnsi="Arial" w:cs="Arial"/>
        </w:rPr>
        <w:t xml:space="preserve">The team has delivered projects with increased efficiency and reduced impact on the public. Key works include the renewal of multiple footpaths, reconstruction of kerb and </w:t>
      </w:r>
      <w:r w:rsidR="5455494B" w:rsidRPr="004370C6">
        <w:rPr>
          <w:rFonts w:ascii="Arial" w:hAnsi="Arial" w:cs="Arial"/>
        </w:rPr>
        <w:t>channel,</w:t>
      </w:r>
      <w:r w:rsidRPr="004370C6">
        <w:rPr>
          <w:rFonts w:ascii="Arial" w:hAnsi="Arial" w:cs="Arial"/>
        </w:rPr>
        <w:t xml:space="preserve"> and resurfacing of various pavements. </w:t>
      </w:r>
    </w:p>
    <w:p w14:paraId="43585FEE" w14:textId="046B26D4" w:rsidR="5D27EF2E" w:rsidRPr="004370C6" w:rsidRDefault="5D27EF2E" w:rsidP="00205A9D">
      <w:pPr>
        <w:rPr>
          <w:rFonts w:ascii="Arial" w:hAnsi="Arial" w:cs="Arial"/>
        </w:rPr>
      </w:pPr>
      <w:r w:rsidRPr="004370C6">
        <w:rPr>
          <w:rFonts w:ascii="Arial" w:hAnsi="Arial" w:cs="Arial"/>
        </w:rPr>
        <w:t xml:space="preserve">One of the key projects delivered this year was the St Heliers Street, Abbotsford project. We reconstructed the footpath and kerb and channel, as well as resurfaced the road from the entrance to the </w:t>
      </w:r>
      <w:r w:rsidR="00265532" w:rsidRPr="004370C6">
        <w:rPr>
          <w:rFonts w:ascii="Arial" w:hAnsi="Arial" w:cs="Arial"/>
        </w:rPr>
        <w:t>car park</w:t>
      </w:r>
      <w:r w:rsidRPr="004370C6">
        <w:rPr>
          <w:rFonts w:ascii="Arial" w:hAnsi="Arial" w:cs="Arial"/>
        </w:rPr>
        <w:t xml:space="preserve"> to the Children’s Farm. These improvements have </w:t>
      </w:r>
      <w:r w:rsidRPr="004370C6">
        <w:rPr>
          <w:rFonts w:ascii="Arial" w:hAnsi="Arial" w:cs="Arial"/>
        </w:rPr>
        <w:lastRenderedPageBreak/>
        <w:t xml:space="preserve">made the area more accessible for pedestrians and visitors to the Abbotsford Convent and Collingwood Children’s Farm. </w:t>
      </w:r>
    </w:p>
    <w:p w14:paraId="262427B4" w14:textId="79D66065" w:rsidR="5D27EF2E" w:rsidRPr="004370C6" w:rsidRDefault="5D27EF2E" w:rsidP="00886D2D">
      <w:pPr>
        <w:pStyle w:val="Heading4"/>
        <w:rPr>
          <w:rFonts w:ascii="Arial" w:hAnsi="Arial" w:cs="Arial"/>
          <w:color w:val="auto"/>
        </w:rPr>
      </w:pPr>
      <w:bookmarkStart w:id="33" w:name="_Toc224732163"/>
      <w:r w:rsidRPr="004370C6">
        <w:rPr>
          <w:rFonts w:ascii="Arial" w:hAnsi="Arial" w:cs="Arial"/>
          <w:color w:val="auto"/>
        </w:rPr>
        <w:t>Citizens Park Richmond improvements</w:t>
      </w:r>
      <w:bookmarkEnd w:id="33"/>
      <w:r w:rsidRPr="004370C6">
        <w:rPr>
          <w:rFonts w:ascii="Arial" w:hAnsi="Arial" w:cs="Arial"/>
          <w:color w:val="auto"/>
        </w:rPr>
        <w:t xml:space="preserve"> </w:t>
      </w:r>
    </w:p>
    <w:p w14:paraId="2CE04125" w14:textId="2AF42764" w:rsidR="5D27EF2E" w:rsidRPr="004370C6" w:rsidRDefault="5D27EF2E" w:rsidP="00205A9D">
      <w:pPr>
        <w:rPr>
          <w:rFonts w:ascii="Arial" w:hAnsi="Arial" w:cs="Arial"/>
        </w:rPr>
      </w:pPr>
      <w:r w:rsidRPr="004370C6">
        <w:rPr>
          <w:rFonts w:ascii="Arial" w:hAnsi="Arial" w:cs="Arial"/>
        </w:rPr>
        <w:t xml:space="preserve">Turf improvements commenced in September with a regrade of the surface to improve drainage and intensive seeding, rolling and irrigation repairs.  The surface was rested for two weeks to allow the seed to take before access was restored to the community.  </w:t>
      </w:r>
    </w:p>
    <w:p w14:paraId="36FE3750" w14:textId="50F1749D" w:rsidR="5D27EF2E" w:rsidRPr="004370C6" w:rsidRDefault="5D27EF2E" w:rsidP="00205A9D">
      <w:pPr>
        <w:rPr>
          <w:rFonts w:ascii="Arial" w:hAnsi="Arial" w:cs="Arial"/>
        </w:rPr>
      </w:pPr>
      <w:r w:rsidRPr="004370C6">
        <w:rPr>
          <w:rFonts w:ascii="Arial" w:hAnsi="Arial" w:cs="Arial"/>
        </w:rPr>
        <w:t xml:space="preserve">Additional improvements in the broader area include a new drink fountain on the north side of the park, repairs to the boundary fencing, goal posts and goal netting as well as the installation of self-closing gate springs on the seven gates. </w:t>
      </w:r>
    </w:p>
    <w:p w14:paraId="41BA3CE0" w14:textId="2199E115" w:rsidR="5D27EF2E" w:rsidRPr="004370C6" w:rsidRDefault="5D27EF2E" w:rsidP="00205A9D">
      <w:pPr>
        <w:rPr>
          <w:rFonts w:ascii="Arial" w:hAnsi="Arial" w:cs="Arial"/>
        </w:rPr>
      </w:pPr>
      <w:r w:rsidRPr="004370C6">
        <w:rPr>
          <w:rFonts w:ascii="Arial" w:hAnsi="Arial" w:cs="Arial"/>
        </w:rPr>
        <w:t>Works to come include installation of two extra park benches and a new piece of public exercise equipment.</w:t>
      </w:r>
    </w:p>
    <w:p w14:paraId="71628482" w14:textId="50475490" w:rsidR="2C68FB66" w:rsidRPr="004370C6" w:rsidRDefault="1D0A0BDD" w:rsidP="00886D2D">
      <w:pPr>
        <w:pStyle w:val="Heading3"/>
        <w:rPr>
          <w:rFonts w:ascii="Arial" w:hAnsi="Arial" w:cs="Arial"/>
          <w:color w:val="auto"/>
        </w:rPr>
      </w:pPr>
      <w:bookmarkStart w:id="34" w:name="_Toc224732164"/>
      <w:r w:rsidRPr="004370C6">
        <w:rPr>
          <w:rFonts w:ascii="Arial" w:hAnsi="Arial" w:cs="Arial"/>
          <w:color w:val="auto"/>
        </w:rPr>
        <w:t>Property Strategy Update</w:t>
      </w:r>
      <w:bookmarkEnd w:id="34"/>
      <w:r w:rsidRPr="004370C6">
        <w:rPr>
          <w:rFonts w:ascii="Arial" w:hAnsi="Arial" w:cs="Arial"/>
          <w:color w:val="auto"/>
        </w:rPr>
        <w:t xml:space="preserve"> </w:t>
      </w:r>
    </w:p>
    <w:p w14:paraId="36B5B1D6" w14:textId="043FDF12" w:rsidR="131C9040" w:rsidRPr="004370C6" w:rsidRDefault="131C9040" w:rsidP="131C9040">
      <w:pPr>
        <w:pStyle w:val="Heading4"/>
        <w:rPr>
          <w:rFonts w:ascii="Arial" w:hAnsi="Arial" w:cs="Arial"/>
          <w:color w:val="auto"/>
        </w:rPr>
      </w:pPr>
    </w:p>
    <w:p w14:paraId="7E18432D" w14:textId="2D899D00" w:rsidR="6AB8CFA3" w:rsidRPr="004370C6" w:rsidRDefault="6AB8CFA3" w:rsidP="00CE5D51">
      <w:pPr>
        <w:rPr>
          <w:rFonts w:ascii="Arial" w:hAnsi="Arial" w:cs="Arial"/>
        </w:rPr>
      </w:pPr>
      <w:r w:rsidRPr="004370C6">
        <w:rPr>
          <w:rFonts w:ascii="Arial" w:hAnsi="Arial" w:cs="Arial"/>
        </w:rPr>
        <w:t xml:space="preserve">Property Services has completed a review of all expired leases and </w:t>
      </w:r>
      <w:r w:rsidR="00EB5ACE" w:rsidRPr="004370C6">
        <w:rPr>
          <w:rFonts w:ascii="Arial" w:hAnsi="Arial" w:cs="Arial"/>
        </w:rPr>
        <w:t>licenses</w:t>
      </w:r>
      <w:r w:rsidRPr="004370C6">
        <w:rPr>
          <w:rFonts w:ascii="Arial" w:hAnsi="Arial" w:cs="Arial"/>
        </w:rPr>
        <w:t xml:space="preserve"> and is progressing their renewal to ensure compliance, identify efficiencies, and optimise community benefit. The team has been working closely with relevant internal stakeholders to improve alignment and coordination, delivering better outcomes for the community. </w:t>
      </w:r>
    </w:p>
    <w:p w14:paraId="7F61A22E" w14:textId="18C7A79A" w:rsidR="6AB8CFA3" w:rsidRPr="004370C6" w:rsidRDefault="6AB8CFA3" w:rsidP="00CE5D51">
      <w:pPr>
        <w:rPr>
          <w:rFonts w:ascii="Arial" w:hAnsi="Arial" w:cs="Arial"/>
        </w:rPr>
      </w:pPr>
      <w:r w:rsidRPr="004370C6">
        <w:rPr>
          <w:rFonts w:ascii="Arial" w:hAnsi="Arial" w:cs="Arial"/>
        </w:rPr>
        <w:t xml:space="preserve">The features of the Council’s adopted Property Strategy are being implemented as required providing certainty and transparency for tenants, prospective tenants and the public. </w:t>
      </w:r>
    </w:p>
    <w:p w14:paraId="2E860D32" w14:textId="2197F7F5" w:rsidR="6AB8CFA3" w:rsidRPr="004370C6" w:rsidRDefault="6AB8CFA3" w:rsidP="00CE5D51">
      <w:pPr>
        <w:rPr>
          <w:rFonts w:ascii="Arial" w:hAnsi="Arial" w:cs="Arial"/>
        </w:rPr>
      </w:pPr>
      <w:r w:rsidRPr="004370C6">
        <w:rPr>
          <w:rFonts w:ascii="Arial" w:hAnsi="Arial" w:cs="Arial"/>
        </w:rPr>
        <w:t>In addition, several road discontinuances have been undertaken. These discontinuances reduce Council’s liabilities, generate revenue, and provide residents with access to land that can be put to practical use.</w:t>
      </w:r>
    </w:p>
    <w:p w14:paraId="56D0A2EF" w14:textId="314B8A54" w:rsidR="1CDEE14B" w:rsidRPr="004370C6" w:rsidRDefault="1CDEE14B" w:rsidP="1CDEE14B">
      <w:pPr>
        <w:rPr>
          <w:rFonts w:ascii="Arial" w:hAnsi="Arial" w:cs="Arial"/>
        </w:rPr>
      </w:pPr>
    </w:p>
    <w:p w14:paraId="7A7E723D" w14:textId="557031E3" w:rsidR="131C9040" w:rsidRPr="004370C6" w:rsidRDefault="1D0A0BDD" w:rsidP="00886D2D">
      <w:pPr>
        <w:pStyle w:val="Heading3"/>
        <w:rPr>
          <w:rFonts w:ascii="Arial" w:hAnsi="Arial" w:cs="Arial"/>
          <w:color w:val="auto"/>
        </w:rPr>
      </w:pPr>
      <w:bookmarkStart w:id="35" w:name="_Toc224732165"/>
      <w:r w:rsidRPr="004370C6">
        <w:rPr>
          <w:rFonts w:ascii="Arial" w:hAnsi="Arial" w:cs="Arial"/>
          <w:color w:val="auto"/>
        </w:rPr>
        <w:t xml:space="preserve">New Open Space </w:t>
      </w:r>
      <w:r w:rsidR="003345E0" w:rsidRPr="004370C6">
        <w:rPr>
          <w:rFonts w:ascii="Arial" w:hAnsi="Arial" w:cs="Arial"/>
          <w:color w:val="auto"/>
        </w:rPr>
        <w:t>A</w:t>
      </w:r>
      <w:r w:rsidRPr="004370C6">
        <w:rPr>
          <w:rFonts w:ascii="Arial" w:hAnsi="Arial" w:cs="Arial"/>
          <w:color w:val="auto"/>
        </w:rPr>
        <w:t>cquired</w:t>
      </w:r>
      <w:bookmarkEnd w:id="35"/>
      <w:r w:rsidRPr="004370C6">
        <w:rPr>
          <w:rFonts w:ascii="Arial" w:hAnsi="Arial" w:cs="Arial"/>
          <w:color w:val="auto"/>
        </w:rPr>
        <w:t xml:space="preserve"> </w:t>
      </w:r>
    </w:p>
    <w:p w14:paraId="3BA76953" w14:textId="098B38C8" w:rsidR="4136240E" w:rsidRPr="004370C6" w:rsidRDefault="4136240E" w:rsidP="00CE5D51">
      <w:pPr>
        <w:rPr>
          <w:rFonts w:ascii="Arial" w:hAnsi="Arial" w:cs="Arial"/>
        </w:rPr>
      </w:pPr>
      <w:r w:rsidRPr="004370C6">
        <w:rPr>
          <w:rFonts w:ascii="Arial" w:hAnsi="Arial" w:cs="Arial"/>
        </w:rPr>
        <w:t>In the first half of the 2025/26 financial year, Council has investigated options for the acquisition of land in identified priority locations for new open space. One acquisition has been made:</w:t>
      </w:r>
    </w:p>
    <w:p w14:paraId="623F345C" w14:textId="321FB5E4" w:rsidR="4136240E" w:rsidRPr="004370C6" w:rsidRDefault="4136240E" w:rsidP="00CE5D51">
      <w:pPr>
        <w:rPr>
          <w:rFonts w:ascii="Arial" w:hAnsi="Arial" w:cs="Arial"/>
        </w:rPr>
      </w:pPr>
      <w:r w:rsidRPr="004370C6">
        <w:rPr>
          <w:rFonts w:ascii="Arial" w:hAnsi="Arial" w:cs="Arial"/>
        </w:rPr>
        <w:t>364-368 Wellington St, Collingwood (300sqm). This land will have temporary upgrades made upon settlement, while permanent designs are developed in consultation with the community.</w:t>
      </w:r>
    </w:p>
    <w:p w14:paraId="5E19A10D" w14:textId="59D82B23" w:rsidR="1CDEE14B" w:rsidRPr="004370C6" w:rsidRDefault="1CDEE14B" w:rsidP="00CE5D51">
      <w:pPr>
        <w:rPr>
          <w:rFonts w:ascii="Arial" w:hAnsi="Arial" w:cs="Arial"/>
        </w:rPr>
      </w:pPr>
    </w:p>
    <w:p w14:paraId="52546795" w14:textId="68FC7BE0" w:rsidR="4136240E" w:rsidRPr="004370C6" w:rsidRDefault="4136240E" w:rsidP="00CE5D51">
      <w:pPr>
        <w:rPr>
          <w:rFonts w:ascii="Arial" w:hAnsi="Arial" w:cs="Arial"/>
        </w:rPr>
      </w:pPr>
      <w:r w:rsidRPr="004370C6">
        <w:rPr>
          <w:rFonts w:ascii="Arial" w:hAnsi="Arial" w:cs="Arial"/>
        </w:rPr>
        <w:lastRenderedPageBreak/>
        <w:t>In addition, new open space is being investigated through the proposed closure of two roads:</w:t>
      </w:r>
    </w:p>
    <w:p w14:paraId="247F6514" w14:textId="1D0979B5" w:rsidR="1CDEE14B" w:rsidRPr="004370C6" w:rsidRDefault="1CDEE14B" w:rsidP="00CE5D51">
      <w:pPr>
        <w:rPr>
          <w:rFonts w:ascii="Arial" w:hAnsi="Arial" w:cs="Arial"/>
        </w:rPr>
      </w:pPr>
    </w:p>
    <w:p w14:paraId="7F17461F" w14:textId="299B72FA" w:rsidR="4136240E" w:rsidRPr="004370C6" w:rsidRDefault="4136240E" w:rsidP="00E4643C">
      <w:pPr>
        <w:pStyle w:val="ListParagraph"/>
        <w:numPr>
          <w:ilvl w:val="0"/>
          <w:numId w:val="9"/>
        </w:numPr>
        <w:rPr>
          <w:rFonts w:ascii="Arial" w:hAnsi="Arial" w:cs="Arial"/>
        </w:rPr>
      </w:pPr>
      <w:r w:rsidRPr="004370C6">
        <w:rPr>
          <w:rFonts w:ascii="Arial" w:hAnsi="Arial" w:cs="Arial"/>
        </w:rPr>
        <w:t>Mater Street, Collingwood between Wellington Street and Charlotte Street (approximately 500sqm)</w:t>
      </w:r>
    </w:p>
    <w:p w14:paraId="305EEC68" w14:textId="479A2B7F" w:rsidR="4136240E" w:rsidRPr="004370C6" w:rsidRDefault="4136240E" w:rsidP="00E4643C">
      <w:pPr>
        <w:pStyle w:val="ListParagraph"/>
        <w:numPr>
          <w:ilvl w:val="0"/>
          <w:numId w:val="9"/>
        </w:numPr>
        <w:rPr>
          <w:rFonts w:ascii="Arial" w:hAnsi="Arial" w:cs="Arial"/>
        </w:rPr>
      </w:pPr>
      <w:r w:rsidRPr="004370C6">
        <w:rPr>
          <w:rFonts w:ascii="Arial" w:hAnsi="Arial" w:cs="Arial"/>
        </w:rPr>
        <w:t>Budd Street, Collingwood between Easey Street and Sackville Street (approximately400sqm)</w:t>
      </w:r>
    </w:p>
    <w:p w14:paraId="5BC6CCA2" w14:textId="6BE0DFB1" w:rsidR="1CDEE14B" w:rsidRPr="004370C6" w:rsidRDefault="1CDEE14B" w:rsidP="00CE5D51">
      <w:pPr>
        <w:rPr>
          <w:rFonts w:ascii="Arial" w:hAnsi="Arial" w:cs="Arial"/>
        </w:rPr>
      </w:pPr>
    </w:p>
    <w:p w14:paraId="1BC2A2FC" w14:textId="27A184BC" w:rsidR="4136240E" w:rsidRPr="004370C6" w:rsidRDefault="4136240E" w:rsidP="00CE5D51">
      <w:pPr>
        <w:rPr>
          <w:rFonts w:ascii="Arial" w:hAnsi="Arial" w:cs="Arial"/>
        </w:rPr>
      </w:pPr>
      <w:r w:rsidRPr="004370C6">
        <w:rPr>
          <w:rFonts w:ascii="Arial" w:hAnsi="Arial" w:cs="Arial"/>
        </w:rPr>
        <w:t>The above two locations are subject to the outcome of statutory road discontinuance processes.</w:t>
      </w:r>
    </w:p>
    <w:p w14:paraId="737860F8" w14:textId="45749C70" w:rsidR="1CDEE14B" w:rsidRPr="004370C6" w:rsidRDefault="1CDEE14B" w:rsidP="00CE5D51">
      <w:pPr>
        <w:rPr>
          <w:rFonts w:ascii="Arial" w:hAnsi="Arial" w:cs="Arial"/>
        </w:rPr>
      </w:pPr>
    </w:p>
    <w:p w14:paraId="5CA7C245" w14:textId="0895D886" w:rsidR="4136240E" w:rsidRPr="004370C6" w:rsidRDefault="4136240E" w:rsidP="00CE5D51">
      <w:pPr>
        <w:rPr>
          <w:rFonts w:ascii="Arial" w:hAnsi="Arial" w:cs="Arial"/>
        </w:rPr>
      </w:pPr>
      <w:r w:rsidRPr="004370C6">
        <w:rPr>
          <w:rFonts w:ascii="Arial" w:hAnsi="Arial" w:cs="Arial"/>
        </w:rPr>
        <w:t>Council is also looking at a third site through the Roads to Parks process at the Kent Street site that is hoped to progress to the road discontinuous process in the new year.</w:t>
      </w:r>
    </w:p>
    <w:p w14:paraId="063BC901" w14:textId="6259FE9D" w:rsidR="131C9040" w:rsidRPr="004370C6" w:rsidRDefault="131C9040" w:rsidP="00CE5D51">
      <w:pPr>
        <w:rPr>
          <w:rFonts w:ascii="Arial" w:hAnsi="Arial" w:cs="Arial"/>
        </w:rPr>
      </w:pPr>
    </w:p>
    <w:p w14:paraId="6E9E3275" w14:textId="314E538C" w:rsidR="6DAF232D" w:rsidRPr="004370C6" w:rsidRDefault="00733C6D" w:rsidP="00886D2D">
      <w:pPr>
        <w:pStyle w:val="Heading3"/>
        <w:rPr>
          <w:rFonts w:ascii="Arial" w:hAnsi="Arial" w:cs="Arial"/>
          <w:color w:val="auto"/>
        </w:rPr>
      </w:pPr>
      <w:bookmarkStart w:id="36" w:name="_Toc224732166"/>
      <w:r w:rsidRPr="004370C6">
        <w:rPr>
          <w:rFonts w:ascii="Arial" w:hAnsi="Arial" w:cs="Arial"/>
          <w:color w:val="auto"/>
        </w:rPr>
        <w:t xml:space="preserve">Revised </w:t>
      </w:r>
      <w:r w:rsidR="6DAF232D" w:rsidRPr="004370C6">
        <w:rPr>
          <w:rFonts w:ascii="Arial" w:hAnsi="Arial" w:cs="Arial"/>
          <w:color w:val="auto"/>
        </w:rPr>
        <w:t>Yarra Transport Action Plan</w:t>
      </w:r>
      <w:bookmarkEnd w:id="36"/>
      <w:r w:rsidR="6DAF232D" w:rsidRPr="004370C6">
        <w:rPr>
          <w:rFonts w:ascii="Arial" w:hAnsi="Arial" w:cs="Arial"/>
          <w:color w:val="auto"/>
        </w:rPr>
        <w:t xml:space="preserve">  </w:t>
      </w:r>
    </w:p>
    <w:p w14:paraId="425E5584" w14:textId="77777777" w:rsidR="00420440" w:rsidRPr="004370C6" w:rsidRDefault="00420440" w:rsidP="00CE5D51">
      <w:pPr>
        <w:rPr>
          <w:rFonts w:ascii="Arial" w:hAnsi="Arial" w:cs="Arial"/>
        </w:rPr>
      </w:pPr>
      <w:r w:rsidRPr="004370C6">
        <w:rPr>
          <w:rFonts w:ascii="Arial" w:hAnsi="Arial" w:cs="Arial"/>
        </w:rPr>
        <w:t xml:space="preserve">The Transport Action Plan (TAP) is a key input to Council decision making across many areas. The TAP informs external stakeholders of the projects Council will be working on and supports in principle over the coming years. </w:t>
      </w:r>
    </w:p>
    <w:p w14:paraId="38037083" w14:textId="77777777" w:rsidR="00420440" w:rsidRPr="004370C6" w:rsidRDefault="00420440" w:rsidP="00CE5D51">
      <w:pPr>
        <w:rPr>
          <w:rFonts w:ascii="Arial" w:hAnsi="Arial" w:cs="Arial"/>
        </w:rPr>
      </w:pPr>
      <w:r w:rsidRPr="004370C6">
        <w:rPr>
          <w:rFonts w:ascii="Arial" w:hAnsi="Arial" w:cs="Arial"/>
        </w:rPr>
        <w:t xml:space="preserve">Officers have commenced working on a on a revised TAP that will focus on the delivery of projects over the coming years. A joint working group of Councillors and officers are working together to form the future program. The TAP has been rebadged as the Precinct Mobility Pipeline (PMP). The pipeline sets out tasks that Council is looking to complete over the next ten years. These tasks encompass capital projects, project design work, strategy development and other programs such as working with schools. The revised document will be more spatial in nature and will list tasks by precinct. The PMP will inform strategic decision making and will align with the policies set out in the Yarra Transport Strategy. </w:t>
      </w:r>
    </w:p>
    <w:p w14:paraId="770016F8" w14:textId="77777777" w:rsidR="00420440" w:rsidRPr="004370C6" w:rsidRDefault="00420440" w:rsidP="00CE5D51">
      <w:pPr>
        <w:rPr>
          <w:rFonts w:ascii="Arial" w:hAnsi="Arial" w:cs="Arial"/>
        </w:rPr>
      </w:pPr>
      <w:r w:rsidRPr="004370C6">
        <w:rPr>
          <w:rFonts w:ascii="Arial" w:hAnsi="Arial" w:cs="Arial"/>
        </w:rPr>
        <w:t>It is anticipated that a draft PMP will then be put to community consultation early 2026. Once community feedback has been reviewed and revisions to the PMP made, officers will seek Council approval for the PMP as part of the formal adoption process.</w:t>
      </w:r>
    </w:p>
    <w:p w14:paraId="12AFE32B" w14:textId="77777777" w:rsidR="003547DC" w:rsidRPr="004370C6" w:rsidRDefault="003547DC" w:rsidP="53C2996D">
      <w:pPr>
        <w:rPr>
          <w:rFonts w:ascii="Arial" w:eastAsiaTheme="majorEastAsia" w:hAnsi="Arial" w:cs="Arial"/>
          <w:sz w:val="28"/>
          <w:szCs w:val="28"/>
        </w:rPr>
      </w:pPr>
    </w:p>
    <w:p w14:paraId="36E1FCB9" w14:textId="77777777" w:rsidR="00B75CA7" w:rsidRPr="004370C6" w:rsidRDefault="00B75CA7" w:rsidP="53C2996D">
      <w:pPr>
        <w:rPr>
          <w:rFonts w:ascii="Arial" w:eastAsiaTheme="majorEastAsia" w:hAnsi="Arial" w:cs="Arial"/>
          <w:sz w:val="28"/>
          <w:szCs w:val="28"/>
        </w:rPr>
        <w:sectPr w:rsidR="00B75CA7" w:rsidRPr="004370C6">
          <w:pgSz w:w="12240" w:h="15840"/>
          <w:pgMar w:top="1440" w:right="1440" w:bottom="1440" w:left="1440" w:header="720" w:footer="720" w:gutter="0"/>
          <w:cols w:space="720"/>
          <w:docGrid w:linePitch="360"/>
        </w:sectPr>
      </w:pPr>
    </w:p>
    <w:p w14:paraId="2C55BB34" w14:textId="77777777" w:rsidR="003547DC" w:rsidRPr="004370C6" w:rsidRDefault="003547DC" w:rsidP="53C2996D">
      <w:pPr>
        <w:rPr>
          <w:rFonts w:ascii="Arial" w:eastAsiaTheme="majorEastAsia" w:hAnsi="Arial" w:cs="Arial"/>
          <w:sz w:val="28"/>
          <w:szCs w:val="28"/>
        </w:rPr>
      </w:pPr>
    </w:p>
    <w:p w14:paraId="076346C1" w14:textId="00AA9D00" w:rsidR="53C2996D" w:rsidRPr="004370C6" w:rsidRDefault="6496B927" w:rsidP="00886D2D">
      <w:pPr>
        <w:pStyle w:val="Heading3"/>
        <w:rPr>
          <w:rFonts w:ascii="Arial" w:hAnsi="Arial" w:cs="Arial"/>
          <w:color w:val="auto"/>
        </w:rPr>
      </w:pPr>
      <w:bookmarkStart w:id="37" w:name="_Toc224732167"/>
      <w:r w:rsidRPr="004370C6">
        <w:rPr>
          <w:rFonts w:ascii="Arial" w:hAnsi="Arial" w:cs="Arial"/>
          <w:color w:val="auto"/>
        </w:rPr>
        <w:t>Road Fatality &amp; Injury Data</w:t>
      </w:r>
      <w:bookmarkEnd w:id="37"/>
      <w:r w:rsidRPr="004370C6">
        <w:rPr>
          <w:rFonts w:ascii="Arial" w:hAnsi="Arial" w:cs="Arial"/>
          <w:color w:val="auto"/>
        </w:rPr>
        <w:t xml:space="preserve">  </w:t>
      </w:r>
    </w:p>
    <w:p w14:paraId="3CE9F774" w14:textId="77777777" w:rsidR="003547DC" w:rsidRPr="004370C6" w:rsidRDefault="003547DC" w:rsidP="00DD10FF">
      <w:pPr>
        <w:pStyle w:val="Heading4"/>
        <w:rPr>
          <w:rFonts w:ascii="Arial" w:hAnsi="Arial" w:cs="Arial"/>
          <w:color w:val="auto"/>
          <w:sz w:val="18"/>
          <w:szCs w:val="18"/>
          <w:lang w:val="en-AU" w:eastAsia="en-AU"/>
        </w:rPr>
      </w:pPr>
      <w:bookmarkStart w:id="38" w:name="_Toc224732168"/>
      <w:r w:rsidRPr="004370C6">
        <w:rPr>
          <w:rFonts w:ascii="Arial" w:hAnsi="Arial" w:cs="Arial"/>
          <w:color w:val="auto"/>
          <w:lang w:eastAsia="en-AU"/>
        </w:rPr>
        <w:t>Q2 crashes</w:t>
      </w:r>
      <w:bookmarkEnd w:id="38"/>
      <w:r w:rsidRPr="004370C6">
        <w:rPr>
          <w:rFonts w:ascii="Arial" w:hAnsi="Arial" w:cs="Arial"/>
          <w:color w:val="auto"/>
          <w:lang w:val="en-AU" w:eastAsia="en-AU"/>
        </w:rPr>
        <w:t> </w:t>
      </w:r>
    </w:p>
    <w:p w14:paraId="76C6F734" w14:textId="77777777" w:rsidR="003547DC" w:rsidRPr="004370C6" w:rsidRDefault="003547DC" w:rsidP="00CE5D51">
      <w:pPr>
        <w:rPr>
          <w:rFonts w:ascii="Arial" w:hAnsi="Arial" w:cs="Arial"/>
          <w:sz w:val="18"/>
          <w:szCs w:val="18"/>
          <w:lang w:val="en-AU" w:eastAsia="en-AU"/>
        </w:rPr>
      </w:pPr>
      <w:r w:rsidRPr="004370C6">
        <w:rPr>
          <w:rFonts w:ascii="Arial" w:hAnsi="Arial" w:cs="Arial"/>
          <w:lang w:eastAsia="en-AU"/>
        </w:rPr>
        <w:t>Officers access road crash statistics through the Road Crash Information System (RCIS), maintained by the Department of Transport and Planning (DTP).</w:t>
      </w:r>
      <w:r w:rsidRPr="004370C6">
        <w:rPr>
          <w:rFonts w:ascii="Arial" w:hAnsi="Arial" w:cs="Arial"/>
          <w:lang w:val="en-AU" w:eastAsia="en-AU"/>
        </w:rPr>
        <w:t> </w:t>
      </w:r>
    </w:p>
    <w:p w14:paraId="4A066C78" w14:textId="77777777" w:rsidR="003547DC" w:rsidRPr="004370C6" w:rsidRDefault="003547DC" w:rsidP="00CE5D51">
      <w:pPr>
        <w:rPr>
          <w:rFonts w:ascii="Arial" w:hAnsi="Arial" w:cs="Arial"/>
          <w:sz w:val="18"/>
          <w:szCs w:val="18"/>
          <w:lang w:val="en-AU" w:eastAsia="en-AU"/>
        </w:rPr>
      </w:pPr>
      <w:r w:rsidRPr="004370C6">
        <w:rPr>
          <w:rFonts w:ascii="Arial" w:hAnsi="Arial" w:cs="Arial"/>
          <w:lang w:eastAsia="en-AU"/>
        </w:rPr>
        <w:t>The latest data in RCIS for fatal and serious crashes that occurred in Yarra between 1 October 2025 to 31 December 2025 is summarised in the table below. While this information is available to Council officers, RCIS is not updated in real time, and therefore the dataset may not capture every crash that occurred during this period. </w:t>
      </w:r>
      <w:r w:rsidRPr="004370C6">
        <w:rPr>
          <w:rFonts w:ascii="Arial" w:hAnsi="Arial" w:cs="Arial"/>
          <w:lang w:val="en-AU" w:eastAsia="en-AU"/>
        </w:rPr>
        <w:t> </w:t>
      </w:r>
    </w:p>
    <w:p w14:paraId="737C04B1" w14:textId="77777777" w:rsidR="003547DC" w:rsidRPr="004370C6" w:rsidRDefault="003547DC" w:rsidP="00CE5D51">
      <w:pPr>
        <w:rPr>
          <w:rFonts w:ascii="Arial" w:hAnsi="Arial" w:cs="Arial"/>
          <w:sz w:val="18"/>
          <w:szCs w:val="18"/>
          <w:lang w:val="en-AU" w:eastAsia="en-AU"/>
        </w:rPr>
      </w:pPr>
      <w:r w:rsidRPr="004370C6">
        <w:rPr>
          <w:rFonts w:ascii="Arial" w:hAnsi="Arial" w:cs="Arial"/>
          <w:lang w:eastAsia="en-AU"/>
        </w:rPr>
        <w:t>In total, RCIS records eleven serious crashes for this timeframe, including four on local roads managed by the City of Yarra. No fatal crashes were recorded.</w:t>
      </w:r>
      <w:r w:rsidRPr="004370C6">
        <w:rPr>
          <w:rFonts w:ascii="Arial" w:hAnsi="Arial" w:cs="Arial"/>
          <w:lang w:val="en-AU" w:eastAsia="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1"/>
        <w:gridCol w:w="1350"/>
        <w:gridCol w:w="807"/>
        <w:gridCol w:w="1044"/>
        <w:gridCol w:w="1236"/>
        <w:gridCol w:w="1143"/>
        <w:gridCol w:w="808"/>
        <w:gridCol w:w="1030"/>
        <w:gridCol w:w="3175"/>
      </w:tblGrid>
      <w:tr w:rsidR="003C1AB7" w:rsidRPr="004370C6" w14:paraId="6B060B41" w14:textId="77777777">
        <w:trPr>
          <w:trHeight w:val="1050"/>
        </w:trPr>
        <w:tc>
          <w:tcPr>
            <w:tcW w:w="1800" w:type="dxa"/>
            <w:tcBorders>
              <w:top w:val="single" w:sz="6" w:space="0" w:color="auto"/>
              <w:left w:val="single" w:sz="6" w:space="0" w:color="auto"/>
              <w:bottom w:val="single" w:sz="6" w:space="0" w:color="auto"/>
              <w:right w:val="single" w:sz="6" w:space="0" w:color="auto"/>
            </w:tcBorders>
            <w:vAlign w:val="center"/>
            <w:hideMark/>
          </w:tcPr>
          <w:p w14:paraId="77CCF6FA" w14:textId="77777777" w:rsidR="003547DC" w:rsidRPr="004370C6" w:rsidRDefault="003547DC" w:rsidP="00CE5D51">
            <w:pPr>
              <w:rPr>
                <w:rFonts w:ascii="Arial" w:hAnsi="Arial" w:cs="Arial"/>
                <w:lang w:val="en-AU" w:eastAsia="en-AU"/>
              </w:rPr>
            </w:pPr>
            <w:r w:rsidRPr="004370C6">
              <w:rPr>
                <w:rFonts w:ascii="Arial" w:hAnsi="Arial" w:cs="Arial"/>
                <w:lang w:eastAsia="en-AU"/>
              </w:rPr>
              <w:t>Location</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D2BDE9E" w14:textId="77777777" w:rsidR="003547DC" w:rsidRPr="004370C6" w:rsidRDefault="003547DC" w:rsidP="00CE5D51">
            <w:pPr>
              <w:rPr>
                <w:rFonts w:ascii="Arial" w:hAnsi="Arial" w:cs="Arial"/>
                <w:lang w:val="en-AU" w:eastAsia="en-AU"/>
              </w:rPr>
            </w:pPr>
            <w:r w:rsidRPr="004370C6">
              <w:rPr>
                <w:rFonts w:ascii="Arial" w:hAnsi="Arial" w:cs="Arial"/>
                <w:lang w:eastAsia="en-AU"/>
              </w:rPr>
              <w:t>Date</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vAlign w:val="center"/>
            <w:hideMark/>
          </w:tcPr>
          <w:p w14:paraId="6708085F" w14:textId="77777777" w:rsidR="003547DC" w:rsidRPr="004370C6" w:rsidRDefault="003547DC" w:rsidP="00CE5D51">
            <w:pPr>
              <w:rPr>
                <w:rFonts w:ascii="Arial" w:hAnsi="Arial" w:cs="Arial"/>
                <w:lang w:val="en-AU" w:eastAsia="en-AU"/>
              </w:rPr>
            </w:pPr>
            <w:r w:rsidRPr="004370C6">
              <w:rPr>
                <w:rFonts w:ascii="Arial" w:hAnsi="Arial" w:cs="Arial"/>
                <w:lang w:eastAsia="en-AU"/>
              </w:rPr>
              <w:t>Day/</w:t>
            </w:r>
            <w:r w:rsidRPr="004370C6">
              <w:rPr>
                <w:rFonts w:ascii="Arial" w:hAnsi="Arial" w:cs="Arial"/>
                <w:lang w:val="en-AU" w:eastAsia="en-AU"/>
              </w:rPr>
              <w:t> </w:t>
            </w:r>
          </w:p>
          <w:p w14:paraId="3A360E76" w14:textId="77777777" w:rsidR="003547DC" w:rsidRPr="004370C6" w:rsidRDefault="003547DC" w:rsidP="00CE5D51">
            <w:pPr>
              <w:rPr>
                <w:rFonts w:ascii="Arial" w:hAnsi="Arial" w:cs="Arial"/>
                <w:lang w:val="en-AU" w:eastAsia="en-AU"/>
              </w:rPr>
            </w:pPr>
            <w:r w:rsidRPr="004370C6">
              <w:rPr>
                <w:rFonts w:ascii="Arial" w:hAnsi="Arial" w:cs="Arial"/>
                <w:lang w:eastAsia="en-AU"/>
              </w:rPr>
              <w:t>Night</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vAlign w:val="center"/>
            <w:hideMark/>
          </w:tcPr>
          <w:p w14:paraId="46D59890" w14:textId="77777777" w:rsidR="003547DC" w:rsidRPr="004370C6" w:rsidRDefault="003547DC" w:rsidP="00CE5D51">
            <w:pPr>
              <w:rPr>
                <w:rFonts w:ascii="Arial" w:hAnsi="Arial" w:cs="Arial"/>
                <w:lang w:val="en-AU" w:eastAsia="en-AU"/>
              </w:rPr>
            </w:pPr>
            <w:r w:rsidRPr="004370C6">
              <w:rPr>
                <w:rFonts w:ascii="Arial" w:hAnsi="Arial" w:cs="Arial"/>
                <w:lang w:eastAsia="en-AU"/>
              </w:rPr>
              <w:t>Arterial</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vAlign w:val="center"/>
            <w:hideMark/>
          </w:tcPr>
          <w:p w14:paraId="0B4AA209" w14:textId="77777777" w:rsidR="003547DC" w:rsidRPr="004370C6" w:rsidRDefault="003547DC" w:rsidP="00CE5D51">
            <w:pPr>
              <w:rPr>
                <w:rFonts w:ascii="Arial" w:hAnsi="Arial" w:cs="Arial"/>
                <w:lang w:val="en-AU" w:eastAsia="en-AU"/>
              </w:rPr>
            </w:pPr>
            <w:r w:rsidRPr="004370C6">
              <w:rPr>
                <w:rFonts w:ascii="Arial" w:hAnsi="Arial" w:cs="Arial"/>
                <w:lang w:eastAsia="en-AU"/>
              </w:rPr>
              <w:t>Was a vulnerable road user injured?</w:t>
            </w: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vAlign w:val="center"/>
            <w:hideMark/>
          </w:tcPr>
          <w:p w14:paraId="4936DEF4" w14:textId="77777777" w:rsidR="003547DC" w:rsidRPr="004370C6" w:rsidRDefault="003547DC" w:rsidP="00CE5D51">
            <w:pPr>
              <w:rPr>
                <w:rFonts w:ascii="Arial" w:hAnsi="Arial" w:cs="Arial"/>
                <w:lang w:val="en-AU" w:eastAsia="en-AU"/>
              </w:rPr>
            </w:pPr>
            <w:r w:rsidRPr="004370C6">
              <w:rPr>
                <w:rFonts w:ascii="Arial" w:hAnsi="Arial" w:cs="Arial"/>
                <w:lang w:eastAsia="en-AU"/>
              </w:rPr>
              <w:t>Age &amp; gender of injured</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vAlign w:val="center"/>
            <w:hideMark/>
          </w:tcPr>
          <w:p w14:paraId="59140C82" w14:textId="77777777" w:rsidR="003547DC" w:rsidRPr="004370C6" w:rsidRDefault="003547DC" w:rsidP="00CE5D51">
            <w:pPr>
              <w:rPr>
                <w:rFonts w:ascii="Arial" w:hAnsi="Arial" w:cs="Arial"/>
                <w:lang w:val="en-AU" w:eastAsia="en-AU"/>
              </w:rPr>
            </w:pPr>
            <w:r w:rsidRPr="004370C6">
              <w:rPr>
                <w:rFonts w:ascii="Arial" w:hAnsi="Arial" w:cs="Arial"/>
                <w:lang w:eastAsia="en-AU"/>
              </w:rPr>
              <w:t>Speed Limit</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7130B735" w14:textId="77777777" w:rsidR="003547DC" w:rsidRPr="004370C6" w:rsidRDefault="003547DC" w:rsidP="00CE5D51">
            <w:pPr>
              <w:rPr>
                <w:rFonts w:ascii="Arial" w:hAnsi="Arial" w:cs="Arial"/>
                <w:lang w:val="en-AU" w:eastAsia="en-AU"/>
              </w:rPr>
            </w:pPr>
            <w:r w:rsidRPr="004370C6">
              <w:rPr>
                <w:rFonts w:ascii="Arial" w:hAnsi="Arial" w:cs="Arial"/>
                <w:lang w:eastAsia="en-AU"/>
              </w:rPr>
              <w:t>Weather</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vAlign w:val="center"/>
            <w:hideMark/>
          </w:tcPr>
          <w:p w14:paraId="74F1603D" w14:textId="77777777" w:rsidR="003547DC" w:rsidRPr="004370C6" w:rsidRDefault="003547DC" w:rsidP="00CE5D51">
            <w:pPr>
              <w:rPr>
                <w:rFonts w:ascii="Arial" w:hAnsi="Arial" w:cs="Arial"/>
                <w:lang w:val="en-AU" w:eastAsia="en-AU"/>
              </w:rPr>
            </w:pPr>
            <w:r w:rsidRPr="004370C6">
              <w:rPr>
                <w:rFonts w:ascii="Arial" w:hAnsi="Arial" w:cs="Arial"/>
                <w:lang w:eastAsia="en-AU"/>
              </w:rPr>
              <w:t>Brief description</w:t>
            </w:r>
            <w:r w:rsidRPr="004370C6">
              <w:rPr>
                <w:rFonts w:ascii="Arial" w:hAnsi="Arial" w:cs="Arial"/>
                <w:lang w:val="en-AU" w:eastAsia="en-AU"/>
              </w:rPr>
              <w:t> </w:t>
            </w:r>
          </w:p>
        </w:tc>
      </w:tr>
      <w:tr w:rsidR="003C1AB7" w:rsidRPr="004370C6" w14:paraId="60A8CCDE" w14:textId="77777777">
        <w:trPr>
          <w:trHeight w:val="525"/>
        </w:trPr>
        <w:tc>
          <w:tcPr>
            <w:tcW w:w="1800" w:type="dxa"/>
            <w:tcBorders>
              <w:top w:val="single" w:sz="6" w:space="0" w:color="auto"/>
              <w:left w:val="single" w:sz="6" w:space="0" w:color="auto"/>
              <w:bottom w:val="single" w:sz="6" w:space="0" w:color="auto"/>
              <w:right w:val="single" w:sz="6" w:space="0" w:color="auto"/>
            </w:tcBorders>
            <w:hideMark/>
          </w:tcPr>
          <w:p w14:paraId="61EAA9A2" w14:textId="77777777" w:rsidR="003547DC" w:rsidRPr="004370C6" w:rsidRDefault="003547DC" w:rsidP="00CE5D51">
            <w:pPr>
              <w:rPr>
                <w:rFonts w:ascii="Arial" w:hAnsi="Arial" w:cs="Arial"/>
                <w:lang w:val="en-AU" w:eastAsia="en-AU"/>
              </w:rPr>
            </w:pPr>
            <w:r w:rsidRPr="004370C6">
              <w:rPr>
                <w:rFonts w:ascii="Arial" w:hAnsi="Arial" w:cs="Arial"/>
                <w:lang w:eastAsia="en-AU"/>
              </w:rPr>
              <w:t>Alexandra Parade (30m east of Wellington Street), Collingwood </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hideMark/>
          </w:tcPr>
          <w:p w14:paraId="027A90C9" w14:textId="77777777" w:rsidR="003547DC" w:rsidRPr="004370C6" w:rsidRDefault="003547DC" w:rsidP="00CE5D51">
            <w:pPr>
              <w:rPr>
                <w:rFonts w:ascii="Arial" w:hAnsi="Arial" w:cs="Arial"/>
                <w:lang w:val="en-AU" w:eastAsia="en-AU"/>
              </w:rPr>
            </w:pPr>
            <w:r w:rsidRPr="004370C6">
              <w:rPr>
                <w:rFonts w:ascii="Arial" w:hAnsi="Arial" w:cs="Arial"/>
                <w:lang w:eastAsia="en-AU"/>
              </w:rPr>
              <w:t>17/10/2025</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hideMark/>
          </w:tcPr>
          <w:p w14:paraId="331115D5" w14:textId="77777777" w:rsidR="003547DC" w:rsidRPr="004370C6" w:rsidRDefault="003547DC" w:rsidP="00CE5D51">
            <w:pPr>
              <w:rPr>
                <w:rFonts w:ascii="Arial" w:hAnsi="Arial" w:cs="Arial"/>
                <w:lang w:val="en-AU" w:eastAsia="en-AU"/>
              </w:rPr>
            </w:pPr>
            <w:r w:rsidRPr="004370C6">
              <w:rPr>
                <w:rFonts w:ascii="Arial" w:hAnsi="Arial" w:cs="Arial"/>
                <w:lang w:eastAsia="en-AU"/>
              </w:rPr>
              <w:t>Day</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hideMark/>
          </w:tcPr>
          <w:p w14:paraId="317F69AB" w14:textId="77777777" w:rsidR="003547DC" w:rsidRPr="004370C6" w:rsidRDefault="003547DC" w:rsidP="00CE5D51">
            <w:pPr>
              <w:rPr>
                <w:rFonts w:ascii="Arial" w:hAnsi="Arial" w:cs="Arial"/>
                <w:lang w:val="en-AU" w:eastAsia="en-AU"/>
              </w:rPr>
            </w:pPr>
            <w:r w:rsidRPr="004370C6">
              <w:rPr>
                <w:rFonts w:ascii="Arial" w:hAnsi="Arial" w:cs="Arial"/>
                <w:lang w:eastAsia="en-AU"/>
              </w:rPr>
              <w:t>Yes</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hideMark/>
          </w:tcPr>
          <w:p w14:paraId="00059513" w14:textId="77777777" w:rsidR="003547DC" w:rsidRPr="004370C6" w:rsidRDefault="003547DC" w:rsidP="00CE5D51">
            <w:pPr>
              <w:rPr>
                <w:rFonts w:ascii="Arial" w:hAnsi="Arial" w:cs="Arial"/>
                <w:lang w:val="en-AU" w:eastAsia="en-AU"/>
              </w:rPr>
            </w:pPr>
            <w:r w:rsidRPr="004370C6">
              <w:rPr>
                <w:rFonts w:ascii="Arial" w:hAnsi="Arial" w:cs="Arial"/>
                <w:lang w:eastAsia="en-AU"/>
              </w:rPr>
              <w:t>Yes (Serious)</w:t>
            </w: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hideMark/>
          </w:tcPr>
          <w:p w14:paraId="7134A61B" w14:textId="77777777" w:rsidR="003547DC" w:rsidRPr="004370C6" w:rsidRDefault="003547DC" w:rsidP="00CE5D51">
            <w:pPr>
              <w:rPr>
                <w:rFonts w:ascii="Arial" w:hAnsi="Arial" w:cs="Arial"/>
                <w:lang w:val="en-AU" w:eastAsia="en-AU"/>
              </w:rPr>
            </w:pPr>
            <w:r w:rsidRPr="004370C6">
              <w:rPr>
                <w:rFonts w:ascii="Arial" w:hAnsi="Arial" w:cs="Arial"/>
                <w:lang w:eastAsia="en-AU"/>
              </w:rPr>
              <w:t>58M</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hideMark/>
          </w:tcPr>
          <w:p w14:paraId="0BD56076" w14:textId="77777777" w:rsidR="003547DC" w:rsidRPr="004370C6" w:rsidRDefault="003547DC" w:rsidP="00CE5D51">
            <w:pPr>
              <w:rPr>
                <w:rFonts w:ascii="Arial" w:hAnsi="Arial" w:cs="Arial"/>
                <w:lang w:val="en-AU" w:eastAsia="en-AU"/>
              </w:rPr>
            </w:pPr>
            <w:r w:rsidRPr="004370C6">
              <w:rPr>
                <w:rFonts w:ascii="Arial" w:hAnsi="Arial" w:cs="Arial"/>
                <w:lang w:eastAsia="en-AU"/>
              </w:rPr>
              <w:t>60</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hideMark/>
          </w:tcPr>
          <w:p w14:paraId="13E23981" w14:textId="77777777" w:rsidR="003547DC" w:rsidRPr="004370C6" w:rsidRDefault="003547DC" w:rsidP="00CE5D51">
            <w:pPr>
              <w:rPr>
                <w:rFonts w:ascii="Arial" w:hAnsi="Arial" w:cs="Arial"/>
                <w:lang w:val="en-AU" w:eastAsia="en-AU"/>
              </w:rPr>
            </w:pPr>
            <w:r w:rsidRPr="004370C6">
              <w:rPr>
                <w:rFonts w:ascii="Arial" w:hAnsi="Arial" w:cs="Arial"/>
                <w:lang w:eastAsia="en-AU"/>
              </w:rPr>
              <w:t>Clear</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hideMark/>
          </w:tcPr>
          <w:p w14:paraId="68C4CAE6" w14:textId="28C03A37" w:rsidR="003547DC" w:rsidRPr="004370C6" w:rsidRDefault="002D61C4" w:rsidP="00CE5D51">
            <w:pPr>
              <w:rPr>
                <w:rFonts w:ascii="Arial" w:hAnsi="Arial" w:cs="Arial"/>
                <w:lang w:val="en-AU" w:eastAsia="en-AU"/>
              </w:rPr>
            </w:pPr>
            <w:r w:rsidRPr="004370C6">
              <w:rPr>
                <w:rFonts w:ascii="Arial" w:hAnsi="Arial" w:cs="Arial"/>
                <w:lang w:eastAsia="en-AU"/>
              </w:rPr>
              <w:t>The driver</w:t>
            </w:r>
            <w:r w:rsidR="003547DC" w:rsidRPr="004370C6">
              <w:rPr>
                <w:rFonts w:ascii="Arial" w:hAnsi="Arial" w:cs="Arial"/>
                <w:lang w:eastAsia="en-AU"/>
              </w:rPr>
              <w:t> of a car was heading west and failed to observe a motorcyclist to his left that was also travelling west. The driver entered the left turning lane and collided with the motorcyclist. Serious injury to the motorcyclist.</w:t>
            </w:r>
            <w:r w:rsidR="003547DC" w:rsidRPr="004370C6">
              <w:rPr>
                <w:rFonts w:ascii="Arial" w:hAnsi="Arial" w:cs="Arial"/>
                <w:lang w:val="en-AU" w:eastAsia="en-AU"/>
              </w:rPr>
              <w:t> </w:t>
            </w:r>
          </w:p>
        </w:tc>
      </w:tr>
      <w:tr w:rsidR="003C1AB7" w:rsidRPr="004370C6" w14:paraId="3A46D7AA" w14:textId="77777777">
        <w:trPr>
          <w:trHeight w:val="525"/>
        </w:trPr>
        <w:tc>
          <w:tcPr>
            <w:tcW w:w="1800" w:type="dxa"/>
            <w:tcBorders>
              <w:top w:val="single" w:sz="6" w:space="0" w:color="auto"/>
              <w:left w:val="single" w:sz="6" w:space="0" w:color="auto"/>
              <w:bottom w:val="single" w:sz="6" w:space="0" w:color="auto"/>
              <w:right w:val="single" w:sz="6" w:space="0" w:color="auto"/>
            </w:tcBorders>
            <w:hideMark/>
          </w:tcPr>
          <w:p w14:paraId="46C84F64" w14:textId="77777777" w:rsidR="003547DC" w:rsidRPr="004370C6" w:rsidRDefault="003547DC" w:rsidP="00CE5D51">
            <w:pPr>
              <w:rPr>
                <w:rFonts w:ascii="Arial" w:hAnsi="Arial" w:cs="Arial"/>
                <w:lang w:val="en-AU" w:eastAsia="en-AU"/>
              </w:rPr>
            </w:pPr>
            <w:r w:rsidRPr="004370C6">
              <w:rPr>
                <w:rFonts w:ascii="Arial" w:hAnsi="Arial" w:cs="Arial"/>
                <w:lang w:eastAsia="en-AU"/>
              </w:rPr>
              <w:lastRenderedPageBreak/>
              <w:t>Swan Street/Bendigo Street, Richmond</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hideMark/>
          </w:tcPr>
          <w:p w14:paraId="0D9A9B01" w14:textId="77777777" w:rsidR="003547DC" w:rsidRPr="004370C6" w:rsidRDefault="003547DC" w:rsidP="00CE5D51">
            <w:pPr>
              <w:rPr>
                <w:rFonts w:ascii="Arial" w:hAnsi="Arial" w:cs="Arial"/>
                <w:lang w:val="en-AU" w:eastAsia="en-AU"/>
              </w:rPr>
            </w:pPr>
            <w:r w:rsidRPr="004370C6">
              <w:rPr>
                <w:rFonts w:ascii="Arial" w:hAnsi="Arial" w:cs="Arial"/>
                <w:lang w:eastAsia="en-AU"/>
              </w:rPr>
              <w:t> 17/10/2025</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hideMark/>
          </w:tcPr>
          <w:p w14:paraId="7F392983" w14:textId="77777777" w:rsidR="003547DC" w:rsidRPr="004370C6" w:rsidRDefault="003547DC" w:rsidP="00CE5D51">
            <w:pPr>
              <w:rPr>
                <w:rFonts w:ascii="Arial" w:hAnsi="Arial" w:cs="Arial"/>
                <w:lang w:val="en-AU" w:eastAsia="en-AU"/>
              </w:rPr>
            </w:pPr>
            <w:r w:rsidRPr="004370C6">
              <w:rPr>
                <w:rFonts w:ascii="Arial" w:hAnsi="Arial" w:cs="Arial"/>
                <w:lang w:eastAsia="en-AU"/>
              </w:rPr>
              <w:t>Day</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hideMark/>
          </w:tcPr>
          <w:p w14:paraId="4EFA709D" w14:textId="77777777" w:rsidR="003547DC" w:rsidRPr="004370C6" w:rsidRDefault="003547DC" w:rsidP="00CE5D51">
            <w:pPr>
              <w:rPr>
                <w:rFonts w:ascii="Arial" w:hAnsi="Arial" w:cs="Arial"/>
                <w:lang w:val="en-AU" w:eastAsia="en-AU"/>
              </w:rPr>
            </w:pPr>
            <w:r w:rsidRPr="004370C6">
              <w:rPr>
                <w:rFonts w:ascii="Arial" w:hAnsi="Arial" w:cs="Arial"/>
                <w:lang w:eastAsia="en-AU"/>
              </w:rPr>
              <w:t>Yes</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hideMark/>
          </w:tcPr>
          <w:p w14:paraId="78BF11C5" w14:textId="77777777" w:rsidR="003547DC" w:rsidRPr="004370C6" w:rsidRDefault="003547DC" w:rsidP="00CE5D51">
            <w:pPr>
              <w:rPr>
                <w:rFonts w:ascii="Arial" w:hAnsi="Arial" w:cs="Arial"/>
                <w:lang w:val="en-AU" w:eastAsia="en-AU"/>
              </w:rPr>
            </w:pPr>
            <w:r w:rsidRPr="004370C6">
              <w:rPr>
                <w:rFonts w:ascii="Arial" w:hAnsi="Arial" w:cs="Arial"/>
                <w:lang w:eastAsia="en-AU"/>
              </w:rPr>
              <w:t>Yes (Serious)</w:t>
            </w: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hideMark/>
          </w:tcPr>
          <w:p w14:paraId="5519B17E" w14:textId="77777777" w:rsidR="003547DC" w:rsidRPr="004370C6" w:rsidRDefault="003547DC" w:rsidP="00CE5D51">
            <w:pPr>
              <w:rPr>
                <w:rFonts w:ascii="Arial" w:hAnsi="Arial" w:cs="Arial"/>
                <w:lang w:val="en-AU" w:eastAsia="en-AU"/>
              </w:rPr>
            </w:pPr>
            <w:r w:rsidRPr="004370C6">
              <w:rPr>
                <w:rFonts w:ascii="Arial" w:hAnsi="Arial" w:cs="Arial"/>
                <w:lang w:eastAsia="en-AU"/>
              </w:rPr>
              <w:t>40M</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hideMark/>
          </w:tcPr>
          <w:p w14:paraId="55BB2396" w14:textId="77777777" w:rsidR="003547DC" w:rsidRPr="004370C6" w:rsidRDefault="003547DC" w:rsidP="00CE5D51">
            <w:pPr>
              <w:rPr>
                <w:rFonts w:ascii="Arial" w:hAnsi="Arial" w:cs="Arial"/>
                <w:lang w:val="en-AU" w:eastAsia="en-AU"/>
              </w:rPr>
            </w:pPr>
            <w:r w:rsidRPr="004370C6">
              <w:rPr>
                <w:rFonts w:ascii="Arial" w:hAnsi="Arial" w:cs="Arial"/>
                <w:lang w:eastAsia="en-AU"/>
              </w:rPr>
              <w:t>60</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hideMark/>
          </w:tcPr>
          <w:p w14:paraId="07511227" w14:textId="77777777" w:rsidR="003547DC" w:rsidRPr="004370C6" w:rsidRDefault="003547DC" w:rsidP="00CE5D51">
            <w:pPr>
              <w:rPr>
                <w:rFonts w:ascii="Arial" w:hAnsi="Arial" w:cs="Arial"/>
                <w:lang w:val="en-AU" w:eastAsia="en-AU"/>
              </w:rPr>
            </w:pPr>
            <w:r w:rsidRPr="004370C6">
              <w:rPr>
                <w:rFonts w:ascii="Arial" w:hAnsi="Arial" w:cs="Arial"/>
                <w:lang w:eastAsia="en-AU"/>
              </w:rPr>
              <w:t>Clear</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hideMark/>
          </w:tcPr>
          <w:p w14:paraId="4C3221C8" w14:textId="729D0B35" w:rsidR="003547DC" w:rsidRPr="004370C6" w:rsidRDefault="002D61C4" w:rsidP="00CE5D51">
            <w:pPr>
              <w:rPr>
                <w:rFonts w:ascii="Arial" w:hAnsi="Arial" w:cs="Arial"/>
                <w:lang w:val="en-AU" w:eastAsia="en-AU"/>
              </w:rPr>
            </w:pPr>
            <w:r w:rsidRPr="004370C6">
              <w:rPr>
                <w:rFonts w:ascii="Arial" w:hAnsi="Arial" w:cs="Arial"/>
                <w:lang w:eastAsia="en-AU"/>
              </w:rPr>
              <w:t>The driver</w:t>
            </w:r>
            <w:r w:rsidR="003547DC" w:rsidRPr="004370C6">
              <w:rPr>
                <w:rFonts w:ascii="Arial" w:hAnsi="Arial" w:cs="Arial"/>
                <w:lang w:eastAsia="en-AU"/>
              </w:rPr>
              <w:t> of a car was travelling west on Swan Street and turned right into Bendigo Street. The driver failed to give way to an oncoming motorcyclist that was travelling east on Swan Street. Serious injury to the motorcyclist.</w:t>
            </w:r>
            <w:r w:rsidR="003547DC" w:rsidRPr="004370C6">
              <w:rPr>
                <w:rFonts w:ascii="Arial" w:hAnsi="Arial" w:cs="Arial"/>
                <w:lang w:val="en-AU" w:eastAsia="en-AU"/>
              </w:rPr>
              <w:t> </w:t>
            </w:r>
          </w:p>
        </w:tc>
      </w:tr>
      <w:tr w:rsidR="003C1AB7" w:rsidRPr="004370C6" w14:paraId="2E817901" w14:textId="77777777">
        <w:trPr>
          <w:trHeight w:val="525"/>
        </w:trPr>
        <w:tc>
          <w:tcPr>
            <w:tcW w:w="1800" w:type="dxa"/>
            <w:tcBorders>
              <w:top w:val="single" w:sz="6" w:space="0" w:color="auto"/>
              <w:left w:val="single" w:sz="6" w:space="0" w:color="auto"/>
              <w:bottom w:val="single" w:sz="6" w:space="0" w:color="auto"/>
              <w:right w:val="single" w:sz="6" w:space="0" w:color="auto"/>
            </w:tcBorders>
            <w:hideMark/>
          </w:tcPr>
          <w:p w14:paraId="4ACC5EB6" w14:textId="77777777" w:rsidR="003547DC" w:rsidRPr="004370C6" w:rsidRDefault="003547DC" w:rsidP="00CE5D51">
            <w:pPr>
              <w:rPr>
                <w:rFonts w:ascii="Arial" w:hAnsi="Arial" w:cs="Arial"/>
                <w:lang w:val="en-AU" w:eastAsia="en-AU"/>
              </w:rPr>
            </w:pPr>
            <w:r w:rsidRPr="004370C6">
              <w:rPr>
                <w:rFonts w:ascii="Arial" w:hAnsi="Arial" w:cs="Arial"/>
                <w:lang w:eastAsia="en-AU"/>
              </w:rPr>
              <w:t>Newry Street (72m east of Rathdowne Street), Carlton North</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hideMark/>
          </w:tcPr>
          <w:p w14:paraId="1D5A50AC" w14:textId="77777777" w:rsidR="003547DC" w:rsidRPr="004370C6" w:rsidRDefault="003547DC" w:rsidP="00CE5D51">
            <w:pPr>
              <w:rPr>
                <w:rFonts w:ascii="Arial" w:hAnsi="Arial" w:cs="Arial"/>
                <w:lang w:val="en-AU" w:eastAsia="en-AU"/>
              </w:rPr>
            </w:pPr>
            <w:r w:rsidRPr="004370C6">
              <w:rPr>
                <w:rFonts w:ascii="Arial" w:hAnsi="Arial" w:cs="Arial"/>
                <w:lang w:eastAsia="en-AU"/>
              </w:rPr>
              <w:t> 23/10/2025</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hideMark/>
          </w:tcPr>
          <w:p w14:paraId="2CD5A72F" w14:textId="77777777" w:rsidR="003547DC" w:rsidRPr="004370C6" w:rsidRDefault="003547DC" w:rsidP="00CE5D51">
            <w:pPr>
              <w:rPr>
                <w:rFonts w:ascii="Arial" w:hAnsi="Arial" w:cs="Arial"/>
                <w:lang w:val="en-AU" w:eastAsia="en-AU"/>
              </w:rPr>
            </w:pPr>
            <w:r w:rsidRPr="004370C6">
              <w:rPr>
                <w:rFonts w:ascii="Arial" w:hAnsi="Arial" w:cs="Arial"/>
                <w:lang w:eastAsia="en-AU"/>
              </w:rPr>
              <w:t>Night</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hideMark/>
          </w:tcPr>
          <w:p w14:paraId="1B7B819B" w14:textId="77777777" w:rsidR="003547DC" w:rsidRPr="004370C6" w:rsidRDefault="003547DC" w:rsidP="00CE5D51">
            <w:pPr>
              <w:rPr>
                <w:rFonts w:ascii="Arial" w:hAnsi="Arial" w:cs="Arial"/>
                <w:lang w:val="en-AU" w:eastAsia="en-AU"/>
              </w:rPr>
            </w:pPr>
            <w:r w:rsidRPr="004370C6">
              <w:rPr>
                <w:rFonts w:ascii="Arial" w:hAnsi="Arial" w:cs="Arial"/>
                <w:lang w:eastAsia="en-AU"/>
              </w:rPr>
              <w:t>No</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hideMark/>
          </w:tcPr>
          <w:p w14:paraId="6C27CE61" w14:textId="77777777" w:rsidR="003547DC" w:rsidRPr="004370C6" w:rsidRDefault="003547DC" w:rsidP="00CE5D51">
            <w:pPr>
              <w:rPr>
                <w:rFonts w:ascii="Arial" w:hAnsi="Arial" w:cs="Arial"/>
                <w:lang w:val="en-AU" w:eastAsia="en-AU"/>
              </w:rPr>
            </w:pPr>
            <w:r w:rsidRPr="004370C6">
              <w:rPr>
                <w:rFonts w:ascii="Arial" w:hAnsi="Arial" w:cs="Arial"/>
                <w:lang w:eastAsia="en-AU"/>
              </w:rPr>
              <w:t>Yes (Serious)</w:t>
            </w: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hideMark/>
          </w:tcPr>
          <w:p w14:paraId="4E254C7C" w14:textId="77777777" w:rsidR="003547DC" w:rsidRPr="004370C6" w:rsidRDefault="003547DC" w:rsidP="00CE5D51">
            <w:pPr>
              <w:rPr>
                <w:rFonts w:ascii="Arial" w:hAnsi="Arial" w:cs="Arial"/>
                <w:lang w:val="en-AU" w:eastAsia="en-AU"/>
              </w:rPr>
            </w:pPr>
            <w:r w:rsidRPr="004370C6">
              <w:rPr>
                <w:rFonts w:ascii="Arial" w:hAnsi="Arial" w:cs="Arial"/>
                <w:lang w:eastAsia="en-AU"/>
              </w:rPr>
              <w:t>58M</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hideMark/>
          </w:tcPr>
          <w:p w14:paraId="07F40498" w14:textId="77777777" w:rsidR="003547DC" w:rsidRPr="004370C6" w:rsidRDefault="003547DC" w:rsidP="00CE5D51">
            <w:pPr>
              <w:rPr>
                <w:rFonts w:ascii="Arial" w:hAnsi="Arial" w:cs="Arial"/>
                <w:lang w:val="en-AU" w:eastAsia="en-AU"/>
              </w:rPr>
            </w:pPr>
            <w:r w:rsidRPr="004370C6">
              <w:rPr>
                <w:rFonts w:ascii="Arial" w:hAnsi="Arial" w:cs="Arial"/>
                <w:lang w:eastAsia="en-AU"/>
              </w:rPr>
              <w:t>40</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hideMark/>
          </w:tcPr>
          <w:p w14:paraId="37610300" w14:textId="77777777" w:rsidR="003547DC" w:rsidRPr="004370C6" w:rsidRDefault="003547DC" w:rsidP="00CE5D51">
            <w:pPr>
              <w:rPr>
                <w:rFonts w:ascii="Arial" w:hAnsi="Arial" w:cs="Arial"/>
                <w:lang w:val="en-AU" w:eastAsia="en-AU"/>
              </w:rPr>
            </w:pPr>
            <w:r w:rsidRPr="004370C6">
              <w:rPr>
                <w:rFonts w:ascii="Arial" w:hAnsi="Arial" w:cs="Arial"/>
                <w:lang w:eastAsia="en-AU"/>
              </w:rPr>
              <w:t>Clear</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hideMark/>
          </w:tcPr>
          <w:p w14:paraId="1FBCF14A" w14:textId="77777777" w:rsidR="003547DC" w:rsidRPr="004370C6" w:rsidRDefault="003547DC" w:rsidP="00CE5D51">
            <w:pPr>
              <w:rPr>
                <w:rFonts w:ascii="Arial" w:hAnsi="Arial" w:cs="Arial"/>
                <w:lang w:val="en-AU" w:eastAsia="en-AU"/>
              </w:rPr>
            </w:pPr>
            <w:r w:rsidRPr="004370C6">
              <w:rPr>
                <w:rFonts w:ascii="Arial" w:hAnsi="Arial" w:cs="Arial"/>
                <w:lang w:eastAsia="en-AU"/>
              </w:rPr>
              <w:t>A driver of a car undertook an illegal U-turn on Newry Street and struck a pedestrian that was crossing the road. Serious injury to the pedestrian.</w:t>
            </w:r>
            <w:r w:rsidRPr="004370C6">
              <w:rPr>
                <w:rFonts w:ascii="Arial" w:hAnsi="Arial" w:cs="Arial"/>
                <w:lang w:val="en-AU" w:eastAsia="en-AU"/>
              </w:rPr>
              <w:t> </w:t>
            </w:r>
          </w:p>
        </w:tc>
      </w:tr>
      <w:tr w:rsidR="003C1AB7" w:rsidRPr="004370C6" w14:paraId="1FEC66B3" w14:textId="77777777">
        <w:trPr>
          <w:trHeight w:val="630"/>
        </w:trPr>
        <w:tc>
          <w:tcPr>
            <w:tcW w:w="1800" w:type="dxa"/>
            <w:tcBorders>
              <w:top w:val="single" w:sz="6" w:space="0" w:color="auto"/>
              <w:left w:val="single" w:sz="6" w:space="0" w:color="auto"/>
              <w:bottom w:val="single" w:sz="6" w:space="0" w:color="auto"/>
              <w:right w:val="single" w:sz="6" w:space="0" w:color="auto"/>
            </w:tcBorders>
            <w:hideMark/>
          </w:tcPr>
          <w:p w14:paraId="380BDC07" w14:textId="77777777" w:rsidR="003547DC" w:rsidRPr="004370C6" w:rsidRDefault="003547DC" w:rsidP="00CE5D51">
            <w:pPr>
              <w:rPr>
                <w:rFonts w:ascii="Arial" w:hAnsi="Arial" w:cs="Arial"/>
                <w:lang w:val="en-AU" w:eastAsia="en-AU"/>
              </w:rPr>
            </w:pPr>
            <w:r w:rsidRPr="004370C6">
              <w:rPr>
                <w:rFonts w:ascii="Arial" w:hAnsi="Arial" w:cs="Arial"/>
                <w:lang w:eastAsia="en-AU"/>
              </w:rPr>
              <w:t>Monash Freeway-Citylink (492m west of Gibdon Street), Richmond</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hideMark/>
          </w:tcPr>
          <w:p w14:paraId="3A04C904" w14:textId="77777777" w:rsidR="003547DC" w:rsidRPr="004370C6" w:rsidRDefault="003547DC" w:rsidP="00CE5D51">
            <w:pPr>
              <w:rPr>
                <w:rFonts w:ascii="Arial" w:hAnsi="Arial" w:cs="Arial"/>
                <w:lang w:val="en-AU" w:eastAsia="en-AU"/>
              </w:rPr>
            </w:pPr>
            <w:r w:rsidRPr="004370C6">
              <w:rPr>
                <w:rFonts w:ascii="Arial" w:hAnsi="Arial" w:cs="Arial"/>
                <w:lang w:eastAsia="en-AU"/>
              </w:rPr>
              <w:t> 06/11/2025</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hideMark/>
          </w:tcPr>
          <w:p w14:paraId="64A07B70" w14:textId="77777777" w:rsidR="003547DC" w:rsidRPr="004370C6" w:rsidRDefault="003547DC" w:rsidP="00CE5D51">
            <w:pPr>
              <w:rPr>
                <w:rFonts w:ascii="Arial" w:hAnsi="Arial" w:cs="Arial"/>
                <w:lang w:val="en-AU" w:eastAsia="en-AU"/>
              </w:rPr>
            </w:pPr>
            <w:r w:rsidRPr="004370C6">
              <w:rPr>
                <w:rFonts w:ascii="Arial" w:hAnsi="Arial" w:cs="Arial"/>
                <w:lang w:eastAsia="en-AU"/>
              </w:rPr>
              <w:t>Day</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hideMark/>
          </w:tcPr>
          <w:p w14:paraId="7BAC617C" w14:textId="77777777" w:rsidR="003547DC" w:rsidRPr="004370C6" w:rsidRDefault="003547DC" w:rsidP="00CE5D51">
            <w:pPr>
              <w:rPr>
                <w:rFonts w:ascii="Arial" w:hAnsi="Arial" w:cs="Arial"/>
                <w:lang w:val="en-AU" w:eastAsia="en-AU"/>
              </w:rPr>
            </w:pPr>
            <w:r w:rsidRPr="004370C6">
              <w:rPr>
                <w:rFonts w:ascii="Arial" w:hAnsi="Arial" w:cs="Arial"/>
                <w:lang w:eastAsia="en-AU"/>
              </w:rPr>
              <w:t>Yes</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hideMark/>
          </w:tcPr>
          <w:p w14:paraId="1F24BE2C" w14:textId="77777777" w:rsidR="003547DC" w:rsidRPr="004370C6" w:rsidRDefault="003547DC" w:rsidP="00CE5D51">
            <w:pPr>
              <w:rPr>
                <w:rFonts w:ascii="Arial" w:hAnsi="Arial" w:cs="Arial"/>
                <w:lang w:val="en-AU" w:eastAsia="en-AU"/>
              </w:rPr>
            </w:pPr>
            <w:r w:rsidRPr="004370C6">
              <w:rPr>
                <w:rFonts w:ascii="Arial" w:hAnsi="Arial" w:cs="Arial"/>
                <w:lang w:eastAsia="en-AU"/>
              </w:rPr>
              <w:t>Yes (Serious)</w:t>
            </w: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hideMark/>
          </w:tcPr>
          <w:p w14:paraId="5FA055A8" w14:textId="77777777" w:rsidR="003547DC" w:rsidRPr="004370C6" w:rsidRDefault="003547DC" w:rsidP="00CE5D51">
            <w:pPr>
              <w:rPr>
                <w:rFonts w:ascii="Arial" w:hAnsi="Arial" w:cs="Arial"/>
                <w:lang w:val="en-AU" w:eastAsia="en-AU"/>
              </w:rPr>
            </w:pPr>
            <w:r w:rsidRPr="004370C6">
              <w:rPr>
                <w:rFonts w:ascii="Arial" w:hAnsi="Arial" w:cs="Arial"/>
                <w:lang w:eastAsia="en-AU"/>
              </w:rPr>
              <w:t>76M</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hideMark/>
          </w:tcPr>
          <w:p w14:paraId="2502E64C" w14:textId="77777777" w:rsidR="003547DC" w:rsidRPr="004370C6" w:rsidRDefault="003547DC" w:rsidP="00CE5D51">
            <w:pPr>
              <w:rPr>
                <w:rFonts w:ascii="Arial" w:hAnsi="Arial" w:cs="Arial"/>
                <w:lang w:val="en-AU" w:eastAsia="en-AU"/>
              </w:rPr>
            </w:pPr>
            <w:r w:rsidRPr="004370C6">
              <w:rPr>
                <w:rFonts w:ascii="Arial" w:hAnsi="Arial" w:cs="Arial"/>
                <w:lang w:eastAsia="en-AU"/>
              </w:rPr>
              <w:t>80</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hideMark/>
          </w:tcPr>
          <w:p w14:paraId="7B49CA65" w14:textId="77777777" w:rsidR="003547DC" w:rsidRPr="004370C6" w:rsidRDefault="003547DC" w:rsidP="00CE5D51">
            <w:pPr>
              <w:rPr>
                <w:rFonts w:ascii="Arial" w:hAnsi="Arial" w:cs="Arial"/>
                <w:lang w:val="en-AU" w:eastAsia="en-AU"/>
              </w:rPr>
            </w:pPr>
            <w:r w:rsidRPr="004370C6">
              <w:rPr>
                <w:rFonts w:ascii="Arial" w:hAnsi="Arial" w:cs="Arial"/>
                <w:lang w:eastAsia="en-AU"/>
              </w:rPr>
              <w:t>Clear</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hideMark/>
          </w:tcPr>
          <w:p w14:paraId="58E68E42" w14:textId="77777777" w:rsidR="003547DC" w:rsidRPr="004370C6" w:rsidRDefault="003547DC" w:rsidP="00CE5D51">
            <w:pPr>
              <w:rPr>
                <w:rFonts w:ascii="Arial" w:hAnsi="Arial" w:cs="Arial"/>
                <w:lang w:val="en-AU" w:eastAsia="en-AU"/>
              </w:rPr>
            </w:pPr>
            <w:r w:rsidRPr="004370C6">
              <w:rPr>
                <w:rFonts w:ascii="Arial" w:hAnsi="Arial" w:cs="Arial"/>
                <w:lang w:eastAsia="en-AU"/>
              </w:rPr>
              <w:t>Driver A has exited their vehicle due to an alteration with another vehicle (Driver B). Driver B attempted to drive off and struck Driver A who was walking on the road towards Driver B. Serious injury to Driver A.</w:t>
            </w:r>
            <w:r w:rsidRPr="004370C6">
              <w:rPr>
                <w:rFonts w:ascii="Arial" w:hAnsi="Arial" w:cs="Arial"/>
                <w:lang w:val="en-AU" w:eastAsia="en-AU"/>
              </w:rPr>
              <w:t> </w:t>
            </w:r>
          </w:p>
        </w:tc>
      </w:tr>
      <w:tr w:rsidR="003C1AB7" w:rsidRPr="004370C6" w14:paraId="09C4AC1C" w14:textId="77777777">
        <w:trPr>
          <w:trHeight w:val="525"/>
        </w:trPr>
        <w:tc>
          <w:tcPr>
            <w:tcW w:w="1800" w:type="dxa"/>
            <w:tcBorders>
              <w:top w:val="single" w:sz="6" w:space="0" w:color="auto"/>
              <w:left w:val="single" w:sz="6" w:space="0" w:color="auto"/>
              <w:bottom w:val="single" w:sz="6" w:space="0" w:color="auto"/>
              <w:right w:val="single" w:sz="6" w:space="0" w:color="auto"/>
            </w:tcBorders>
            <w:hideMark/>
          </w:tcPr>
          <w:p w14:paraId="4B2CAA02" w14:textId="77777777" w:rsidR="003547DC" w:rsidRPr="004370C6" w:rsidRDefault="003547DC" w:rsidP="00CE5D51">
            <w:pPr>
              <w:rPr>
                <w:rFonts w:ascii="Arial" w:hAnsi="Arial" w:cs="Arial"/>
                <w:lang w:val="en-AU" w:eastAsia="en-AU"/>
              </w:rPr>
            </w:pPr>
            <w:r w:rsidRPr="004370C6">
              <w:rPr>
                <w:rFonts w:ascii="Arial" w:hAnsi="Arial" w:cs="Arial"/>
                <w:lang w:eastAsia="en-AU"/>
              </w:rPr>
              <w:lastRenderedPageBreak/>
              <w:t>Keele Street/Wellington Street, Collingwood</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hideMark/>
          </w:tcPr>
          <w:p w14:paraId="0B82E56C" w14:textId="77777777" w:rsidR="003547DC" w:rsidRPr="004370C6" w:rsidRDefault="003547DC" w:rsidP="00CE5D51">
            <w:pPr>
              <w:rPr>
                <w:rFonts w:ascii="Arial" w:hAnsi="Arial" w:cs="Arial"/>
                <w:lang w:val="en-AU" w:eastAsia="en-AU"/>
              </w:rPr>
            </w:pPr>
            <w:r w:rsidRPr="004370C6">
              <w:rPr>
                <w:rFonts w:ascii="Arial" w:hAnsi="Arial" w:cs="Arial"/>
                <w:lang w:eastAsia="en-AU"/>
              </w:rPr>
              <w:t> 06/11/2025</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hideMark/>
          </w:tcPr>
          <w:p w14:paraId="37A819C8" w14:textId="77777777" w:rsidR="003547DC" w:rsidRPr="004370C6" w:rsidRDefault="003547DC" w:rsidP="00CE5D51">
            <w:pPr>
              <w:rPr>
                <w:rFonts w:ascii="Arial" w:hAnsi="Arial" w:cs="Arial"/>
                <w:lang w:val="en-AU" w:eastAsia="en-AU"/>
              </w:rPr>
            </w:pPr>
            <w:r w:rsidRPr="004370C6">
              <w:rPr>
                <w:rFonts w:ascii="Arial" w:hAnsi="Arial" w:cs="Arial"/>
                <w:lang w:eastAsia="en-AU"/>
              </w:rPr>
              <w:t>Day</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hideMark/>
          </w:tcPr>
          <w:p w14:paraId="46F1D450" w14:textId="77777777" w:rsidR="003547DC" w:rsidRPr="004370C6" w:rsidRDefault="003547DC" w:rsidP="00CE5D51">
            <w:pPr>
              <w:rPr>
                <w:rFonts w:ascii="Arial" w:hAnsi="Arial" w:cs="Arial"/>
                <w:lang w:val="en-AU" w:eastAsia="en-AU"/>
              </w:rPr>
            </w:pPr>
            <w:r w:rsidRPr="004370C6">
              <w:rPr>
                <w:rFonts w:ascii="Arial" w:hAnsi="Arial" w:cs="Arial"/>
                <w:lang w:eastAsia="en-AU"/>
              </w:rPr>
              <w:t>No</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hideMark/>
          </w:tcPr>
          <w:p w14:paraId="466AE5EA" w14:textId="77777777" w:rsidR="003547DC" w:rsidRPr="004370C6" w:rsidRDefault="003547DC" w:rsidP="00CE5D51">
            <w:pPr>
              <w:rPr>
                <w:rFonts w:ascii="Arial" w:hAnsi="Arial" w:cs="Arial"/>
                <w:lang w:val="en-AU" w:eastAsia="en-AU"/>
              </w:rPr>
            </w:pPr>
            <w:r w:rsidRPr="004370C6">
              <w:rPr>
                <w:rFonts w:ascii="Arial" w:hAnsi="Arial" w:cs="Arial"/>
                <w:lang w:eastAsia="en-AU"/>
              </w:rPr>
              <w:t>Yes (Serious)</w:t>
            </w: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hideMark/>
          </w:tcPr>
          <w:p w14:paraId="0E032E95" w14:textId="77777777" w:rsidR="003547DC" w:rsidRPr="004370C6" w:rsidRDefault="003547DC" w:rsidP="00CE5D51">
            <w:pPr>
              <w:rPr>
                <w:rFonts w:ascii="Arial" w:hAnsi="Arial" w:cs="Arial"/>
                <w:lang w:val="en-AU" w:eastAsia="en-AU"/>
              </w:rPr>
            </w:pPr>
            <w:r w:rsidRPr="004370C6">
              <w:rPr>
                <w:rFonts w:ascii="Arial" w:hAnsi="Arial" w:cs="Arial"/>
                <w:lang w:eastAsia="en-AU"/>
              </w:rPr>
              <w:t>32M</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hideMark/>
          </w:tcPr>
          <w:p w14:paraId="2B1EC52D" w14:textId="77777777" w:rsidR="003547DC" w:rsidRPr="004370C6" w:rsidRDefault="003547DC" w:rsidP="00CE5D51">
            <w:pPr>
              <w:rPr>
                <w:rFonts w:ascii="Arial" w:hAnsi="Arial" w:cs="Arial"/>
                <w:lang w:val="en-AU" w:eastAsia="en-AU"/>
              </w:rPr>
            </w:pPr>
            <w:r w:rsidRPr="004370C6">
              <w:rPr>
                <w:rFonts w:ascii="Arial" w:hAnsi="Arial" w:cs="Arial"/>
                <w:lang w:eastAsia="en-AU"/>
              </w:rPr>
              <w:t>30</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hideMark/>
          </w:tcPr>
          <w:p w14:paraId="567F07EB" w14:textId="77777777" w:rsidR="003547DC" w:rsidRPr="004370C6" w:rsidRDefault="003547DC" w:rsidP="00CE5D51">
            <w:pPr>
              <w:rPr>
                <w:rFonts w:ascii="Arial" w:hAnsi="Arial" w:cs="Arial"/>
                <w:lang w:val="en-AU" w:eastAsia="en-AU"/>
              </w:rPr>
            </w:pPr>
            <w:r w:rsidRPr="004370C6">
              <w:rPr>
                <w:rFonts w:ascii="Arial" w:hAnsi="Arial" w:cs="Arial"/>
                <w:lang w:eastAsia="en-AU"/>
              </w:rPr>
              <w:t>Clear</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hideMark/>
          </w:tcPr>
          <w:p w14:paraId="625FA187" w14:textId="34794CFC" w:rsidR="003547DC" w:rsidRPr="004370C6" w:rsidRDefault="002D61C4" w:rsidP="00CE5D51">
            <w:pPr>
              <w:rPr>
                <w:rFonts w:ascii="Arial" w:hAnsi="Arial" w:cs="Arial"/>
                <w:lang w:val="en-AU" w:eastAsia="en-AU"/>
              </w:rPr>
            </w:pPr>
            <w:r w:rsidRPr="004370C6">
              <w:rPr>
                <w:rFonts w:ascii="Arial" w:hAnsi="Arial" w:cs="Arial"/>
                <w:lang w:eastAsia="en-AU"/>
              </w:rPr>
              <w:t>The driver</w:t>
            </w:r>
            <w:r w:rsidR="003547DC" w:rsidRPr="004370C6">
              <w:rPr>
                <w:rFonts w:ascii="Arial" w:hAnsi="Arial" w:cs="Arial"/>
                <w:lang w:eastAsia="en-AU"/>
              </w:rPr>
              <w:t> of </w:t>
            </w:r>
            <w:r w:rsidR="0037642C" w:rsidRPr="004370C6">
              <w:rPr>
                <w:rFonts w:ascii="Arial" w:hAnsi="Arial" w:cs="Arial"/>
                <w:lang w:eastAsia="en-AU"/>
              </w:rPr>
              <w:t>the car</w:t>
            </w:r>
            <w:r w:rsidR="003547DC" w:rsidRPr="004370C6">
              <w:rPr>
                <w:rFonts w:ascii="Arial" w:hAnsi="Arial" w:cs="Arial"/>
                <w:lang w:eastAsia="en-AU"/>
              </w:rPr>
              <w:t> was heading north on Wellington Street and turned right into Keele Street. The driver failed to give way to an oncoming cyclist that was travelling south on Wellington Street. Serious injury to the cyclist.</w:t>
            </w:r>
            <w:r w:rsidR="003547DC" w:rsidRPr="004370C6">
              <w:rPr>
                <w:rFonts w:ascii="Arial" w:hAnsi="Arial" w:cs="Arial"/>
                <w:lang w:val="en-AU" w:eastAsia="en-AU"/>
              </w:rPr>
              <w:t> </w:t>
            </w:r>
          </w:p>
        </w:tc>
      </w:tr>
      <w:tr w:rsidR="003C1AB7" w:rsidRPr="004370C6" w14:paraId="6FCD0EF1" w14:textId="77777777">
        <w:trPr>
          <w:trHeight w:val="525"/>
        </w:trPr>
        <w:tc>
          <w:tcPr>
            <w:tcW w:w="1800" w:type="dxa"/>
            <w:tcBorders>
              <w:top w:val="single" w:sz="6" w:space="0" w:color="auto"/>
              <w:left w:val="single" w:sz="6" w:space="0" w:color="auto"/>
              <w:bottom w:val="single" w:sz="6" w:space="0" w:color="auto"/>
              <w:right w:val="single" w:sz="6" w:space="0" w:color="auto"/>
            </w:tcBorders>
            <w:hideMark/>
          </w:tcPr>
          <w:p w14:paraId="590B6F82" w14:textId="77777777" w:rsidR="003547DC" w:rsidRPr="004370C6" w:rsidRDefault="003547DC" w:rsidP="00CE5D51">
            <w:pPr>
              <w:rPr>
                <w:rFonts w:ascii="Arial" w:hAnsi="Arial" w:cs="Arial"/>
                <w:lang w:val="en-AU" w:eastAsia="en-AU"/>
              </w:rPr>
            </w:pPr>
            <w:r w:rsidRPr="004370C6">
              <w:rPr>
                <w:rFonts w:ascii="Arial" w:hAnsi="Arial" w:cs="Arial"/>
                <w:lang w:eastAsia="en-AU"/>
              </w:rPr>
              <w:t>Stephenson Street (73m north of Balmain Street), Cremorne</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hideMark/>
          </w:tcPr>
          <w:p w14:paraId="26C1B70E" w14:textId="77777777" w:rsidR="003547DC" w:rsidRPr="004370C6" w:rsidRDefault="003547DC" w:rsidP="00CE5D51">
            <w:pPr>
              <w:rPr>
                <w:rFonts w:ascii="Arial" w:hAnsi="Arial" w:cs="Arial"/>
                <w:lang w:val="en-AU" w:eastAsia="en-AU"/>
              </w:rPr>
            </w:pPr>
            <w:r w:rsidRPr="004370C6">
              <w:rPr>
                <w:rFonts w:ascii="Arial" w:hAnsi="Arial" w:cs="Arial"/>
                <w:lang w:eastAsia="en-AU"/>
              </w:rPr>
              <w:t> 17/11/2025</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hideMark/>
          </w:tcPr>
          <w:p w14:paraId="70984BFB" w14:textId="77777777" w:rsidR="003547DC" w:rsidRPr="004370C6" w:rsidRDefault="003547DC" w:rsidP="00CE5D51">
            <w:pPr>
              <w:rPr>
                <w:rFonts w:ascii="Arial" w:hAnsi="Arial" w:cs="Arial"/>
                <w:lang w:val="en-AU" w:eastAsia="en-AU"/>
              </w:rPr>
            </w:pPr>
            <w:r w:rsidRPr="004370C6">
              <w:rPr>
                <w:rFonts w:ascii="Arial" w:hAnsi="Arial" w:cs="Arial"/>
                <w:lang w:eastAsia="en-AU"/>
              </w:rPr>
              <w:t>Day</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hideMark/>
          </w:tcPr>
          <w:p w14:paraId="1DA7C95B" w14:textId="77777777" w:rsidR="003547DC" w:rsidRPr="004370C6" w:rsidRDefault="003547DC" w:rsidP="00CE5D51">
            <w:pPr>
              <w:rPr>
                <w:rFonts w:ascii="Arial" w:hAnsi="Arial" w:cs="Arial"/>
                <w:lang w:val="en-AU" w:eastAsia="en-AU"/>
              </w:rPr>
            </w:pPr>
            <w:r w:rsidRPr="004370C6">
              <w:rPr>
                <w:rFonts w:ascii="Arial" w:hAnsi="Arial" w:cs="Arial"/>
                <w:lang w:eastAsia="en-AU"/>
              </w:rPr>
              <w:t>No</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hideMark/>
          </w:tcPr>
          <w:p w14:paraId="48E4748F" w14:textId="77777777" w:rsidR="003547DC" w:rsidRPr="004370C6" w:rsidRDefault="003547DC" w:rsidP="00CE5D51">
            <w:pPr>
              <w:rPr>
                <w:rFonts w:ascii="Arial" w:hAnsi="Arial" w:cs="Arial"/>
                <w:lang w:val="en-AU" w:eastAsia="en-AU"/>
              </w:rPr>
            </w:pPr>
            <w:r w:rsidRPr="004370C6">
              <w:rPr>
                <w:rFonts w:ascii="Arial" w:hAnsi="Arial" w:cs="Arial"/>
                <w:lang w:eastAsia="en-AU"/>
              </w:rPr>
              <w:t>No</w:t>
            </w: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hideMark/>
          </w:tcPr>
          <w:p w14:paraId="7F587D3E" w14:textId="77777777" w:rsidR="003547DC" w:rsidRPr="004370C6" w:rsidRDefault="003547DC" w:rsidP="00CE5D51">
            <w:pPr>
              <w:rPr>
                <w:rFonts w:ascii="Arial" w:hAnsi="Arial" w:cs="Arial"/>
                <w:lang w:val="en-AU" w:eastAsia="en-AU"/>
              </w:rPr>
            </w:pPr>
            <w:r w:rsidRPr="004370C6">
              <w:rPr>
                <w:rFonts w:ascii="Arial" w:hAnsi="Arial" w:cs="Arial"/>
                <w:lang w:eastAsia="en-AU"/>
              </w:rPr>
              <w:t>40F</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hideMark/>
          </w:tcPr>
          <w:p w14:paraId="00C9B7ED" w14:textId="77777777" w:rsidR="003547DC" w:rsidRPr="004370C6" w:rsidRDefault="003547DC" w:rsidP="00CE5D51">
            <w:pPr>
              <w:rPr>
                <w:rFonts w:ascii="Arial" w:hAnsi="Arial" w:cs="Arial"/>
                <w:lang w:val="en-AU" w:eastAsia="en-AU"/>
              </w:rPr>
            </w:pPr>
            <w:r w:rsidRPr="004370C6">
              <w:rPr>
                <w:rFonts w:ascii="Arial" w:hAnsi="Arial" w:cs="Arial"/>
                <w:lang w:eastAsia="en-AU"/>
              </w:rPr>
              <w:t>40</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hideMark/>
          </w:tcPr>
          <w:p w14:paraId="55A1B113" w14:textId="77777777" w:rsidR="003547DC" w:rsidRPr="004370C6" w:rsidRDefault="003547DC" w:rsidP="00CE5D51">
            <w:pPr>
              <w:rPr>
                <w:rFonts w:ascii="Arial" w:hAnsi="Arial" w:cs="Arial"/>
                <w:lang w:val="en-AU" w:eastAsia="en-AU"/>
              </w:rPr>
            </w:pPr>
            <w:r w:rsidRPr="004370C6">
              <w:rPr>
                <w:rFonts w:ascii="Arial" w:hAnsi="Arial" w:cs="Arial"/>
                <w:lang w:eastAsia="en-AU"/>
              </w:rPr>
              <w:t>Raining</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hideMark/>
          </w:tcPr>
          <w:p w14:paraId="371305AA" w14:textId="6E638544" w:rsidR="003547DC" w:rsidRPr="004370C6" w:rsidRDefault="0037642C" w:rsidP="00CE5D51">
            <w:pPr>
              <w:rPr>
                <w:rFonts w:ascii="Arial" w:hAnsi="Arial" w:cs="Arial"/>
                <w:lang w:val="en-AU" w:eastAsia="en-AU"/>
              </w:rPr>
            </w:pPr>
            <w:r w:rsidRPr="004370C6">
              <w:rPr>
                <w:rFonts w:ascii="Arial" w:hAnsi="Arial" w:cs="Arial"/>
                <w:lang w:eastAsia="en-AU"/>
              </w:rPr>
              <w:t>The driver</w:t>
            </w:r>
            <w:r w:rsidR="003547DC" w:rsidRPr="004370C6">
              <w:rPr>
                <w:rFonts w:ascii="Arial" w:hAnsi="Arial" w:cs="Arial"/>
                <w:lang w:eastAsia="en-AU"/>
              </w:rPr>
              <w:t> of a car had a medical episode and crashed their vehicle into a streetlight pole. Serious injury to the driver.</w:t>
            </w:r>
            <w:r w:rsidR="003547DC" w:rsidRPr="004370C6">
              <w:rPr>
                <w:rFonts w:ascii="Arial" w:hAnsi="Arial" w:cs="Arial"/>
                <w:lang w:val="en-AU" w:eastAsia="en-AU"/>
              </w:rPr>
              <w:t> </w:t>
            </w:r>
          </w:p>
        </w:tc>
      </w:tr>
      <w:tr w:rsidR="003C1AB7" w:rsidRPr="004370C6" w14:paraId="62C1F39D" w14:textId="77777777">
        <w:trPr>
          <w:trHeight w:val="1050"/>
        </w:trPr>
        <w:tc>
          <w:tcPr>
            <w:tcW w:w="1800" w:type="dxa"/>
            <w:tcBorders>
              <w:top w:val="single" w:sz="6" w:space="0" w:color="auto"/>
              <w:left w:val="single" w:sz="6" w:space="0" w:color="auto"/>
              <w:bottom w:val="single" w:sz="6" w:space="0" w:color="auto"/>
              <w:right w:val="single" w:sz="6" w:space="0" w:color="auto"/>
            </w:tcBorders>
            <w:hideMark/>
          </w:tcPr>
          <w:p w14:paraId="28C318A1" w14:textId="77777777" w:rsidR="003547DC" w:rsidRPr="004370C6" w:rsidRDefault="003547DC" w:rsidP="00CE5D51">
            <w:pPr>
              <w:rPr>
                <w:rFonts w:ascii="Arial" w:hAnsi="Arial" w:cs="Arial"/>
                <w:lang w:val="en-AU" w:eastAsia="en-AU"/>
              </w:rPr>
            </w:pPr>
            <w:r w:rsidRPr="004370C6">
              <w:rPr>
                <w:rFonts w:ascii="Arial" w:hAnsi="Arial" w:cs="Arial"/>
                <w:lang w:eastAsia="en-AU"/>
              </w:rPr>
              <w:t>Swan Street/Lord Street, Richmond</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hideMark/>
          </w:tcPr>
          <w:p w14:paraId="5F94B3AD" w14:textId="77777777" w:rsidR="003547DC" w:rsidRPr="004370C6" w:rsidRDefault="003547DC" w:rsidP="00CE5D51">
            <w:pPr>
              <w:rPr>
                <w:rFonts w:ascii="Arial" w:hAnsi="Arial" w:cs="Arial"/>
                <w:lang w:val="en-AU" w:eastAsia="en-AU"/>
              </w:rPr>
            </w:pPr>
            <w:r w:rsidRPr="004370C6">
              <w:rPr>
                <w:rFonts w:ascii="Arial" w:hAnsi="Arial" w:cs="Arial"/>
                <w:lang w:eastAsia="en-AU"/>
              </w:rPr>
              <w:t> 18/11/2025</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hideMark/>
          </w:tcPr>
          <w:p w14:paraId="66BDCFDC" w14:textId="77777777" w:rsidR="003547DC" w:rsidRPr="004370C6" w:rsidRDefault="003547DC" w:rsidP="00CE5D51">
            <w:pPr>
              <w:rPr>
                <w:rFonts w:ascii="Arial" w:hAnsi="Arial" w:cs="Arial"/>
                <w:lang w:val="en-AU" w:eastAsia="en-AU"/>
              </w:rPr>
            </w:pPr>
            <w:r w:rsidRPr="004370C6">
              <w:rPr>
                <w:rFonts w:ascii="Arial" w:hAnsi="Arial" w:cs="Arial"/>
                <w:lang w:eastAsia="en-AU"/>
              </w:rPr>
              <w:t>Day</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hideMark/>
          </w:tcPr>
          <w:p w14:paraId="1ADC06DD" w14:textId="77777777" w:rsidR="003547DC" w:rsidRPr="004370C6" w:rsidRDefault="003547DC" w:rsidP="00CE5D51">
            <w:pPr>
              <w:rPr>
                <w:rFonts w:ascii="Arial" w:hAnsi="Arial" w:cs="Arial"/>
                <w:lang w:val="en-AU" w:eastAsia="en-AU"/>
              </w:rPr>
            </w:pPr>
            <w:r w:rsidRPr="004370C6">
              <w:rPr>
                <w:rFonts w:ascii="Arial" w:hAnsi="Arial" w:cs="Arial"/>
                <w:lang w:eastAsia="en-AU"/>
              </w:rPr>
              <w:t>Yes</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hideMark/>
          </w:tcPr>
          <w:p w14:paraId="05FFFAE5" w14:textId="77777777" w:rsidR="003547DC" w:rsidRPr="004370C6" w:rsidRDefault="003547DC" w:rsidP="00CE5D51">
            <w:pPr>
              <w:rPr>
                <w:rFonts w:ascii="Arial" w:hAnsi="Arial" w:cs="Arial"/>
                <w:lang w:val="en-AU" w:eastAsia="en-AU"/>
              </w:rPr>
            </w:pPr>
            <w:r w:rsidRPr="004370C6">
              <w:rPr>
                <w:rFonts w:ascii="Arial" w:hAnsi="Arial" w:cs="Arial"/>
                <w:lang w:eastAsia="en-AU"/>
              </w:rPr>
              <w:t>Yes (Serious)</w:t>
            </w: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hideMark/>
          </w:tcPr>
          <w:p w14:paraId="4848D5EB" w14:textId="77777777" w:rsidR="003547DC" w:rsidRPr="004370C6" w:rsidRDefault="003547DC" w:rsidP="00CE5D51">
            <w:pPr>
              <w:rPr>
                <w:rFonts w:ascii="Arial" w:hAnsi="Arial" w:cs="Arial"/>
                <w:lang w:val="en-AU" w:eastAsia="en-AU"/>
              </w:rPr>
            </w:pPr>
            <w:r w:rsidRPr="004370C6">
              <w:rPr>
                <w:rFonts w:ascii="Arial" w:hAnsi="Arial" w:cs="Arial"/>
                <w:lang w:eastAsia="en-AU"/>
              </w:rPr>
              <w:t>22M</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hideMark/>
          </w:tcPr>
          <w:p w14:paraId="2D437116" w14:textId="77777777" w:rsidR="003547DC" w:rsidRPr="004370C6" w:rsidRDefault="003547DC" w:rsidP="00CE5D51">
            <w:pPr>
              <w:rPr>
                <w:rFonts w:ascii="Arial" w:hAnsi="Arial" w:cs="Arial"/>
                <w:lang w:val="en-AU" w:eastAsia="en-AU"/>
              </w:rPr>
            </w:pPr>
            <w:r w:rsidRPr="004370C6">
              <w:rPr>
                <w:rFonts w:ascii="Arial" w:hAnsi="Arial" w:cs="Arial"/>
                <w:lang w:eastAsia="en-AU"/>
              </w:rPr>
              <w:t>60</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hideMark/>
          </w:tcPr>
          <w:p w14:paraId="0F56353B" w14:textId="77777777" w:rsidR="003547DC" w:rsidRPr="004370C6" w:rsidRDefault="003547DC" w:rsidP="00CE5D51">
            <w:pPr>
              <w:rPr>
                <w:rFonts w:ascii="Arial" w:hAnsi="Arial" w:cs="Arial"/>
                <w:lang w:val="en-AU" w:eastAsia="en-AU"/>
              </w:rPr>
            </w:pPr>
            <w:r w:rsidRPr="004370C6">
              <w:rPr>
                <w:rFonts w:ascii="Arial" w:hAnsi="Arial" w:cs="Arial"/>
                <w:lang w:eastAsia="en-AU"/>
              </w:rPr>
              <w:t>Clear</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hideMark/>
          </w:tcPr>
          <w:p w14:paraId="7944E2E9" w14:textId="67C7E377" w:rsidR="003547DC" w:rsidRPr="004370C6" w:rsidRDefault="0037642C" w:rsidP="00CE5D51">
            <w:pPr>
              <w:rPr>
                <w:rFonts w:ascii="Arial" w:hAnsi="Arial" w:cs="Arial"/>
                <w:lang w:val="en-AU" w:eastAsia="en-AU"/>
              </w:rPr>
            </w:pPr>
            <w:r w:rsidRPr="004370C6">
              <w:rPr>
                <w:rFonts w:ascii="Arial" w:hAnsi="Arial" w:cs="Arial"/>
                <w:lang w:eastAsia="en-AU"/>
              </w:rPr>
              <w:t>The driver</w:t>
            </w:r>
            <w:r w:rsidR="003547DC" w:rsidRPr="004370C6">
              <w:rPr>
                <w:rFonts w:ascii="Arial" w:hAnsi="Arial" w:cs="Arial"/>
                <w:lang w:eastAsia="en-AU"/>
              </w:rPr>
              <w:t> of </w:t>
            </w:r>
            <w:r w:rsidRPr="004370C6">
              <w:rPr>
                <w:rFonts w:ascii="Arial" w:hAnsi="Arial" w:cs="Arial"/>
                <w:lang w:eastAsia="en-AU"/>
              </w:rPr>
              <w:t>the car</w:t>
            </w:r>
            <w:r w:rsidR="003547DC" w:rsidRPr="004370C6">
              <w:rPr>
                <w:rFonts w:ascii="Arial" w:hAnsi="Arial" w:cs="Arial"/>
                <w:lang w:eastAsia="en-AU"/>
              </w:rPr>
              <w:t> was travelling west on Swan Street and turned right into Lord Street. The driver failed to give way to an oncoming motorcyclist that was travelling east on Swan Street. Serious injury to the motorcyclist.</w:t>
            </w:r>
            <w:r w:rsidR="003547DC" w:rsidRPr="004370C6">
              <w:rPr>
                <w:rFonts w:ascii="Arial" w:hAnsi="Arial" w:cs="Arial"/>
                <w:lang w:val="en-AU" w:eastAsia="en-AU"/>
              </w:rPr>
              <w:t> </w:t>
            </w:r>
          </w:p>
        </w:tc>
      </w:tr>
      <w:tr w:rsidR="003C1AB7" w:rsidRPr="004370C6" w14:paraId="052F9DB8" w14:textId="77777777">
        <w:trPr>
          <w:trHeight w:val="1050"/>
        </w:trPr>
        <w:tc>
          <w:tcPr>
            <w:tcW w:w="1800" w:type="dxa"/>
            <w:tcBorders>
              <w:top w:val="single" w:sz="6" w:space="0" w:color="auto"/>
              <w:left w:val="single" w:sz="6" w:space="0" w:color="auto"/>
              <w:bottom w:val="single" w:sz="6" w:space="0" w:color="auto"/>
              <w:right w:val="single" w:sz="6" w:space="0" w:color="auto"/>
            </w:tcBorders>
            <w:hideMark/>
          </w:tcPr>
          <w:p w14:paraId="45ABA853" w14:textId="77777777" w:rsidR="003547DC" w:rsidRPr="004370C6" w:rsidRDefault="003547DC" w:rsidP="00CE5D51">
            <w:pPr>
              <w:rPr>
                <w:rFonts w:ascii="Arial" w:hAnsi="Arial" w:cs="Arial"/>
                <w:lang w:val="en-AU" w:eastAsia="en-AU"/>
              </w:rPr>
            </w:pPr>
            <w:r w:rsidRPr="004370C6">
              <w:rPr>
                <w:rFonts w:ascii="Arial" w:hAnsi="Arial" w:cs="Arial"/>
                <w:lang w:eastAsia="en-AU"/>
              </w:rPr>
              <w:lastRenderedPageBreak/>
              <w:t>Loyola Grove/Twickenham Crescent, Burnley</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hideMark/>
          </w:tcPr>
          <w:p w14:paraId="65654D45" w14:textId="77777777" w:rsidR="003547DC" w:rsidRPr="004370C6" w:rsidRDefault="003547DC" w:rsidP="00CE5D51">
            <w:pPr>
              <w:rPr>
                <w:rFonts w:ascii="Arial" w:hAnsi="Arial" w:cs="Arial"/>
                <w:lang w:val="en-AU" w:eastAsia="en-AU"/>
              </w:rPr>
            </w:pPr>
            <w:r w:rsidRPr="004370C6">
              <w:rPr>
                <w:rFonts w:ascii="Arial" w:hAnsi="Arial" w:cs="Arial"/>
                <w:lang w:eastAsia="en-AU"/>
              </w:rPr>
              <w:t> 25/11/2025</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hideMark/>
          </w:tcPr>
          <w:p w14:paraId="7A523717" w14:textId="77777777" w:rsidR="003547DC" w:rsidRPr="004370C6" w:rsidRDefault="003547DC" w:rsidP="00CE5D51">
            <w:pPr>
              <w:rPr>
                <w:rFonts w:ascii="Arial" w:hAnsi="Arial" w:cs="Arial"/>
                <w:lang w:val="en-AU" w:eastAsia="en-AU"/>
              </w:rPr>
            </w:pPr>
            <w:r w:rsidRPr="004370C6">
              <w:rPr>
                <w:rFonts w:ascii="Arial" w:hAnsi="Arial" w:cs="Arial"/>
                <w:lang w:eastAsia="en-AU"/>
              </w:rPr>
              <w:t>Day</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hideMark/>
          </w:tcPr>
          <w:p w14:paraId="3F186431" w14:textId="77777777" w:rsidR="003547DC" w:rsidRPr="004370C6" w:rsidRDefault="003547DC" w:rsidP="00CE5D51">
            <w:pPr>
              <w:rPr>
                <w:rFonts w:ascii="Arial" w:hAnsi="Arial" w:cs="Arial"/>
                <w:lang w:val="en-AU" w:eastAsia="en-AU"/>
              </w:rPr>
            </w:pPr>
            <w:r w:rsidRPr="004370C6">
              <w:rPr>
                <w:rFonts w:ascii="Arial" w:hAnsi="Arial" w:cs="Arial"/>
                <w:lang w:eastAsia="en-AU"/>
              </w:rPr>
              <w:t>Yes</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hideMark/>
          </w:tcPr>
          <w:p w14:paraId="25C888F0" w14:textId="77777777" w:rsidR="003547DC" w:rsidRPr="004370C6" w:rsidRDefault="003547DC" w:rsidP="00CE5D51">
            <w:pPr>
              <w:rPr>
                <w:rFonts w:ascii="Arial" w:hAnsi="Arial" w:cs="Arial"/>
                <w:lang w:val="en-AU" w:eastAsia="en-AU"/>
              </w:rPr>
            </w:pPr>
            <w:r w:rsidRPr="004370C6">
              <w:rPr>
                <w:rFonts w:ascii="Arial" w:hAnsi="Arial" w:cs="Arial"/>
                <w:lang w:eastAsia="en-AU"/>
              </w:rPr>
              <w:t>Yes (Serious)</w:t>
            </w: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hideMark/>
          </w:tcPr>
          <w:p w14:paraId="193A3090" w14:textId="77777777" w:rsidR="003547DC" w:rsidRPr="004370C6" w:rsidRDefault="003547DC" w:rsidP="00CE5D51">
            <w:pPr>
              <w:rPr>
                <w:rFonts w:ascii="Arial" w:hAnsi="Arial" w:cs="Arial"/>
                <w:lang w:val="en-AU" w:eastAsia="en-AU"/>
              </w:rPr>
            </w:pPr>
            <w:r w:rsidRPr="004370C6">
              <w:rPr>
                <w:rFonts w:ascii="Arial" w:hAnsi="Arial" w:cs="Arial"/>
                <w:lang w:eastAsia="en-AU"/>
              </w:rPr>
              <w:t>25F</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hideMark/>
          </w:tcPr>
          <w:p w14:paraId="6865C1D4" w14:textId="77777777" w:rsidR="003547DC" w:rsidRPr="004370C6" w:rsidRDefault="003547DC" w:rsidP="00CE5D51">
            <w:pPr>
              <w:rPr>
                <w:rFonts w:ascii="Arial" w:hAnsi="Arial" w:cs="Arial"/>
                <w:lang w:val="en-AU" w:eastAsia="en-AU"/>
              </w:rPr>
            </w:pPr>
            <w:r w:rsidRPr="004370C6">
              <w:rPr>
                <w:rFonts w:ascii="Arial" w:hAnsi="Arial" w:cs="Arial"/>
                <w:lang w:eastAsia="en-AU"/>
              </w:rPr>
              <w:t>60</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hideMark/>
          </w:tcPr>
          <w:p w14:paraId="22C9C0BA" w14:textId="77777777" w:rsidR="003547DC" w:rsidRPr="004370C6" w:rsidRDefault="003547DC" w:rsidP="00CE5D51">
            <w:pPr>
              <w:rPr>
                <w:rFonts w:ascii="Arial" w:hAnsi="Arial" w:cs="Arial"/>
                <w:lang w:val="en-AU" w:eastAsia="en-AU"/>
              </w:rPr>
            </w:pPr>
            <w:r w:rsidRPr="004370C6">
              <w:rPr>
                <w:rFonts w:ascii="Arial" w:hAnsi="Arial" w:cs="Arial"/>
                <w:lang w:eastAsia="en-AU"/>
              </w:rPr>
              <w:t>Clear</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hideMark/>
          </w:tcPr>
          <w:p w14:paraId="30F369D3" w14:textId="77777777" w:rsidR="003547DC" w:rsidRPr="004370C6" w:rsidRDefault="003547DC" w:rsidP="00CE5D51">
            <w:pPr>
              <w:rPr>
                <w:rFonts w:ascii="Arial" w:hAnsi="Arial" w:cs="Arial"/>
                <w:lang w:val="en-AU" w:eastAsia="en-AU"/>
              </w:rPr>
            </w:pPr>
            <w:r w:rsidRPr="004370C6">
              <w:rPr>
                <w:rFonts w:ascii="Arial" w:hAnsi="Arial" w:cs="Arial"/>
                <w:lang w:eastAsia="en-AU"/>
              </w:rPr>
              <w:t>A cyclist failed to give way to a vehicle in the roundabout and was struck by the vehicle. Serious injury to the cyclist.</w:t>
            </w:r>
            <w:r w:rsidRPr="004370C6">
              <w:rPr>
                <w:rFonts w:ascii="Arial" w:hAnsi="Arial" w:cs="Arial"/>
                <w:lang w:val="en-AU" w:eastAsia="en-AU"/>
              </w:rPr>
              <w:t> </w:t>
            </w:r>
          </w:p>
        </w:tc>
      </w:tr>
      <w:tr w:rsidR="003C1AB7" w:rsidRPr="004370C6" w14:paraId="3A138889" w14:textId="77777777">
        <w:trPr>
          <w:trHeight w:val="1050"/>
        </w:trPr>
        <w:tc>
          <w:tcPr>
            <w:tcW w:w="1800" w:type="dxa"/>
            <w:tcBorders>
              <w:top w:val="single" w:sz="6" w:space="0" w:color="auto"/>
              <w:left w:val="single" w:sz="6" w:space="0" w:color="auto"/>
              <w:bottom w:val="single" w:sz="6" w:space="0" w:color="auto"/>
              <w:right w:val="single" w:sz="6" w:space="0" w:color="auto"/>
            </w:tcBorders>
            <w:hideMark/>
          </w:tcPr>
          <w:p w14:paraId="0EC25C10" w14:textId="77777777" w:rsidR="003547DC" w:rsidRPr="004370C6" w:rsidRDefault="003547DC" w:rsidP="00CE5D51">
            <w:pPr>
              <w:rPr>
                <w:rFonts w:ascii="Arial" w:hAnsi="Arial" w:cs="Arial"/>
                <w:lang w:val="en-AU" w:eastAsia="en-AU"/>
              </w:rPr>
            </w:pPr>
            <w:r w:rsidRPr="004370C6">
              <w:rPr>
                <w:rFonts w:ascii="Arial" w:hAnsi="Arial" w:cs="Arial"/>
                <w:lang w:eastAsia="en-AU"/>
              </w:rPr>
              <w:t>Queens Parade Service Road (31m northeast of Delbridge Street), Fitzroy North</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hideMark/>
          </w:tcPr>
          <w:p w14:paraId="5152787A" w14:textId="77777777" w:rsidR="003547DC" w:rsidRPr="004370C6" w:rsidRDefault="003547DC" w:rsidP="00CE5D51">
            <w:pPr>
              <w:rPr>
                <w:rFonts w:ascii="Arial" w:hAnsi="Arial" w:cs="Arial"/>
                <w:lang w:val="en-AU" w:eastAsia="en-AU"/>
              </w:rPr>
            </w:pPr>
            <w:r w:rsidRPr="004370C6">
              <w:rPr>
                <w:rFonts w:ascii="Arial" w:hAnsi="Arial" w:cs="Arial"/>
                <w:lang w:eastAsia="en-AU"/>
              </w:rPr>
              <w:t> 02/12/2025</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hideMark/>
          </w:tcPr>
          <w:p w14:paraId="63E4AFAB" w14:textId="77777777" w:rsidR="003547DC" w:rsidRPr="004370C6" w:rsidRDefault="003547DC" w:rsidP="00CE5D51">
            <w:pPr>
              <w:rPr>
                <w:rFonts w:ascii="Arial" w:hAnsi="Arial" w:cs="Arial"/>
                <w:lang w:val="en-AU" w:eastAsia="en-AU"/>
              </w:rPr>
            </w:pPr>
            <w:r w:rsidRPr="004370C6">
              <w:rPr>
                <w:rFonts w:ascii="Arial" w:hAnsi="Arial" w:cs="Arial"/>
                <w:lang w:eastAsia="en-AU"/>
              </w:rPr>
              <w:t>Night</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hideMark/>
          </w:tcPr>
          <w:p w14:paraId="57341AAC" w14:textId="77777777" w:rsidR="003547DC" w:rsidRPr="004370C6" w:rsidRDefault="003547DC" w:rsidP="00CE5D51">
            <w:pPr>
              <w:rPr>
                <w:rFonts w:ascii="Arial" w:hAnsi="Arial" w:cs="Arial"/>
                <w:lang w:val="en-AU" w:eastAsia="en-AU"/>
              </w:rPr>
            </w:pPr>
            <w:r w:rsidRPr="004370C6">
              <w:rPr>
                <w:rFonts w:ascii="Arial" w:hAnsi="Arial" w:cs="Arial"/>
                <w:lang w:eastAsia="en-AU"/>
              </w:rPr>
              <w:t>Yes</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hideMark/>
          </w:tcPr>
          <w:p w14:paraId="04F01360" w14:textId="77777777" w:rsidR="003547DC" w:rsidRPr="004370C6" w:rsidRDefault="003547DC" w:rsidP="00CE5D51">
            <w:pPr>
              <w:rPr>
                <w:rFonts w:ascii="Arial" w:hAnsi="Arial" w:cs="Arial"/>
                <w:lang w:val="en-AU" w:eastAsia="en-AU"/>
              </w:rPr>
            </w:pPr>
            <w:r w:rsidRPr="004370C6">
              <w:rPr>
                <w:rFonts w:ascii="Arial" w:hAnsi="Arial" w:cs="Arial"/>
                <w:lang w:eastAsia="en-AU"/>
              </w:rPr>
              <w:t>Yes (Serious)</w:t>
            </w: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hideMark/>
          </w:tcPr>
          <w:p w14:paraId="09240A04" w14:textId="77777777" w:rsidR="003547DC" w:rsidRPr="004370C6" w:rsidRDefault="003547DC" w:rsidP="00CE5D51">
            <w:pPr>
              <w:rPr>
                <w:rFonts w:ascii="Arial" w:hAnsi="Arial" w:cs="Arial"/>
                <w:lang w:val="en-AU" w:eastAsia="en-AU"/>
              </w:rPr>
            </w:pPr>
            <w:r w:rsidRPr="004370C6">
              <w:rPr>
                <w:rFonts w:ascii="Arial" w:hAnsi="Arial" w:cs="Arial"/>
                <w:lang w:eastAsia="en-AU"/>
              </w:rPr>
              <w:t>70M</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hideMark/>
          </w:tcPr>
          <w:p w14:paraId="46A10183" w14:textId="77777777" w:rsidR="003547DC" w:rsidRPr="004370C6" w:rsidRDefault="003547DC" w:rsidP="00CE5D51">
            <w:pPr>
              <w:rPr>
                <w:rFonts w:ascii="Arial" w:hAnsi="Arial" w:cs="Arial"/>
                <w:lang w:val="en-AU" w:eastAsia="en-AU"/>
              </w:rPr>
            </w:pPr>
            <w:r w:rsidRPr="004370C6">
              <w:rPr>
                <w:rFonts w:ascii="Arial" w:hAnsi="Arial" w:cs="Arial"/>
                <w:lang w:eastAsia="en-AU"/>
              </w:rPr>
              <w:t>60</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hideMark/>
          </w:tcPr>
          <w:p w14:paraId="29C3D210" w14:textId="77777777" w:rsidR="003547DC" w:rsidRPr="004370C6" w:rsidRDefault="003547DC" w:rsidP="00CE5D51">
            <w:pPr>
              <w:rPr>
                <w:rFonts w:ascii="Arial" w:hAnsi="Arial" w:cs="Arial"/>
                <w:lang w:val="en-AU" w:eastAsia="en-AU"/>
              </w:rPr>
            </w:pPr>
            <w:r w:rsidRPr="004370C6">
              <w:rPr>
                <w:rFonts w:ascii="Arial" w:hAnsi="Arial" w:cs="Arial"/>
                <w:lang w:eastAsia="en-AU"/>
              </w:rPr>
              <w:t>Clear</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hideMark/>
          </w:tcPr>
          <w:p w14:paraId="585E70A0" w14:textId="77777777" w:rsidR="003547DC" w:rsidRPr="004370C6" w:rsidRDefault="003547DC" w:rsidP="00CE5D51">
            <w:pPr>
              <w:rPr>
                <w:rFonts w:ascii="Arial" w:hAnsi="Arial" w:cs="Arial"/>
                <w:lang w:val="en-AU" w:eastAsia="en-AU"/>
              </w:rPr>
            </w:pPr>
            <w:r w:rsidRPr="004370C6">
              <w:rPr>
                <w:rFonts w:ascii="Arial" w:hAnsi="Arial" w:cs="Arial"/>
                <w:lang w:eastAsia="en-AU"/>
              </w:rPr>
              <w:t>A vehicle reversed out of a parking space and struck a pedestrian that was walking on the road. Serious injury to the motorcyclist.</w:t>
            </w:r>
            <w:r w:rsidRPr="004370C6">
              <w:rPr>
                <w:rFonts w:ascii="Arial" w:hAnsi="Arial" w:cs="Arial"/>
                <w:lang w:val="en-AU" w:eastAsia="en-AU"/>
              </w:rPr>
              <w:t> </w:t>
            </w:r>
          </w:p>
        </w:tc>
      </w:tr>
      <w:tr w:rsidR="003C1AB7" w:rsidRPr="004370C6" w14:paraId="6B626B67" w14:textId="77777777">
        <w:trPr>
          <w:trHeight w:val="1050"/>
        </w:trPr>
        <w:tc>
          <w:tcPr>
            <w:tcW w:w="1800" w:type="dxa"/>
            <w:tcBorders>
              <w:top w:val="single" w:sz="6" w:space="0" w:color="auto"/>
              <w:left w:val="single" w:sz="6" w:space="0" w:color="auto"/>
              <w:bottom w:val="single" w:sz="6" w:space="0" w:color="auto"/>
              <w:right w:val="single" w:sz="6" w:space="0" w:color="auto"/>
            </w:tcBorders>
            <w:hideMark/>
          </w:tcPr>
          <w:p w14:paraId="1A69C484" w14:textId="77777777" w:rsidR="003547DC" w:rsidRPr="004370C6" w:rsidRDefault="003547DC" w:rsidP="00CE5D51">
            <w:pPr>
              <w:rPr>
                <w:rFonts w:ascii="Arial" w:hAnsi="Arial" w:cs="Arial"/>
                <w:lang w:val="en-AU" w:eastAsia="en-AU"/>
              </w:rPr>
            </w:pPr>
            <w:r w:rsidRPr="004370C6">
              <w:rPr>
                <w:rFonts w:ascii="Arial" w:hAnsi="Arial" w:cs="Arial"/>
                <w:lang w:eastAsia="en-AU"/>
              </w:rPr>
              <w:t>Victoria Parade/Smith Street, Collingwood</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hideMark/>
          </w:tcPr>
          <w:p w14:paraId="66A4C023" w14:textId="77777777" w:rsidR="003547DC" w:rsidRPr="004370C6" w:rsidRDefault="003547DC" w:rsidP="00CE5D51">
            <w:pPr>
              <w:rPr>
                <w:rFonts w:ascii="Arial" w:hAnsi="Arial" w:cs="Arial"/>
                <w:lang w:val="en-AU" w:eastAsia="en-AU"/>
              </w:rPr>
            </w:pPr>
            <w:r w:rsidRPr="004370C6">
              <w:rPr>
                <w:rFonts w:ascii="Arial" w:hAnsi="Arial" w:cs="Arial"/>
                <w:lang w:eastAsia="en-AU"/>
              </w:rPr>
              <w:t> 08/12/2025</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hideMark/>
          </w:tcPr>
          <w:p w14:paraId="596BE3CB" w14:textId="77777777" w:rsidR="003547DC" w:rsidRPr="004370C6" w:rsidRDefault="003547DC" w:rsidP="00CE5D51">
            <w:pPr>
              <w:rPr>
                <w:rFonts w:ascii="Arial" w:hAnsi="Arial" w:cs="Arial"/>
                <w:lang w:val="en-AU" w:eastAsia="en-AU"/>
              </w:rPr>
            </w:pPr>
            <w:r w:rsidRPr="004370C6">
              <w:rPr>
                <w:rFonts w:ascii="Arial" w:hAnsi="Arial" w:cs="Arial"/>
                <w:lang w:eastAsia="en-AU"/>
              </w:rPr>
              <w:t>Day</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hideMark/>
          </w:tcPr>
          <w:p w14:paraId="1B0EBDDD" w14:textId="77777777" w:rsidR="003547DC" w:rsidRPr="004370C6" w:rsidRDefault="003547DC" w:rsidP="00CE5D51">
            <w:pPr>
              <w:rPr>
                <w:rFonts w:ascii="Arial" w:hAnsi="Arial" w:cs="Arial"/>
                <w:lang w:val="en-AU" w:eastAsia="en-AU"/>
              </w:rPr>
            </w:pPr>
            <w:r w:rsidRPr="004370C6">
              <w:rPr>
                <w:rFonts w:ascii="Arial" w:hAnsi="Arial" w:cs="Arial"/>
                <w:lang w:eastAsia="en-AU"/>
              </w:rPr>
              <w:t>Yes</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hideMark/>
          </w:tcPr>
          <w:p w14:paraId="1F9675F8" w14:textId="77777777" w:rsidR="003547DC" w:rsidRPr="004370C6" w:rsidRDefault="003547DC" w:rsidP="00CE5D51">
            <w:pPr>
              <w:rPr>
                <w:rFonts w:ascii="Arial" w:hAnsi="Arial" w:cs="Arial"/>
                <w:lang w:val="en-AU" w:eastAsia="en-AU"/>
              </w:rPr>
            </w:pPr>
            <w:r w:rsidRPr="004370C6">
              <w:rPr>
                <w:rFonts w:ascii="Arial" w:hAnsi="Arial" w:cs="Arial"/>
                <w:lang w:eastAsia="en-AU"/>
              </w:rPr>
              <w:t>Yes (Serious)</w:t>
            </w:r>
            <w:r w:rsidRPr="004370C6">
              <w:rPr>
                <w:rFonts w:ascii="Arial" w:hAnsi="Arial" w:cs="Arial"/>
                <w:lang w:val="en-AU" w:eastAsia="en-AU"/>
              </w:rPr>
              <w:t> </w:t>
            </w:r>
          </w:p>
          <w:p w14:paraId="6A3864C9" w14:textId="77777777" w:rsidR="003547DC" w:rsidRPr="004370C6" w:rsidRDefault="003547DC" w:rsidP="00CE5D51">
            <w:pPr>
              <w:rPr>
                <w:rFonts w:ascii="Arial" w:hAnsi="Arial" w:cs="Arial"/>
                <w:lang w:val="en-AU" w:eastAsia="en-AU"/>
              </w:rPr>
            </w:pP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hideMark/>
          </w:tcPr>
          <w:p w14:paraId="107F6DFB" w14:textId="77777777" w:rsidR="003547DC" w:rsidRPr="004370C6" w:rsidRDefault="003547DC" w:rsidP="00CE5D51">
            <w:pPr>
              <w:rPr>
                <w:rFonts w:ascii="Arial" w:hAnsi="Arial" w:cs="Arial"/>
                <w:lang w:val="en-AU" w:eastAsia="en-AU"/>
              </w:rPr>
            </w:pPr>
            <w:r w:rsidRPr="004370C6">
              <w:rPr>
                <w:rFonts w:ascii="Arial" w:hAnsi="Arial" w:cs="Arial"/>
                <w:lang w:eastAsia="en-AU"/>
              </w:rPr>
              <w:t>34M</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hideMark/>
          </w:tcPr>
          <w:p w14:paraId="03AAEC70" w14:textId="77777777" w:rsidR="003547DC" w:rsidRPr="004370C6" w:rsidRDefault="003547DC" w:rsidP="00CE5D51">
            <w:pPr>
              <w:rPr>
                <w:rFonts w:ascii="Arial" w:hAnsi="Arial" w:cs="Arial"/>
                <w:lang w:val="en-AU" w:eastAsia="en-AU"/>
              </w:rPr>
            </w:pPr>
            <w:r w:rsidRPr="004370C6">
              <w:rPr>
                <w:rFonts w:ascii="Arial" w:hAnsi="Arial" w:cs="Arial"/>
                <w:lang w:eastAsia="en-AU"/>
              </w:rPr>
              <w:t>60</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hideMark/>
          </w:tcPr>
          <w:p w14:paraId="4F3D2548" w14:textId="77777777" w:rsidR="003547DC" w:rsidRPr="004370C6" w:rsidRDefault="003547DC" w:rsidP="00CE5D51">
            <w:pPr>
              <w:rPr>
                <w:rFonts w:ascii="Arial" w:hAnsi="Arial" w:cs="Arial"/>
                <w:lang w:val="en-AU" w:eastAsia="en-AU"/>
              </w:rPr>
            </w:pPr>
            <w:r w:rsidRPr="004370C6">
              <w:rPr>
                <w:rFonts w:ascii="Arial" w:hAnsi="Arial" w:cs="Arial"/>
                <w:lang w:eastAsia="en-AU"/>
              </w:rPr>
              <w:t>Clear</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hideMark/>
          </w:tcPr>
          <w:p w14:paraId="77CC1584" w14:textId="20AC6BED" w:rsidR="003547DC" w:rsidRPr="004370C6" w:rsidRDefault="0037642C" w:rsidP="00CE5D51">
            <w:pPr>
              <w:rPr>
                <w:rFonts w:ascii="Arial" w:hAnsi="Arial" w:cs="Arial"/>
                <w:lang w:val="en-AU" w:eastAsia="en-AU"/>
              </w:rPr>
            </w:pPr>
            <w:r w:rsidRPr="004370C6">
              <w:rPr>
                <w:rFonts w:ascii="Arial" w:hAnsi="Arial" w:cs="Arial"/>
                <w:lang w:eastAsia="en-AU"/>
              </w:rPr>
              <w:t>The driver</w:t>
            </w:r>
            <w:r w:rsidR="003547DC" w:rsidRPr="004370C6">
              <w:rPr>
                <w:rFonts w:ascii="Arial" w:hAnsi="Arial" w:cs="Arial"/>
                <w:lang w:eastAsia="en-AU"/>
              </w:rPr>
              <w:t> of a car was travelling north on Smith Street and turned right into Victoria Street. The driver turned on a green arrow. A motorcyclist travelling east did not stop at the red light and struck the driver that was turning right. Serious injury to the motorcyclist.</w:t>
            </w:r>
            <w:r w:rsidR="003547DC" w:rsidRPr="004370C6">
              <w:rPr>
                <w:rFonts w:ascii="Arial" w:hAnsi="Arial" w:cs="Arial"/>
                <w:lang w:val="en-AU" w:eastAsia="en-AU"/>
              </w:rPr>
              <w:t> </w:t>
            </w:r>
          </w:p>
        </w:tc>
      </w:tr>
      <w:tr w:rsidR="003C1AB7" w:rsidRPr="004370C6" w14:paraId="2DCE84B4" w14:textId="77777777">
        <w:trPr>
          <w:trHeight w:val="1050"/>
        </w:trPr>
        <w:tc>
          <w:tcPr>
            <w:tcW w:w="1800" w:type="dxa"/>
            <w:tcBorders>
              <w:top w:val="single" w:sz="6" w:space="0" w:color="auto"/>
              <w:left w:val="single" w:sz="6" w:space="0" w:color="auto"/>
              <w:bottom w:val="single" w:sz="6" w:space="0" w:color="auto"/>
              <w:right w:val="single" w:sz="6" w:space="0" w:color="auto"/>
            </w:tcBorders>
            <w:hideMark/>
          </w:tcPr>
          <w:p w14:paraId="39BF3166" w14:textId="77777777" w:rsidR="003547DC" w:rsidRPr="004370C6" w:rsidRDefault="003547DC" w:rsidP="00CE5D51">
            <w:pPr>
              <w:rPr>
                <w:rFonts w:ascii="Arial" w:hAnsi="Arial" w:cs="Arial"/>
                <w:lang w:val="en-AU" w:eastAsia="en-AU"/>
              </w:rPr>
            </w:pPr>
            <w:r w:rsidRPr="004370C6">
              <w:rPr>
                <w:rFonts w:ascii="Arial" w:hAnsi="Arial" w:cs="Arial"/>
                <w:lang w:eastAsia="en-AU"/>
              </w:rPr>
              <w:t>Langridge Street (37m east of Wellington Street), Collingwood</w:t>
            </w:r>
            <w:r w:rsidRPr="004370C6">
              <w:rPr>
                <w:rFonts w:ascii="Arial" w:hAnsi="Arial" w:cs="Arial"/>
                <w:lang w:val="en-AU" w:eastAsia="en-AU"/>
              </w:rPr>
              <w:t> </w:t>
            </w:r>
          </w:p>
        </w:tc>
        <w:tc>
          <w:tcPr>
            <w:tcW w:w="1275" w:type="dxa"/>
            <w:tcBorders>
              <w:top w:val="single" w:sz="6" w:space="0" w:color="auto"/>
              <w:left w:val="single" w:sz="6" w:space="0" w:color="auto"/>
              <w:bottom w:val="single" w:sz="6" w:space="0" w:color="auto"/>
              <w:right w:val="single" w:sz="6" w:space="0" w:color="auto"/>
            </w:tcBorders>
            <w:hideMark/>
          </w:tcPr>
          <w:p w14:paraId="76D6EDF1" w14:textId="77777777" w:rsidR="003547DC" w:rsidRPr="004370C6" w:rsidRDefault="003547DC" w:rsidP="00CE5D51">
            <w:pPr>
              <w:rPr>
                <w:rFonts w:ascii="Arial" w:hAnsi="Arial" w:cs="Arial"/>
                <w:lang w:val="en-AU" w:eastAsia="en-AU"/>
              </w:rPr>
            </w:pPr>
            <w:r w:rsidRPr="004370C6">
              <w:rPr>
                <w:rFonts w:ascii="Arial" w:hAnsi="Arial" w:cs="Arial"/>
                <w:lang w:eastAsia="en-AU"/>
              </w:rPr>
              <w:t> 19/12/2025</w:t>
            </w:r>
            <w:r w:rsidRPr="004370C6">
              <w:rPr>
                <w:rFonts w:ascii="Arial" w:hAnsi="Arial" w:cs="Arial"/>
                <w:lang w:val="en-AU" w:eastAsia="en-AU"/>
              </w:rPr>
              <w:t> </w:t>
            </w:r>
          </w:p>
        </w:tc>
        <w:tc>
          <w:tcPr>
            <w:tcW w:w="885" w:type="dxa"/>
            <w:tcBorders>
              <w:top w:val="single" w:sz="6" w:space="0" w:color="auto"/>
              <w:left w:val="single" w:sz="6" w:space="0" w:color="auto"/>
              <w:bottom w:val="single" w:sz="6" w:space="0" w:color="auto"/>
              <w:right w:val="single" w:sz="6" w:space="0" w:color="auto"/>
            </w:tcBorders>
            <w:hideMark/>
          </w:tcPr>
          <w:p w14:paraId="2E73393A" w14:textId="77777777" w:rsidR="003547DC" w:rsidRPr="004370C6" w:rsidRDefault="003547DC" w:rsidP="00CE5D51">
            <w:pPr>
              <w:rPr>
                <w:rFonts w:ascii="Arial" w:hAnsi="Arial" w:cs="Arial"/>
                <w:lang w:val="en-AU" w:eastAsia="en-AU"/>
              </w:rPr>
            </w:pPr>
            <w:r w:rsidRPr="004370C6">
              <w:rPr>
                <w:rFonts w:ascii="Arial" w:hAnsi="Arial" w:cs="Arial"/>
                <w:lang w:eastAsia="en-AU"/>
              </w:rPr>
              <w:t>Day</w:t>
            </w:r>
            <w:r w:rsidRPr="004370C6">
              <w:rPr>
                <w:rFonts w:ascii="Arial" w:hAnsi="Arial" w:cs="Arial"/>
                <w:lang w:val="en-AU" w:eastAsia="en-AU"/>
              </w:rPr>
              <w:t> </w:t>
            </w:r>
          </w:p>
        </w:tc>
        <w:tc>
          <w:tcPr>
            <w:tcW w:w="1140" w:type="dxa"/>
            <w:tcBorders>
              <w:top w:val="single" w:sz="6" w:space="0" w:color="auto"/>
              <w:left w:val="single" w:sz="6" w:space="0" w:color="auto"/>
              <w:bottom w:val="single" w:sz="6" w:space="0" w:color="auto"/>
              <w:right w:val="single" w:sz="6" w:space="0" w:color="auto"/>
            </w:tcBorders>
            <w:hideMark/>
          </w:tcPr>
          <w:p w14:paraId="15673785" w14:textId="77777777" w:rsidR="003547DC" w:rsidRPr="004370C6" w:rsidRDefault="003547DC" w:rsidP="00CE5D51">
            <w:pPr>
              <w:rPr>
                <w:rFonts w:ascii="Arial" w:hAnsi="Arial" w:cs="Arial"/>
                <w:lang w:val="en-AU" w:eastAsia="en-AU"/>
              </w:rPr>
            </w:pPr>
            <w:r w:rsidRPr="004370C6">
              <w:rPr>
                <w:rFonts w:ascii="Arial" w:hAnsi="Arial" w:cs="Arial"/>
                <w:lang w:eastAsia="en-AU"/>
              </w:rPr>
              <w:t>No</w:t>
            </w:r>
            <w:r w:rsidRPr="004370C6">
              <w:rPr>
                <w:rFonts w:ascii="Arial" w:hAnsi="Arial" w:cs="Arial"/>
                <w:lang w:val="en-AU" w:eastAsia="en-AU"/>
              </w:rPr>
              <w:t> </w:t>
            </w:r>
          </w:p>
        </w:tc>
        <w:tc>
          <w:tcPr>
            <w:tcW w:w="1290" w:type="dxa"/>
            <w:tcBorders>
              <w:top w:val="single" w:sz="6" w:space="0" w:color="auto"/>
              <w:left w:val="single" w:sz="6" w:space="0" w:color="auto"/>
              <w:bottom w:val="single" w:sz="6" w:space="0" w:color="auto"/>
              <w:right w:val="single" w:sz="6" w:space="0" w:color="auto"/>
            </w:tcBorders>
            <w:hideMark/>
          </w:tcPr>
          <w:p w14:paraId="33C9ADCD" w14:textId="77777777" w:rsidR="003547DC" w:rsidRPr="004370C6" w:rsidRDefault="003547DC" w:rsidP="00CE5D51">
            <w:pPr>
              <w:rPr>
                <w:rFonts w:ascii="Arial" w:hAnsi="Arial" w:cs="Arial"/>
                <w:lang w:val="en-AU" w:eastAsia="en-AU"/>
              </w:rPr>
            </w:pPr>
            <w:r w:rsidRPr="004370C6">
              <w:rPr>
                <w:rFonts w:ascii="Arial" w:hAnsi="Arial" w:cs="Arial"/>
                <w:lang w:eastAsia="en-AU"/>
              </w:rPr>
              <w:t>Yes (Serious)</w:t>
            </w:r>
            <w:r w:rsidRPr="004370C6">
              <w:rPr>
                <w:rFonts w:ascii="Arial" w:hAnsi="Arial" w:cs="Arial"/>
                <w:lang w:val="en-AU" w:eastAsia="en-AU"/>
              </w:rPr>
              <w:t> </w:t>
            </w:r>
          </w:p>
        </w:tc>
        <w:tc>
          <w:tcPr>
            <w:tcW w:w="1305" w:type="dxa"/>
            <w:tcBorders>
              <w:top w:val="single" w:sz="6" w:space="0" w:color="auto"/>
              <w:left w:val="single" w:sz="6" w:space="0" w:color="auto"/>
              <w:bottom w:val="single" w:sz="6" w:space="0" w:color="auto"/>
              <w:right w:val="single" w:sz="6" w:space="0" w:color="auto"/>
            </w:tcBorders>
            <w:hideMark/>
          </w:tcPr>
          <w:p w14:paraId="5B1D6C0F" w14:textId="77777777" w:rsidR="003547DC" w:rsidRPr="004370C6" w:rsidRDefault="003547DC" w:rsidP="00CE5D51">
            <w:pPr>
              <w:rPr>
                <w:rFonts w:ascii="Arial" w:hAnsi="Arial" w:cs="Arial"/>
                <w:lang w:val="en-AU" w:eastAsia="en-AU"/>
              </w:rPr>
            </w:pPr>
            <w:r w:rsidRPr="004370C6">
              <w:rPr>
                <w:rFonts w:ascii="Arial" w:hAnsi="Arial" w:cs="Arial"/>
                <w:lang w:eastAsia="en-AU"/>
              </w:rPr>
              <w:t>66M</w:t>
            </w:r>
            <w:r w:rsidRPr="004370C6">
              <w:rPr>
                <w:rFonts w:ascii="Arial" w:hAnsi="Arial" w:cs="Arial"/>
                <w:lang w:val="en-AU" w:eastAsia="en-AU"/>
              </w:rPr>
              <w:t> </w:t>
            </w:r>
          </w:p>
        </w:tc>
        <w:tc>
          <w:tcPr>
            <w:tcW w:w="855" w:type="dxa"/>
            <w:tcBorders>
              <w:top w:val="single" w:sz="6" w:space="0" w:color="auto"/>
              <w:left w:val="single" w:sz="6" w:space="0" w:color="auto"/>
              <w:bottom w:val="single" w:sz="6" w:space="0" w:color="auto"/>
              <w:right w:val="single" w:sz="6" w:space="0" w:color="auto"/>
            </w:tcBorders>
            <w:hideMark/>
          </w:tcPr>
          <w:p w14:paraId="12C76C72" w14:textId="77777777" w:rsidR="003547DC" w:rsidRPr="004370C6" w:rsidRDefault="003547DC" w:rsidP="00CE5D51">
            <w:pPr>
              <w:rPr>
                <w:rFonts w:ascii="Arial" w:hAnsi="Arial" w:cs="Arial"/>
                <w:lang w:val="en-AU" w:eastAsia="en-AU"/>
              </w:rPr>
            </w:pPr>
            <w:r w:rsidRPr="004370C6">
              <w:rPr>
                <w:rFonts w:ascii="Arial" w:hAnsi="Arial" w:cs="Arial"/>
                <w:lang w:eastAsia="en-AU"/>
              </w:rPr>
              <w:t>40</w:t>
            </w:r>
            <w:r w:rsidRPr="004370C6">
              <w:rPr>
                <w:rFonts w:ascii="Arial" w:hAnsi="Arial" w:cs="Arial"/>
                <w:lang w:val="en-AU" w:eastAsia="en-AU"/>
              </w:rPr>
              <w:t> </w:t>
            </w:r>
          </w:p>
        </w:tc>
        <w:tc>
          <w:tcPr>
            <w:tcW w:w="1050" w:type="dxa"/>
            <w:tcBorders>
              <w:top w:val="single" w:sz="6" w:space="0" w:color="auto"/>
              <w:left w:val="single" w:sz="6" w:space="0" w:color="auto"/>
              <w:bottom w:val="single" w:sz="6" w:space="0" w:color="auto"/>
              <w:right w:val="single" w:sz="6" w:space="0" w:color="auto"/>
            </w:tcBorders>
            <w:hideMark/>
          </w:tcPr>
          <w:p w14:paraId="07980199" w14:textId="77777777" w:rsidR="003547DC" w:rsidRPr="004370C6" w:rsidRDefault="003547DC" w:rsidP="00CE5D51">
            <w:pPr>
              <w:rPr>
                <w:rFonts w:ascii="Arial" w:hAnsi="Arial" w:cs="Arial"/>
                <w:lang w:val="en-AU" w:eastAsia="en-AU"/>
              </w:rPr>
            </w:pPr>
            <w:r w:rsidRPr="004370C6">
              <w:rPr>
                <w:rFonts w:ascii="Arial" w:hAnsi="Arial" w:cs="Arial"/>
                <w:lang w:eastAsia="en-AU"/>
              </w:rPr>
              <w:t>Clear</w:t>
            </w:r>
            <w:r w:rsidRPr="004370C6">
              <w:rPr>
                <w:rFonts w:ascii="Arial" w:hAnsi="Arial" w:cs="Arial"/>
                <w:lang w:val="en-AU" w:eastAsia="en-AU"/>
              </w:rPr>
              <w:t> </w:t>
            </w:r>
          </w:p>
        </w:tc>
        <w:tc>
          <w:tcPr>
            <w:tcW w:w="3225" w:type="dxa"/>
            <w:tcBorders>
              <w:top w:val="single" w:sz="6" w:space="0" w:color="auto"/>
              <w:left w:val="single" w:sz="6" w:space="0" w:color="auto"/>
              <w:bottom w:val="single" w:sz="6" w:space="0" w:color="auto"/>
              <w:right w:val="single" w:sz="6" w:space="0" w:color="auto"/>
            </w:tcBorders>
            <w:hideMark/>
          </w:tcPr>
          <w:p w14:paraId="6D81F630" w14:textId="2CF65D8C" w:rsidR="003547DC" w:rsidRPr="004370C6" w:rsidRDefault="0037642C" w:rsidP="00CE5D51">
            <w:pPr>
              <w:rPr>
                <w:rFonts w:ascii="Arial" w:hAnsi="Arial" w:cs="Arial"/>
                <w:lang w:val="en-AU" w:eastAsia="en-AU"/>
              </w:rPr>
            </w:pPr>
            <w:r w:rsidRPr="004370C6">
              <w:rPr>
                <w:rFonts w:ascii="Arial" w:hAnsi="Arial" w:cs="Arial"/>
                <w:lang w:eastAsia="en-AU"/>
              </w:rPr>
              <w:t>The driver</w:t>
            </w:r>
            <w:r w:rsidR="003547DC" w:rsidRPr="004370C6">
              <w:rPr>
                <w:rFonts w:ascii="Arial" w:hAnsi="Arial" w:cs="Arial"/>
                <w:lang w:eastAsia="en-AU"/>
              </w:rPr>
              <w:t xml:space="preserve"> of a car was travelling South on Mansard Lane and turned right into Langridge Street. The driver failed to give way to an </w:t>
            </w:r>
            <w:r w:rsidR="003547DC" w:rsidRPr="004370C6">
              <w:rPr>
                <w:rFonts w:ascii="Arial" w:hAnsi="Arial" w:cs="Arial"/>
                <w:lang w:eastAsia="en-AU"/>
              </w:rPr>
              <w:lastRenderedPageBreak/>
              <w:t>oncoming cyclist that was travelling east on Langridge Street. Serious injury to the cyclist.</w:t>
            </w:r>
            <w:r w:rsidR="003547DC" w:rsidRPr="004370C6">
              <w:rPr>
                <w:rFonts w:ascii="Arial" w:hAnsi="Arial" w:cs="Arial"/>
                <w:lang w:val="en-AU" w:eastAsia="en-AU"/>
              </w:rPr>
              <w:t> </w:t>
            </w:r>
          </w:p>
        </w:tc>
      </w:tr>
    </w:tbl>
    <w:p w14:paraId="66C5AB34" w14:textId="77777777" w:rsidR="003547DC" w:rsidRPr="004370C6" w:rsidRDefault="003547DC" w:rsidP="003547DC">
      <w:pPr>
        <w:spacing w:after="0" w:line="240" w:lineRule="auto"/>
        <w:textAlignment w:val="baseline"/>
        <w:rPr>
          <w:rFonts w:ascii="Arial" w:eastAsia="Times New Roman" w:hAnsi="Arial" w:cs="Arial"/>
          <w:sz w:val="18"/>
          <w:szCs w:val="18"/>
          <w:lang w:val="en-AU" w:eastAsia="en-AU"/>
        </w:rPr>
      </w:pPr>
      <w:r w:rsidRPr="004370C6">
        <w:rPr>
          <w:rFonts w:ascii="Arial" w:eastAsia="Times New Roman" w:hAnsi="Arial" w:cs="Arial"/>
          <w:sz w:val="20"/>
          <w:szCs w:val="20"/>
          <w:lang w:val="en-AU" w:eastAsia="en-AU"/>
        </w:rPr>
        <w:lastRenderedPageBreak/>
        <w:t> </w:t>
      </w:r>
    </w:p>
    <w:p w14:paraId="4845E479" w14:textId="77777777" w:rsidR="003547DC" w:rsidRPr="004370C6" w:rsidRDefault="003547DC" w:rsidP="00DD10FF">
      <w:pPr>
        <w:pStyle w:val="Heading4"/>
        <w:rPr>
          <w:rFonts w:ascii="Arial" w:hAnsi="Arial" w:cs="Arial"/>
          <w:color w:val="auto"/>
          <w:sz w:val="18"/>
          <w:szCs w:val="18"/>
          <w:lang w:val="en-AU" w:eastAsia="en-AU"/>
        </w:rPr>
      </w:pPr>
      <w:bookmarkStart w:id="39" w:name="_Toc224732169"/>
      <w:r w:rsidRPr="004370C6">
        <w:rPr>
          <w:rFonts w:ascii="Arial" w:hAnsi="Arial" w:cs="Arial"/>
          <w:color w:val="auto"/>
          <w:lang w:eastAsia="en-AU"/>
        </w:rPr>
        <w:t>Update on Q1 crashes</w:t>
      </w:r>
      <w:bookmarkEnd w:id="39"/>
      <w:r w:rsidRPr="004370C6">
        <w:rPr>
          <w:rFonts w:ascii="Arial" w:hAnsi="Arial" w:cs="Arial"/>
          <w:color w:val="auto"/>
          <w:lang w:val="en-AU" w:eastAsia="en-AU"/>
        </w:rPr>
        <w:t> </w:t>
      </w:r>
    </w:p>
    <w:p w14:paraId="3C5AD617" w14:textId="06E84E65" w:rsidR="003547DC" w:rsidRPr="004370C6" w:rsidRDefault="003547DC" w:rsidP="00CE5D51">
      <w:pPr>
        <w:rPr>
          <w:rFonts w:ascii="Arial" w:hAnsi="Arial" w:cs="Arial"/>
          <w:lang w:val="en-AU" w:eastAsia="en-AU"/>
        </w:rPr>
      </w:pPr>
      <w:r w:rsidRPr="004370C6">
        <w:rPr>
          <w:rFonts w:ascii="Arial" w:hAnsi="Arial" w:cs="Arial"/>
          <w:lang w:eastAsia="en-AU"/>
        </w:rPr>
        <w:t xml:space="preserve">Two crashes were recorded on local roads managed by the City of Yarra during </w:t>
      </w:r>
      <w:r w:rsidR="007B7214" w:rsidRPr="004370C6">
        <w:rPr>
          <w:rFonts w:ascii="Arial" w:hAnsi="Arial" w:cs="Arial"/>
          <w:lang w:eastAsia="en-AU"/>
        </w:rPr>
        <w:t xml:space="preserve">quarter </w:t>
      </w:r>
      <w:r w:rsidRPr="004370C6">
        <w:rPr>
          <w:rFonts w:ascii="Arial" w:hAnsi="Arial" w:cs="Arial"/>
          <w:lang w:eastAsia="en-AU"/>
        </w:rPr>
        <w:t>1 of the 2025/26 financial year (1 July 2025 to 31 October 2025). A summary of each incident is provided below, along with the findings from Council officers’ investigations.</w:t>
      </w:r>
      <w:r w:rsidRPr="004370C6">
        <w:rPr>
          <w:rFonts w:ascii="Arial" w:hAnsi="Arial" w:cs="Arial"/>
          <w:lang w:val="en-AU" w:eastAsia="en-AU"/>
        </w:rPr>
        <w:t> </w:t>
      </w:r>
    </w:p>
    <w:p w14:paraId="01FFB614" w14:textId="77777777" w:rsidR="00DD10FF" w:rsidRPr="004370C6" w:rsidRDefault="00DD10FF" w:rsidP="00CE5D51">
      <w:pPr>
        <w:rPr>
          <w:rFonts w:ascii="Arial" w:hAnsi="Arial" w:cs="Arial"/>
          <w:sz w:val="18"/>
          <w:szCs w:val="18"/>
          <w:lang w:val="en-AU"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5399"/>
        <w:gridCol w:w="5400"/>
      </w:tblGrid>
      <w:tr w:rsidR="003C1AB7" w:rsidRPr="004370C6" w14:paraId="1C59B33E" w14:textId="77777777">
        <w:trPr>
          <w:trHeight w:val="285"/>
        </w:trPr>
        <w:tc>
          <w:tcPr>
            <w:tcW w:w="2145" w:type="dxa"/>
            <w:tcBorders>
              <w:top w:val="single" w:sz="6" w:space="0" w:color="000000"/>
              <w:left w:val="single" w:sz="6" w:space="0" w:color="000000"/>
              <w:bottom w:val="single" w:sz="6" w:space="0" w:color="000000"/>
              <w:right w:val="single" w:sz="6" w:space="0" w:color="000000"/>
            </w:tcBorders>
            <w:hideMark/>
          </w:tcPr>
          <w:p w14:paraId="03D40BEC" w14:textId="77777777" w:rsidR="003547DC" w:rsidRPr="004370C6" w:rsidRDefault="003547DC" w:rsidP="00CE5D51">
            <w:pPr>
              <w:rPr>
                <w:rFonts w:ascii="Arial" w:hAnsi="Arial" w:cs="Arial"/>
                <w:lang w:val="en-AU" w:eastAsia="en-AU"/>
              </w:rPr>
            </w:pPr>
            <w:r w:rsidRPr="004370C6">
              <w:rPr>
                <w:rFonts w:ascii="Arial" w:hAnsi="Arial" w:cs="Arial"/>
                <w:lang w:eastAsia="en-AU"/>
              </w:rPr>
              <w:t>Location</w:t>
            </w:r>
            <w:r w:rsidRPr="004370C6">
              <w:rPr>
                <w:rFonts w:ascii="Arial" w:hAnsi="Arial" w:cs="Arial"/>
                <w:lang w:val="en-AU" w:eastAsia="en-AU"/>
              </w:rPr>
              <w:t> </w:t>
            </w:r>
          </w:p>
        </w:tc>
        <w:tc>
          <w:tcPr>
            <w:tcW w:w="5400" w:type="dxa"/>
            <w:tcBorders>
              <w:top w:val="single" w:sz="6" w:space="0" w:color="000000"/>
              <w:left w:val="single" w:sz="6" w:space="0" w:color="000000"/>
              <w:bottom w:val="single" w:sz="6" w:space="0" w:color="000000"/>
              <w:right w:val="single" w:sz="6" w:space="0" w:color="000000"/>
            </w:tcBorders>
            <w:hideMark/>
          </w:tcPr>
          <w:p w14:paraId="78DA0EDC" w14:textId="77777777" w:rsidR="003547DC" w:rsidRPr="004370C6" w:rsidRDefault="003547DC" w:rsidP="00CE5D51">
            <w:pPr>
              <w:rPr>
                <w:rFonts w:ascii="Arial" w:hAnsi="Arial" w:cs="Arial"/>
                <w:lang w:val="en-AU" w:eastAsia="en-AU"/>
              </w:rPr>
            </w:pPr>
            <w:r w:rsidRPr="004370C6">
              <w:rPr>
                <w:rFonts w:ascii="Arial" w:hAnsi="Arial" w:cs="Arial"/>
                <w:lang w:eastAsia="en-AU"/>
              </w:rPr>
              <w:t>Summary of Incident</w:t>
            </w:r>
            <w:r w:rsidRPr="004370C6">
              <w:rPr>
                <w:rFonts w:ascii="Arial" w:hAnsi="Arial" w:cs="Arial"/>
                <w:lang w:val="en-AU" w:eastAsia="en-AU"/>
              </w:rPr>
              <w:t> </w:t>
            </w:r>
          </w:p>
        </w:tc>
        <w:tc>
          <w:tcPr>
            <w:tcW w:w="5400" w:type="dxa"/>
            <w:tcBorders>
              <w:top w:val="single" w:sz="6" w:space="0" w:color="000000"/>
              <w:left w:val="single" w:sz="6" w:space="0" w:color="000000"/>
              <w:bottom w:val="single" w:sz="6" w:space="0" w:color="000000"/>
              <w:right w:val="single" w:sz="6" w:space="0" w:color="000000"/>
            </w:tcBorders>
            <w:hideMark/>
          </w:tcPr>
          <w:p w14:paraId="6078FB9E" w14:textId="77777777" w:rsidR="003547DC" w:rsidRPr="004370C6" w:rsidRDefault="003547DC" w:rsidP="00CE5D51">
            <w:pPr>
              <w:rPr>
                <w:rFonts w:ascii="Arial" w:hAnsi="Arial" w:cs="Arial"/>
                <w:lang w:val="en-AU" w:eastAsia="en-AU"/>
              </w:rPr>
            </w:pPr>
            <w:r w:rsidRPr="004370C6">
              <w:rPr>
                <w:rFonts w:ascii="Arial" w:hAnsi="Arial" w:cs="Arial"/>
                <w:lang w:eastAsia="en-AU"/>
              </w:rPr>
              <w:t>Officer Assessment / Findings</w:t>
            </w:r>
            <w:r w:rsidRPr="004370C6">
              <w:rPr>
                <w:rFonts w:ascii="Arial" w:hAnsi="Arial" w:cs="Arial"/>
                <w:lang w:val="en-AU" w:eastAsia="en-AU"/>
              </w:rPr>
              <w:t> </w:t>
            </w:r>
          </w:p>
        </w:tc>
      </w:tr>
      <w:tr w:rsidR="003C1AB7" w:rsidRPr="004370C6" w14:paraId="4077C4A8" w14:textId="77777777">
        <w:trPr>
          <w:trHeight w:val="285"/>
        </w:trPr>
        <w:tc>
          <w:tcPr>
            <w:tcW w:w="2145" w:type="dxa"/>
            <w:tcBorders>
              <w:top w:val="single" w:sz="6" w:space="0" w:color="000000"/>
              <w:left w:val="single" w:sz="6" w:space="0" w:color="000000"/>
              <w:bottom w:val="single" w:sz="6" w:space="0" w:color="000000"/>
              <w:right w:val="single" w:sz="6" w:space="0" w:color="000000"/>
            </w:tcBorders>
            <w:hideMark/>
          </w:tcPr>
          <w:p w14:paraId="383E1901" w14:textId="77777777" w:rsidR="003547DC" w:rsidRPr="004370C6" w:rsidRDefault="003547DC" w:rsidP="00CE5D51">
            <w:pPr>
              <w:rPr>
                <w:rFonts w:ascii="Arial" w:hAnsi="Arial" w:cs="Arial"/>
                <w:lang w:val="en-AU" w:eastAsia="en-AU"/>
              </w:rPr>
            </w:pPr>
            <w:r w:rsidRPr="004370C6">
              <w:rPr>
                <w:rFonts w:ascii="Arial" w:hAnsi="Arial" w:cs="Arial"/>
                <w:lang w:eastAsia="en-AU"/>
              </w:rPr>
              <w:t>Mater Street/Wellington Street, Collingwood</w:t>
            </w:r>
            <w:r w:rsidRPr="004370C6">
              <w:rPr>
                <w:rFonts w:ascii="Arial" w:hAnsi="Arial" w:cs="Arial"/>
                <w:lang w:val="en-AU" w:eastAsia="en-AU"/>
              </w:rPr>
              <w:t> </w:t>
            </w:r>
          </w:p>
        </w:tc>
        <w:tc>
          <w:tcPr>
            <w:tcW w:w="5400" w:type="dxa"/>
            <w:tcBorders>
              <w:top w:val="single" w:sz="6" w:space="0" w:color="000000"/>
              <w:left w:val="single" w:sz="6" w:space="0" w:color="000000"/>
              <w:bottom w:val="single" w:sz="6" w:space="0" w:color="000000"/>
              <w:right w:val="single" w:sz="6" w:space="0" w:color="000000"/>
            </w:tcBorders>
            <w:hideMark/>
          </w:tcPr>
          <w:p w14:paraId="41522024" w14:textId="77777777" w:rsidR="003547DC" w:rsidRPr="004370C6" w:rsidRDefault="003547DC" w:rsidP="00CE5D51">
            <w:pPr>
              <w:rPr>
                <w:rFonts w:ascii="Arial" w:hAnsi="Arial" w:cs="Arial"/>
                <w:lang w:val="en-AU" w:eastAsia="en-AU"/>
              </w:rPr>
            </w:pPr>
            <w:r w:rsidRPr="004370C6">
              <w:rPr>
                <w:rFonts w:ascii="Arial" w:hAnsi="Arial" w:cs="Arial"/>
                <w:lang w:eastAsia="en-AU"/>
              </w:rPr>
              <w:t>A driver turning right into Mater Street failed to give way and crossed the path of a bicycle rider travelling straight on Wellington Street. The collision resulted in a serious injury to the bicycle rider.</w:t>
            </w:r>
            <w:r w:rsidRPr="004370C6">
              <w:rPr>
                <w:rFonts w:ascii="Arial" w:hAnsi="Arial" w:cs="Arial"/>
                <w:lang w:val="en-AU" w:eastAsia="en-AU"/>
              </w:rPr>
              <w:t> </w:t>
            </w:r>
          </w:p>
        </w:tc>
        <w:tc>
          <w:tcPr>
            <w:tcW w:w="5400" w:type="dxa"/>
            <w:tcBorders>
              <w:top w:val="single" w:sz="6" w:space="0" w:color="000000"/>
              <w:left w:val="single" w:sz="6" w:space="0" w:color="000000"/>
              <w:bottom w:val="single" w:sz="6" w:space="0" w:color="000000"/>
              <w:right w:val="single" w:sz="6" w:space="0" w:color="000000"/>
            </w:tcBorders>
            <w:hideMark/>
          </w:tcPr>
          <w:p w14:paraId="06A7EAAF" w14:textId="77777777" w:rsidR="003547DC" w:rsidRPr="004370C6" w:rsidRDefault="003547DC" w:rsidP="00CE5D51">
            <w:pPr>
              <w:rPr>
                <w:rFonts w:ascii="Arial" w:hAnsi="Arial" w:cs="Arial"/>
                <w:lang w:val="en-AU" w:eastAsia="en-AU"/>
              </w:rPr>
            </w:pPr>
            <w:r w:rsidRPr="004370C6">
              <w:rPr>
                <w:rFonts w:ascii="Arial" w:hAnsi="Arial" w:cs="Arial"/>
                <w:lang w:eastAsia="en-AU"/>
              </w:rPr>
              <w:t>The crash was primarily the result of driver error, specifically failing to give way when turning across an active traffic lane. </w:t>
            </w:r>
            <w:r w:rsidRPr="004370C6">
              <w:rPr>
                <w:rFonts w:ascii="Arial" w:hAnsi="Arial" w:cs="Arial"/>
                <w:lang w:val="en-AU" w:eastAsia="en-AU"/>
              </w:rPr>
              <w:t> </w:t>
            </w:r>
          </w:p>
          <w:p w14:paraId="72E2FABC" w14:textId="77777777" w:rsidR="003547DC" w:rsidRPr="004370C6" w:rsidRDefault="003547DC" w:rsidP="00CE5D51">
            <w:pPr>
              <w:rPr>
                <w:rFonts w:ascii="Arial" w:hAnsi="Arial" w:cs="Arial"/>
                <w:lang w:val="en-GB" w:eastAsia="en-AU"/>
              </w:rPr>
            </w:pPr>
            <w:r w:rsidRPr="004370C6">
              <w:rPr>
                <w:rFonts w:ascii="Arial" w:hAnsi="Arial" w:cs="Arial"/>
                <w:lang w:val="en-GB" w:eastAsia="en-AU"/>
              </w:rPr>
              <w:t> </w:t>
            </w:r>
          </w:p>
          <w:p w14:paraId="08BA0339" w14:textId="77777777" w:rsidR="003547DC" w:rsidRPr="004370C6" w:rsidRDefault="003547DC" w:rsidP="00CE5D51">
            <w:pPr>
              <w:rPr>
                <w:rFonts w:ascii="Arial" w:hAnsi="Arial" w:cs="Arial"/>
                <w:lang w:val="en-AU" w:eastAsia="en-AU"/>
              </w:rPr>
            </w:pPr>
            <w:r w:rsidRPr="004370C6">
              <w:rPr>
                <w:rFonts w:ascii="Arial" w:hAnsi="Arial" w:cs="Arial"/>
                <w:lang w:eastAsia="en-AU"/>
              </w:rPr>
              <w:t>Existing intersection controls, sight distances and road geometry are appropriate for the speed environment and comply with current standards. </w:t>
            </w:r>
            <w:r w:rsidRPr="004370C6">
              <w:rPr>
                <w:rFonts w:ascii="Arial" w:hAnsi="Arial" w:cs="Arial"/>
                <w:lang w:val="en-AU" w:eastAsia="en-AU"/>
              </w:rPr>
              <w:t> </w:t>
            </w:r>
          </w:p>
          <w:p w14:paraId="631A5E2C" w14:textId="77777777" w:rsidR="003547DC" w:rsidRPr="004370C6" w:rsidRDefault="003547DC" w:rsidP="00CE5D51">
            <w:pPr>
              <w:rPr>
                <w:rFonts w:ascii="Arial" w:hAnsi="Arial" w:cs="Arial"/>
                <w:lang w:val="en-GB" w:eastAsia="en-AU"/>
              </w:rPr>
            </w:pPr>
            <w:r w:rsidRPr="004370C6">
              <w:rPr>
                <w:rFonts w:ascii="Arial" w:hAnsi="Arial" w:cs="Arial"/>
                <w:lang w:val="en-GB" w:eastAsia="en-AU"/>
              </w:rPr>
              <w:t> </w:t>
            </w:r>
          </w:p>
          <w:p w14:paraId="059BAE3B" w14:textId="77777777" w:rsidR="003547DC" w:rsidRPr="004370C6" w:rsidRDefault="003547DC" w:rsidP="00CE5D51">
            <w:pPr>
              <w:rPr>
                <w:rFonts w:ascii="Arial" w:hAnsi="Arial" w:cs="Arial"/>
                <w:lang w:val="en-GB" w:eastAsia="en-AU"/>
              </w:rPr>
            </w:pPr>
            <w:r w:rsidRPr="004370C6">
              <w:rPr>
                <w:rFonts w:ascii="Arial" w:hAnsi="Arial" w:cs="Arial"/>
                <w:lang w:eastAsia="en-AU"/>
              </w:rPr>
              <w:lastRenderedPageBreak/>
              <w:t>No feasible engineering or operational treatments were identified that would reasonably prevent this type of behaviour related incident. </w:t>
            </w:r>
            <w:r w:rsidRPr="004370C6">
              <w:rPr>
                <w:rFonts w:ascii="Arial" w:hAnsi="Arial" w:cs="Arial"/>
                <w:lang w:val="en-GB" w:eastAsia="en-AU"/>
              </w:rPr>
              <w:t> </w:t>
            </w:r>
          </w:p>
        </w:tc>
      </w:tr>
      <w:tr w:rsidR="003C1AB7" w:rsidRPr="004370C6" w14:paraId="0E4590DB" w14:textId="77777777">
        <w:trPr>
          <w:trHeight w:val="285"/>
        </w:trPr>
        <w:tc>
          <w:tcPr>
            <w:tcW w:w="2145" w:type="dxa"/>
            <w:tcBorders>
              <w:top w:val="single" w:sz="6" w:space="0" w:color="000000"/>
              <w:left w:val="single" w:sz="6" w:space="0" w:color="000000"/>
              <w:bottom w:val="single" w:sz="6" w:space="0" w:color="000000"/>
              <w:right w:val="single" w:sz="6" w:space="0" w:color="000000"/>
            </w:tcBorders>
            <w:hideMark/>
          </w:tcPr>
          <w:p w14:paraId="4DC035D9" w14:textId="77777777" w:rsidR="003547DC" w:rsidRPr="004370C6" w:rsidRDefault="003547DC" w:rsidP="00CE5D51">
            <w:pPr>
              <w:rPr>
                <w:rFonts w:ascii="Arial" w:hAnsi="Arial" w:cs="Arial"/>
                <w:lang w:val="en-AU" w:eastAsia="en-AU"/>
              </w:rPr>
            </w:pPr>
            <w:r w:rsidRPr="004370C6">
              <w:rPr>
                <w:rFonts w:ascii="Arial" w:hAnsi="Arial" w:cs="Arial"/>
                <w:lang w:eastAsia="en-AU"/>
              </w:rPr>
              <w:lastRenderedPageBreak/>
              <w:t>Smith Street/Webb Street, Fitzroy</w:t>
            </w:r>
            <w:r w:rsidRPr="004370C6">
              <w:rPr>
                <w:rFonts w:ascii="Arial" w:hAnsi="Arial" w:cs="Arial"/>
                <w:lang w:val="en-AU" w:eastAsia="en-AU"/>
              </w:rPr>
              <w:t> </w:t>
            </w:r>
          </w:p>
        </w:tc>
        <w:tc>
          <w:tcPr>
            <w:tcW w:w="5400" w:type="dxa"/>
            <w:tcBorders>
              <w:top w:val="single" w:sz="6" w:space="0" w:color="000000"/>
              <w:left w:val="single" w:sz="6" w:space="0" w:color="000000"/>
              <w:bottom w:val="single" w:sz="6" w:space="0" w:color="000000"/>
              <w:right w:val="single" w:sz="6" w:space="0" w:color="000000"/>
            </w:tcBorders>
            <w:hideMark/>
          </w:tcPr>
          <w:p w14:paraId="61DEB759" w14:textId="77777777" w:rsidR="003547DC" w:rsidRPr="004370C6" w:rsidRDefault="003547DC" w:rsidP="00CE5D51">
            <w:pPr>
              <w:rPr>
                <w:rFonts w:ascii="Arial" w:hAnsi="Arial" w:cs="Arial"/>
                <w:lang w:val="en-AU" w:eastAsia="en-AU"/>
              </w:rPr>
            </w:pPr>
            <w:r w:rsidRPr="004370C6">
              <w:rPr>
                <w:rFonts w:ascii="Arial" w:hAnsi="Arial" w:cs="Arial"/>
                <w:lang w:eastAsia="en-AU"/>
              </w:rPr>
              <w:t>A bicycle rider travelling along Smith Street was struck when a parked driver opened their vehicle door into the rider’s path, resulting in a serious injury.</w:t>
            </w:r>
            <w:r w:rsidRPr="004370C6">
              <w:rPr>
                <w:rFonts w:ascii="Arial" w:hAnsi="Arial" w:cs="Arial"/>
                <w:lang w:val="en-AU" w:eastAsia="en-AU"/>
              </w:rPr>
              <w:t> </w:t>
            </w:r>
          </w:p>
        </w:tc>
        <w:tc>
          <w:tcPr>
            <w:tcW w:w="5400" w:type="dxa"/>
            <w:tcBorders>
              <w:top w:val="single" w:sz="6" w:space="0" w:color="000000"/>
              <w:left w:val="single" w:sz="6" w:space="0" w:color="000000"/>
              <w:bottom w:val="single" w:sz="6" w:space="0" w:color="000000"/>
              <w:right w:val="single" w:sz="6" w:space="0" w:color="000000"/>
            </w:tcBorders>
            <w:hideMark/>
          </w:tcPr>
          <w:p w14:paraId="382CB24A" w14:textId="77777777" w:rsidR="003547DC" w:rsidRPr="004370C6" w:rsidRDefault="003547DC" w:rsidP="00CE5D51">
            <w:pPr>
              <w:rPr>
                <w:rFonts w:ascii="Arial" w:hAnsi="Arial" w:cs="Arial"/>
                <w:lang w:val="en-AU" w:eastAsia="en-AU"/>
              </w:rPr>
            </w:pPr>
            <w:r w:rsidRPr="004370C6">
              <w:rPr>
                <w:rFonts w:ascii="Arial" w:hAnsi="Arial" w:cs="Arial"/>
                <w:lang w:eastAsia="en-AU"/>
              </w:rPr>
              <w:t>This incident reflects a known behaviour based risk associated with kerbside parking adjacent to bicycle lanes. </w:t>
            </w:r>
            <w:r w:rsidRPr="004370C6">
              <w:rPr>
                <w:rFonts w:ascii="Arial" w:hAnsi="Arial" w:cs="Arial"/>
                <w:lang w:val="en-AU" w:eastAsia="en-AU"/>
              </w:rPr>
              <w:t> </w:t>
            </w:r>
          </w:p>
          <w:p w14:paraId="25C09C5F" w14:textId="77777777" w:rsidR="003547DC" w:rsidRPr="004370C6" w:rsidRDefault="003547DC" w:rsidP="00CE5D51">
            <w:pPr>
              <w:rPr>
                <w:rFonts w:ascii="Arial" w:hAnsi="Arial" w:cs="Arial"/>
                <w:lang w:val="en-AU" w:eastAsia="en-AU"/>
              </w:rPr>
            </w:pPr>
            <w:r w:rsidRPr="004370C6">
              <w:rPr>
                <w:rFonts w:ascii="Arial" w:hAnsi="Arial" w:cs="Arial"/>
                <w:lang w:val="en-AU" w:eastAsia="en-AU"/>
              </w:rPr>
              <w:t> </w:t>
            </w:r>
          </w:p>
          <w:p w14:paraId="693BBA08" w14:textId="77777777" w:rsidR="003547DC" w:rsidRPr="004370C6" w:rsidRDefault="003547DC" w:rsidP="00CE5D51">
            <w:pPr>
              <w:rPr>
                <w:rFonts w:ascii="Arial" w:hAnsi="Arial" w:cs="Arial"/>
                <w:lang w:val="en-AU" w:eastAsia="en-AU"/>
              </w:rPr>
            </w:pPr>
            <w:r w:rsidRPr="004370C6">
              <w:rPr>
                <w:rFonts w:ascii="Arial" w:hAnsi="Arial" w:cs="Arial"/>
                <w:lang w:eastAsia="en-AU"/>
              </w:rPr>
              <w:t>The existing lane configuration and parking layout meet current design requirements, and the risk of dooring is already addressed through statewide road rules, education campaigns and enforcement. </w:t>
            </w:r>
            <w:r w:rsidRPr="004370C6">
              <w:rPr>
                <w:rFonts w:ascii="Arial" w:hAnsi="Arial" w:cs="Arial"/>
                <w:lang w:val="en-AU" w:eastAsia="en-AU"/>
              </w:rPr>
              <w:t> </w:t>
            </w:r>
          </w:p>
          <w:p w14:paraId="335CB6B9" w14:textId="77777777" w:rsidR="003547DC" w:rsidRPr="004370C6" w:rsidRDefault="003547DC" w:rsidP="00CE5D51">
            <w:pPr>
              <w:rPr>
                <w:rFonts w:ascii="Arial" w:hAnsi="Arial" w:cs="Arial"/>
                <w:lang w:val="en-AU" w:eastAsia="en-AU"/>
              </w:rPr>
            </w:pPr>
            <w:r w:rsidRPr="004370C6">
              <w:rPr>
                <w:rFonts w:ascii="Arial" w:hAnsi="Arial" w:cs="Arial"/>
                <w:lang w:val="en-AU" w:eastAsia="en-AU"/>
              </w:rPr>
              <w:t> </w:t>
            </w:r>
          </w:p>
          <w:p w14:paraId="06DAADAE" w14:textId="77777777" w:rsidR="003547DC" w:rsidRPr="004370C6" w:rsidRDefault="003547DC" w:rsidP="00CE5D51">
            <w:pPr>
              <w:rPr>
                <w:rFonts w:ascii="Arial" w:hAnsi="Arial" w:cs="Arial"/>
                <w:lang w:val="en-AU" w:eastAsia="en-AU"/>
              </w:rPr>
            </w:pPr>
            <w:r w:rsidRPr="004370C6">
              <w:rPr>
                <w:rFonts w:ascii="Arial" w:hAnsi="Arial" w:cs="Arial"/>
                <w:lang w:eastAsia="en-AU"/>
              </w:rPr>
              <w:t>No additional infrastructure treatments were identified that would materially reduce the likelihood of similar incidents.  </w:t>
            </w:r>
            <w:r w:rsidRPr="004370C6">
              <w:rPr>
                <w:rFonts w:ascii="Arial" w:hAnsi="Arial" w:cs="Arial"/>
                <w:lang w:val="en-AU" w:eastAsia="en-AU"/>
              </w:rPr>
              <w:t> </w:t>
            </w:r>
          </w:p>
        </w:tc>
      </w:tr>
    </w:tbl>
    <w:p w14:paraId="1DD2CE38" w14:textId="77777777" w:rsidR="003547DC" w:rsidRPr="004370C6" w:rsidRDefault="003547DC" w:rsidP="003547DC">
      <w:pPr>
        <w:spacing w:after="0" w:line="240" w:lineRule="auto"/>
        <w:textAlignment w:val="baseline"/>
        <w:rPr>
          <w:rFonts w:ascii="Arial" w:eastAsia="Times New Roman" w:hAnsi="Arial" w:cs="Arial"/>
          <w:sz w:val="18"/>
          <w:szCs w:val="18"/>
          <w:lang w:val="en-AU" w:eastAsia="en-AU"/>
        </w:rPr>
      </w:pPr>
      <w:r w:rsidRPr="004370C6">
        <w:rPr>
          <w:rFonts w:ascii="Arial" w:eastAsia="Times New Roman" w:hAnsi="Arial" w:cs="Arial"/>
          <w:sz w:val="20"/>
          <w:szCs w:val="20"/>
          <w:lang w:val="en-AU" w:eastAsia="en-AU"/>
        </w:rPr>
        <w:t> </w:t>
      </w:r>
    </w:p>
    <w:p w14:paraId="3B3DF7B6" w14:textId="77777777" w:rsidR="003547DC" w:rsidRPr="004370C6" w:rsidRDefault="003547DC" w:rsidP="003547DC">
      <w:pPr>
        <w:spacing w:after="0" w:line="240" w:lineRule="auto"/>
        <w:textAlignment w:val="baseline"/>
        <w:rPr>
          <w:rFonts w:ascii="Arial" w:eastAsia="Times New Roman" w:hAnsi="Arial" w:cs="Arial"/>
          <w:sz w:val="18"/>
          <w:szCs w:val="18"/>
          <w:lang w:val="en-AU" w:eastAsia="en-AU"/>
        </w:rPr>
      </w:pPr>
      <w:r w:rsidRPr="004370C6">
        <w:rPr>
          <w:rFonts w:ascii="Arial" w:hAnsi="Arial" w:cs="Arial"/>
        </w:rPr>
        <w:t>In addition to the two crashes that occurred on Council managed local roads, six other incidents recorded during this period took place on roads and intersections managed by the Department of Transport and Planning (DTP). As these locations fall under DTP’s jurisdiction, it is responsible for reviewing the crash data, assessing contributing factors and determining whether any further investigation or intervention is required. Council will continue to collaborate with DTP as needed and support any future safety improvements identified through their assessment processes</w:t>
      </w:r>
      <w:r w:rsidRPr="004370C6">
        <w:rPr>
          <w:rFonts w:ascii="Arial" w:eastAsia="Times New Roman" w:hAnsi="Arial" w:cs="Arial"/>
          <w:sz w:val="20"/>
          <w:szCs w:val="20"/>
          <w:lang w:eastAsia="en-AU"/>
        </w:rPr>
        <w:t>.</w:t>
      </w:r>
      <w:r w:rsidRPr="004370C6">
        <w:rPr>
          <w:rFonts w:ascii="Arial" w:eastAsia="Times New Roman" w:hAnsi="Arial" w:cs="Arial"/>
          <w:sz w:val="20"/>
          <w:szCs w:val="20"/>
          <w:lang w:val="en-AU" w:eastAsia="en-AU"/>
        </w:rPr>
        <w:t> </w:t>
      </w:r>
    </w:p>
    <w:p w14:paraId="3920A0E8" w14:textId="77777777" w:rsidR="00D86004" w:rsidRPr="004370C6" w:rsidRDefault="00D86004" w:rsidP="6AD9DBDB">
      <w:pPr>
        <w:rPr>
          <w:rFonts w:ascii="Arial" w:eastAsia="Aptos" w:hAnsi="Arial" w:cs="Arial"/>
        </w:rPr>
        <w:sectPr w:rsidR="00D86004" w:rsidRPr="004370C6" w:rsidSect="00360945">
          <w:headerReference w:type="default" r:id="rId11"/>
          <w:footerReference w:type="default" r:id="rId12"/>
          <w:pgSz w:w="15840" w:h="12240" w:orient="landscape"/>
          <w:pgMar w:top="1440" w:right="1440" w:bottom="1440" w:left="1440" w:header="720" w:footer="720" w:gutter="0"/>
          <w:cols w:space="720"/>
          <w:docGrid w:linePitch="360"/>
        </w:sectPr>
      </w:pPr>
    </w:p>
    <w:p w14:paraId="2C3BD1D4" w14:textId="1F73C5BB" w:rsidR="00CC1FAF" w:rsidRPr="004370C6" w:rsidRDefault="00CC1FAF" w:rsidP="00DD10FF">
      <w:pPr>
        <w:pStyle w:val="Heading3"/>
        <w:rPr>
          <w:rFonts w:ascii="Arial" w:hAnsi="Arial" w:cs="Arial"/>
          <w:color w:val="auto"/>
        </w:rPr>
      </w:pPr>
      <w:bookmarkStart w:id="40" w:name="_Toc224732170"/>
      <w:r w:rsidRPr="004370C6">
        <w:rPr>
          <w:rFonts w:ascii="Arial" w:hAnsi="Arial" w:cs="Arial"/>
          <w:color w:val="auto"/>
        </w:rPr>
        <w:lastRenderedPageBreak/>
        <w:t>Planning Scheme Amendments Lodged</w:t>
      </w:r>
      <w:bookmarkEnd w:id="40"/>
    </w:p>
    <w:p w14:paraId="3539001B" w14:textId="2168E151" w:rsidR="23E89733" w:rsidRPr="004370C6" w:rsidRDefault="23E89733" w:rsidP="00DD10FF">
      <w:pPr>
        <w:pStyle w:val="Heading4"/>
        <w:rPr>
          <w:rFonts w:ascii="Arial" w:hAnsi="Arial" w:cs="Arial"/>
          <w:color w:val="auto"/>
        </w:rPr>
      </w:pPr>
      <w:bookmarkStart w:id="41" w:name="_Toc224732171"/>
      <w:r w:rsidRPr="004370C6">
        <w:rPr>
          <w:rFonts w:ascii="Arial" w:hAnsi="Arial" w:cs="Arial"/>
          <w:color w:val="auto"/>
        </w:rPr>
        <w:t>City - Wide</w:t>
      </w:r>
      <w:bookmarkEnd w:id="41"/>
    </w:p>
    <w:p w14:paraId="46617470" w14:textId="1B98E2EB" w:rsidR="23E89733" w:rsidRPr="004370C6" w:rsidRDefault="23E89733" w:rsidP="00CE5D51">
      <w:pPr>
        <w:rPr>
          <w:rFonts w:ascii="Arial" w:hAnsi="Arial" w:cs="Arial"/>
        </w:rPr>
      </w:pPr>
      <w:r w:rsidRPr="004370C6">
        <w:rPr>
          <w:rFonts w:ascii="Arial" w:hAnsi="Arial" w:cs="Arial"/>
        </w:rPr>
        <w:t>The updated Spatial Economic and Employment Strategy (SEES) 2025 was adopted by Council on 16 December 2025 and will inform a planning scheme amendment. The SEES 2025 will ensure land in Yarra is retained to support local businesses and the city’s economic vitality and diversity.</w:t>
      </w:r>
    </w:p>
    <w:p w14:paraId="408D9BCC" w14:textId="56D1810F" w:rsidR="23E89733" w:rsidRPr="004370C6" w:rsidRDefault="23E89733" w:rsidP="00CE5D51">
      <w:pPr>
        <w:rPr>
          <w:rFonts w:ascii="Arial" w:hAnsi="Arial" w:cs="Arial"/>
        </w:rPr>
      </w:pPr>
      <w:r w:rsidRPr="004370C6">
        <w:rPr>
          <w:rFonts w:ascii="Arial" w:hAnsi="Arial" w:cs="Arial"/>
        </w:rPr>
        <w:t>Amendment C331 to introduce live music precincts into the planning scheme and list individual music venues where not in any precinct was adopted by Council on 16 December 2025. This will support local entertainment businesses and support a vital component of Yarra’s activity centres.</w:t>
      </w:r>
    </w:p>
    <w:p w14:paraId="6324F796" w14:textId="6EBA9DB8" w:rsidR="23E89733" w:rsidRPr="004370C6" w:rsidRDefault="23E89733" w:rsidP="00CE5D51">
      <w:pPr>
        <w:rPr>
          <w:rFonts w:ascii="Arial" w:hAnsi="Arial" w:cs="Arial"/>
        </w:rPr>
      </w:pPr>
      <w:r w:rsidRPr="004370C6">
        <w:rPr>
          <w:rFonts w:ascii="Arial" w:hAnsi="Arial" w:cs="Arial"/>
        </w:rPr>
        <w:t>Amendment C334 to reduce planning permit triggers for businesses and to simplify permit applications where permit triggers from State provisions exists was adopted by Council on 16 December 2025. The Amendment will also introduce exemptions for solar panels in heritage overlay areas to support sustainable outcomes, subject to conditions.</w:t>
      </w:r>
    </w:p>
    <w:p w14:paraId="71165092" w14:textId="66C5EF60" w:rsidR="23E89733" w:rsidRPr="004370C6" w:rsidRDefault="23E89733" w:rsidP="00CE5D51">
      <w:pPr>
        <w:rPr>
          <w:rFonts w:ascii="Arial" w:hAnsi="Arial" w:cs="Arial"/>
        </w:rPr>
      </w:pPr>
      <w:r w:rsidRPr="004370C6">
        <w:rPr>
          <w:rFonts w:ascii="Arial" w:hAnsi="Arial" w:cs="Arial"/>
        </w:rPr>
        <w:t>Amendment C335 to address administrative errors and undertake fix ups in the planning scheme was adopted by Council on the 16 December 2025.</w:t>
      </w:r>
    </w:p>
    <w:p w14:paraId="2328F309" w14:textId="0C9C250C" w:rsidR="51AFD8CC" w:rsidRPr="004370C6" w:rsidRDefault="51AFD8CC" w:rsidP="51AFD8CC">
      <w:pPr>
        <w:rPr>
          <w:rFonts w:ascii="Arial" w:eastAsia="Aptos" w:hAnsi="Arial" w:cs="Arial"/>
        </w:rPr>
      </w:pPr>
    </w:p>
    <w:p w14:paraId="69FCEF54" w14:textId="587E17CC" w:rsidR="23E89733" w:rsidRPr="004370C6" w:rsidRDefault="23E89733" w:rsidP="00DD10FF">
      <w:pPr>
        <w:pStyle w:val="Heading4"/>
        <w:rPr>
          <w:rFonts w:ascii="Arial" w:hAnsi="Arial" w:cs="Arial"/>
          <w:color w:val="auto"/>
        </w:rPr>
      </w:pPr>
      <w:bookmarkStart w:id="42" w:name="_Toc224732172"/>
      <w:r w:rsidRPr="004370C6">
        <w:rPr>
          <w:rFonts w:ascii="Arial" w:hAnsi="Arial" w:cs="Arial"/>
          <w:color w:val="auto"/>
        </w:rPr>
        <w:t>Local-Area</w:t>
      </w:r>
      <w:bookmarkEnd w:id="42"/>
      <w:r w:rsidRPr="004370C6">
        <w:rPr>
          <w:rFonts w:ascii="Arial" w:hAnsi="Arial" w:cs="Arial"/>
          <w:color w:val="auto"/>
        </w:rPr>
        <w:t xml:space="preserve"> </w:t>
      </w:r>
    </w:p>
    <w:p w14:paraId="7D567D02" w14:textId="70D7C439" w:rsidR="23E89733" w:rsidRPr="004370C6" w:rsidRDefault="23E89733" w:rsidP="00CE5D51">
      <w:pPr>
        <w:rPr>
          <w:rFonts w:ascii="Arial" w:hAnsi="Arial" w:cs="Arial"/>
        </w:rPr>
      </w:pPr>
      <w:r w:rsidRPr="004370C6">
        <w:rPr>
          <w:rFonts w:ascii="Arial" w:hAnsi="Arial" w:cs="Arial"/>
        </w:rPr>
        <w:t>On 14 October 2025, Council considered submissions received during the exhibition of Amendment C271 Fitzroy and Collingwood built form provisions. Council requested that the Amendment and all submissions be referred to a Standing Advisory Committee for a public hearing. Exact timing will be communicated with submitters directly and via the website, once confirmed.</w:t>
      </w:r>
    </w:p>
    <w:p w14:paraId="333C14C7" w14:textId="4EEE65D3" w:rsidR="23E89733" w:rsidRPr="004370C6" w:rsidRDefault="23E89733" w:rsidP="00CE5D51">
      <w:pPr>
        <w:rPr>
          <w:rFonts w:ascii="Arial" w:hAnsi="Arial" w:cs="Arial"/>
        </w:rPr>
      </w:pPr>
      <w:r w:rsidRPr="004370C6">
        <w:rPr>
          <w:rFonts w:ascii="Arial" w:hAnsi="Arial" w:cs="Arial"/>
        </w:rPr>
        <w:t xml:space="preserve">Amendment C318 Cremorne permanent built form provisions and the Urban Design Framework was publicly exhibited from 3 November to 8 December 2025. Officers are summarising and analysing the submissions. A report is scheduled to be presented to Council in the quarter </w:t>
      </w:r>
      <w:r w:rsidR="004F1147" w:rsidRPr="004370C6">
        <w:rPr>
          <w:rFonts w:ascii="Arial" w:hAnsi="Arial" w:cs="Arial"/>
        </w:rPr>
        <w:t xml:space="preserve">four </w:t>
      </w:r>
      <w:r w:rsidRPr="004370C6">
        <w:rPr>
          <w:rFonts w:ascii="Arial" w:hAnsi="Arial" w:cs="Arial"/>
        </w:rPr>
        <w:t>of 202</w:t>
      </w:r>
      <w:r w:rsidR="00EB434D" w:rsidRPr="004370C6">
        <w:rPr>
          <w:rFonts w:ascii="Arial" w:hAnsi="Arial" w:cs="Arial"/>
        </w:rPr>
        <w:t>5/2</w:t>
      </w:r>
      <w:r w:rsidRPr="004370C6">
        <w:rPr>
          <w:rFonts w:ascii="Arial" w:hAnsi="Arial" w:cs="Arial"/>
        </w:rPr>
        <w:t>6. Exact timing will be communicated with submitters directly and via the website once confirmed.</w:t>
      </w:r>
    </w:p>
    <w:p w14:paraId="7FC9E7F4" w14:textId="7685BBAC" w:rsidR="00CE5D51" w:rsidRPr="004370C6" w:rsidRDefault="23E89733" w:rsidP="00CE5D51">
      <w:pPr>
        <w:rPr>
          <w:rFonts w:ascii="Arial" w:hAnsi="Arial" w:cs="Arial"/>
        </w:rPr>
      </w:pPr>
      <w:r w:rsidRPr="004370C6">
        <w:rPr>
          <w:rFonts w:ascii="Arial" w:hAnsi="Arial" w:cs="Arial"/>
        </w:rPr>
        <w:t>Amendment C291 Bridge Road and Victoria Street built form provisions is with the Minister for Planning for consideration of final approval since August 2022. Officers continue to enquire about progress.</w:t>
      </w:r>
    </w:p>
    <w:p w14:paraId="037D9BD7" w14:textId="77777777" w:rsidR="00CE5D51" w:rsidRPr="004370C6" w:rsidRDefault="00CE5D51">
      <w:pPr>
        <w:rPr>
          <w:rFonts w:ascii="Arial" w:hAnsi="Arial" w:cs="Arial"/>
        </w:rPr>
      </w:pPr>
      <w:r w:rsidRPr="004370C6">
        <w:rPr>
          <w:rFonts w:ascii="Arial" w:hAnsi="Arial" w:cs="Arial"/>
        </w:rPr>
        <w:br w:type="page"/>
      </w:r>
    </w:p>
    <w:p w14:paraId="299D70DA" w14:textId="0AFD8C80" w:rsidR="00CC1FAF" w:rsidRPr="004370C6" w:rsidRDefault="00CC1FAF" w:rsidP="00DD10FF">
      <w:pPr>
        <w:pStyle w:val="Heading3"/>
        <w:rPr>
          <w:rFonts w:ascii="Arial" w:hAnsi="Arial" w:cs="Arial"/>
          <w:color w:val="auto"/>
        </w:rPr>
      </w:pPr>
      <w:bookmarkStart w:id="43" w:name="_Toc224732173"/>
      <w:r w:rsidRPr="004370C6">
        <w:rPr>
          <w:rFonts w:ascii="Arial" w:hAnsi="Arial" w:cs="Arial"/>
          <w:color w:val="auto"/>
        </w:rPr>
        <w:lastRenderedPageBreak/>
        <w:t xml:space="preserve">Statutory Planning </w:t>
      </w:r>
      <w:r w:rsidR="008D3A0F" w:rsidRPr="004370C6">
        <w:rPr>
          <w:rFonts w:ascii="Arial" w:hAnsi="Arial" w:cs="Arial"/>
          <w:color w:val="auto"/>
        </w:rPr>
        <w:t>A</w:t>
      </w:r>
      <w:r w:rsidRPr="004370C6">
        <w:rPr>
          <w:rFonts w:ascii="Arial" w:hAnsi="Arial" w:cs="Arial"/>
          <w:color w:val="auto"/>
        </w:rPr>
        <w:t>ctivity</w:t>
      </w:r>
      <w:bookmarkEnd w:id="43"/>
    </w:p>
    <w:p w14:paraId="5D12E0A0" w14:textId="24F9A56B" w:rsidR="4D688FBE" w:rsidRPr="004370C6" w:rsidRDefault="4D688FBE" w:rsidP="00CE5D51">
      <w:pPr>
        <w:rPr>
          <w:rFonts w:ascii="Arial" w:hAnsi="Arial" w:cs="Arial"/>
        </w:rPr>
      </w:pPr>
      <w:r w:rsidRPr="004370C6">
        <w:rPr>
          <w:rFonts w:ascii="Arial" w:hAnsi="Arial" w:cs="Arial"/>
        </w:rPr>
        <w:t>During quarter 2, Council received 317 applications and determined 306 (some of these were lodged in previous periods).</w:t>
      </w:r>
    </w:p>
    <w:p w14:paraId="21EFE366" w14:textId="13FE96EC" w:rsidR="4D688FBE" w:rsidRPr="004370C6" w:rsidRDefault="4D688FBE" w:rsidP="51AFD8CC">
      <w:pPr>
        <w:spacing w:before="240" w:after="240"/>
        <w:rPr>
          <w:rFonts w:ascii="Arial" w:eastAsia="Aptos" w:hAnsi="Arial" w:cs="Arial"/>
        </w:rPr>
      </w:pPr>
      <w:r w:rsidRPr="004370C6">
        <w:rPr>
          <w:rFonts w:ascii="Arial" w:hAnsi="Arial" w:cs="Arial"/>
          <w:noProof/>
        </w:rPr>
        <w:drawing>
          <wp:inline distT="0" distB="0" distL="0" distR="0" wp14:anchorId="0712773D" wp14:editId="3A35D190">
            <wp:extent cx="5476875" cy="3238500"/>
            <wp:effectExtent l="0" t="0" r="0" b="0"/>
            <wp:docPr id="1471279591" name="drawing" descr="Bar chart comparing applications received and determined on October 25, November 25, and December 25. Blue bars represent applications received, peaking at 122 on October 25, while orange bars show applications determined, increasing to 125 on December 25.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79591" name="drawing" descr="Bar chart comparing applications received and determined on October 25, November 25, and December 25. Blue bars represent applications received, peaking at 122 on October 25, while orange bars show applications determined, increasing to 125 on December 25. &#10;&#10;">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a:ext>
                      </a:extLst>
                    </a:blip>
                    <a:stretch>
                      <a:fillRect/>
                    </a:stretch>
                  </pic:blipFill>
                  <pic:spPr>
                    <a:xfrm>
                      <a:off x="0" y="0"/>
                      <a:ext cx="5476875" cy="3238500"/>
                    </a:xfrm>
                    <a:prstGeom prst="rect">
                      <a:avLst/>
                    </a:prstGeom>
                  </pic:spPr>
                </pic:pic>
              </a:graphicData>
            </a:graphic>
          </wp:inline>
        </w:drawing>
      </w:r>
    </w:p>
    <w:p w14:paraId="43B50AEF" w14:textId="77777777" w:rsidR="00F65672" w:rsidRPr="004370C6" w:rsidRDefault="00F65672" w:rsidP="51AFD8CC">
      <w:pPr>
        <w:spacing w:before="240" w:after="240" w:line="278" w:lineRule="auto"/>
        <w:rPr>
          <w:rFonts w:ascii="Arial" w:eastAsia="Aptos" w:hAnsi="Arial" w:cs="Arial"/>
        </w:rPr>
      </w:pPr>
    </w:p>
    <w:p w14:paraId="7EAD8F5F" w14:textId="62818650" w:rsidR="00F65672" w:rsidRPr="004370C6" w:rsidRDefault="003A767D" w:rsidP="51AFD8CC">
      <w:pPr>
        <w:spacing w:before="240" w:after="240" w:line="278" w:lineRule="auto"/>
        <w:rPr>
          <w:rFonts w:ascii="Arial" w:eastAsia="Aptos" w:hAnsi="Arial" w:cs="Arial"/>
        </w:rPr>
      </w:pPr>
      <w:r w:rsidRPr="004370C6">
        <w:rPr>
          <w:rFonts w:ascii="Arial" w:eastAsia="Aptos" w:hAnsi="Arial" w:cs="Arial"/>
          <w:noProof/>
        </w:rPr>
        <w:drawing>
          <wp:inline distT="0" distB="0" distL="0" distR="0" wp14:anchorId="1E0A9D55" wp14:editId="379D02F0">
            <wp:extent cx="3226105" cy="2304543"/>
            <wp:effectExtent l="0" t="0" r="12700" b="635"/>
            <wp:docPr id="1245347520" name="Chart 1" descr="Year to date expenses showing Budget and Actual figures.">
              <a:extLst xmlns:a="http://schemas.openxmlformats.org/drawingml/2006/main">
                <a:ext uri="{FF2B5EF4-FFF2-40B4-BE49-F238E27FC236}">
                  <a16:creationId xmlns:a16="http://schemas.microsoft.com/office/drawing/2014/main" id="{989F6A6F-D80E-4A48-8AA1-0703BDCE6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285FBC" w14:textId="77777777" w:rsidR="00B17716" w:rsidRPr="004370C6" w:rsidRDefault="00B17716">
      <w:pPr>
        <w:rPr>
          <w:rFonts w:ascii="Arial" w:eastAsiaTheme="majorEastAsia" w:hAnsi="Arial" w:cs="Arial"/>
          <w:i/>
          <w:iCs/>
        </w:rPr>
      </w:pPr>
      <w:r w:rsidRPr="004370C6">
        <w:rPr>
          <w:rFonts w:ascii="Arial" w:hAnsi="Arial" w:cs="Arial"/>
        </w:rPr>
        <w:br w:type="page"/>
      </w:r>
    </w:p>
    <w:p w14:paraId="03B5CCE3" w14:textId="1160B5BA" w:rsidR="4D688FBE" w:rsidRPr="004370C6" w:rsidRDefault="4D688FBE" w:rsidP="00DD10FF">
      <w:pPr>
        <w:pStyle w:val="Heading4"/>
        <w:rPr>
          <w:rFonts w:ascii="Arial" w:hAnsi="Arial" w:cs="Arial"/>
          <w:color w:val="auto"/>
        </w:rPr>
      </w:pPr>
      <w:bookmarkStart w:id="44" w:name="_Toc224732174"/>
      <w:r w:rsidRPr="004370C6">
        <w:rPr>
          <w:rFonts w:ascii="Arial" w:hAnsi="Arial" w:cs="Arial"/>
          <w:color w:val="auto"/>
        </w:rPr>
        <w:lastRenderedPageBreak/>
        <w:t>Timeframes</w:t>
      </w:r>
      <w:bookmarkEnd w:id="44"/>
      <w:r w:rsidRPr="004370C6">
        <w:rPr>
          <w:rFonts w:ascii="Arial" w:hAnsi="Arial" w:cs="Arial"/>
          <w:color w:val="auto"/>
        </w:rPr>
        <w:t xml:space="preserve"> </w:t>
      </w:r>
    </w:p>
    <w:p w14:paraId="66664411" w14:textId="12A1F4CE" w:rsidR="4D688FBE" w:rsidRPr="004370C6" w:rsidRDefault="4D688FBE" w:rsidP="00CE5D51">
      <w:pPr>
        <w:rPr>
          <w:rFonts w:ascii="Arial" w:hAnsi="Arial" w:cs="Arial"/>
        </w:rPr>
      </w:pPr>
      <w:r w:rsidRPr="004370C6">
        <w:rPr>
          <w:rFonts w:ascii="Arial" w:hAnsi="Arial" w:cs="Arial"/>
        </w:rPr>
        <w:t xml:space="preserve">Council has two types of applications: </w:t>
      </w:r>
    </w:p>
    <w:p w14:paraId="091AEBA5" w14:textId="3BA0D11D" w:rsidR="4D688FBE" w:rsidRPr="004370C6" w:rsidRDefault="4D688FBE" w:rsidP="00CE5D51">
      <w:pPr>
        <w:rPr>
          <w:rFonts w:ascii="Arial" w:hAnsi="Arial" w:cs="Arial"/>
        </w:rPr>
      </w:pPr>
      <w:r w:rsidRPr="004370C6">
        <w:rPr>
          <w:rFonts w:ascii="Arial" w:hAnsi="Arial" w:cs="Arial"/>
        </w:rPr>
        <w:t xml:space="preserve"> Standard applications – 60 day statutory timeframe (inclusive of weekends and public holidays)</w:t>
      </w:r>
    </w:p>
    <w:p w14:paraId="43B2603D" w14:textId="7879F5FE" w:rsidR="4D688FBE" w:rsidRPr="004370C6" w:rsidRDefault="4D688FBE" w:rsidP="00CE5D51">
      <w:pPr>
        <w:rPr>
          <w:rFonts w:ascii="Arial" w:hAnsi="Arial" w:cs="Arial"/>
        </w:rPr>
      </w:pPr>
      <w:r w:rsidRPr="004370C6">
        <w:rPr>
          <w:rFonts w:ascii="Arial" w:hAnsi="Arial" w:cs="Arial"/>
        </w:rPr>
        <w:t xml:space="preserve">VicSmart applications – 10 business day timeframe </w:t>
      </w:r>
    </w:p>
    <w:p w14:paraId="5BE3460E" w14:textId="7183BCAC" w:rsidR="4D688FBE" w:rsidRPr="004370C6" w:rsidRDefault="4D688FBE" w:rsidP="00CE5D51">
      <w:pPr>
        <w:rPr>
          <w:rFonts w:ascii="Arial" w:hAnsi="Arial" w:cs="Arial"/>
        </w:rPr>
      </w:pPr>
      <w:r w:rsidRPr="004370C6">
        <w:rPr>
          <w:rFonts w:ascii="Arial" w:hAnsi="Arial" w:cs="Arial"/>
        </w:rPr>
        <w:t xml:space="preserve">During </w:t>
      </w:r>
      <w:r w:rsidR="002F282F" w:rsidRPr="004370C6">
        <w:rPr>
          <w:rFonts w:ascii="Arial" w:hAnsi="Arial" w:cs="Arial"/>
        </w:rPr>
        <w:t>q</w:t>
      </w:r>
      <w:r w:rsidRPr="004370C6">
        <w:rPr>
          <w:rFonts w:ascii="Arial" w:hAnsi="Arial" w:cs="Arial"/>
        </w:rPr>
        <w:t>uarter 2, Council determined 37.70% of its Standard applications within the 60-day timeframe and 70.37% of its VicSmart applications within the 10 business day timeframe.</w:t>
      </w:r>
    </w:p>
    <w:p w14:paraId="3E1AEBBB" w14:textId="77777777" w:rsidR="00A0019D" w:rsidRPr="004370C6" w:rsidRDefault="00A0019D" w:rsidP="00B45302">
      <w:pPr>
        <w:rPr>
          <w:rFonts w:ascii="Arial" w:hAnsi="Arial" w:cs="Arial"/>
        </w:rPr>
      </w:pPr>
      <w:r w:rsidRPr="004370C6">
        <w:rPr>
          <w:rFonts w:ascii="Arial" w:hAnsi="Arial" w:cs="Arial"/>
        </w:rPr>
        <w:t>VicSmart Applications:</w:t>
      </w:r>
    </w:p>
    <w:p w14:paraId="29D23795" w14:textId="77777777" w:rsidR="00A0019D" w:rsidRPr="004370C6" w:rsidRDefault="00A0019D" w:rsidP="00E4643C">
      <w:pPr>
        <w:pStyle w:val="ListParagraph"/>
        <w:numPr>
          <w:ilvl w:val="0"/>
          <w:numId w:val="10"/>
        </w:numPr>
        <w:rPr>
          <w:rFonts w:ascii="Arial" w:hAnsi="Arial" w:cs="Arial"/>
        </w:rPr>
      </w:pPr>
      <w:r w:rsidRPr="004370C6">
        <w:rPr>
          <w:rFonts w:ascii="Arial" w:hAnsi="Arial" w:cs="Arial"/>
        </w:rPr>
        <w:t>Oct – 84.62%</w:t>
      </w:r>
    </w:p>
    <w:p w14:paraId="00AB1005" w14:textId="77777777" w:rsidR="00A0019D" w:rsidRPr="004370C6" w:rsidRDefault="00A0019D" w:rsidP="00E4643C">
      <w:pPr>
        <w:pStyle w:val="ListParagraph"/>
        <w:numPr>
          <w:ilvl w:val="0"/>
          <w:numId w:val="10"/>
        </w:numPr>
        <w:rPr>
          <w:rFonts w:ascii="Arial" w:hAnsi="Arial" w:cs="Arial"/>
        </w:rPr>
      </w:pPr>
      <w:r w:rsidRPr="004370C6">
        <w:rPr>
          <w:rFonts w:ascii="Arial" w:hAnsi="Arial" w:cs="Arial"/>
        </w:rPr>
        <w:t>Nov – 66.67%</w:t>
      </w:r>
    </w:p>
    <w:p w14:paraId="3D924ED5" w14:textId="77777777" w:rsidR="00A0019D" w:rsidRPr="004370C6" w:rsidRDefault="00A0019D" w:rsidP="00E4643C">
      <w:pPr>
        <w:pStyle w:val="ListParagraph"/>
        <w:numPr>
          <w:ilvl w:val="0"/>
          <w:numId w:val="10"/>
        </w:numPr>
        <w:rPr>
          <w:rFonts w:ascii="Arial" w:hAnsi="Arial" w:cs="Arial"/>
        </w:rPr>
      </w:pPr>
      <w:r w:rsidRPr="004370C6">
        <w:rPr>
          <w:rFonts w:ascii="Arial" w:hAnsi="Arial" w:cs="Arial"/>
        </w:rPr>
        <w:t>Dec – 65%</w:t>
      </w:r>
    </w:p>
    <w:p w14:paraId="30E71201" w14:textId="77777777" w:rsidR="00A0019D" w:rsidRPr="004370C6" w:rsidRDefault="00A0019D" w:rsidP="00B45302">
      <w:pPr>
        <w:rPr>
          <w:rFonts w:ascii="Arial" w:hAnsi="Arial" w:cs="Arial"/>
        </w:rPr>
      </w:pPr>
      <w:r w:rsidRPr="004370C6">
        <w:rPr>
          <w:rFonts w:ascii="Arial" w:hAnsi="Arial" w:cs="Arial"/>
        </w:rPr>
        <w:t>Standard Applications:</w:t>
      </w:r>
    </w:p>
    <w:p w14:paraId="2BAA8063" w14:textId="77777777" w:rsidR="00A0019D" w:rsidRPr="004370C6" w:rsidRDefault="00A0019D" w:rsidP="00E4643C">
      <w:pPr>
        <w:pStyle w:val="ListParagraph"/>
        <w:numPr>
          <w:ilvl w:val="0"/>
          <w:numId w:val="11"/>
        </w:numPr>
        <w:rPr>
          <w:rFonts w:ascii="Arial" w:hAnsi="Arial" w:cs="Arial"/>
        </w:rPr>
      </w:pPr>
      <w:r w:rsidRPr="004370C6">
        <w:rPr>
          <w:rFonts w:ascii="Arial" w:hAnsi="Arial" w:cs="Arial"/>
        </w:rPr>
        <w:t>Oct – 47.5%</w:t>
      </w:r>
    </w:p>
    <w:p w14:paraId="470C2F81" w14:textId="77777777" w:rsidR="00A0019D" w:rsidRPr="004370C6" w:rsidRDefault="00A0019D" w:rsidP="00E4643C">
      <w:pPr>
        <w:pStyle w:val="ListParagraph"/>
        <w:numPr>
          <w:ilvl w:val="0"/>
          <w:numId w:val="11"/>
        </w:numPr>
        <w:rPr>
          <w:rFonts w:ascii="Arial" w:hAnsi="Arial" w:cs="Arial"/>
        </w:rPr>
      </w:pPr>
      <w:r w:rsidRPr="004370C6">
        <w:rPr>
          <w:rFonts w:ascii="Arial" w:hAnsi="Arial" w:cs="Arial"/>
        </w:rPr>
        <w:t>Nov – 35.82%</w:t>
      </w:r>
    </w:p>
    <w:p w14:paraId="67442F08" w14:textId="242DCD4B" w:rsidR="4D688FBE" w:rsidRPr="004370C6" w:rsidRDefault="00A0019D" w:rsidP="00E4643C">
      <w:pPr>
        <w:pStyle w:val="ListParagraph"/>
        <w:numPr>
          <w:ilvl w:val="0"/>
          <w:numId w:val="11"/>
        </w:numPr>
        <w:rPr>
          <w:rFonts w:ascii="Arial" w:hAnsi="Arial" w:cs="Arial"/>
        </w:rPr>
      </w:pPr>
      <w:r w:rsidRPr="004370C6">
        <w:rPr>
          <w:rFonts w:ascii="Arial" w:hAnsi="Arial" w:cs="Arial"/>
        </w:rPr>
        <w:t>Dec – 31.43%</w:t>
      </w:r>
    </w:p>
    <w:p w14:paraId="04EE1584" w14:textId="77777777" w:rsidR="00B17716" w:rsidRPr="004370C6" w:rsidRDefault="00B17716">
      <w:pPr>
        <w:rPr>
          <w:rFonts w:ascii="Arial" w:eastAsiaTheme="majorEastAsia" w:hAnsi="Arial" w:cs="Arial"/>
          <w:sz w:val="28"/>
          <w:szCs w:val="28"/>
        </w:rPr>
      </w:pPr>
      <w:r w:rsidRPr="004370C6">
        <w:rPr>
          <w:rFonts w:ascii="Arial" w:hAnsi="Arial" w:cs="Arial"/>
        </w:rPr>
        <w:br w:type="page"/>
      </w:r>
    </w:p>
    <w:p w14:paraId="73C8A818" w14:textId="38E35985" w:rsidR="00CC1FAF" w:rsidRPr="004370C6" w:rsidRDefault="001F2AAC" w:rsidP="00DD10FF">
      <w:pPr>
        <w:pStyle w:val="Heading3"/>
        <w:rPr>
          <w:rFonts w:ascii="Arial" w:hAnsi="Arial" w:cs="Arial"/>
          <w:color w:val="auto"/>
        </w:rPr>
      </w:pPr>
      <w:bookmarkStart w:id="45" w:name="_Toc224732175"/>
      <w:r w:rsidRPr="004370C6">
        <w:rPr>
          <w:rFonts w:ascii="Arial" w:hAnsi="Arial" w:cs="Arial"/>
          <w:color w:val="auto"/>
        </w:rPr>
        <w:lastRenderedPageBreak/>
        <w:t xml:space="preserve">Statutory </w:t>
      </w:r>
      <w:r w:rsidR="009C27BB" w:rsidRPr="004370C6">
        <w:rPr>
          <w:rFonts w:ascii="Arial" w:hAnsi="Arial" w:cs="Arial"/>
          <w:color w:val="auto"/>
        </w:rPr>
        <w:t>Planning</w:t>
      </w:r>
      <w:r w:rsidR="00CD76CE" w:rsidRPr="004370C6">
        <w:rPr>
          <w:rFonts w:ascii="Arial" w:hAnsi="Arial" w:cs="Arial"/>
          <w:color w:val="auto"/>
        </w:rPr>
        <w:t xml:space="preserve"> </w:t>
      </w:r>
      <w:r w:rsidR="00313FC1" w:rsidRPr="004370C6">
        <w:rPr>
          <w:rFonts w:ascii="Arial" w:hAnsi="Arial" w:cs="Arial"/>
          <w:color w:val="auto"/>
        </w:rPr>
        <w:t>–</w:t>
      </w:r>
      <w:r w:rsidR="009C27BB" w:rsidRPr="004370C6">
        <w:rPr>
          <w:rFonts w:ascii="Arial" w:hAnsi="Arial" w:cs="Arial"/>
          <w:color w:val="auto"/>
        </w:rPr>
        <w:t xml:space="preserve"> exp</w:t>
      </w:r>
      <w:r w:rsidR="00313FC1" w:rsidRPr="004370C6">
        <w:rPr>
          <w:rFonts w:ascii="Arial" w:hAnsi="Arial" w:cs="Arial"/>
          <w:color w:val="auto"/>
        </w:rPr>
        <w:t>ired permits</w:t>
      </w:r>
      <w:bookmarkEnd w:id="45"/>
    </w:p>
    <w:p w14:paraId="4682D573" w14:textId="3F9E5A77" w:rsidR="1CC2E31A" w:rsidRPr="004370C6" w:rsidRDefault="1CC2E31A" w:rsidP="00B45302">
      <w:pPr>
        <w:rPr>
          <w:rFonts w:ascii="Arial" w:hAnsi="Arial" w:cs="Arial"/>
        </w:rPr>
      </w:pPr>
      <w:r w:rsidRPr="004370C6">
        <w:rPr>
          <w:rFonts w:ascii="Arial" w:hAnsi="Arial" w:cs="Arial"/>
        </w:rPr>
        <w:t xml:space="preserve">Council has commenced reporting on the number of extensions granted to existing planning permits, as well as on the number of new dwellings that were approved under those planning permits. </w:t>
      </w:r>
    </w:p>
    <w:p w14:paraId="77A1B964" w14:textId="44B38941" w:rsidR="1CC2E31A" w:rsidRPr="004370C6" w:rsidRDefault="1CC2E31A" w:rsidP="00B45302">
      <w:pPr>
        <w:rPr>
          <w:rFonts w:ascii="Arial" w:hAnsi="Arial" w:cs="Arial"/>
        </w:rPr>
      </w:pPr>
      <w:r w:rsidRPr="004370C6">
        <w:rPr>
          <w:rFonts w:ascii="Arial" w:hAnsi="Arial" w:cs="Arial"/>
        </w:rPr>
        <w:t xml:space="preserve">The purpose of sharing this information is to draw attention to the many live planning permits that have not been acted upon to date, which could contribute to housing supply in the City of Yarra. </w:t>
      </w:r>
    </w:p>
    <w:p w14:paraId="50A7986D" w14:textId="36000F23" w:rsidR="1CC2E31A" w:rsidRPr="004370C6" w:rsidRDefault="1CC2E31A" w:rsidP="00B45302">
      <w:pPr>
        <w:rPr>
          <w:rFonts w:ascii="Arial" w:hAnsi="Arial" w:cs="Arial"/>
        </w:rPr>
      </w:pPr>
      <w:r w:rsidRPr="004370C6">
        <w:rPr>
          <w:rFonts w:ascii="Arial" w:hAnsi="Arial" w:cs="Arial"/>
        </w:rPr>
        <w:t>In Q2, Council granted 68 extensions to planning permits (437 new dwellings were approved under the permits extended).</w:t>
      </w:r>
    </w:p>
    <w:p w14:paraId="5DF01A9E" w14:textId="113E8F0D" w:rsidR="00313FC1" w:rsidRPr="004370C6" w:rsidRDefault="00313FC1" w:rsidP="00DD10FF">
      <w:pPr>
        <w:pStyle w:val="Heading3"/>
        <w:rPr>
          <w:rFonts w:ascii="Arial" w:hAnsi="Arial" w:cs="Arial"/>
          <w:color w:val="auto"/>
        </w:rPr>
      </w:pPr>
      <w:bookmarkStart w:id="46" w:name="_Toc224732176"/>
      <w:r w:rsidRPr="004370C6">
        <w:rPr>
          <w:rFonts w:ascii="Arial" w:hAnsi="Arial" w:cs="Arial"/>
          <w:color w:val="auto"/>
        </w:rPr>
        <w:t>Statutory Planning – VCAT Activity</w:t>
      </w:r>
      <w:bookmarkEnd w:id="46"/>
    </w:p>
    <w:p w14:paraId="2E9AA478" w14:textId="7C8A6FA3" w:rsidR="4B59E579" w:rsidRPr="004370C6" w:rsidRDefault="4B59E579" w:rsidP="00DD10FF">
      <w:pPr>
        <w:pStyle w:val="Heading4"/>
        <w:rPr>
          <w:rFonts w:ascii="Arial" w:eastAsia="Aptos" w:hAnsi="Arial" w:cs="Arial"/>
          <w:color w:val="auto"/>
        </w:rPr>
      </w:pPr>
      <w:bookmarkStart w:id="47" w:name="_Toc224732177"/>
      <w:r w:rsidRPr="004370C6">
        <w:rPr>
          <w:rFonts w:ascii="Arial" w:hAnsi="Arial" w:cs="Arial"/>
          <w:color w:val="auto"/>
        </w:rPr>
        <w:t xml:space="preserve">Appeals in </w:t>
      </w:r>
      <w:r w:rsidR="00010609" w:rsidRPr="004370C6">
        <w:rPr>
          <w:rFonts w:ascii="Arial" w:hAnsi="Arial" w:cs="Arial"/>
          <w:color w:val="auto"/>
        </w:rPr>
        <w:t>q</w:t>
      </w:r>
      <w:r w:rsidRPr="004370C6">
        <w:rPr>
          <w:rFonts w:ascii="Arial" w:hAnsi="Arial" w:cs="Arial"/>
          <w:color w:val="auto"/>
        </w:rPr>
        <w:t>uarter</w:t>
      </w:r>
      <w:r w:rsidR="00010609" w:rsidRPr="004370C6">
        <w:rPr>
          <w:rFonts w:ascii="Arial" w:hAnsi="Arial" w:cs="Arial"/>
          <w:color w:val="auto"/>
        </w:rPr>
        <w:t xml:space="preserve"> 2</w:t>
      </w:r>
      <w:r w:rsidRPr="004370C6">
        <w:rPr>
          <w:rFonts w:ascii="Arial" w:hAnsi="Arial" w:cs="Arial"/>
          <w:color w:val="auto"/>
        </w:rPr>
        <w:t xml:space="preserve"> of 2025</w:t>
      </w:r>
      <w:r w:rsidR="00C324ED" w:rsidRPr="004370C6">
        <w:rPr>
          <w:rFonts w:ascii="Arial" w:hAnsi="Arial" w:cs="Arial"/>
          <w:color w:val="auto"/>
        </w:rPr>
        <w:t>/</w:t>
      </w:r>
      <w:r w:rsidRPr="004370C6">
        <w:rPr>
          <w:rFonts w:ascii="Arial" w:hAnsi="Arial" w:cs="Arial"/>
          <w:color w:val="auto"/>
        </w:rPr>
        <w:t>2026</w:t>
      </w:r>
      <w:bookmarkEnd w:id="47"/>
    </w:p>
    <w:p w14:paraId="0F6D9AF7" w14:textId="4D47A0C3" w:rsidR="4B59E579" w:rsidRPr="004370C6" w:rsidRDefault="4B59E579" w:rsidP="00B45302">
      <w:pPr>
        <w:rPr>
          <w:rFonts w:ascii="Arial" w:eastAsia="Aptos" w:hAnsi="Arial" w:cs="Arial"/>
        </w:rPr>
      </w:pPr>
      <w:r w:rsidRPr="004370C6">
        <w:rPr>
          <w:rFonts w:ascii="Arial" w:hAnsi="Arial" w:cs="Arial"/>
        </w:rPr>
        <w:t xml:space="preserve">There were seven applications that were reviewed to the Victorian Civil and Administrative Tribunal (VCAT) in the second quarter of 2025-2026, two less than in the first quarter of 2025-2026. </w:t>
      </w:r>
    </w:p>
    <w:p w14:paraId="14C185E4" w14:textId="77777777" w:rsidR="00711BBB" w:rsidRPr="004370C6" w:rsidRDefault="00711BBB" w:rsidP="00B45302">
      <w:pPr>
        <w:rPr>
          <w:rFonts w:ascii="Arial" w:hAnsi="Arial" w:cs="Arial"/>
        </w:rPr>
      </w:pPr>
      <w:r w:rsidRPr="004370C6">
        <w:rPr>
          <w:rFonts w:ascii="Arial" w:hAnsi="Arial" w:cs="Arial"/>
        </w:rPr>
        <w:t>Total number of applications reviewed to VCAT: 7</w:t>
      </w:r>
    </w:p>
    <w:p w14:paraId="52F17926" w14:textId="55C35915" w:rsidR="00711BBB" w:rsidRPr="004370C6" w:rsidRDefault="0066154F" w:rsidP="00E4643C">
      <w:pPr>
        <w:pStyle w:val="ListParagraph"/>
        <w:numPr>
          <w:ilvl w:val="0"/>
          <w:numId w:val="12"/>
        </w:numPr>
        <w:rPr>
          <w:rFonts w:ascii="Arial" w:eastAsia="Aptos" w:hAnsi="Arial" w:cs="Arial"/>
        </w:rPr>
      </w:pPr>
      <w:r w:rsidRPr="004370C6">
        <w:rPr>
          <w:rFonts w:ascii="Arial" w:eastAsia="Aptos" w:hAnsi="Arial" w:cs="Arial"/>
        </w:rPr>
        <w:t>43% against conditions</w:t>
      </w:r>
    </w:p>
    <w:p w14:paraId="3193786C" w14:textId="03A245CD" w:rsidR="0066154F" w:rsidRPr="004370C6" w:rsidRDefault="0066154F" w:rsidP="00E4643C">
      <w:pPr>
        <w:pStyle w:val="ListParagraph"/>
        <w:numPr>
          <w:ilvl w:val="0"/>
          <w:numId w:val="12"/>
        </w:numPr>
        <w:rPr>
          <w:rFonts w:ascii="Arial" w:eastAsia="Aptos" w:hAnsi="Arial" w:cs="Arial"/>
        </w:rPr>
      </w:pPr>
      <w:r w:rsidRPr="004370C6">
        <w:rPr>
          <w:rFonts w:ascii="Arial" w:eastAsia="Aptos" w:hAnsi="Arial" w:cs="Arial"/>
        </w:rPr>
        <w:t>14% against approval</w:t>
      </w:r>
    </w:p>
    <w:p w14:paraId="0F20DD38" w14:textId="3FE02CC3" w:rsidR="0066154F" w:rsidRPr="004370C6" w:rsidRDefault="0066154F" w:rsidP="00E4643C">
      <w:pPr>
        <w:pStyle w:val="ListParagraph"/>
        <w:numPr>
          <w:ilvl w:val="0"/>
          <w:numId w:val="12"/>
        </w:numPr>
        <w:rPr>
          <w:rFonts w:ascii="Arial" w:eastAsia="Aptos" w:hAnsi="Arial" w:cs="Arial"/>
        </w:rPr>
      </w:pPr>
      <w:r w:rsidRPr="004370C6">
        <w:rPr>
          <w:rFonts w:ascii="Arial" w:eastAsia="Aptos" w:hAnsi="Arial" w:cs="Arial"/>
        </w:rPr>
        <w:t>29% against failure</w:t>
      </w:r>
    </w:p>
    <w:p w14:paraId="65EE7730" w14:textId="2B1AD58A" w:rsidR="4B59E579" w:rsidRPr="004370C6" w:rsidRDefault="36E6963F" w:rsidP="00E4643C">
      <w:pPr>
        <w:pStyle w:val="ListParagraph"/>
        <w:numPr>
          <w:ilvl w:val="0"/>
          <w:numId w:val="12"/>
        </w:numPr>
        <w:rPr>
          <w:rFonts w:ascii="Arial" w:eastAsia="Aptos" w:hAnsi="Arial" w:cs="Arial"/>
        </w:rPr>
      </w:pPr>
      <w:r w:rsidRPr="004370C6">
        <w:rPr>
          <w:rFonts w:ascii="Arial" w:eastAsia="Aptos" w:hAnsi="Arial" w:cs="Arial"/>
        </w:rPr>
        <w:t>14% other</w:t>
      </w:r>
    </w:p>
    <w:p w14:paraId="7B350718" w14:textId="326D751C" w:rsidR="4B59E579" w:rsidRPr="004370C6" w:rsidRDefault="4B59E579" w:rsidP="00B45302">
      <w:pPr>
        <w:rPr>
          <w:rFonts w:ascii="Arial" w:hAnsi="Arial" w:cs="Arial"/>
        </w:rPr>
      </w:pPr>
    </w:p>
    <w:p w14:paraId="3693DAFD" w14:textId="2A5556B0" w:rsidR="4B59E579" w:rsidRPr="004370C6" w:rsidRDefault="4B59E579" w:rsidP="00B45302">
      <w:pPr>
        <w:rPr>
          <w:rFonts w:ascii="Arial" w:hAnsi="Arial" w:cs="Arial"/>
        </w:rPr>
      </w:pPr>
      <w:r w:rsidRPr="004370C6">
        <w:rPr>
          <w:rFonts w:ascii="Arial" w:hAnsi="Arial" w:cs="Arial"/>
        </w:rPr>
        <w:t>When comparing the type of applications reviewed with VCAT in the second quarter of 202</w:t>
      </w:r>
      <w:r w:rsidR="00C324ED" w:rsidRPr="004370C6">
        <w:rPr>
          <w:rFonts w:ascii="Arial" w:hAnsi="Arial" w:cs="Arial"/>
        </w:rPr>
        <w:t>5/</w:t>
      </w:r>
      <w:r w:rsidRPr="004370C6">
        <w:rPr>
          <w:rFonts w:ascii="Arial" w:hAnsi="Arial" w:cs="Arial"/>
        </w:rPr>
        <w:t>2026 with the previous quarter, there were:</w:t>
      </w:r>
    </w:p>
    <w:p w14:paraId="06CBB1EE" w14:textId="20340B8E" w:rsidR="4B59E579" w:rsidRPr="004370C6" w:rsidRDefault="4B59E579" w:rsidP="00E4643C">
      <w:pPr>
        <w:pStyle w:val="ListParagraph"/>
        <w:numPr>
          <w:ilvl w:val="0"/>
          <w:numId w:val="13"/>
        </w:numPr>
        <w:rPr>
          <w:rFonts w:ascii="Arial" w:hAnsi="Arial" w:cs="Arial"/>
        </w:rPr>
      </w:pPr>
      <w:r w:rsidRPr="004370C6">
        <w:rPr>
          <w:rFonts w:ascii="Arial" w:hAnsi="Arial" w:cs="Arial"/>
        </w:rPr>
        <w:t>two less applications ‘against approval’;</w:t>
      </w:r>
    </w:p>
    <w:p w14:paraId="7DDA3C99" w14:textId="4E307A7A" w:rsidR="4B59E579" w:rsidRPr="004370C6" w:rsidRDefault="4B59E579" w:rsidP="00E4643C">
      <w:pPr>
        <w:pStyle w:val="ListParagraph"/>
        <w:numPr>
          <w:ilvl w:val="0"/>
          <w:numId w:val="13"/>
        </w:numPr>
        <w:rPr>
          <w:rFonts w:ascii="Arial" w:hAnsi="Arial" w:cs="Arial"/>
        </w:rPr>
      </w:pPr>
      <w:r w:rsidRPr="004370C6">
        <w:rPr>
          <w:rFonts w:ascii="Arial" w:hAnsi="Arial" w:cs="Arial"/>
        </w:rPr>
        <w:t>two less applications ‘against refusal’;</w:t>
      </w:r>
    </w:p>
    <w:p w14:paraId="459497C1" w14:textId="21AFE431" w:rsidR="4B59E579" w:rsidRPr="004370C6" w:rsidRDefault="4B59E579" w:rsidP="00E4643C">
      <w:pPr>
        <w:pStyle w:val="ListParagraph"/>
        <w:numPr>
          <w:ilvl w:val="0"/>
          <w:numId w:val="13"/>
        </w:numPr>
        <w:rPr>
          <w:rFonts w:ascii="Arial" w:hAnsi="Arial" w:cs="Arial"/>
        </w:rPr>
      </w:pPr>
      <w:r w:rsidRPr="004370C6">
        <w:rPr>
          <w:rFonts w:ascii="Arial" w:hAnsi="Arial" w:cs="Arial"/>
        </w:rPr>
        <w:t>on more application ‘against failure’;</w:t>
      </w:r>
    </w:p>
    <w:p w14:paraId="43DA9E39" w14:textId="0DBF9371" w:rsidR="4B59E579" w:rsidRPr="004370C6" w:rsidRDefault="4B59E579" w:rsidP="00E4643C">
      <w:pPr>
        <w:pStyle w:val="ListParagraph"/>
        <w:numPr>
          <w:ilvl w:val="0"/>
          <w:numId w:val="13"/>
        </w:numPr>
        <w:rPr>
          <w:rFonts w:ascii="Arial" w:hAnsi="Arial" w:cs="Arial"/>
        </w:rPr>
      </w:pPr>
      <w:r w:rsidRPr="004370C6">
        <w:rPr>
          <w:rFonts w:ascii="Arial" w:hAnsi="Arial" w:cs="Arial"/>
        </w:rPr>
        <w:t>two more applications ‘against conditions’; and</w:t>
      </w:r>
    </w:p>
    <w:p w14:paraId="03DE046A" w14:textId="532B8630" w:rsidR="4B59E579" w:rsidRPr="004370C6" w:rsidRDefault="4B59E579" w:rsidP="00E4643C">
      <w:pPr>
        <w:pStyle w:val="ListParagraph"/>
        <w:numPr>
          <w:ilvl w:val="0"/>
          <w:numId w:val="13"/>
        </w:numPr>
        <w:rPr>
          <w:rFonts w:ascii="Arial" w:hAnsi="Arial" w:cs="Arial"/>
        </w:rPr>
      </w:pPr>
      <w:r w:rsidRPr="004370C6">
        <w:rPr>
          <w:rFonts w:ascii="Arial" w:hAnsi="Arial" w:cs="Arial"/>
        </w:rPr>
        <w:t>one less application against ‘</w:t>
      </w:r>
      <w:r w:rsidR="00B45302" w:rsidRPr="004370C6">
        <w:rPr>
          <w:rFonts w:ascii="Arial" w:hAnsi="Arial" w:cs="Arial"/>
        </w:rPr>
        <w:t>o</w:t>
      </w:r>
      <w:r w:rsidRPr="004370C6">
        <w:rPr>
          <w:rFonts w:ascii="Arial" w:hAnsi="Arial" w:cs="Arial"/>
        </w:rPr>
        <w:t>ther’.</w:t>
      </w:r>
    </w:p>
    <w:p w14:paraId="1A47D166" w14:textId="77777777" w:rsidR="00B17716" w:rsidRPr="004370C6" w:rsidRDefault="00B17716">
      <w:pPr>
        <w:rPr>
          <w:rFonts w:ascii="Arial" w:eastAsia="Arial" w:hAnsi="Arial" w:cs="Arial"/>
          <w:sz w:val="22"/>
          <w:szCs w:val="22"/>
        </w:rPr>
      </w:pPr>
      <w:r w:rsidRPr="004370C6">
        <w:rPr>
          <w:rFonts w:ascii="Arial" w:eastAsia="Arial" w:hAnsi="Arial" w:cs="Arial"/>
          <w:sz w:val="22"/>
          <w:szCs w:val="22"/>
        </w:rPr>
        <w:br w:type="page"/>
      </w:r>
    </w:p>
    <w:p w14:paraId="67C59AB9" w14:textId="696FFFF6" w:rsidR="4B59E579" w:rsidRPr="004370C6" w:rsidRDefault="4B59E579" w:rsidP="00BC365F">
      <w:pPr>
        <w:rPr>
          <w:rFonts w:ascii="Arial" w:hAnsi="Arial" w:cs="Arial"/>
        </w:rPr>
      </w:pPr>
      <w:r w:rsidRPr="004370C6">
        <w:rPr>
          <w:rFonts w:ascii="Arial" w:hAnsi="Arial" w:cs="Arial"/>
        </w:rPr>
        <w:lastRenderedPageBreak/>
        <w:t>The graph below shows the type of applications determined by VCAT in the second quarter of 2025</w:t>
      </w:r>
      <w:r w:rsidR="000525B5" w:rsidRPr="004370C6">
        <w:rPr>
          <w:rFonts w:ascii="Arial" w:hAnsi="Arial" w:cs="Arial"/>
        </w:rPr>
        <w:t>/</w:t>
      </w:r>
      <w:r w:rsidRPr="004370C6">
        <w:rPr>
          <w:rFonts w:ascii="Arial" w:hAnsi="Arial" w:cs="Arial"/>
        </w:rPr>
        <w:t xml:space="preserve">2026 and whether Council’s decision was affirmed, varied or overturned. A total of 14 decisions were made by the Tribunal, and one application was remitted back to Council. </w:t>
      </w:r>
    </w:p>
    <w:p w14:paraId="30B5DA1D" w14:textId="17484DD6" w:rsidR="4B59E579" w:rsidRPr="004370C6" w:rsidRDefault="4B59E579" w:rsidP="51AFD8CC">
      <w:pPr>
        <w:spacing w:after="0"/>
        <w:rPr>
          <w:rFonts w:ascii="Arial" w:eastAsia="Arial" w:hAnsi="Arial" w:cs="Arial"/>
        </w:rPr>
      </w:pPr>
      <w:r w:rsidRPr="004370C6">
        <w:rPr>
          <w:rFonts w:ascii="Arial" w:hAnsi="Arial" w:cs="Arial"/>
          <w:noProof/>
        </w:rPr>
        <w:drawing>
          <wp:inline distT="0" distB="0" distL="0" distR="0" wp14:anchorId="53BB66BE" wp14:editId="20AEDF74">
            <wp:extent cx="5791200" cy="3476625"/>
            <wp:effectExtent l="0" t="0" r="0" b="0"/>
            <wp:docPr id="1764157326" name="drawing" descr="VCAT decisions in Quarter 2. 4 Against conditions varied Stat department, 2 against failure overturned stat department, 1 against approval affirmed stat department, 3 against approval Varied Stat departement and one other affirmed stat department, one other Varied Stat department and one other overturned stat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57326" name="drawing" descr="VCAT decisions in Quarter 2. 4 Against conditions varied Stat department, 2 against failure overturned stat department, 1 against approval affirmed stat department, 3 against approval Varied Stat departement and one other affirmed stat department, one other Varied Stat department and one other overturned stat department."/>
                    <pic:cNvPicPr/>
                  </pic:nvPicPr>
                  <pic:blipFill>
                    <a:blip r:embed="rId15">
                      <a:extLst>
                        <a:ext uri="{28A0092B-C50C-407E-A947-70E740481C1C}">
                          <a14:useLocalDpi xmlns:a14="http://schemas.microsoft.com/office/drawing/2010/main"/>
                        </a:ext>
                      </a:extLst>
                    </a:blip>
                    <a:stretch>
                      <a:fillRect/>
                    </a:stretch>
                  </pic:blipFill>
                  <pic:spPr>
                    <a:xfrm>
                      <a:off x="0" y="0"/>
                      <a:ext cx="5791200" cy="3476625"/>
                    </a:xfrm>
                    <a:prstGeom prst="rect">
                      <a:avLst/>
                    </a:prstGeom>
                  </pic:spPr>
                </pic:pic>
              </a:graphicData>
            </a:graphic>
          </wp:inline>
        </w:drawing>
      </w:r>
    </w:p>
    <w:p w14:paraId="090CDA61" w14:textId="4E0B0D33" w:rsidR="4B59E579" w:rsidRPr="004370C6" w:rsidRDefault="4B59E579" w:rsidP="00BC365F">
      <w:pPr>
        <w:rPr>
          <w:rFonts w:ascii="Arial" w:hAnsi="Arial" w:cs="Arial"/>
        </w:rPr>
      </w:pPr>
      <w:r w:rsidRPr="004370C6">
        <w:rPr>
          <w:rFonts w:ascii="Arial" w:hAnsi="Arial" w:cs="Arial"/>
        </w:rPr>
        <w:t>Total number of VCAT decisions: 14</w:t>
      </w:r>
    </w:p>
    <w:p w14:paraId="03B4064C" w14:textId="0647E99C" w:rsidR="4B59E579" w:rsidRPr="004370C6" w:rsidRDefault="4B59E579" w:rsidP="00BC365F">
      <w:pPr>
        <w:rPr>
          <w:rFonts w:ascii="Arial" w:hAnsi="Arial" w:cs="Arial"/>
          <w:sz w:val="22"/>
          <w:szCs w:val="22"/>
        </w:rPr>
      </w:pPr>
      <w:r w:rsidRPr="004370C6">
        <w:rPr>
          <w:rFonts w:ascii="Arial" w:hAnsi="Arial" w:cs="Arial"/>
          <w:sz w:val="22"/>
          <w:szCs w:val="22"/>
        </w:rPr>
        <w:t xml:space="preserve"> </w:t>
      </w:r>
    </w:p>
    <w:p w14:paraId="27C7A6D2" w14:textId="762976C8" w:rsidR="4B59E579" w:rsidRPr="004370C6" w:rsidRDefault="4B59E579" w:rsidP="00BC365F">
      <w:pPr>
        <w:rPr>
          <w:rFonts w:ascii="Arial" w:hAnsi="Arial" w:cs="Arial"/>
          <w:sz w:val="22"/>
          <w:szCs w:val="22"/>
        </w:rPr>
      </w:pPr>
      <w:r w:rsidRPr="004370C6">
        <w:rPr>
          <w:rFonts w:ascii="Arial" w:hAnsi="Arial" w:cs="Arial"/>
          <w:sz w:val="22"/>
          <w:szCs w:val="22"/>
        </w:rPr>
        <w:t>Of the 14 VCAT Decisions in Quarter 2 of 2025</w:t>
      </w:r>
      <w:r w:rsidR="000525B5" w:rsidRPr="004370C6">
        <w:rPr>
          <w:rFonts w:ascii="Arial" w:hAnsi="Arial" w:cs="Arial"/>
          <w:sz w:val="22"/>
          <w:szCs w:val="22"/>
        </w:rPr>
        <w:t>/</w:t>
      </w:r>
      <w:r w:rsidRPr="004370C6">
        <w:rPr>
          <w:rFonts w:ascii="Arial" w:hAnsi="Arial" w:cs="Arial"/>
          <w:sz w:val="22"/>
          <w:szCs w:val="22"/>
        </w:rPr>
        <w:t>2026, they were all Statutory Department decisions as follows:</w:t>
      </w:r>
    </w:p>
    <w:p w14:paraId="4854AD48" w14:textId="2E873713" w:rsidR="4B59E579" w:rsidRPr="004370C6" w:rsidRDefault="4B59E579" w:rsidP="00E4643C">
      <w:pPr>
        <w:pStyle w:val="ListParagraph"/>
        <w:numPr>
          <w:ilvl w:val="0"/>
          <w:numId w:val="14"/>
        </w:numPr>
        <w:rPr>
          <w:rFonts w:ascii="Arial" w:hAnsi="Arial" w:cs="Arial"/>
          <w:sz w:val="22"/>
          <w:szCs w:val="22"/>
        </w:rPr>
      </w:pPr>
      <w:r w:rsidRPr="004370C6">
        <w:rPr>
          <w:rFonts w:ascii="Arial" w:hAnsi="Arial" w:cs="Arial"/>
          <w:sz w:val="22"/>
          <w:szCs w:val="22"/>
        </w:rPr>
        <w:t xml:space="preserve">three Statutory Department decisions affirmed; </w:t>
      </w:r>
    </w:p>
    <w:p w14:paraId="49B5F00C" w14:textId="27EC83E9" w:rsidR="4B59E579" w:rsidRPr="004370C6" w:rsidRDefault="4B59E579" w:rsidP="00E4643C">
      <w:pPr>
        <w:pStyle w:val="ListParagraph"/>
        <w:numPr>
          <w:ilvl w:val="0"/>
          <w:numId w:val="14"/>
        </w:numPr>
        <w:rPr>
          <w:rFonts w:ascii="Arial" w:hAnsi="Arial" w:cs="Arial"/>
          <w:sz w:val="22"/>
          <w:szCs w:val="22"/>
        </w:rPr>
      </w:pPr>
      <w:r w:rsidRPr="004370C6">
        <w:rPr>
          <w:rFonts w:ascii="Arial" w:hAnsi="Arial" w:cs="Arial"/>
          <w:sz w:val="22"/>
          <w:szCs w:val="22"/>
        </w:rPr>
        <w:t>eight Statutory Department decisions varied; and</w:t>
      </w:r>
    </w:p>
    <w:p w14:paraId="16200E44" w14:textId="06A5A20A" w:rsidR="4B59E579" w:rsidRPr="004370C6" w:rsidRDefault="4B59E579" w:rsidP="00E4643C">
      <w:pPr>
        <w:pStyle w:val="ListParagraph"/>
        <w:numPr>
          <w:ilvl w:val="0"/>
          <w:numId w:val="14"/>
        </w:numPr>
        <w:rPr>
          <w:rFonts w:ascii="Arial" w:hAnsi="Arial" w:cs="Arial"/>
          <w:sz w:val="22"/>
          <w:szCs w:val="22"/>
        </w:rPr>
      </w:pPr>
      <w:r w:rsidRPr="004370C6">
        <w:rPr>
          <w:rFonts w:ascii="Arial" w:hAnsi="Arial" w:cs="Arial"/>
          <w:sz w:val="22"/>
          <w:szCs w:val="22"/>
        </w:rPr>
        <w:t xml:space="preserve">three Statutory Department decisions overturned. </w:t>
      </w:r>
    </w:p>
    <w:p w14:paraId="5AA2D4AB" w14:textId="77777777" w:rsidR="00B17716" w:rsidRPr="004370C6" w:rsidRDefault="4B59E579" w:rsidP="00B17716">
      <w:pPr>
        <w:tabs>
          <w:tab w:val="left" w:pos="720"/>
        </w:tabs>
        <w:spacing w:after="120"/>
        <w:ind w:left="567"/>
        <w:rPr>
          <w:rFonts w:ascii="Arial" w:eastAsia="Arial" w:hAnsi="Arial" w:cs="Arial"/>
          <w:sz w:val="22"/>
          <w:szCs w:val="22"/>
        </w:rPr>
      </w:pPr>
      <w:r w:rsidRPr="004370C6">
        <w:rPr>
          <w:rFonts w:ascii="Arial" w:eastAsia="Arial" w:hAnsi="Arial" w:cs="Arial"/>
          <w:sz w:val="22"/>
          <w:szCs w:val="22"/>
        </w:rPr>
        <w:t xml:space="preserve"> </w:t>
      </w:r>
    </w:p>
    <w:p w14:paraId="3CABBEF3" w14:textId="77777777" w:rsidR="00B17716" w:rsidRPr="004370C6" w:rsidRDefault="00B17716">
      <w:pPr>
        <w:rPr>
          <w:rFonts w:ascii="Arial" w:eastAsia="Arial" w:hAnsi="Arial" w:cs="Arial"/>
          <w:sz w:val="22"/>
          <w:szCs w:val="22"/>
        </w:rPr>
      </w:pPr>
      <w:r w:rsidRPr="004370C6">
        <w:rPr>
          <w:rFonts w:ascii="Arial" w:eastAsia="Arial" w:hAnsi="Arial" w:cs="Arial"/>
          <w:sz w:val="22"/>
          <w:szCs w:val="22"/>
        </w:rPr>
        <w:br w:type="page"/>
      </w:r>
    </w:p>
    <w:p w14:paraId="31266178" w14:textId="33C58C7F" w:rsidR="4B59E579" w:rsidRPr="004370C6" w:rsidRDefault="4B59E579" w:rsidP="00B17716">
      <w:pPr>
        <w:tabs>
          <w:tab w:val="left" w:pos="720"/>
        </w:tabs>
        <w:spacing w:after="120"/>
        <w:ind w:left="567"/>
        <w:rPr>
          <w:rFonts w:ascii="Arial" w:eastAsia="Arial" w:hAnsi="Arial" w:cs="Arial"/>
          <w:sz w:val="22"/>
          <w:szCs w:val="22"/>
        </w:rPr>
      </w:pPr>
      <w:r w:rsidRPr="004370C6">
        <w:rPr>
          <w:rFonts w:ascii="Arial" w:hAnsi="Arial" w:cs="Arial"/>
        </w:rPr>
        <w:lastRenderedPageBreak/>
        <w:t>The graph below shows whether the VCAT decisions were via the consent of the parties</w:t>
      </w:r>
      <w:r w:rsidRPr="004370C6">
        <w:rPr>
          <w:rFonts w:ascii="Arial" w:eastAsia="Arial" w:hAnsi="Arial" w:cs="Arial"/>
          <w:sz w:val="22"/>
          <w:szCs w:val="22"/>
        </w:rPr>
        <w:t xml:space="preserve">. </w:t>
      </w:r>
    </w:p>
    <w:p w14:paraId="79139383" w14:textId="1F1FF4A6" w:rsidR="4B59E579" w:rsidRPr="004370C6" w:rsidRDefault="4B59E579" w:rsidP="51AFD8CC">
      <w:pPr>
        <w:tabs>
          <w:tab w:val="left" w:pos="720"/>
        </w:tabs>
        <w:spacing w:after="120"/>
        <w:rPr>
          <w:rFonts w:ascii="Arial" w:eastAsia="Arial" w:hAnsi="Arial" w:cs="Arial"/>
        </w:rPr>
      </w:pPr>
      <w:r w:rsidRPr="004370C6">
        <w:rPr>
          <w:rFonts w:ascii="Arial" w:hAnsi="Arial" w:cs="Arial"/>
          <w:noProof/>
        </w:rPr>
        <w:drawing>
          <wp:inline distT="0" distB="0" distL="0" distR="0" wp14:anchorId="78912339" wp14:editId="5F648EF4">
            <wp:extent cx="5724525" cy="3438525"/>
            <wp:effectExtent l="0" t="0" r="0" b="0"/>
            <wp:docPr id="250636996" name="drawing" descr="VCAT decisions in quart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36996" name="drawing" descr="VCAT decisions in quarter 2 "/>
                    <pic:cNvPicPr/>
                  </pic:nvPicPr>
                  <pic:blipFill>
                    <a:blip r:embed="rId16">
                      <a:extLst>
                        <a:ext uri="{28A0092B-C50C-407E-A947-70E740481C1C}">
                          <a14:useLocalDpi xmlns:a14="http://schemas.microsoft.com/office/drawing/2010/main"/>
                        </a:ext>
                      </a:extLst>
                    </a:blip>
                    <a:stretch>
                      <a:fillRect/>
                    </a:stretch>
                  </pic:blipFill>
                  <pic:spPr>
                    <a:xfrm>
                      <a:off x="0" y="0"/>
                      <a:ext cx="5724525" cy="3438525"/>
                    </a:xfrm>
                    <a:prstGeom prst="rect">
                      <a:avLst/>
                    </a:prstGeom>
                  </pic:spPr>
                </pic:pic>
              </a:graphicData>
            </a:graphic>
          </wp:inline>
        </w:drawing>
      </w:r>
    </w:p>
    <w:p w14:paraId="4DF096CF" w14:textId="31D9F8C1" w:rsidR="4B59E579" w:rsidRPr="004370C6" w:rsidRDefault="4B59E579" w:rsidP="00BC365F">
      <w:pPr>
        <w:rPr>
          <w:rFonts w:ascii="Arial" w:hAnsi="Arial" w:cs="Arial"/>
        </w:rPr>
      </w:pPr>
      <w:r w:rsidRPr="004370C6">
        <w:rPr>
          <w:rFonts w:ascii="Arial" w:hAnsi="Arial" w:cs="Arial"/>
        </w:rPr>
        <w:t>Of the 14 VCAT Decisions in Quarter 2 of 2025-2026, seven decisions (50%) were via the consent of the parties.</w:t>
      </w:r>
    </w:p>
    <w:p w14:paraId="26EA0FFB" w14:textId="23C94FD0" w:rsidR="00B17716" w:rsidRPr="004370C6" w:rsidRDefault="00B17716">
      <w:pPr>
        <w:rPr>
          <w:rFonts w:ascii="Arial" w:hAnsi="Arial" w:cs="Arial"/>
          <w:highlight w:val="yellow"/>
        </w:rPr>
      </w:pPr>
      <w:r w:rsidRPr="004370C6">
        <w:rPr>
          <w:rFonts w:ascii="Arial" w:hAnsi="Arial" w:cs="Arial"/>
          <w:highlight w:val="yellow"/>
        </w:rPr>
        <w:br w:type="page"/>
      </w:r>
    </w:p>
    <w:p w14:paraId="1E9A007D" w14:textId="60D7227B" w:rsidR="00E966D3" w:rsidRPr="004370C6" w:rsidRDefault="2BD322E5" w:rsidP="00572C97">
      <w:pPr>
        <w:pStyle w:val="Heading3"/>
        <w:rPr>
          <w:rFonts w:ascii="Arial" w:hAnsi="Arial" w:cs="Arial"/>
          <w:color w:val="auto"/>
        </w:rPr>
      </w:pPr>
      <w:bookmarkStart w:id="48" w:name="_Toc224732178"/>
      <w:r w:rsidRPr="004370C6">
        <w:rPr>
          <w:rFonts w:ascii="Arial" w:hAnsi="Arial" w:cs="Arial"/>
          <w:color w:val="auto"/>
        </w:rPr>
        <w:lastRenderedPageBreak/>
        <w:t xml:space="preserve">Social </w:t>
      </w:r>
      <w:r w:rsidR="00B372A9" w:rsidRPr="004370C6">
        <w:rPr>
          <w:rFonts w:ascii="Arial" w:hAnsi="Arial" w:cs="Arial"/>
          <w:color w:val="auto"/>
        </w:rPr>
        <w:t>and</w:t>
      </w:r>
      <w:r w:rsidRPr="004370C6">
        <w:rPr>
          <w:rFonts w:ascii="Arial" w:hAnsi="Arial" w:cs="Arial"/>
          <w:color w:val="auto"/>
        </w:rPr>
        <w:t xml:space="preserve"> Affordable Housing Approved</w:t>
      </w:r>
      <w:bookmarkEnd w:id="48"/>
    </w:p>
    <w:p w14:paraId="10562311" w14:textId="06020ED1" w:rsidR="00642ACD" w:rsidRPr="004370C6" w:rsidRDefault="00642ACD" w:rsidP="00BC365F">
      <w:pPr>
        <w:rPr>
          <w:rFonts w:ascii="Arial" w:hAnsi="Arial" w:cs="Arial"/>
        </w:rPr>
      </w:pPr>
      <w:r w:rsidRPr="004370C6">
        <w:rPr>
          <w:rFonts w:ascii="Arial" w:hAnsi="Arial" w:cs="Arial"/>
        </w:rPr>
        <w:t xml:space="preserve">In quarter 2 </w:t>
      </w:r>
      <w:r w:rsidR="00556C66" w:rsidRPr="004370C6">
        <w:rPr>
          <w:rFonts w:ascii="Arial" w:hAnsi="Arial" w:cs="Arial"/>
        </w:rPr>
        <w:t xml:space="preserve">of </w:t>
      </w:r>
      <w:r w:rsidRPr="004370C6">
        <w:rPr>
          <w:rFonts w:ascii="Arial" w:hAnsi="Arial" w:cs="Arial"/>
        </w:rPr>
        <w:t>2025</w:t>
      </w:r>
      <w:r w:rsidR="00556C66" w:rsidRPr="004370C6">
        <w:rPr>
          <w:rFonts w:ascii="Arial" w:hAnsi="Arial" w:cs="Arial"/>
        </w:rPr>
        <w:t>/</w:t>
      </w:r>
      <w:r w:rsidRPr="004370C6">
        <w:rPr>
          <w:rFonts w:ascii="Arial" w:hAnsi="Arial" w:cs="Arial"/>
        </w:rPr>
        <w:t xml:space="preserve">26, </w:t>
      </w:r>
      <w:r w:rsidR="00B372A9" w:rsidRPr="004370C6">
        <w:rPr>
          <w:rFonts w:ascii="Arial" w:hAnsi="Arial" w:cs="Arial"/>
        </w:rPr>
        <w:t>Council approved 196 new dwellings</w:t>
      </w:r>
      <w:r w:rsidRPr="004370C6">
        <w:rPr>
          <w:rFonts w:ascii="Arial" w:hAnsi="Arial" w:cs="Arial"/>
        </w:rPr>
        <w:t xml:space="preserve">. None of these were social or affordable housing. </w:t>
      </w:r>
    </w:p>
    <w:p w14:paraId="538C0C61" w14:textId="2779D13F" w:rsidR="00642ACD" w:rsidRPr="004370C6" w:rsidRDefault="00642ACD" w:rsidP="00BC365F">
      <w:pPr>
        <w:rPr>
          <w:rFonts w:ascii="Arial" w:hAnsi="Arial" w:cs="Arial"/>
        </w:rPr>
      </w:pPr>
      <w:r w:rsidRPr="004370C6">
        <w:rPr>
          <w:rFonts w:ascii="Arial" w:hAnsi="Arial" w:cs="Arial"/>
        </w:rPr>
        <w:t xml:space="preserve">In quarter 2 </w:t>
      </w:r>
      <w:r w:rsidR="00556C66" w:rsidRPr="004370C6">
        <w:rPr>
          <w:rFonts w:ascii="Arial" w:hAnsi="Arial" w:cs="Arial"/>
        </w:rPr>
        <w:t>of</w:t>
      </w:r>
      <w:r w:rsidRPr="004370C6">
        <w:rPr>
          <w:rFonts w:ascii="Arial" w:hAnsi="Arial" w:cs="Arial"/>
        </w:rPr>
        <w:t>2025</w:t>
      </w:r>
      <w:r w:rsidR="00556C66" w:rsidRPr="004370C6">
        <w:rPr>
          <w:rFonts w:ascii="Arial" w:hAnsi="Arial" w:cs="Arial"/>
        </w:rPr>
        <w:t>/</w:t>
      </w:r>
      <w:r w:rsidRPr="004370C6">
        <w:rPr>
          <w:rFonts w:ascii="Arial" w:hAnsi="Arial" w:cs="Arial"/>
        </w:rPr>
        <w:t xml:space="preserve">26, the Department of Transport </w:t>
      </w:r>
      <w:r w:rsidR="00556C66" w:rsidRPr="004370C6">
        <w:rPr>
          <w:rFonts w:ascii="Arial" w:hAnsi="Arial" w:cs="Arial"/>
        </w:rPr>
        <w:t>and</w:t>
      </w:r>
      <w:r w:rsidRPr="004370C6">
        <w:rPr>
          <w:rFonts w:ascii="Arial" w:hAnsi="Arial" w:cs="Arial"/>
        </w:rPr>
        <w:t xml:space="preserve"> Planning approved a total of 1079 new dwellings within the City of Yarra. 174 of these approved dwellings are social and affordable housing. </w:t>
      </w:r>
    </w:p>
    <w:tbl>
      <w:tblPr>
        <w:tblStyle w:val="TableGrid"/>
        <w:tblW w:w="0" w:type="auto"/>
        <w:jc w:val="center"/>
        <w:tblLook w:val="04A0" w:firstRow="1" w:lastRow="0" w:firstColumn="1" w:lastColumn="0" w:noHBand="0" w:noVBand="1"/>
      </w:tblPr>
      <w:tblGrid>
        <w:gridCol w:w="4815"/>
        <w:gridCol w:w="2268"/>
        <w:gridCol w:w="2267"/>
      </w:tblGrid>
      <w:tr w:rsidR="003C1AB7" w:rsidRPr="004370C6" w14:paraId="7869D731" w14:textId="77777777" w:rsidTr="0052066E">
        <w:trPr>
          <w:jc w:val="center"/>
        </w:trPr>
        <w:tc>
          <w:tcPr>
            <w:tcW w:w="4815" w:type="dxa"/>
          </w:tcPr>
          <w:p w14:paraId="3EC3D0D6" w14:textId="77777777" w:rsidR="00642ACD" w:rsidRPr="004370C6" w:rsidRDefault="00642ACD" w:rsidP="008F7C8F">
            <w:pPr>
              <w:spacing w:before="240" w:after="240"/>
              <w:jc w:val="center"/>
              <w:rPr>
                <w:rFonts w:ascii="Arial" w:eastAsia="Aptos" w:hAnsi="Arial" w:cs="Arial"/>
              </w:rPr>
            </w:pPr>
            <w:r w:rsidRPr="004370C6">
              <w:rPr>
                <w:rFonts w:ascii="Arial" w:eastAsia="Aptos" w:hAnsi="Arial" w:cs="Arial"/>
              </w:rPr>
              <w:t>Planning Application &amp; Address</w:t>
            </w:r>
          </w:p>
        </w:tc>
        <w:tc>
          <w:tcPr>
            <w:tcW w:w="2268" w:type="dxa"/>
          </w:tcPr>
          <w:p w14:paraId="792F7549" w14:textId="77777777" w:rsidR="00642ACD" w:rsidRPr="004370C6" w:rsidRDefault="00642ACD" w:rsidP="008F7C8F">
            <w:pPr>
              <w:spacing w:before="240" w:after="240"/>
              <w:jc w:val="center"/>
              <w:rPr>
                <w:rFonts w:ascii="Arial" w:eastAsia="Aptos" w:hAnsi="Arial" w:cs="Arial"/>
              </w:rPr>
            </w:pPr>
            <w:r w:rsidRPr="004370C6">
              <w:rPr>
                <w:rFonts w:ascii="Arial" w:eastAsia="Aptos" w:hAnsi="Arial" w:cs="Arial"/>
              </w:rPr>
              <w:t>Total number of dwellings approved</w:t>
            </w:r>
          </w:p>
        </w:tc>
        <w:tc>
          <w:tcPr>
            <w:tcW w:w="2267" w:type="dxa"/>
          </w:tcPr>
          <w:p w14:paraId="2CB35FAA" w14:textId="77777777" w:rsidR="00642ACD" w:rsidRPr="004370C6" w:rsidRDefault="00642ACD" w:rsidP="008F7C8F">
            <w:pPr>
              <w:spacing w:before="240" w:after="240"/>
              <w:jc w:val="center"/>
              <w:rPr>
                <w:rFonts w:ascii="Arial" w:eastAsia="Aptos" w:hAnsi="Arial" w:cs="Arial"/>
              </w:rPr>
            </w:pPr>
            <w:r w:rsidRPr="004370C6">
              <w:rPr>
                <w:rFonts w:ascii="Arial" w:eastAsia="Aptos" w:hAnsi="Arial" w:cs="Arial"/>
              </w:rPr>
              <w:t>Total number of social &amp; affordable housing approved</w:t>
            </w:r>
          </w:p>
        </w:tc>
      </w:tr>
      <w:tr w:rsidR="003C1AB7" w:rsidRPr="004370C6" w14:paraId="0D479F58" w14:textId="77777777" w:rsidTr="00642ACD">
        <w:trPr>
          <w:jc w:val="center"/>
        </w:trPr>
        <w:tc>
          <w:tcPr>
            <w:tcW w:w="4815" w:type="dxa"/>
          </w:tcPr>
          <w:p w14:paraId="0F717C39" w14:textId="77777777" w:rsidR="00642ACD" w:rsidRPr="004370C6" w:rsidRDefault="00642ACD" w:rsidP="008F7C8F">
            <w:pPr>
              <w:spacing w:before="240" w:after="240"/>
              <w:rPr>
                <w:rFonts w:ascii="Arial" w:eastAsia="Aptos" w:hAnsi="Arial" w:cs="Arial"/>
              </w:rPr>
            </w:pPr>
            <w:r w:rsidRPr="004370C6">
              <w:rPr>
                <w:rFonts w:ascii="Arial" w:hAnsi="Arial" w:cs="Arial"/>
              </w:rPr>
              <w:t>PPE25/0589 – 301 – 317 Rae Street Fitzroy North</w:t>
            </w:r>
          </w:p>
        </w:tc>
        <w:tc>
          <w:tcPr>
            <w:tcW w:w="2268" w:type="dxa"/>
          </w:tcPr>
          <w:p w14:paraId="0FB74F48" w14:textId="77777777" w:rsidR="00642ACD" w:rsidRPr="004370C6" w:rsidRDefault="00642ACD" w:rsidP="008F7C8F">
            <w:pPr>
              <w:spacing w:before="240" w:after="240"/>
              <w:rPr>
                <w:rFonts w:ascii="Arial" w:eastAsia="Aptos" w:hAnsi="Arial" w:cs="Arial"/>
              </w:rPr>
            </w:pPr>
            <w:r w:rsidRPr="004370C6">
              <w:rPr>
                <w:rFonts w:ascii="Arial" w:hAnsi="Arial" w:cs="Arial"/>
              </w:rPr>
              <w:t>27</w:t>
            </w:r>
          </w:p>
        </w:tc>
        <w:tc>
          <w:tcPr>
            <w:tcW w:w="2267" w:type="dxa"/>
          </w:tcPr>
          <w:p w14:paraId="066935F5" w14:textId="77777777" w:rsidR="00642ACD" w:rsidRPr="004370C6" w:rsidRDefault="00642ACD" w:rsidP="008F7C8F">
            <w:pPr>
              <w:spacing w:before="240" w:after="240"/>
              <w:rPr>
                <w:rFonts w:ascii="Arial" w:eastAsia="Aptos" w:hAnsi="Arial" w:cs="Arial"/>
              </w:rPr>
            </w:pPr>
            <w:r w:rsidRPr="004370C6">
              <w:rPr>
                <w:rFonts w:ascii="Arial" w:hAnsi="Arial" w:cs="Arial"/>
              </w:rPr>
              <w:t>0</w:t>
            </w:r>
          </w:p>
        </w:tc>
      </w:tr>
      <w:tr w:rsidR="00724ECA" w:rsidRPr="004370C6" w14:paraId="50ED8156" w14:textId="77777777" w:rsidTr="00642ACD">
        <w:trPr>
          <w:jc w:val="center"/>
        </w:trPr>
        <w:tc>
          <w:tcPr>
            <w:tcW w:w="4815" w:type="dxa"/>
          </w:tcPr>
          <w:p w14:paraId="0FB8B44F" w14:textId="77777777" w:rsidR="00642ACD" w:rsidRPr="004370C6" w:rsidRDefault="00642ACD" w:rsidP="008F7C8F">
            <w:pPr>
              <w:spacing w:before="240" w:after="240"/>
              <w:rPr>
                <w:rFonts w:ascii="Arial" w:eastAsia="Aptos" w:hAnsi="Arial" w:cs="Arial"/>
              </w:rPr>
            </w:pPr>
            <w:r w:rsidRPr="004370C6">
              <w:rPr>
                <w:rFonts w:ascii="Arial" w:hAnsi="Arial" w:cs="Arial"/>
              </w:rPr>
              <w:t>PPE25/0455 – 433 Smith Street, Fitzroy North (Gasworks)</w:t>
            </w:r>
          </w:p>
        </w:tc>
        <w:tc>
          <w:tcPr>
            <w:tcW w:w="2268" w:type="dxa"/>
          </w:tcPr>
          <w:p w14:paraId="3BE9FD29" w14:textId="77777777" w:rsidR="00642ACD" w:rsidRPr="004370C6" w:rsidRDefault="00642ACD" w:rsidP="008F7C8F">
            <w:pPr>
              <w:spacing w:before="240" w:after="240"/>
              <w:rPr>
                <w:rFonts w:ascii="Arial" w:eastAsia="Aptos" w:hAnsi="Arial" w:cs="Arial"/>
              </w:rPr>
            </w:pPr>
            <w:r w:rsidRPr="004370C6">
              <w:rPr>
                <w:rFonts w:ascii="Arial" w:hAnsi="Arial" w:cs="Arial"/>
              </w:rPr>
              <w:t>1052</w:t>
            </w:r>
          </w:p>
        </w:tc>
        <w:tc>
          <w:tcPr>
            <w:tcW w:w="2267" w:type="dxa"/>
          </w:tcPr>
          <w:p w14:paraId="1AA1EC28" w14:textId="77777777" w:rsidR="00642ACD" w:rsidRPr="004370C6" w:rsidRDefault="00642ACD" w:rsidP="008F7C8F">
            <w:pPr>
              <w:spacing w:before="240" w:after="240"/>
              <w:rPr>
                <w:rFonts w:ascii="Arial" w:eastAsia="Aptos" w:hAnsi="Arial" w:cs="Arial"/>
              </w:rPr>
            </w:pPr>
            <w:r w:rsidRPr="004370C6">
              <w:rPr>
                <w:rFonts w:ascii="Arial" w:hAnsi="Arial" w:cs="Arial"/>
              </w:rPr>
              <w:t>174 (53 Affordable and 121 Social)</w:t>
            </w:r>
          </w:p>
        </w:tc>
      </w:tr>
    </w:tbl>
    <w:p w14:paraId="6A0B15EB" w14:textId="37ADC3F3" w:rsidR="00191E4A" w:rsidRPr="004370C6" w:rsidRDefault="00191E4A">
      <w:pPr>
        <w:rPr>
          <w:rFonts w:ascii="Arial" w:hAnsi="Arial" w:cs="Arial"/>
        </w:rPr>
      </w:pPr>
      <w:r w:rsidRPr="004370C6">
        <w:rPr>
          <w:rFonts w:ascii="Arial" w:hAnsi="Arial" w:cs="Arial"/>
        </w:rPr>
        <w:br w:type="page"/>
      </w:r>
    </w:p>
    <w:p w14:paraId="2B216EF8" w14:textId="568541D8" w:rsidR="64C03470" w:rsidRPr="004370C6" w:rsidRDefault="64C03470" w:rsidP="131C9040">
      <w:pPr>
        <w:pStyle w:val="Heading2"/>
        <w:rPr>
          <w:rFonts w:ascii="Arial" w:hAnsi="Arial" w:cs="Arial"/>
          <w:color w:val="auto"/>
        </w:rPr>
      </w:pPr>
      <w:bookmarkStart w:id="49" w:name="_Toc224732179"/>
      <w:r w:rsidRPr="004370C6">
        <w:rPr>
          <w:rFonts w:ascii="Arial" w:hAnsi="Arial" w:cs="Arial"/>
          <w:color w:val="auto"/>
        </w:rPr>
        <w:lastRenderedPageBreak/>
        <w:t>Strategic objective 3: Working and Playing in the City</w:t>
      </w:r>
      <w:bookmarkEnd w:id="49"/>
      <w:r w:rsidRPr="004370C6">
        <w:rPr>
          <w:rFonts w:ascii="Arial" w:hAnsi="Arial" w:cs="Arial"/>
          <w:color w:val="auto"/>
        </w:rPr>
        <w:t xml:space="preserve">  </w:t>
      </w:r>
    </w:p>
    <w:p w14:paraId="4EAB5ABC" w14:textId="0073DFFC" w:rsidR="131C9040" w:rsidRPr="004370C6" w:rsidRDefault="10B744C0" w:rsidP="00572C97">
      <w:pPr>
        <w:pStyle w:val="Heading3"/>
        <w:rPr>
          <w:rFonts w:ascii="Arial" w:hAnsi="Arial" w:cs="Arial"/>
          <w:color w:val="auto"/>
        </w:rPr>
      </w:pPr>
      <w:bookmarkStart w:id="50" w:name="_Toc224732180"/>
      <w:r w:rsidRPr="004370C6">
        <w:rPr>
          <w:rFonts w:ascii="Arial" w:hAnsi="Arial" w:cs="Arial"/>
          <w:color w:val="auto"/>
        </w:rPr>
        <w:t>Activity Centre Utilisation</w:t>
      </w:r>
      <w:bookmarkEnd w:id="50"/>
      <w:r w:rsidRPr="004370C6">
        <w:rPr>
          <w:rFonts w:ascii="Arial" w:hAnsi="Arial" w:cs="Arial"/>
          <w:color w:val="auto"/>
        </w:rPr>
        <w:t xml:space="preserve">  </w:t>
      </w:r>
    </w:p>
    <w:p w14:paraId="58D0F9E3" w14:textId="2FF43401" w:rsidR="10B744C0" w:rsidRPr="004370C6" w:rsidRDefault="10B744C0" w:rsidP="00BC365F">
      <w:pPr>
        <w:rPr>
          <w:rFonts w:ascii="Arial" w:hAnsi="Arial" w:cs="Arial"/>
        </w:rPr>
      </w:pPr>
      <w:r w:rsidRPr="004370C6">
        <w:rPr>
          <w:rFonts w:ascii="Arial" w:hAnsi="Arial" w:cs="Arial"/>
        </w:rPr>
        <w:t xml:space="preserve">As per </w:t>
      </w:r>
      <w:r w:rsidRPr="004370C6">
        <w:rPr>
          <w:rFonts w:ascii="Arial" w:hAnsi="Arial" w:cs="Arial"/>
          <w:i/>
          <w:iCs/>
        </w:rPr>
        <w:t xml:space="preserve">Plan for Victoria </w:t>
      </w:r>
      <w:r w:rsidRPr="004370C6">
        <w:rPr>
          <w:rFonts w:ascii="Arial" w:hAnsi="Arial" w:cs="Arial"/>
        </w:rPr>
        <w:t xml:space="preserve">and announced by the Victorian State Government, the City of Yarra has been declared an activity centre in its entirety. Yarra’s Housing Target means the planning scheme needs to demonstrate a potential capacity to accommodate a further 44,000 dwellings. The planning scheme was amended on 2 September 2025 to incorporate this into the Yarra Planning Scheme. </w:t>
      </w:r>
    </w:p>
    <w:p w14:paraId="4DFC0173" w14:textId="02D21D12" w:rsidR="10B744C0" w:rsidRPr="004370C6" w:rsidRDefault="10B744C0" w:rsidP="00BC365F">
      <w:pPr>
        <w:rPr>
          <w:rFonts w:ascii="Arial" w:hAnsi="Arial" w:cs="Arial"/>
        </w:rPr>
      </w:pPr>
      <w:r w:rsidRPr="004370C6">
        <w:rPr>
          <w:rFonts w:ascii="Arial" w:hAnsi="Arial" w:cs="Arial"/>
        </w:rPr>
        <w:t xml:space="preserve">The Victorian State Government announced that in the case of Yarra, strategic sites should be identified to help achieve this, next to Yarra’s existing work program on activity centres. </w:t>
      </w:r>
    </w:p>
    <w:p w14:paraId="660D60C5" w14:textId="511BEF07" w:rsidR="00191E4A" w:rsidRPr="004370C6" w:rsidRDefault="10B744C0" w:rsidP="00BC365F">
      <w:pPr>
        <w:rPr>
          <w:rFonts w:ascii="Arial" w:hAnsi="Arial" w:cs="Arial"/>
        </w:rPr>
      </w:pPr>
      <w:r w:rsidRPr="004370C6">
        <w:rPr>
          <w:rFonts w:ascii="Arial" w:hAnsi="Arial" w:cs="Arial"/>
        </w:rPr>
        <w:t>This quarter, officers have continued to liaise with DTP and have requested updates about the Activity Central program. As of beginning December, the Department of Transport and Planning (DTP) or Minister for Planning have not made a decision in regard to the scope or timing.</w:t>
      </w:r>
      <w:r w:rsidR="00191E4A" w:rsidRPr="004370C6">
        <w:rPr>
          <w:rFonts w:ascii="Arial" w:hAnsi="Arial" w:cs="Arial"/>
        </w:rPr>
        <w:br w:type="page"/>
      </w:r>
    </w:p>
    <w:p w14:paraId="11AADD2A" w14:textId="4CA3F879" w:rsidR="64C03470" w:rsidRPr="004370C6" w:rsidRDefault="64C03470" w:rsidP="131C9040">
      <w:pPr>
        <w:pStyle w:val="Heading2"/>
        <w:rPr>
          <w:rFonts w:ascii="Arial" w:hAnsi="Arial" w:cs="Arial"/>
          <w:color w:val="auto"/>
        </w:rPr>
      </w:pPr>
      <w:bookmarkStart w:id="51" w:name="_Toc224732181"/>
      <w:r w:rsidRPr="004370C6">
        <w:rPr>
          <w:rFonts w:ascii="Arial" w:hAnsi="Arial" w:cs="Arial"/>
          <w:color w:val="auto"/>
        </w:rPr>
        <w:lastRenderedPageBreak/>
        <w:t>Strategic objective 4: Running the City</w:t>
      </w:r>
      <w:bookmarkEnd w:id="51"/>
      <w:r w:rsidRPr="004370C6">
        <w:rPr>
          <w:rFonts w:ascii="Arial" w:hAnsi="Arial" w:cs="Arial"/>
          <w:color w:val="auto"/>
        </w:rPr>
        <w:t xml:space="preserve">  </w:t>
      </w:r>
    </w:p>
    <w:p w14:paraId="342ABA99" w14:textId="4DE7F4B4" w:rsidR="47B49E73" w:rsidRPr="004370C6" w:rsidRDefault="47B49E73" w:rsidP="00572C97">
      <w:pPr>
        <w:pStyle w:val="Heading3"/>
        <w:rPr>
          <w:rFonts w:ascii="Arial" w:hAnsi="Arial" w:cs="Arial"/>
          <w:color w:val="auto"/>
        </w:rPr>
      </w:pPr>
      <w:bookmarkStart w:id="52" w:name="_Toc224732182"/>
      <w:r w:rsidRPr="004370C6">
        <w:rPr>
          <w:rFonts w:ascii="Arial" w:hAnsi="Arial" w:cs="Arial"/>
          <w:color w:val="auto"/>
        </w:rPr>
        <w:t>Acquittal of Council resolutions</w:t>
      </w:r>
      <w:bookmarkEnd w:id="52"/>
    </w:p>
    <w:p w14:paraId="6A9E958C" w14:textId="29D01CD1" w:rsidR="081666F9" w:rsidRPr="004370C6" w:rsidRDefault="081666F9" w:rsidP="00BC365F">
      <w:pPr>
        <w:rPr>
          <w:rFonts w:ascii="Arial" w:hAnsi="Arial" w:cs="Arial"/>
        </w:rPr>
      </w:pPr>
      <w:r w:rsidRPr="004370C6">
        <w:rPr>
          <w:rFonts w:ascii="Arial" w:hAnsi="Arial" w:cs="Arial"/>
        </w:rPr>
        <w:t xml:space="preserve">Council Meetings are the decision-making forum constituted under the Local Government Act 2020 where Councillors come together as a Council and are responsible for making decisions on behalf of the community. </w:t>
      </w:r>
    </w:p>
    <w:p w14:paraId="2D049B3E" w14:textId="45BBFF27" w:rsidR="081666F9" w:rsidRPr="004370C6" w:rsidRDefault="081666F9" w:rsidP="00BC365F">
      <w:pPr>
        <w:rPr>
          <w:rFonts w:ascii="Arial" w:hAnsi="Arial" w:cs="Arial"/>
        </w:rPr>
      </w:pPr>
      <w:r w:rsidRPr="004370C6">
        <w:rPr>
          <w:rFonts w:ascii="Arial" w:hAnsi="Arial" w:cs="Arial"/>
        </w:rPr>
        <w:t xml:space="preserve">Meetings are conducted in accordance with the Local Government Act 2020 &amp; City of Yarra Governance Rules. </w:t>
      </w:r>
    </w:p>
    <w:p w14:paraId="55D1171A" w14:textId="12537809" w:rsidR="081666F9" w:rsidRPr="004370C6" w:rsidRDefault="081666F9" w:rsidP="00BC365F">
      <w:pPr>
        <w:rPr>
          <w:rFonts w:ascii="Arial" w:hAnsi="Arial" w:cs="Arial"/>
        </w:rPr>
      </w:pPr>
      <w:r w:rsidRPr="004370C6">
        <w:rPr>
          <w:rFonts w:ascii="Arial" w:hAnsi="Arial" w:cs="Arial"/>
        </w:rPr>
        <w:t xml:space="preserve">Council decisions are made at meetings of the Council. These decisions are made by a resolution of the Council and actions are assigned accordingly. </w:t>
      </w:r>
    </w:p>
    <w:p w14:paraId="36A63819" w14:textId="636A4939" w:rsidR="081666F9" w:rsidRPr="004370C6" w:rsidRDefault="081666F9" w:rsidP="00BC365F">
      <w:pPr>
        <w:rPr>
          <w:rFonts w:ascii="Arial" w:hAnsi="Arial" w:cs="Arial"/>
        </w:rPr>
      </w:pPr>
      <w:r w:rsidRPr="004370C6">
        <w:rPr>
          <w:rFonts w:ascii="Arial" w:hAnsi="Arial" w:cs="Arial"/>
        </w:rPr>
        <w:t xml:space="preserve">This table shows a record of the Council resolutions for </w:t>
      </w:r>
      <w:r w:rsidR="00103777" w:rsidRPr="004370C6">
        <w:rPr>
          <w:rFonts w:ascii="Arial" w:hAnsi="Arial" w:cs="Arial"/>
        </w:rPr>
        <w:t>q</w:t>
      </w:r>
      <w:r w:rsidRPr="004370C6">
        <w:rPr>
          <w:rFonts w:ascii="Arial" w:hAnsi="Arial" w:cs="Arial"/>
        </w:rPr>
        <w:t xml:space="preserve">uarter 2 of 2025/2026 financial year. Open resolutions are those where there are still actions that are currently in progress to be implemented. </w:t>
      </w:r>
    </w:p>
    <w:p w14:paraId="4F1AF7CE" w14:textId="0369473E" w:rsidR="081666F9" w:rsidRPr="004370C6" w:rsidRDefault="081666F9" w:rsidP="00BC365F">
      <w:pPr>
        <w:rPr>
          <w:rFonts w:ascii="Arial" w:hAnsi="Arial" w:cs="Arial"/>
        </w:rPr>
      </w:pPr>
      <w:r w:rsidRPr="004370C6">
        <w:rPr>
          <w:rFonts w:ascii="Arial" w:hAnsi="Arial" w:cs="Arial"/>
        </w:rPr>
        <w:t>The total number of resolutions refers to the tally of resolutions from Council meetings during the quarter.</w:t>
      </w:r>
    </w:p>
    <w:p w14:paraId="409B0FDF" w14:textId="0A16DFA9" w:rsidR="000F0198" w:rsidRPr="004370C6" w:rsidRDefault="000F0198" w:rsidP="00BC365F">
      <w:pPr>
        <w:rPr>
          <w:rFonts w:ascii="Arial" w:hAnsi="Arial" w:cs="Arial"/>
          <w:sz w:val="22"/>
          <w:szCs w:val="22"/>
        </w:rPr>
      </w:pPr>
      <w:r w:rsidRPr="004370C6">
        <w:rPr>
          <w:rFonts w:ascii="Arial" w:hAnsi="Arial" w:cs="Arial"/>
          <w:sz w:val="22"/>
          <w:szCs w:val="22"/>
        </w:rPr>
        <w:t>The table below shows Council Resolutions between 1 October 2025 – 31 December 2025.</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710"/>
        <w:gridCol w:w="1575"/>
        <w:gridCol w:w="1425"/>
        <w:gridCol w:w="1440"/>
        <w:gridCol w:w="1410"/>
        <w:gridCol w:w="1515"/>
      </w:tblGrid>
      <w:tr w:rsidR="003C1AB7" w:rsidRPr="004370C6" w14:paraId="07B58CB4" w14:textId="77777777" w:rsidTr="477F705A">
        <w:trPr>
          <w:trHeight w:val="300"/>
        </w:trPr>
        <w:tc>
          <w:tcPr>
            <w:tcW w:w="1710" w:type="dxa"/>
            <w:tcMar>
              <w:left w:w="90" w:type="dxa"/>
              <w:right w:w="90" w:type="dxa"/>
            </w:tcMar>
          </w:tcPr>
          <w:p w14:paraId="0F8DCF66" w14:textId="3CBFB79B"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 xml:space="preserve">Total number of resolutions </w:t>
            </w:r>
          </w:p>
          <w:p w14:paraId="4CF83555" w14:textId="452243CF"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 xml:space="preserve">allocated  </w:t>
            </w:r>
          </w:p>
        </w:tc>
        <w:tc>
          <w:tcPr>
            <w:tcW w:w="1575" w:type="dxa"/>
            <w:tcMar>
              <w:left w:w="90" w:type="dxa"/>
              <w:right w:w="90" w:type="dxa"/>
            </w:tcMar>
          </w:tcPr>
          <w:p w14:paraId="2AD1B67B" w14:textId="293F0C61"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Open</w:t>
            </w:r>
          </w:p>
          <w:p w14:paraId="377B533F" w14:textId="5D4991EE"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Resolutions – October</w:t>
            </w:r>
          </w:p>
        </w:tc>
        <w:tc>
          <w:tcPr>
            <w:tcW w:w="1425" w:type="dxa"/>
            <w:tcMar>
              <w:left w:w="90" w:type="dxa"/>
              <w:right w:w="90" w:type="dxa"/>
            </w:tcMar>
          </w:tcPr>
          <w:p w14:paraId="407173D8" w14:textId="5F7C6454"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Open resolutions - November</w:t>
            </w:r>
          </w:p>
        </w:tc>
        <w:tc>
          <w:tcPr>
            <w:tcW w:w="1440" w:type="dxa"/>
            <w:tcMar>
              <w:left w:w="90" w:type="dxa"/>
              <w:right w:w="90" w:type="dxa"/>
            </w:tcMar>
          </w:tcPr>
          <w:p w14:paraId="2490004E" w14:textId="797B0879"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Open resolutions - December</w:t>
            </w:r>
          </w:p>
        </w:tc>
        <w:tc>
          <w:tcPr>
            <w:tcW w:w="1410" w:type="dxa"/>
            <w:tcMar>
              <w:left w:w="90" w:type="dxa"/>
              <w:right w:w="90" w:type="dxa"/>
            </w:tcMar>
          </w:tcPr>
          <w:p w14:paraId="1D714323" w14:textId="3122257A"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 xml:space="preserve">Total number of  </w:t>
            </w:r>
          </w:p>
          <w:p w14:paraId="3151C42C" w14:textId="4A5D1FD4"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 xml:space="preserve">Open resolutions  </w:t>
            </w:r>
          </w:p>
        </w:tc>
        <w:tc>
          <w:tcPr>
            <w:tcW w:w="1515" w:type="dxa"/>
            <w:tcMar>
              <w:left w:w="90" w:type="dxa"/>
              <w:right w:w="90" w:type="dxa"/>
            </w:tcMar>
          </w:tcPr>
          <w:p w14:paraId="382F1C12" w14:textId="262D89D7"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 xml:space="preserve">% of open resolutions  </w:t>
            </w:r>
          </w:p>
        </w:tc>
      </w:tr>
      <w:tr w:rsidR="007C689D" w:rsidRPr="004370C6" w14:paraId="7E263715" w14:textId="77777777" w:rsidTr="477F705A">
        <w:trPr>
          <w:trHeight w:val="300"/>
        </w:trPr>
        <w:tc>
          <w:tcPr>
            <w:tcW w:w="1710" w:type="dxa"/>
            <w:tcMar>
              <w:left w:w="90" w:type="dxa"/>
              <w:right w:w="90" w:type="dxa"/>
            </w:tcMar>
            <w:vAlign w:val="bottom"/>
          </w:tcPr>
          <w:p w14:paraId="77296612" w14:textId="187DB626" w:rsidR="173A9FA9" w:rsidRPr="004370C6" w:rsidRDefault="173A9FA9" w:rsidP="173A9FA9">
            <w:pPr>
              <w:spacing w:after="0"/>
              <w:rPr>
                <w:rFonts w:ascii="Arial" w:eastAsia="Aptos" w:hAnsi="Arial" w:cs="Arial"/>
                <w:sz w:val="22"/>
                <w:szCs w:val="22"/>
              </w:rPr>
            </w:pPr>
          </w:p>
          <w:p w14:paraId="25776EA4" w14:textId="2C04BA6E"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68</w:t>
            </w:r>
          </w:p>
        </w:tc>
        <w:tc>
          <w:tcPr>
            <w:tcW w:w="1575" w:type="dxa"/>
            <w:tcMar>
              <w:left w:w="90" w:type="dxa"/>
              <w:right w:w="90" w:type="dxa"/>
            </w:tcMar>
            <w:vAlign w:val="bottom"/>
          </w:tcPr>
          <w:p w14:paraId="408F38D0" w14:textId="6BAC8CF8"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5</w:t>
            </w:r>
          </w:p>
        </w:tc>
        <w:tc>
          <w:tcPr>
            <w:tcW w:w="1425" w:type="dxa"/>
            <w:tcMar>
              <w:left w:w="90" w:type="dxa"/>
              <w:right w:w="90" w:type="dxa"/>
            </w:tcMar>
            <w:vAlign w:val="bottom"/>
          </w:tcPr>
          <w:p w14:paraId="1CE28C69" w14:textId="0A79C23C"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5</w:t>
            </w:r>
          </w:p>
        </w:tc>
        <w:tc>
          <w:tcPr>
            <w:tcW w:w="1440" w:type="dxa"/>
            <w:tcMar>
              <w:left w:w="90" w:type="dxa"/>
              <w:right w:w="90" w:type="dxa"/>
            </w:tcMar>
            <w:vAlign w:val="bottom"/>
          </w:tcPr>
          <w:p w14:paraId="7029347D" w14:textId="2D14C74E"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20</w:t>
            </w:r>
          </w:p>
        </w:tc>
        <w:tc>
          <w:tcPr>
            <w:tcW w:w="1410" w:type="dxa"/>
            <w:tcMar>
              <w:left w:w="90" w:type="dxa"/>
              <w:right w:w="90" w:type="dxa"/>
            </w:tcMar>
            <w:vAlign w:val="bottom"/>
          </w:tcPr>
          <w:p w14:paraId="6F86E444" w14:textId="6EDA1E37" w:rsidR="173A9FA9" w:rsidRPr="004370C6" w:rsidRDefault="173A9FA9" w:rsidP="173A9FA9">
            <w:pPr>
              <w:spacing w:after="0"/>
              <w:rPr>
                <w:rFonts w:ascii="Arial" w:eastAsia="Aptos" w:hAnsi="Arial" w:cs="Arial"/>
                <w:sz w:val="22"/>
                <w:szCs w:val="22"/>
              </w:rPr>
            </w:pPr>
            <w:r w:rsidRPr="004370C6">
              <w:rPr>
                <w:rFonts w:ascii="Arial" w:eastAsia="Aptos" w:hAnsi="Arial" w:cs="Arial"/>
                <w:sz w:val="22"/>
                <w:szCs w:val="22"/>
              </w:rPr>
              <w:t>30</w:t>
            </w:r>
          </w:p>
        </w:tc>
        <w:tc>
          <w:tcPr>
            <w:tcW w:w="1515" w:type="dxa"/>
            <w:tcMar>
              <w:left w:w="90" w:type="dxa"/>
              <w:right w:w="90" w:type="dxa"/>
            </w:tcMar>
            <w:vAlign w:val="bottom"/>
          </w:tcPr>
          <w:p w14:paraId="06F2DCFF" w14:textId="30DC6475" w:rsidR="173A9FA9" w:rsidRPr="004370C6" w:rsidRDefault="173A9FA9" w:rsidP="173A9FA9">
            <w:pPr>
              <w:spacing w:after="0"/>
              <w:rPr>
                <w:rFonts w:ascii="Arial" w:eastAsia="Aptos" w:hAnsi="Arial" w:cs="Arial"/>
              </w:rPr>
            </w:pPr>
            <w:r w:rsidRPr="004370C6">
              <w:rPr>
                <w:rFonts w:ascii="Arial" w:eastAsia="Aptos" w:hAnsi="Arial" w:cs="Arial"/>
              </w:rPr>
              <w:t>44%</w:t>
            </w:r>
          </w:p>
        </w:tc>
      </w:tr>
    </w:tbl>
    <w:p w14:paraId="0A904FDB" w14:textId="77777777" w:rsidR="00BC365F" w:rsidRPr="004370C6" w:rsidRDefault="00BC365F">
      <w:pPr>
        <w:rPr>
          <w:rFonts w:ascii="Arial" w:eastAsiaTheme="majorEastAsia" w:hAnsi="Arial" w:cs="Arial"/>
          <w:sz w:val="28"/>
          <w:szCs w:val="28"/>
        </w:rPr>
      </w:pPr>
      <w:r w:rsidRPr="004370C6">
        <w:rPr>
          <w:rFonts w:ascii="Arial" w:hAnsi="Arial" w:cs="Arial"/>
        </w:rPr>
        <w:br w:type="page"/>
      </w:r>
    </w:p>
    <w:p w14:paraId="793EC6C1" w14:textId="295059C3" w:rsidR="47B49E73" w:rsidRPr="004370C6" w:rsidRDefault="47B49E73" w:rsidP="00806B09">
      <w:pPr>
        <w:pStyle w:val="Heading3"/>
        <w:rPr>
          <w:rFonts w:ascii="Arial" w:hAnsi="Arial" w:cs="Arial"/>
          <w:color w:val="auto"/>
        </w:rPr>
      </w:pPr>
      <w:bookmarkStart w:id="53" w:name="_Toc224732183"/>
      <w:r w:rsidRPr="004370C6">
        <w:rPr>
          <w:rFonts w:ascii="Arial" w:hAnsi="Arial" w:cs="Arial"/>
          <w:color w:val="auto"/>
        </w:rPr>
        <w:lastRenderedPageBreak/>
        <w:t xml:space="preserve">Advocacy </w:t>
      </w:r>
      <w:r w:rsidR="22638A29" w:rsidRPr="004370C6">
        <w:rPr>
          <w:rFonts w:ascii="Arial" w:hAnsi="Arial" w:cs="Arial"/>
          <w:color w:val="auto"/>
        </w:rPr>
        <w:t>Road Map 2025-29</w:t>
      </w:r>
      <w:bookmarkEnd w:id="53"/>
    </w:p>
    <w:p w14:paraId="0DBB4A37" w14:textId="006769A7" w:rsidR="22638A29" w:rsidRPr="004370C6" w:rsidRDefault="22638A29" w:rsidP="00806B09">
      <w:pPr>
        <w:pStyle w:val="Heading4"/>
        <w:rPr>
          <w:rFonts w:ascii="Arial" w:eastAsia="Aptos" w:hAnsi="Arial" w:cs="Arial"/>
          <w:color w:val="auto"/>
        </w:rPr>
      </w:pPr>
      <w:bookmarkStart w:id="54" w:name="_Toc224732184"/>
      <w:r w:rsidRPr="004370C6">
        <w:rPr>
          <w:rFonts w:ascii="Arial" w:hAnsi="Arial" w:cs="Arial"/>
          <w:color w:val="auto"/>
        </w:rPr>
        <w:t>Call to Action in the lead up to the State Election in November 2026</w:t>
      </w:r>
      <w:bookmarkEnd w:id="54"/>
      <w:r w:rsidRPr="004370C6">
        <w:rPr>
          <w:rFonts w:ascii="Arial" w:hAnsi="Arial" w:cs="Arial"/>
          <w:color w:val="auto"/>
        </w:rPr>
        <w:t xml:space="preserve"> </w:t>
      </w:r>
    </w:p>
    <w:p w14:paraId="5BB1C2D5" w14:textId="7039C9F1" w:rsidR="22638A29" w:rsidRPr="004370C6" w:rsidRDefault="22638A29" w:rsidP="00B15C75">
      <w:pPr>
        <w:rPr>
          <w:rFonts w:ascii="Arial" w:eastAsia="Aptos" w:hAnsi="Arial" w:cs="Arial"/>
        </w:rPr>
      </w:pPr>
      <w:r w:rsidRPr="004370C6">
        <w:rPr>
          <w:rFonts w:ascii="Arial" w:hAnsi="Arial" w:cs="Arial"/>
        </w:rPr>
        <w:t xml:space="preserve">Council has adopted an Advocacy Roadmap. It provides an overview of Council’s advocacy agenda for influencing State and Federal Government policies and funding decisions that will shape our City for generations. </w:t>
      </w:r>
    </w:p>
    <w:p w14:paraId="6C9DD597" w14:textId="450D524D" w:rsidR="22638A29" w:rsidRPr="004370C6" w:rsidRDefault="22638A29" w:rsidP="00B15C75">
      <w:pPr>
        <w:rPr>
          <w:rFonts w:ascii="Arial" w:eastAsia="Aptos" w:hAnsi="Arial" w:cs="Arial"/>
        </w:rPr>
      </w:pPr>
      <w:r w:rsidRPr="004370C6">
        <w:rPr>
          <w:rFonts w:ascii="Arial" w:hAnsi="Arial" w:cs="Arial"/>
        </w:rPr>
        <w:t xml:space="preserve">We want to continue to be a liveable city, a jobs-rich city, a city of diversity, and a vibrant destination city, with busy high streets, commercial investment, events and festivals, and a flourishing night-time economy supported by lots of live music. </w:t>
      </w:r>
    </w:p>
    <w:p w14:paraId="3500CD8F" w14:textId="48D7F35C" w:rsidR="22638A29" w:rsidRPr="004370C6" w:rsidRDefault="22638A29" w:rsidP="00B15C75">
      <w:pPr>
        <w:rPr>
          <w:rFonts w:ascii="Arial" w:eastAsia="Aptos" w:hAnsi="Arial" w:cs="Arial"/>
        </w:rPr>
      </w:pPr>
      <w:r w:rsidRPr="004370C6">
        <w:rPr>
          <w:rFonts w:ascii="Arial" w:hAnsi="Arial" w:cs="Arial"/>
        </w:rPr>
        <w:t xml:space="preserve">This will be challenging in light of the Victorian Government designating Yarra as an ‘activity centre’, with a target of 44,000 new dwellings by 2050. This will mean that the population of our City will almost double over the next two decades. Securing funding and unused government land to deliver open space, community infrastructure and modern sports facilities requires strong, sustained advocacy to both the Federal and State Governments.  </w:t>
      </w:r>
    </w:p>
    <w:p w14:paraId="135116C0" w14:textId="3148BA83" w:rsidR="22638A29" w:rsidRPr="004370C6" w:rsidRDefault="22638A29" w:rsidP="00B15C75">
      <w:pPr>
        <w:rPr>
          <w:rFonts w:ascii="Arial" w:eastAsia="Aptos" w:hAnsi="Arial" w:cs="Arial"/>
        </w:rPr>
      </w:pPr>
      <w:r w:rsidRPr="004370C6">
        <w:rPr>
          <w:rFonts w:ascii="Arial" w:hAnsi="Arial" w:cs="Arial"/>
        </w:rPr>
        <w:t xml:space="preserve">Strong advocacy is also needed to ensure that residents have access to the services they need, that our streets are safe, there is adequate accessible </w:t>
      </w:r>
      <w:r w:rsidR="003C547B" w:rsidRPr="004370C6">
        <w:rPr>
          <w:rFonts w:ascii="Arial" w:hAnsi="Arial" w:cs="Arial"/>
        </w:rPr>
        <w:t>transport,</w:t>
      </w:r>
      <w:r w:rsidRPr="004370C6">
        <w:rPr>
          <w:rFonts w:ascii="Arial" w:hAnsi="Arial" w:cs="Arial"/>
        </w:rPr>
        <w:t xml:space="preserve"> and our businesses are thriving. We are also advocating for the State to maintain their roads better and upgrade stormwater and drainage infrastructure to prevent flooding. </w:t>
      </w:r>
    </w:p>
    <w:p w14:paraId="4C69DF80" w14:textId="3B4E3D80" w:rsidR="22638A29" w:rsidRPr="004370C6" w:rsidRDefault="22638A29" w:rsidP="00806B09">
      <w:pPr>
        <w:pStyle w:val="Heading4"/>
        <w:rPr>
          <w:rFonts w:ascii="Arial" w:eastAsia="Aptos" w:hAnsi="Arial" w:cs="Arial"/>
          <w:color w:val="auto"/>
        </w:rPr>
      </w:pPr>
      <w:bookmarkStart w:id="55" w:name="_Toc224732185"/>
      <w:r w:rsidRPr="004370C6">
        <w:rPr>
          <w:rFonts w:ascii="Arial" w:hAnsi="Arial" w:cs="Arial"/>
          <w:color w:val="auto"/>
        </w:rPr>
        <w:t>Campaigning for what matters</w:t>
      </w:r>
      <w:bookmarkEnd w:id="55"/>
      <w:r w:rsidRPr="004370C6">
        <w:rPr>
          <w:rFonts w:ascii="Arial" w:hAnsi="Arial" w:cs="Arial"/>
          <w:color w:val="auto"/>
        </w:rPr>
        <w:t xml:space="preserve">  </w:t>
      </w:r>
    </w:p>
    <w:p w14:paraId="627C7836" w14:textId="7D80750A" w:rsidR="22638A29" w:rsidRPr="004370C6" w:rsidRDefault="22638A29" w:rsidP="00B15C75">
      <w:pPr>
        <w:rPr>
          <w:rFonts w:ascii="Arial" w:eastAsia="Aptos" w:hAnsi="Arial" w:cs="Arial"/>
        </w:rPr>
      </w:pPr>
      <w:r w:rsidRPr="004370C6">
        <w:rPr>
          <w:rFonts w:ascii="Arial" w:hAnsi="Arial" w:cs="Arial"/>
        </w:rPr>
        <w:t xml:space="preserve">As the Victorian Government seeks another term and candidates from across the political spectrum seek to be elected, Council and community will be actively campaigning for what matters. </w:t>
      </w:r>
    </w:p>
    <w:p w14:paraId="5A8416AD" w14:textId="16431DC8" w:rsidR="22638A29" w:rsidRPr="004370C6" w:rsidRDefault="22638A29" w:rsidP="00B15C75">
      <w:pPr>
        <w:rPr>
          <w:rFonts w:ascii="Arial" w:eastAsia="Aptos" w:hAnsi="Arial" w:cs="Arial"/>
        </w:rPr>
      </w:pPr>
      <w:r w:rsidRPr="004370C6">
        <w:rPr>
          <w:rFonts w:ascii="Arial" w:hAnsi="Arial" w:cs="Arial"/>
        </w:rPr>
        <w:t xml:space="preserve">The </w:t>
      </w:r>
      <w:r w:rsidR="00687A62" w:rsidRPr="004370C6">
        <w:rPr>
          <w:rFonts w:ascii="Arial" w:hAnsi="Arial" w:cs="Arial"/>
        </w:rPr>
        <w:t xml:space="preserve">Advocacy </w:t>
      </w:r>
      <w:r w:rsidRPr="004370C6">
        <w:rPr>
          <w:rFonts w:ascii="Arial" w:hAnsi="Arial" w:cs="Arial"/>
        </w:rPr>
        <w:t>Roadmap highlights eight requests based on evidence of need and adopted Council positions. These were also highlighted in our State Budget Submission 2027 lodged with the Victorian Treasurer and shared with portfolio Ministers and local MPs.</w:t>
      </w:r>
    </w:p>
    <w:p w14:paraId="60F63BCD" w14:textId="1E8B863F" w:rsidR="22638A29" w:rsidRPr="004370C6" w:rsidRDefault="22638A29" w:rsidP="00806B09">
      <w:pPr>
        <w:pStyle w:val="Heading4"/>
        <w:rPr>
          <w:rFonts w:ascii="Arial" w:eastAsia="Aptos" w:hAnsi="Arial" w:cs="Arial"/>
          <w:color w:val="auto"/>
        </w:rPr>
      </w:pPr>
      <w:bookmarkStart w:id="56" w:name="_Toc224732186"/>
      <w:r w:rsidRPr="004370C6">
        <w:rPr>
          <w:rFonts w:ascii="Arial" w:hAnsi="Arial" w:cs="Arial"/>
          <w:color w:val="auto"/>
        </w:rPr>
        <w:t>Advocacy wins this quarter include:</w:t>
      </w:r>
      <w:bookmarkEnd w:id="56"/>
    </w:p>
    <w:p w14:paraId="49934E73" w14:textId="01BBCB20" w:rsidR="22638A29" w:rsidRPr="004370C6" w:rsidRDefault="22638A29" w:rsidP="00E4643C">
      <w:pPr>
        <w:pStyle w:val="ListParagraph"/>
        <w:numPr>
          <w:ilvl w:val="0"/>
          <w:numId w:val="15"/>
        </w:numPr>
        <w:rPr>
          <w:rFonts w:ascii="Arial" w:eastAsia="Aptos" w:hAnsi="Arial" w:cs="Arial"/>
        </w:rPr>
      </w:pPr>
      <w:r w:rsidRPr="004370C6">
        <w:rPr>
          <w:rFonts w:ascii="Arial" w:hAnsi="Arial" w:cs="Arial"/>
        </w:rPr>
        <w:t xml:space="preserve">When cohealth announced the closure of its Collingwood services and the cessation of free GP, pharmacy and counselling services in Fitzroy, Yarra immediately mobilised the community to campaign against this decision. The Mayor has been unrelenting in his advocacy to the State and Federal Governments and cohealth that all current free health services to our most vulnerable people in Collingwood and Fitzroy must continue. The Federal Government is now providing up to $1.5 million to support the continuation of cohealth’s general practice services through to 31 July 2026, the Victorian Government has stopped the closure of pharmacy services, and together both </w:t>
      </w:r>
      <w:r w:rsidRPr="004370C6">
        <w:rPr>
          <w:rFonts w:ascii="Arial" w:hAnsi="Arial" w:cs="Arial"/>
        </w:rPr>
        <w:lastRenderedPageBreak/>
        <w:t>state and federal governments have commissioned an independent review of cohealth's general practice service model, governance and finances.</w:t>
      </w:r>
    </w:p>
    <w:p w14:paraId="59BA9DE9" w14:textId="3E9A641D" w:rsidR="22638A29" w:rsidRPr="004370C6" w:rsidRDefault="22638A29" w:rsidP="00E4643C">
      <w:pPr>
        <w:pStyle w:val="ListParagraph"/>
        <w:numPr>
          <w:ilvl w:val="0"/>
          <w:numId w:val="15"/>
        </w:numPr>
        <w:rPr>
          <w:rFonts w:ascii="Arial" w:eastAsia="Aptos" w:hAnsi="Arial" w:cs="Arial"/>
        </w:rPr>
      </w:pPr>
      <w:r w:rsidRPr="004370C6">
        <w:rPr>
          <w:rFonts w:ascii="Arial" w:hAnsi="Arial" w:cs="Arial"/>
        </w:rPr>
        <w:t>The ‘Better decisions made faster’ Bill 2025 to amend the Planning and Environment Act (1987) has been amended to include affordable housing and climate resilience requirements and establishing a Committee with Council representation to oversee development of new regulations.  Council continues to call on the Victorian Government to ensure communities have a say on decisions that will affect their neighbourhoods.</w:t>
      </w:r>
    </w:p>
    <w:p w14:paraId="76F7429F" w14:textId="3EFA2F60" w:rsidR="22638A29" w:rsidRPr="004370C6" w:rsidRDefault="22638A29" w:rsidP="00E4643C">
      <w:pPr>
        <w:pStyle w:val="ListParagraph"/>
        <w:numPr>
          <w:ilvl w:val="0"/>
          <w:numId w:val="15"/>
        </w:numPr>
        <w:rPr>
          <w:rFonts w:ascii="Arial" w:eastAsia="Aptos" w:hAnsi="Arial" w:cs="Arial"/>
        </w:rPr>
      </w:pPr>
      <w:r w:rsidRPr="004370C6">
        <w:rPr>
          <w:rFonts w:ascii="Arial" w:hAnsi="Arial" w:cs="Arial"/>
        </w:rPr>
        <w:t>The Victorian Government has given Council consent to progress two planning amendments for Cremorne.</w:t>
      </w:r>
    </w:p>
    <w:p w14:paraId="357F74DF" w14:textId="01BC7697" w:rsidR="22638A29" w:rsidRPr="004370C6" w:rsidRDefault="22638A29" w:rsidP="00E4643C">
      <w:pPr>
        <w:pStyle w:val="ListParagraph"/>
        <w:numPr>
          <w:ilvl w:val="0"/>
          <w:numId w:val="15"/>
        </w:numPr>
        <w:rPr>
          <w:rFonts w:ascii="Arial" w:eastAsia="Aptos" w:hAnsi="Arial" w:cs="Arial"/>
        </w:rPr>
      </w:pPr>
      <w:r w:rsidRPr="004370C6">
        <w:rPr>
          <w:rFonts w:ascii="Arial" w:hAnsi="Arial" w:cs="Arial"/>
        </w:rPr>
        <w:t>Two concessions on the Congestion Levy Bill were achieved – a 50 per cent concession for conditional free retail parking spaces and $15 million for local projects that encourage walking and cycling.</w:t>
      </w:r>
    </w:p>
    <w:p w14:paraId="4F4A9A6B" w14:textId="7E301155" w:rsidR="22638A29" w:rsidRPr="004370C6" w:rsidRDefault="22638A29" w:rsidP="00E4643C">
      <w:pPr>
        <w:pStyle w:val="ListParagraph"/>
        <w:numPr>
          <w:ilvl w:val="0"/>
          <w:numId w:val="15"/>
        </w:numPr>
        <w:rPr>
          <w:rFonts w:ascii="Arial" w:eastAsia="Aptos" w:hAnsi="Arial" w:cs="Arial"/>
        </w:rPr>
      </w:pPr>
      <w:r w:rsidRPr="004370C6">
        <w:rPr>
          <w:rFonts w:ascii="Arial" w:hAnsi="Arial" w:cs="Arial"/>
        </w:rPr>
        <w:t>Four community batteries have now been installed in council owned facilities supported through a Victorian Government grant of $398,000.</w:t>
      </w:r>
    </w:p>
    <w:p w14:paraId="029AAD76" w14:textId="3F9AC9CA" w:rsidR="22638A29" w:rsidRPr="004370C6" w:rsidRDefault="22638A29" w:rsidP="00B15C75">
      <w:pPr>
        <w:rPr>
          <w:rFonts w:ascii="Arial" w:eastAsia="Aptos" w:hAnsi="Arial" w:cs="Arial"/>
        </w:rPr>
      </w:pPr>
      <w:r w:rsidRPr="004370C6">
        <w:rPr>
          <w:rFonts w:ascii="Arial" w:hAnsi="Arial" w:cs="Arial"/>
        </w:rPr>
        <w:t>Council lodged submissions to the State Parliamentary Inquiry into Electricity Supply for Electric Vehicles and the Federal Government’s Parliamentary inquiry into the Environment Protection Reform Bill 2025 urging the Committees to adopt recommendations that align with Yarra Council’s commitments to our community and to the natural environment. </w:t>
      </w:r>
    </w:p>
    <w:p w14:paraId="6F4DDEA9" w14:textId="19E7B07A" w:rsidR="00B15C75" w:rsidRPr="004370C6" w:rsidRDefault="22638A29">
      <w:pPr>
        <w:rPr>
          <w:rFonts w:ascii="Arial" w:hAnsi="Arial" w:cs="Arial"/>
        </w:rPr>
      </w:pPr>
      <w:r w:rsidRPr="004370C6">
        <w:rPr>
          <w:rFonts w:ascii="Arial" w:hAnsi="Arial" w:cs="Arial"/>
        </w:rPr>
        <w:t xml:space="preserve">The Mayor has also met with the State Minister for Carers and Volunteers, the hon. Ros Spence, to urge the Victorian Government to increase funding to Neighbourhood Houses, and has contacted the State Minister for Casino, Gambling and Liquor Reform, the hon. Enver Erdogan, to support a request of the Alliance for Gambling to better consult and work with Councils to implement the Pre-commitment and Carded Play gambling reforms. </w:t>
      </w:r>
      <w:r w:rsidR="00B15C75" w:rsidRPr="004370C6">
        <w:rPr>
          <w:rFonts w:ascii="Arial" w:hAnsi="Arial" w:cs="Arial"/>
        </w:rPr>
        <w:br w:type="page"/>
      </w:r>
    </w:p>
    <w:p w14:paraId="0CE5D59D" w14:textId="4C651568" w:rsidR="47B49E73" w:rsidRPr="004370C6" w:rsidRDefault="47B49E73" w:rsidP="00806B09">
      <w:pPr>
        <w:pStyle w:val="Heading3"/>
        <w:rPr>
          <w:rFonts w:ascii="Arial" w:hAnsi="Arial" w:cs="Arial"/>
          <w:color w:val="auto"/>
        </w:rPr>
      </w:pPr>
      <w:bookmarkStart w:id="57" w:name="_Toc224732187"/>
      <w:r w:rsidRPr="004370C6">
        <w:rPr>
          <w:rFonts w:ascii="Arial" w:hAnsi="Arial" w:cs="Arial"/>
          <w:color w:val="auto"/>
        </w:rPr>
        <w:lastRenderedPageBreak/>
        <w:t>Financial Report</w:t>
      </w:r>
      <w:bookmarkEnd w:id="57"/>
      <w:r w:rsidRPr="004370C6">
        <w:rPr>
          <w:rFonts w:ascii="Arial" w:hAnsi="Arial" w:cs="Arial"/>
          <w:color w:val="auto"/>
        </w:rPr>
        <w:t xml:space="preserve"> </w:t>
      </w:r>
    </w:p>
    <w:p w14:paraId="677ACAB9" w14:textId="328CE6DE" w:rsidR="002124C8" w:rsidRPr="004370C6" w:rsidRDefault="002124C8" w:rsidP="00424C10">
      <w:pPr>
        <w:rPr>
          <w:rFonts w:ascii="Arial" w:hAnsi="Arial" w:cs="Arial"/>
          <w:lang w:val="en-AU"/>
        </w:rPr>
      </w:pPr>
      <w:r w:rsidRPr="004370C6">
        <w:rPr>
          <w:rFonts w:ascii="Arial" w:hAnsi="Arial" w:cs="Arial"/>
        </w:rPr>
        <w:t>The quarter two financial position builds on the outcomes of prudent financial management achieved through the careful delivery of the 2025/26 Annual Budget and achievement of the objectives of the Financial Sustainability Strategy. </w:t>
      </w:r>
      <w:r w:rsidRPr="004370C6">
        <w:rPr>
          <w:rFonts w:ascii="Arial" w:hAnsi="Arial" w:cs="Arial"/>
          <w:lang w:val="en-AU"/>
        </w:rPr>
        <w:t> </w:t>
      </w:r>
    </w:p>
    <w:p w14:paraId="6CC0072D" w14:textId="77777777" w:rsidR="002124C8" w:rsidRPr="004370C6" w:rsidRDefault="002124C8" w:rsidP="00424C10">
      <w:pPr>
        <w:rPr>
          <w:rFonts w:ascii="Arial" w:hAnsi="Arial" w:cs="Arial"/>
          <w:lang w:val="en-AU"/>
        </w:rPr>
      </w:pPr>
      <w:r w:rsidRPr="004370C6">
        <w:rPr>
          <w:rFonts w:ascii="Arial" w:hAnsi="Arial" w:cs="Arial"/>
        </w:rPr>
        <w:t>Like all Councils in Victoria, Yarra continues to face serious financial challenges including rising cost pressures, rate capping, cost-shifting from other levels of government and the impact of unprecedented growth on our services and infrastructure.</w:t>
      </w:r>
      <w:r w:rsidRPr="004370C6">
        <w:rPr>
          <w:rFonts w:ascii="Arial" w:hAnsi="Arial" w:cs="Arial"/>
          <w:lang w:val="en-AU"/>
        </w:rPr>
        <w:t> </w:t>
      </w:r>
    </w:p>
    <w:p w14:paraId="1DE03FBD" w14:textId="29F3A71B" w:rsidR="002124C8" w:rsidRPr="004370C6" w:rsidRDefault="002124C8" w:rsidP="00424C10">
      <w:pPr>
        <w:rPr>
          <w:rFonts w:ascii="Arial" w:hAnsi="Arial" w:cs="Arial"/>
          <w:lang w:val="en-AU"/>
        </w:rPr>
      </w:pPr>
      <w:r w:rsidRPr="004370C6">
        <w:rPr>
          <w:rFonts w:ascii="Arial" w:hAnsi="Arial" w:cs="Arial"/>
        </w:rPr>
        <w:t>All Victorian Council’s (and other levels of government) continue to be impacted by escalating contract prices in areas such as infrastructure projects, waste management (landfill levy), information technology, energy and labour prices. These are driven by factors outside the control of local government, and include sustained high prices, supply pressures and competition from state infrastructure initiatives and increasing cost-of-services above the rate of the Consumer Price Index (CPI).</w:t>
      </w:r>
      <w:r w:rsidRPr="004370C6">
        <w:rPr>
          <w:rFonts w:ascii="Arial" w:hAnsi="Arial" w:cs="Arial"/>
          <w:lang w:val="en-AU"/>
        </w:rPr>
        <w:t> </w:t>
      </w:r>
    </w:p>
    <w:p w14:paraId="3EF9E8D6" w14:textId="77777777" w:rsidR="002124C8" w:rsidRPr="004370C6" w:rsidRDefault="002124C8" w:rsidP="00424C10">
      <w:pPr>
        <w:rPr>
          <w:rFonts w:ascii="Arial" w:hAnsi="Arial" w:cs="Arial"/>
          <w:lang w:val="en-AU"/>
        </w:rPr>
      </w:pPr>
      <w:r w:rsidRPr="004370C6">
        <w:rPr>
          <w:rFonts w:ascii="Arial" w:hAnsi="Arial" w:cs="Arial"/>
        </w:rPr>
        <w:t>Despite these challenges, Council continues to work diligently to overcome industry challenges and will continue to implement contemporary approaches to project management, improve financial accountabilities and apply prudent financial management aimed at holding or reducing costs and strengthening its financial position to help improve community outcomes.  </w:t>
      </w:r>
      <w:r w:rsidRPr="004370C6">
        <w:rPr>
          <w:rFonts w:ascii="Arial" w:hAnsi="Arial" w:cs="Arial"/>
          <w:lang w:val="en-AU"/>
        </w:rPr>
        <w:t> </w:t>
      </w:r>
    </w:p>
    <w:p w14:paraId="146635E8" w14:textId="77777777" w:rsidR="002124C8" w:rsidRPr="004370C6" w:rsidRDefault="002124C8" w:rsidP="00424C10">
      <w:pPr>
        <w:rPr>
          <w:rFonts w:ascii="Arial" w:hAnsi="Arial" w:cs="Arial"/>
          <w:lang w:val="en-AU"/>
        </w:rPr>
      </w:pPr>
      <w:r w:rsidRPr="004370C6">
        <w:rPr>
          <w:rFonts w:ascii="Arial" w:hAnsi="Arial" w:cs="Arial"/>
        </w:rPr>
        <w:t>Council has previously reported its challenges in generating enough cash to fund future renewal capital works without borrowing.  There is no change to the overall financial sustainability risk rating as budgeted.</w:t>
      </w:r>
      <w:r w:rsidRPr="004370C6">
        <w:rPr>
          <w:rFonts w:ascii="Arial" w:hAnsi="Arial" w:cs="Arial"/>
          <w:lang w:val="en-AU"/>
        </w:rPr>
        <w:t> </w:t>
      </w:r>
    </w:p>
    <w:p w14:paraId="0DD9E07A" w14:textId="4E3E109F" w:rsidR="002124C8" w:rsidRPr="004370C6" w:rsidRDefault="002124C8" w:rsidP="00424C10">
      <w:pPr>
        <w:rPr>
          <w:rFonts w:ascii="Arial" w:hAnsi="Arial" w:cs="Arial"/>
          <w:lang w:val="en-AU"/>
        </w:rPr>
      </w:pPr>
      <w:r w:rsidRPr="004370C6">
        <w:rPr>
          <w:rFonts w:ascii="Arial" w:hAnsi="Arial" w:cs="Arial"/>
        </w:rPr>
        <w:t>The information and financial reports below outline how Council continues to strengthen its financial sustainability.</w:t>
      </w:r>
      <w:r w:rsidR="00FF41CC" w:rsidRPr="004370C6">
        <w:rPr>
          <w:rFonts w:ascii="Arial" w:hAnsi="Arial" w:cs="Arial"/>
        </w:rPr>
        <w:t xml:space="preserve"> Provided is</w:t>
      </w:r>
      <w:r w:rsidRPr="004370C6">
        <w:rPr>
          <w:rFonts w:ascii="Arial" w:hAnsi="Arial" w:cs="Arial"/>
        </w:rPr>
        <w:t xml:space="preserve"> an overview of the actual results and improvements to the forecast results with comparison against Council’s adopted 2025/26 adopted budget, building on the financial position of three financial years ago.</w:t>
      </w:r>
      <w:r w:rsidRPr="004370C6">
        <w:rPr>
          <w:rFonts w:ascii="Arial" w:hAnsi="Arial" w:cs="Arial"/>
          <w:lang w:val="en-AU"/>
        </w:rPr>
        <w:t> </w:t>
      </w:r>
    </w:p>
    <w:p w14:paraId="7A855BCB" w14:textId="77777777" w:rsidR="002124C8" w:rsidRPr="004370C6" w:rsidRDefault="002124C8" w:rsidP="00194431">
      <w:pPr>
        <w:pStyle w:val="Heading4"/>
        <w:rPr>
          <w:rFonts w:ascii="Arial" w:hAnsi="Arial" w:cs="Arial"/>
          <w:color w:val="auto"/>
        </w:rPr>
      </w:pPr>
      <w:bookmarkStart w:id="58" w:name="_Toc224732188"/>
      <w:r w:rsidRPr="004370C6">
        <w:rPr>
          <w:rFonts w:ascii="Arial" w:hAnsi="Arial" w:cs="Arial"/>
          <w:color w:val="auto"/>
        </w:rPr>
        <w:t>Mid year review</w:t>
      </w:r>
      <w:bookmarkEnd w:id="58"/>
      <w:r w:rsidRPr="004370C6">
        <w:rPr>
          <w:rFonts w:ascii="Arial" w:hAnsi="Arial" w:cs="Arial"/>
          <w:color w:val="auto"/>
        </w:rPr>
        <w:t>  </w:t>
      </w:r>
    </w:p>
    <w:p w14:paraId="691F72C7" w14:textId="7EFCB10A" w:rsidR="002124C8" w:rsidRPr="004370C6" w:rsidRDefault="002124C8" w:rsidP="00424C10">
      <w:pPr>
        <w:rPr>
          <w:rFonts w:ascii="Arial" w:hAnsi="Arial" w:cs="Arial"/>
          <w:lang w:val="en-AU"/>
        </w:rPr>
      </w:pPr>
      <w:r w:rsidRPr="004370C6">
        <w:rPr>
          <w:rFonts w:ascii="Arial" w:hAnsi="Arial" w:cs="Arial"/>
        </w:rPr>
        <w:t>Yarra City Council Financial Sustainability Strategy (FSS), </w:t>
      </w:r>
      <w:r w:rsidR="00227DDE" w:rsidRPr="004370C6">
        <w:rPr>
          <w:rFonts w:ascii="Arial" w:hAnsi="Arial" w:cs="Arial"/>
        </w:rPr>
        <w:t>Strategic</w:t>
      </w:r>
      <w:r w:rsidRPr="004370C6">
        <w:rPr>
          <w:rFonts w:ascii="Arial" w:hAnsi="Arial" w:cs="Arial"/>
        </w:rPr>
        <w:t> lever 6, requires ongoing review of operating costs with the goal of identifying permanent savings.</w:t>
      </w:r>
      <w:r w:rsidRPr="004370C6">
        <w:rPr>
          <w:rFonts w:ascii="Arial" w:hAnsi="Arial" w:cs="Arial"/>
          <w:lang w:val="en-AU"/>
        </w:rPr>
        <w:t> </w:t>
      </w:r>
    </w:p>
    <w:p w14:paraId="76833C31" w14:textId="1B2A370E" w:rsidR="002124C8" w:rsidRPr="004370C6" w:rsidRDefault="002124C8" w:rsidP="00424C10">
      <w:pPr>
        <w:rPr>
          <w:rFonts w:ascii="Arial" w:hAnsi="Arial" w:cs="Arial"/>
          <w:lang w:val="en-AU"/>
        </w:rPr>
      </w:pPr>
      <w:r w:rsidRPr="004370C6">
        <w:rPr>
          <w:rFonts w:ascii="Arial" w:hAnsi="Arial" w:cs="Arial"/>
        </w:rPr>
        <w:t>To achieve the objectives of the FSS, Yarra City Council performs a quarterly forecasting process and includes a CEO led mid-year review process annually.</w:t>
      </w:r>
    </w:p>
    <w:p w14:paraId="23A92654" w14:textId="5C41B17B" w:rsidR="002124C8" w:rsidRPr="004370C6" w:rsidRDefault="002124C8" w:rsidP="00424C10">
      <w:pPr>
        <w:rPr>
          <w:rFonts w:ascii="Arial" w:hAnsi="Arial" w:cs="Arial"/>
          <w:lang w:val="en-AU"/>
        </w:rPr>
      </w:pPr>
      <w:r w:rsidRPr="004370C6">
        <w:rPr>
          <w:rFonts w:ascii="Arial" w:hAnsi="Arial" w:cs="Arial"/>
          <w:lang w:val="en-AU"/>
        </w:rPr>
        <w:t>The results of the mid-year review provide a forecast net surplus of $22.7m, $7.2m greater than the 2025-26 adopted budget of $15.5m and a capital works projection of $35.08m, $2.7m lower than the adopted budget of $38.5m</w:t>
      </w:r>
      <w:r w:rsidR="00227DDE" w:rsidRPr="004370C6">
        <w:rPr>
          <w:rFonts w:ascii="Arial" w:hAnsi="Arial" w:cs="Arial"/>
          <w:lang w:val="en-AU"/>
        </w:rPr>
        <w:t>:</w:t>
      </w:r>
    </w:p>
    <w:p w14:paraId="2B30282D" w14:textId="77777777" w:rsidR="002124C8" w:rsidRPr="004370C6" w:rsidRDefault="002124C8" w:rsidP="00E4643C">
      <w:pPr>
        <w:pStyle w:val="ListParagraph"/>
        <w:numPr>
          <w:ilvl w:val="0"/>
          <w:numId w:val="16"/>
        </w:numPr>
        <w:rPr>
          <w:rFonts w:ascii="Arial" w:hAnsi="Arial" w:cs="Arial"/>
          <w:lang w:val="en-AU"/>
        </w:rPr>
      </w:pPr>
      <w:r w:rsidRPr="004370C6">
        <w:rPr>
          <w:rFonts w:ascii="Arial" w:hAnsi="Arial" w:cs="Arial"/>
        </w:rPr>
        <w:lastRenderedPageBreak/>
        <w:t>Forecast revenue has increased by $1.5m (net).  Forecast increases in statutory fees and fines and user fees of $2.8m plus increases in reimbursements, interest income and disposal of assets of $1.8m have been offset by a reduction in the open space reserve of approximately $2.1m.     </w:t>
      </w:r>
      <w:r w:rsidRPr="004370C6">
        <w:rPr>
          <w:rFonts w:ascii="Arial" w:hAnsi="Arial" w:cs="Arial"/>
          <w:lang w:val="en-AU"/>
        </w:rPr>
        <w:t> </w:t>
      </w:r>
    </w:p>
    <w:p w14:paraId="71822102" w14:textId="77777777" w:rsidR="002124C8" w:rsidRPr="004370C6" w:rsidRDefault="002124C8" w:rsidP="00E4643C">
      <w:pPr>
        <w:pStyle w:val="ListParagraph"/>
        <w:numPr>
          <w:ilvl w:val="0"/>
          <w:numId w:val="16"/>
        </w:numPr>
        <w:rPr>
          <w:rFonts w:ascii="Arial" w:hAnsi="Arial" w:cs="Arial"/>
          <w:lang w:val="en-AU"/>
        </w:rPr>
      </w:pPr>
      <w:r w:rsidRPr="004370C6">
        <w:rPr>
          <w:rFonts w:ascii="Arial" w:hAnsi="Arial" w:cs="Arial"/>
          <w:lang w:val="en-AU"/>
        </w:rPr>
        <w:t>Forecast expenditure has reduced by $5.7m (net).  There have been forecast savings identified by the business in materials and services of $3.9m, largely attributed by a changed information technology environment as a result of the inception of the ERP program.  For example, Co-Plot program $0.796m and reduced  IT business change requests $0.476m.  Employee costs are forecast to be underspend by $1.7m however, there </w:t>
      </w:r>
      <w:r w:rsidRPr="004370C6">
        <w:rPr>
          <w:rFonts w:ascii="Arial" w:hAnsi="Arial" w:cs="Arial"/>
          <w:u w:val="single"/>
          <w:lang w:val="en-AU"/>
        </w:rPr>
        <w:t>may</w:t>
      </w:r>
      <w:r w:rsidRPr="004370C6">
        <w:rPr>
          <w:rFonts w:ascii="Arial" w:hAnsi="Arial" w:cs="Arial"/>
          <w:lang w:val="en-AU"/>
        </w:rPr>
        <w:t> be a further EBA financial impact during 2025-26.   </w:t>
      </w:r>
    </w:p>
    <w:p w14:paraId="283941B0" w14:textId="77777777" w:rsidR="002124C8" w:rsidRPr="004370C6" w:rsidRDefault="002124C8" w:rsidP="00E4643C">
      <w:pPr>
        <w:pStyle w:val="ListParagraph"/>
        <w:numPr>
          <w:ilvl w:val="0"/>
          <w:numId w:val="16"/>
        </w:numPr>
        <w:rPr>
          <w:rFonts w:ascii="Arial" w:hAnsi="Arial" w:cs="Arial"/>
          <w:lang w:val="en-AU"/>
        </w:rPr>
      </w:pPr>
      <w:r w:rsidRPr="004370C6">
        <w:rPr>
          <w:rFonts w:ascii="Arial" w:hAnsi="Arial" w:cs="Arial"/>
          <w:lang w:val="en-AU"/>
        </w:rPr>
        <w:t>Capital works investment has been revised to $35.8m, ($2.7m), largely attributed to:</w:t>
      </w:r>
    </w:p>
    <w:p w14:paraId="3799CF6F" w14:textId="099B84BE" w:rsidR="002124C8" w:rsidRPr="004370C6" w:rsidRDefault="002124C8" w:rsidP="00E4643C">
      <w:pPr>
        <w:pStyle w:val="ListParagraph"/>
        <w:numPr>
          <w:ilvl w:val="0"/>
          <w:numId w:val="16"/>
        </w:numPr>
        <w:rPr>
          <w:rFonts w:ascii="Arial" w:hAnsi="Arial" w:cs="Arial"/>
          <w:lang w:val="en-AU"/>
        </w:rPr>
      </w:pPr>
      <w:r w:rsidRPr="004370C6">
        <w:rPr>
          <w:rFonts w:ascii="Arial" w:hAnsi="Arial" w:cs="Arial"/>
          <w:lang w:val="en-AU"/>
        </w:rPr>
        <w:t xml:space="preserve">the changed project plan and timelines for Brunswick Street Oval $1.9, </w:t>
      </w:r>
    </w:p>
    <w:p w14:paraId="22B7AEA4" w14:textId="32C3376D" w:rsidR="002124C8" w:rsidRPr="004370C6" w:rsidRDefault="004E61A6" w:rsidP="00E4643C">
      <w:pPr>
        <w:pStyle w:val="ListParagraph"/>
        <w:numPr>
          <w:ilvl w:val="0"/>
          <w:numId w:val="16"/>
        </w:numPr>
        <w:rPr>
          <w:rFonts w:ascii="Arial" w:hAnsi="Arial" w:cs="Arial"/>
          <w:lang w:val="en-AU"/>
        </w:rPr>
      </w:pPr>
      <w:r w:rsidRPr="004370C6">
        <w:rPr>
          <w:rFonts w:ascii="Arial" w:hAnsi="Arial" w:cs="Arial"/>
          <w:lang w:val="en-AU"/>
        </w:rPr>
        <w:t>plus,</w:t>
      </w:r>
      <w:r w:rsidR="002124C8" w:rsidRPr="004370C6">
        <w:rPr>
          <w:rFonts w:ascii="Arial" w:hAnsi="Arial" w:cs="Arial"/>
          <w:lang w:val="en-AU"/>
        </w:rPr>
        <w:t xml:space="preserve"> deferral, cancellation or savings of Footpaths and Cycleways of $0.397m.   </w:t>
      </w:r>
    </w:p>
    <w:p w14:paraId="7BB390D5" w14:textId="77777777" w:rsidR="002124C8" w:rsidRPr="004370C6" w:rsidRDefault="002124C8" w:rsidP="00E4643C">
      <w:pPr>
        <w:pStyle w:val="ListParagraph"/>
        <w:numPr>
          <w:ilvl w:val="0"/>
          <w:numId w:val="16"/>
        </w:numPr>
        <w:rPr>
          <w:rFonts w:ascii="Arial" w:hAnsi="Arial" w:cs="Arial"/>
          <w:lang w:val="en-AU"/>
        </w:rPr>
      </w:pPr>
      <w:r w:rsidRPr="004370C6">
        <w:rPr>
          <w:rFonts w:ascii="Arial" w:hAnsi="Arial" w:cs="Arial"/>
          <w:lang w:val="en-AU"/>
        </w:rPr>
        <w:t>Operating Discretionary projects forecast has decreased to $3.2m (adopted budget $3.9m), largely attributed to reductions or cancellation of the following programs: </w:t>
      </w:r>
    </w:p>
    <w:p w14:paraId="32C8319E" w14:textId="77777777" w:rsidR="002124C8" w:rsidRPr="004370C6" w:rsidRDefault="002124C8" w:rsidP="00E4643C">
      <w:pPr>
        <w:pStyle w:val="ListParagraph"/>
        <w:numPr>
          <w:ilvl w:val="0"/>
          <w:numId w:val="17"/>
        </w:numPr>
        <w:rPr>
          <w:rFonts w:ascii="Arial" w:hAnsi="Arial" w:cs="Arial"/>
          <w:lang w:val="en-AU"/>
        </w:rPr>
      </w:pPr>
      <w:r w:rsidRPr="004370C6">
        <w:rPr>
          <w:rFonts w:ascii="Arial" w:hAnsi="Arial" w:cs="Arial"/>
          <w:lang w:val="en-AU"/>
        </w:rPr>
        <w:t>Strategic Planning Agility $0.300m </w:t>
      </w:r>
    </w:p>
    <w:p w14:paraId="45244627" w14:textId="77777777" w:rsidR="002124C8" w:rsidRPr="004370C6" w:rsidRDefault="002124C8" w:rsidP="00E4643C">
      <w:pPr>
        <w:pStyle w:val="ListParagraph"/>
        <w:numPr>
          <w:ilvl w:val="0"/>
          <w:numId w:val="17"/>
        </w:numPr>
        <w:rPr>
          <w:rFonts w:ascii="Arial" w:hAnsi="Arial" w:cs="Arial"/>
          <w:lang w:val="en-AU"/>
        </w:rPr>
      </w:pPr>
      <w:r w:rsidRPr="004370C6">
        <w:rPr>
          <w:rFonts w:ascii="Arial" w:hAnsi="Arial" w:cs="Arial"/>
          <w:lang w:val="en-AU"/>
        </w:rPr>
        <w:t>Richmond Learning Bank (funded by grants received post the budget adoption) $0.135m </w:t>
      </w:r>
    </w:p>
    <w:p w14:paraId="1BA41226" w14:textId="77777777" w:rsidR="002124C8" w:rsidRPr="004370C6" w:rsidRDefault="002124C8" w:rsidP="00E4643C">
      <w:pPr>
        <w:pStyle w:val="ListParagraph"/>
        <w:numPr>
          <w:ilvl w:val="0"/>
          <w:numId w:val="17"/>
        </w:numPr>
        <w:rPr>
          <w:rFonts w:ascii="Arial" w:hAnsi="Arial" w:cs="Arial"/>
          <w:lang w:val="en-AU"/>
        </w:rPr>
      </w:pPr>
      <w:r w:rsidRPr="004370C6">
        <w:rPr>
          <w:rFonts w:ascii="Arial" w:hAnsi="Arial" w:cs="Arial"/>
          <w:lang w:val="en-AU"/>
        </w:rPr>
        <w:t>Rolling program of Road Safety Studes $0.102m </w:t>
      </w:r>
    </w:p>
    <w:p w14:paraId="0058F654" w14:textId="77777777" w:rsidR="002124C8" w:rsidRPr="004370C6" w:rsidRDefault="002124C8" w:rsidP="00E4643C">
      <w:pPr>
        <w:pStyle w:val="ListParagraph"/>
        <w:numPr>
          <w:ilvl w:val="0"/>
          <w:numId w:val="17"/>
        </w:numPr>
        <w:rPr>
          <w:rFonts w:ascii="Arial" w:hAnsi="Arial" w:cs="Arial"/>
          <w:lang w:val="en-AU"/>
        </w:rPr>
      </w:pPr>
      <w:r w:rsidRPr="004370C6">
        <w:rPr>
          <w:rFonts w:ascii="Arial" w:hAnsi="Arial" w:cs="Arial"/>
          <w:lang w:val="en-AU"/>
        </w:rPr>
        <w:t>25/26 Service review $01.50m. </w:t>
      </w:r>
    </w:p>
    <w:p w14:paraId="6FEEA2AB" w14:textId="77777777" w:rsidR="002124C8" w:rsidRPr="004370C6" w:rsidRDefault="002124C8" w:rsidP="001F1DB5">
      <w:pPr>
        <w:rPr>
          <w:rFonts w:ascii="Arial" w:hAnsi="Arial" w:cs="Arial"/>
          <w:lang w:val="en-AU"/>
        </w:rPr>
      </w:pPr>
      <w:r w:rsidRPr="004370C6">
        <w:rPr>
          <w:rFonts w:ascii="Arial" w:hAnsi="Arial" w:cs="Arial"/>
          <w:lang w:val="en-AU"/>
        </w:rPr>
        <w:t> </w:t>
      </w:r>
      <w:r w:rsidRPr="004370C6">
        <w:rPr>
          <w:rFonts w:ascii="Arial" w:hAnsi="Arial" w:cs="Arial"/>
        </w:rPr>
        <w:t>As per Section 97 of the </w:t>
      </w:r>
      <w:r w:rsidRPr="004370C6">
        <w:rPr>
          <w:rFonts w:ascii="Arial" w:hAnsi="Arial" w:cs="Arial"/>
          <w:i/>
          <w:iCs/>
        </w:rPr>
        <w:t>Local Government Act 2020 </w:t>
      </w:r>
      <w:r w:rsidRPr="004370C6">
        <w:rPr>
          <w:rFonts w:ascii="Arial" w:hAnsi="Arial" w:cs="Arial"/>
        </w:rPr>
        <w:t>(the Act), the Chief Executive Officer has determined that a revised budget is not required as none of the criteria of Section 95 the Act for a revised budget have been met.</w:t>
      </w:r>
      <w:r w:rsidRPr="004370C6">
        <w:rPr>
          <w:rFonts w:ascii="Arial" w:hAnsi="Arial" w:cs="Arial"/>
          <w:lang w:val="en-AU"/>
        </w:rPr>
        <w:t> </w:t>
      </w:r>
    </w:p>
    <w:p w14:paraId="6E20D08E" w14:textId="77777777" w:rsidR="00DC63FD" w:rsidRPr="004370C6" w:rsidRDefault="00DC63FD">
      <w:pPr>
        <w:rPr>
          <w:rFonts w:ascii="Arial" w:hAnsi="Arial" w:cs="Arial"/>
        </w:rPr>
      </w:pPr>
      <w:r w:rsidRPr="004370C6">
        <w:rPr>
          <w:rFonts w:ascii="Arial" w:hAnsi="Arial" w:cs="Arial"/>
        </w:rPr>
        <w:br w:type="page"/>
      </w:r>
    </w:p>
    <w:p w14:paraId="2137A988" w14:textId="329A8D05" w:rsidR="002124C8" w:rsidRPr="004370C6" w:rsidRDefault="002124C8" w:rsidP="006164E6">
      <w:pPr>
        <w:pStyle w:val="Heading4"/>
        <w:rPr>
          <w:rFonts w:ascii="Arial" w:hAnsi="Arial" w:cs="Arial"/>
          <w:color w:val="auto"/>
        </w:rPr>
      </w:pPr>
      <w:bookmarkStart w:id="59" w:name="_Toc224732189"/>
      <w:r w:rsidRPr="004370C6">
        <w:rPr>
          <w:rFonts w:ascii="Arial" w:hAnsi="Arial" w:cs="Arial"/>
          <w:color w:val="auto"/>
        </w:rPr>
        <w:lastRenderedPageBreak/>
        <w:t>Quarter Two - Comprehensive Income Statement</w:t>
      </w:r>
      <w:bookmarkEnd w:id="59"/>
      <w:r w:rsidRPr="004370C6">
        <w:rPr>
          <w:rFonts w:ascii="Arial" w:hAnsi="Arial" w:cs="Arial"/>
          <w:color w:val="auto"/>
        </w:rPr>
        <w:t> </w:t>
      </w:r>
    </w:p>
    <w:tbl>
      <w:tblPr>
        <w:tblW w:w="8652" w:type="dxa"/>
        <w:tblLook w:val="04A0" w:firstRow="1" w:lastRow="0" w:firstColumn="1" w:lastColumn="0" w:noHBand="0" w:noVBand="1"/>
      </w:tblPr>
      <w:tblGrid>
        <w:gridCol w:w="2286"/>
        <w:gridCol w:w="1033"/>
        <w:gridCol w:w="12"/>
        <w:gridCol w:w="1033"/>
        <w:gridCol w:w="144"/>
        <w:gridCol w:w="1005"/>
        <w:gridCol w:w="40"/>
        <w:gridCol w:w="825"/>
        <w:gridCol w:w="191"/>
        <w:gridCol w:w="815"/>
        <w:gridCol w:w="50"/>
        <w:gridCol w:w="888"/>
        <w:gridCol w:w="107"/>
        <w:gridCol w:w="926"/>
      </w:tblGrid>
      <w:tr w:rsidR="003C1AB7" w:rsidRPr="004370C6" w14:paraId="2A640EDD" w14:textId="77777777" w:rsidTr="00DC63FD">
        <w:trPr>
          <w:trHeight w:val="230"/>
        </w:trPr>
        <w:tc>
          <w:tcPr>
            <w:tcW w:w="2405" w:type="dxa"/>
            <w:gridSpan w:val="3"/>
            <w:tcBorders>
              <w:top w:val="nil"/>
              <w:left w:val="single" w:sz="4" w:space="0" w:color="auto"/>
              <w:bottom w:val="nil"/>
              <w:right w:val="nil"/>
            </w:tcBorders>
            <w:noWrap/>
            <w:vAlign w:val="bottom"/>
          </w:tcPr>
          <w:p w14:paraId="6661FB7E" w14:textId="77777777" w:rsidR="00FF2E80" w:rsidRPr="004370C6" w:rsidRDefault="00FF2E80" w:rsidP="0097622B">
            <w:pPr>
              <w:spacing w:after="0" w:line="240" w:lineRule="auto"/>
              <w:rPr>
                <w:rFonts w:ascii="Arial" w:eastAsia="Times New Roman" w:hAnsi="Arial" w:cs="Arial"/>
                <w:sz w:val="18"/>
                <w:szCs w:val="18"/>
                <w:lang w:val="en-AU" w:eastAsia="en-AU"/>
              </w:rPr>
            </w:pPr>
          </w:p>
        </w:tc>
        <w:tc>
          <w:tcPr>
            <w:tcW w:w="1080" w:type="dxa"/>
            <w:tcBorders>
              <w:top w:val="nil"/>
              <w:left w:val="nil"/>
              <w:bottom w:val="nil"/>
              <w:right w:val="nil"/>
            </w:tcBorders>
            <w:noWrap/>
            <w:vAlign w:val="bottom"/>
          </w:tcPr>
          <w:p w14:paraId="57F9F10E" w14:textId="13E0FDC1" w:rsidR="00FF2E80" w:rsidRPr="004370C6" w:rsidRDefault="00381C6E" w:rsidP="0097622B">
            <w:pPr>
              <w:spacing w:after="0" w:line="240" w:lineRule="auto"/>
              <w:rPr>
                <w:rFonts w:ascii="Arial" w:eastAsia="Times New Roman" w:hAnsi="Arial" w:cs="Arial"/>
                <w:sz w:val="20"/>
                <w:szCs w:val="20"/>
                <w:lang w:val="en-AU" w:eastAsia="en-AU"/>
              </w:rPr>
            </w:pPr>
            <w:r w:rsidRPr="004370C6">
              <w:rPr>
                <w:rFonts w:ascii="Arial" w:eastAsia="Times New Roman" w:hAnsi="Arial" w:cs="Arial"/>
                <w:sz w:val="20"/>
                <w:szCs w:val="20"/>
                <w:lang w:val="en-AU" w:eastAsia="en-AU"/>
              </w:rPr>
              <w:t>YTD</w:t>
            </w:r>
            <w:r w:rsidR="00EF7CB0" w:rsidRPr="004370C6">
              <w:rPr>
                <w:rFonts w:ascii="Arial" w:eastAsia="Times New Roman" w:hAnsi="Arial" w:cs="Arial"/>
                <w:sz w:val="20"/>
                <w:szCs w:val="20"/>
                <w:lang w:val="en-AU" w:eastAsia="en-AU"/>
              </w:rPr>
              <w:t xml:space="preserve"> Budget</w:t>
            </w:r>
          </w:p>
        </w:tc>
        <w:tc>
          <w:tcPr>
            <w:tcW w:w="1220" w:type="dxa"/>
            <w:gridSpan w:val="3"/>
            <w:tcBorders>
              <w:top w:val="nil"/>
              <w:left w:val="nil"/>
              <w:bottom w:val="nil"/>
              <w:right w:val="nil"/>
            </w:tcBorders>
            <w:noWrap/>
            <w:vAlign w:val="bottom"/>
          </w:tcPr>
          <w:p w14:paraId="2AA18F96" w14:textId="0E50DF52" w:rsidR="00FF2E80" w:rsidRPr="004370C6" w:rsidRDefault="00EF7CB0" w:rsidP="0097622B">
            <w:pPr>
              <w:spacing w:after="0" w:line="240" w:lineRule="auto"/>
              <w:rPr>
                <w:rFonts w:ascii="Arial" w:eastAsia="Times New Roman" w:hAnsi="Arial" w:cs="Arial"/>
                <w:sz w:val="20"/>
                <w:szCs w:val="20"/>
                <w:lang w:val="en-AU" w:eastAsia="en-AU"/>
              </w:rPr>
            </w:pPr>
            <w:r w:rsidRPr="004370C6">
              <w:rPr>
                <w:rFonts w:ascii="Arial" w:eastAsia="Times New Roman" w:hAnsi="Arial" w:cs="Arial"/>
                <w:sz w:val="20"/>
                <w:szCs w:val="20"/>
                <w:lang w:val="en-AU" w:eastAsia="en-AU"/>
              </w:rPr>
              <w:t xml:space="preserve">YTD </w:t>
            </w:r>
            <w:r w:rsidR="00B950E2" w:rsidRPr="004370C6">
              <w:rPr>
                <w:rFonts w:ascii="Arial" w:eastAsia="Times New Roman" w:hAnsi="Arial" w:cs="Arial"/>
                <w:sz w:val="20"/>
                <w:szCs w:val="20"/>
                <w:lang w:val="en-AU" w:eastAsia="en-AU"/>
              </w:rPr>
              <w:t>Actuals</w:t>
            </w:r>
          </w:p>
        </w:tc>
        <w:tc>
          <w:tcPr>
            <w:tcW w:w="1050" w:type="dxa"/>
            <w:gridSpan w:val="2"/>
            <w:tcBorders>
              <w:top w:val="nil"/>
              <w:left w:val="nil"/>
              <w:bottom w:val="nil"/>
              <w:right w:val="nil"/>
            </w:tcBorders>
            <w:noWrap/>
            <w:vAlign w:val="bottom"/>
          </w:tcPr>
          <w:p w14:paraId="130E3DBE" w14:textId="0104A43B" w:rsidR="00FF2E80" w:rsidRPr="004370C6" w:rsidRDefault="001A5BB8" w:rsidP="0097622B">
            <w:pPr>
              <w:spacing w:after="0" w:line="240" w:lineRule="auto"/>
              <w:rPr>
                <w:rFonts w:ascii="Arial" w:eastAsia="Times New Roman" w:hAnsi="Arial" w:cs="Arial"/>
                <w:sz w:val="20"/>
                <w:szCs w:val="20"/>
                <w:lang w:val="en-AU" w:eastAsia="en-AU"/>
              </w:rPr>
            </w:pPr>
            <w:r w:rsidRPr="004370C6">
              <w:rPr>
                <w:rFonts w:ascii="Arial" w:eastAsia="Times New Roman" w:hAnsi="Arial" w:cs="Arial"/>
                <w:sz w:val="20"/>
                <w:szCs w:val="20"/>
                <w:lang w:val="en-AU" w:eastAsia="en-AU"/>
              </w:rPr>
              <w:t>YTD Variance</w:t>
            </w:r>
          </w:p>
        </w:tc>
        <w:tc>
          <w:tcPr>
            <w:tcW w:w="890" w:type="dxa"/>
            <w:gridSpan w:val="2"/>
            <w:tcBorders>
              <w:top w:val="nil"/>
              <w:left w:val="nil"/>
              <w:bottom w:val="nil"/>
              <w:right w:val="nil"/>
            </w:tcBorders>
            <w:noWrap/>
            <w:vAlign w:val="center"/>
          </w:tcPr>
          <w:p w14:paraId="24636A1B" w14:textId="472A67F0" w:rsidR="00FF2E80" w:rsidRPr="004370C6" w:rsidRDefault="00615F98"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Annual budget</w:t>
            </w:r>
          </w:p>
        </w:tc>
        <w:tc>
          <w:tcPr>
            <w:tcW w:w="1040" w:type="dxa"/>
            <w:gridSpan w:val="2"/>
            <w:tcBorders>
              <w:top w:val="nil"/>
              <w:left w:val="nil"/>
              <w:bottom w:val="nil"/>
              <w:right w:val="nil"/>
            </w:tcBorders>
            <w:noWrap/>
            <w:vAlign w:val="center"/>
          </w:tcPr>
          <w:p w14:paraId="14EA5D9C" w14:textId="4E7D6569" w:rsidR="00FF2E80" w:rsidRPr="004370C6" w:rsidRDefault="00A35909"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Annual Forecast</w:t>
            </w:r>
          </w:p>
        </w:tc>
        <w:tc>
          <w:tcPr>
            <w:tcW w:w="967" w:type="dxa"/>
            <w:tcBorders>
              <w:top w:val="nil"/>
              <w:left w:val="nil"/>
              <w:bottom w:val="nil"/>
              <w:right w:val="nil"/>
            </w:tcBorders>
            <w:noWrap/>
            <w:vAlign w:val="bottom"/>
          </w:tcPr>
          <w:p w14:paraId="7E15EE4D" w14:textId="46173DDF" w:rsidR="00FF2E80" w:rsidRPr="004370C6" w:rsidRDefault="006D76C8"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Annual Variance</w:t>
            </w:r>
          </w:p>
        </w:tc>
      </w:tr>
      <w:tr w:rsidR="003C1AB7" w:rsidRPr="004370C6" w14:paraId="3D284CB5" w14:textId="77777777" w:rsidTr="00DC63FD">
        <w:trPr>
          <w:trHeight w:val="230"/>
        </w:trPr>
        <w:tc>
          <w:tcPr>
            <w:tcW w:w="2405" w:type="dxa"/>
            <w:gridSpan w:val="3"/>
            <w:tcBorders>
              <w:top w:val="nil"/>
              <w:left w:val="single" w:sz="4" w:space="0" w:color="auto"/>
              <w:bottom w:val="nil"/>
              <w:right w:val="nil"/>
            </w:tcBorders>
            <w:noWrap/>
            <w:vAlign w:val="bottom"/>
          </w:tcPr>
          <w:p w14:paraId="588F4E40" w14:textId="77777777" w:rsidR="00FF2E80" w:rsidRPr="004370C6" w:rsidRDefault="00FF2E80" w:rsidP="0097622B">
            <w:pPr>
              <w:spacing w:after="0" w:line="240" w:lineRule="auto"/>
              <w:rPr>
                <w:rFonts w:ascii="Arial" w:eastAsia="Times New Roman" w:hAnsi="Arial" w:cs="Arial"/>
                <w:sz w:val="18"/>
                <w:szCs w:val="18"/>
                <w:lang w:val="en-AU" w:eastAsia="en-AU"/>
              </w:rPr>
            </w:pPr>
          </w:p>
        </w:tc>
        <w:tc>
          <w:tcPr>
            <w:tcW w:w="1080" w:type="dxa"/>
            <w:tcBorders>
              <w:top w:val="nil"/>
              <w:left w:val="nil"/>
              <w:bottom w:val="nil"/>
              <w:right w:val="nil"/>
            </w:tcBorders>
            <w:noWrap/>
            <w:vAlign w:val="bottom"/>
          </w:tcPr>
          <w:p w14:paraId="0CB9D82D" w14:textId="15221146" w:rsidR="00FF2E80" w:rsidRPr="004370C6" w:rsidRDefault="000B5DEC" w:rsidP="0097622B">
            <w:pPr>
              <w:spacing w:after="0" w:line="240" w:lineRule="auto"/>
              <w:rPr>
                <w:rFonts w:ascii="Arial" w:eastAsia="Times New Roman" w:hAnsi="Arial" w:cs="Arial"/>
                <w:sz w:val="20"/>
                <w:szCs w:val="20"/>
                <w:lang w:val="en-AU" w:eastAsia="en-AU"/>
              </w:rPr>
            </w:pPr>
            <w:r w:rsidRPr="004370C6">
              <w:rPr>
                <w:rFonts w:ascii="Arial" w:eastAsia="Times New Roman" w:hAnsi="Arial" w:cs="Arial"/>
                <w:sz w:val="20"/>
                <w:szCs w:val="20"/>
                <w:lang w:val="en-AU" w:eastAsia="en-AU"/>
              </w:rPr>
              <w:t>$M</w:t>
            </w:r>
          </w:p>
        </w:tc>
        <w:tc>
          <w:tcPr>
            <w:tcW w:w="1220" w:type="dxa"/>
            <w:gridSpan w:val="3"/>
            <w:tcBorders>
              <w:top w:val="nil"/>
              <w:left w:val="nil"/>
              <w:bottom w:val="nil"/>
              <w:right w:val="nil"/>
            </w:tcBorders>
            <w:noWrap/>
            <w:vAlign w:val="bottom"/>
          </w:tcPr>
          <w:p w14:paraId="50A6F18A" w14:textId="516FDA4C" w:rsidR="00FF2E80" w:rsidRPr="004370C6" w:rsidRDefault="000B5DEC" w:rsidP="0097622B">
            <w:pPr>
              <w:spacing w:after="0" w:line="240" w:lineRule="auto"/>
              <w:rPr>
                <w:rFonts w:ascii="Arial" w:eastAsia="Times New Roman" w:hAnsi="Arial" w:cs="Arial"/>
                <w:sz w:val="20"/>
                <w:szCs w:val="20"/>
                <w:lang w:val="en-AU" w:eastAsia="en-AU"/>
              </w:rPr>
            </w:pPr>
            <w:r w:rsidRPr="004370C6">
              <w:rPr>
                <w:rFonts w:ascii="Arial" w:eastAsia="Times New Roman" w:hAnsi="Arial" w:cs="Arial"/>
                <w:sz w:val="20"/>
                <w:szCs w:val="20"/>
                <w:lang w:val="en-AU" w:eastAsia="en-AU"/>
              </w:rPr>
              <w:t>$M</w:t>
            </w:r>
          </w:p>
        </w:tc>
        <w:tc>
          <w:tcPr>
            <w:tcW w:w="1050" w:type="dxa"/>
            <w:gridSpan w:val="2"/>
            <w:tcBorders>
              <w:top w:val="nil"/>
              <w:left w:val="nil"/>
              <w:bottom w:val="nil"/>
              <w:right w:val="nil"/>
            </w:tcBorders>
            <w:noWrap/>
            <w:vAlign w:val="bottom"/>
          </w:tcPr>
          <w:p w14:paraId="2F8D2801" w14:textId="4B167418" w:rsidR="00FF2E80" w:rsidRPr="004370C6" w:rsidRDefault="000B5DEC" w:rsidP="0097622B">
            <w:pPr>
              <w:spacing w:after="0" w:line="240" w:lineRule="auto"/>
              <w:rPr>
                <w:rFonts w:ascii="Arial" w:eastAsia="Times New Roman" w:hAnsi="Arial" w:cs="Arial"/>
                <w:sz w:val="20"/>
                <w:szCs w:val="20"/>
                <w:lang w:val="en-AU" w:eastAsia="en-AU"/>
              </w:rPr>
            </w:pPr>
            <w:r w:rsidRPr="004370C6">
              <w:rPr>
                <w:rFonts w:ascii="Arial" w:eastAsia="Times New Roman" w:hAnsi="Arial" w:cs="Arial"/>
                <w:sz w:val="20"/>
                <w:szCs w:val="20"/>
                <w:lang w:val="en-AU" w:eastAsia="en-AU"/>
              </w:rPr>
              <w:t>$M</w:t>
            </w:r>
          </w:p>
        </w:tc>
        <w:tc>
          <w:tcPr>
            <w:tcW w:w="890" w:type="dxa"/>
            <w:gridSpan w:val="2"/>
            <w:tcBorders>
              <w:top w:val="nil"/>
              <w:left w:val="nil"/>
              <w:bottom w:val="nil"/>
              <w:right w:val="nil"/>
            </w:tcBorders>
            <w:noWrap/>
            <w:vAlign w:val="center"/>
          </w:tcPr>
          <w:p w14:paraId="55448547" w14:textId="3770986F" w:rsidR="00FF2E80" w:rsidRPr="004370C6" w:rsidRDefault="000B5DEC"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20"/>
                <w:szCs w:val="20"/>
                <w:lang w:val="en-AU" w:eastAsia="en-AU"/>
              </w:rPr>
              <w:t>$M</w:t>
            </w:r>
          </w:p>
        </w:tc>
        <w:tc>
          <w:tcPr>
            <w:tcW w:w="1040" w:type="dxa"/>
            <w:gridSpan w:val="2"/>
            <w:tcBorders>
              <w:top w:val="nil"/>
              <w:left w:val="nil"/>
              <w:bottom w:val="nil"/>
              <w:right w:val="nil"/>
            </w:tcBorders>
            <w:noWrap/>
            <w:vAlign w:val="center"/>
          </w:tcPr>
          <w:p w14:paraId="40B9E99B" w14:textId="75949A63" w:rsidR="00FF2E80" w:rsidRPr="004370C6" w:rsidRDefault="000B5DEC"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20"/>
                <w:szCs w:val="20"/>
                <w:lang w:val="en-AU" w:eastAsia="en-AU"/>
              </w:rPr>
              <w:t>$M</w:t>
            </w:r>
          </w:p>
        </w:tc>
        <w:tc>
          <w:tcPr>
            <w:tcW w:w="967" w:type="dxa"/>
            <w:tcBorders>
              <w:top w:val="nil"/>
              <w:left w:val="nil"/>
              <w:bottom w:val="nil"/>
              <w:right w:val="nil"/>
            </w:tcBorders>
            <w:noWrap/>
            <w:vAlign w:val="bottom"/>
          </w:tcPr>
          <w:p w14:paraId="3743BFF8" w14:textId="60F3AD6B" w:rsidR="00FF2E80" w:rsidRPr="004370C6" w:rsidRDefault="000B5DEC"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20"/>
                <w:szCs w:val="20"/>
                <w:lang w:val="en-AU" w:eastAsia="en-AU"/>
              </w:rPr>
              <w:t>$M</w:t>
            </w:r>
          </w:p>
        </w:tc>
      </w:tr>
      <w:tr w:rsidR="003C1AB7" w:rsidRPr="004370C6" w14:paraId="24ECFFF3" w14:textId="77777777" w:rsidTr="00DC63FD">
        <w:trPr>
          <w:trHeight w:val="230"/>
        </w:trPr>
        <w:tc>
          <w:tcPr>
            <w:tcW w:w="2405" w:type="dxa"/>
            <w:gridSpan w:val="3"/>
            <w:tcBorders>
              <w:top w:val="nil"/>
              <w:left w:val="single" w:sz="4" w:space="0" w:color="auto"/>
              <w:bottom w:val="nil"/>
              <w:right w:val="nil"/>
            </w:tcBorders>
            <w:noWrap/>
            <w:vAlign w:val="bottom"/>
          </w:tcPr>
          <w:p w14:paraId="06BC12E7" w14:textId="01410864" w:rsidR="00FF2E80" w:rsidRPr="004370C6" w:rsidRDefault="00FF2E80" w:rsidP="00FF2E80">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Revenue from ordinary Activities</w:t>
            </w:r>
          </w:p>
        </w:tc>
        <w:tc>
          <w:tcPr>
            <w:tcW w:w="1080" w:type="dxa"/>
            <w:tcBorders>
              <w:top w:val="nil"/>
              <w:left w:val="nil"/>
              <w:bottom w:val="nil"/>
              <w:right w:val="nil"/>
            </w:tcBorders>
            <w:noWrap/>
            <w:vAlign w:val="bottom"/>
          </w:tcPr>
          <w:p w14:paraId="782DD1CD" w14:textId="77777777" w:rsidR="00FF2E80" w:rsidRPr="004370C6" w:rsidRDefault="00FF2E80" w:rsidP="00FF2E80">
            <w:pPr>
              <w:spacing w:after="0" w:line="240" w:lineRule="auto"/>
              <w:rPr>
                <w:rFonts w:ascii="Arial" w:eastAsia="Times New Roman" w:hAnsi="Arial" w:cs="Arial"/>
                <w:sz w:val="20"/>
                <w:szCs w:val="20"/>
                <w:lang w:val="en-AU" w:eastAsia="en-AU"/>
              </w:rPr>
            </w:pPr>
          </w:p>
        </w:tc>
        <w:tc>
          <w:tcPr>
            <w:tcW w:w="1220" w:type="dxa"/>
            <w:gridSpan w:val="3"/>
            <w:tcBorders>
              <w:top w:val="nil"/>
              <w:left w:val="nil"/>
              <w:bottom w:val="nil"/>
              <w:right w:val="nil"/>
            </w:tcBorders>
            <w:noWrap/>
            <w:vAlign w:val="bottom"/>
          </w:tcPr>
          <w:p w14:paraId="10D693EC" w14:textId="77777777" w:rsidR="00FF2E80" w:rsidRPr="004370C6" w:rsidRDefault="00FF2E80" w:rsidP="00FF2E80">
            <w:pPr>
              <w:spacing w:after="0" w:line="240" w:lineRule="auto"/>
              <w:rPr>
                <w:rFonts w:ascii="Arial" w:eastAsia="Times New Roman" w:hAnsi="Arial" w:cs="Arial"/>
                <w:sz w:val="20"/>
                <w:szCs w:val="20"/>
                <w:lang w:val="en-AU" w:eastAsia="en-AU"/>
              </w:rPr>
            </w:pPr>
          </w:p>
        </w:tc>
        <w:tc>
          <w:tcPr>
            <w:tcW w:w="1050" w:type="dxa"/>
            <w:gridSpan w:val="2"/>
            <w:tcBorders>
              <w:top w:val="nil"/>
              <w:left w:val="nil"/>
              <w:bottom w:val="nil"/>
              <w:right w:val="nil"/>
            </w:tcBorders>
            <w:noWrap/>
            <w:vAlign w:val="bottom"/>
          </w:tcPr>
          <w:p w14:paraId="12F56E53" w14:textId="77777777" w:rsidR="00FF2E80" w:rsidRPr="004370C6" w:rsidRDefault="00FF2E80" w:rsidP="00FF2E80">
            <w:pPr>
              <w:spacing w:after="0" w:line="240" w:lineRule="auto"/>
              <w:rPr>
                <w:rFonts w:ascii="Arial" w:eastAsia="Times New Roman" w:hAnsi="Arial" w:cs="Arial"/>
                <w:sz w:val="20"/>
                <w:szCs w:val="20"/>
                <w:lang w:val="en-AU" w:eastAsia="en-AU"/>
              </w:rPr>
            </w:pPr>
          </w:p>
        </w:tc>
        <w:tc>
          <w:tcPr>
            <w:tcW w:w="890" w:type="dxa"/>
            <w:gridSpan w:val="2"/>
            <w:tcBorders>
              <w:top w:val="nil"/>
              <w:left w:val="nil"/>
              <w:bottom w:val="nil"/>
              <w:right w:val="nil"/>
            </w:tcBorders>
            <w:noWrap/>
            <w:vAlign w:val="center"/>
          </w:tcPr>
          <w:p w14:paraId="6C96125C" w14:textId="77777777" w:rsidR="00FF2E80" w:rsidRPr="004370C6" w:rsidRDefault="00FF2E80" w:rsidP="00FF2E80">
            <w:pPr>
              <w:spacing w:after="0" w:line="240" w:lineRule="auto"/>
              <w:rPr>
                <w:rFonts w:ascii="Arial" w:eastAsia="Times New Roman" w:hAnsi="Arial" w:cs="Arial"/>
                <w:sz w:val="18"/>
                <w:szCs w:val="18"/>
                <w:lang w:val="en-AU" w:eastAsia="en-AU"/>
              </w:rPr>
            </w:pPr>
          </w:p>
        </w:tc>
        <w:tc>
          <w:tcPr>
            <w:tcW w:w="1040" w:type="dxa"/>
            <w:gridSpan w:val="2"/>
            <w:tcBorders>
              <w:top w:val="nil"/>
              <w:left w:val="nil"/>
              <w:bottom w:val="nil"/>
              <w:right w:val="nil"/>
            </w:tcBorders>
            <w:noWrap/>
            <w:vAlign w:val="center"/>
          </w:tcPr>
          <w:p w14:paraId="544B33B4" w14:textId="77777777" w:rsidR="00FF2E80" w:rsidRPr="004370C6" w:rsidRDefault="00FF2E80" w:rsidP="00FF2E80">
            <w:pPr>
              <w:spacing w:after="0" w:line="240" w:lineRule="auto"/>
              <w:rPr>
                <w:rFonts w:ascii="Arial" w:eastAsia="Times New Roman" w:hAnsi="Arial" w:cs="Arial"/>
                <w:sz w:val="18"/>
                <w:szCs w:val="18"/>
                <w:lang w:val="en-AU" w:eastAsia="en-AU"/>
              </w:rPr>
            </w:pPr>
          </w:p>
        </w:tc>
        <w:tc>
          <w:tcPr>
            <w:tcW w:w="967" w:type="dxa"/>
            <w:tcBorders>
              <w:top w:val="nil"/>
              <w:left w:val="nil"/>
              <w:bottom w:val="nil"/>
              <w:right w:val="nil"/>
            </w:tcBorders>
            <w:noWrap/>
            <w:vAlign w:val="bottom"/>
          </w:tcPr>
          <w:p w14:paraId="640B69F6" w14:textId="77777777" w:rsidR="00FF2E80" w:rsidRPr="004370C6" w:rsidRDefault="00FF2E80" w:rsidP="00FF2E80">
            <w:pPr>
              <w:spacing w:after="0" w:line="240" w:lineRule="auto"/>
              <w:rPr>
                <w:rFonts w:ascii="Arial" w:eastAsia="Times New Roman" w:hAnsi="Arial" w:cs="Arial"/>
                <w:sz w:val="18"/>
                <w:szCs w:val="18"/>
                <w:lang w:val="en-AU" w:eastAsia="en-AU"/>
              </w:rPr>
            </w:pPr>
          </w:p>
        </w:tc>
      </w:tr>
      <w:tr w:rsidR="003C1AB7" w:rsidRPr="004370C6" w14:paraId="60294D52"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7F109E08"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Rates and charges</w:t>
            </w:r>
          </w:p>
        </w:tc>
        <w:tc>
          <w:tcPr>
            <w:tcW w:w="1080" w:type="dxa"/>
            <w:tcBorders>
              <w:top w:val="nil"/>
              <w:left w:val="nil"/>
              <w:bottom w:val="nil"/>
              <w:right w:val="nil"/>
            </w:tcBorders>
            <w:noWrap/>
            <w:vAlign w:val="center"/>
            <w:hideMark/>
          </w:tcPr>
          <w:p w14:paraId="7760833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145.1 </w:t>
            </w:r>
          </w:p>
        </w:tc>
        <w:tc>
          <w:tcPr>
            <w:tcW w:w="1220" w:type="dxa"/>
            <w:gridSpan w:val="3"/>
            <w:tcBorders>
              <w:top w:val="nil"/>
              <w:left w:val="nil"/>
              <w:bottom w:val="nil"/>
              <w:right w:val="nil"/>
            </w:tcBorders>
            <w:noWrap/>
            <w:vAlign w:val="center"/>
            <w:hideMark/>
          </w:tcPr>
          <w:p w14:paraId="4C95CD5C"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145.3 </w:t>
            </w:r>
          </w:p>
        </w:tc>
        <w:tc>
          <w:tcPr>
            <w:tcW w:w="1050" w:type="dxa"/>
            <w:tcBorders>
              <w:top w:val="nil"/>
              <w:left w:val="nil"/>
              <w:bottom w:val="nil"/>
              <w:right w:val="nil"/>
            </w:tcBorders>
            <w:noWrap/>
            <w:vAlign w:val="center"/>
            <w:hideMark/>
          </w:tcPr>
          <w:p w14:paraId="29F42541"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0.2 </w:t>
            </w:r>
          </w:p>
        </w:tc>
        <w:tc>
          <w:tcPr>
            <w:tcW w:w="890" w:type="dxa"/>
            <w:gridSpan w:val="2"/>
            <w:tcBorders>
              <w:top w:val="nil"/>
              <w:left w:val="nil"/>
              <w:bottom w:val="nil"/>
              <w:right w:val="nil"/>
            </w:tcBorders>
            <w:noWrap/>
            <w:vAlign w:val="center"/>
            <w:hideMark/>
          </w:tcPr>
          <w:p w14:paraId="155AD75D"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146.0 </w:t>
            </w:r>
          </w:p>
        </w:tc>
        <w:tc>
          <w:tcPr>
            <w:tcW w:w="1040" w:type="dxa"/>
            <w:gridSpan w:val="2"/>
            <w:tcBorders>
              <w:top w:val="nil"/>
              <w:left w:val="nil"/>
              <w:bottom w:val="nil"/>
              <w:right w:val="nil"/>
            </w:tcBorders>
            <w:noWrap/>
            <w:vAlign w:val="center"/>
            <w:hideMark/>
          </w:tcPr>
          <w:p w14:paraId="5904B93D"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146.3 </w:t>
            </w:r>
          </w:p>
        </w:tc>
        <w:tc>
          <w:tcPr>
            <w:tcW w:w="967" w:type="dxa"/>
            <w:gridSpan w:val="2"/>
            <w:tcBorders>
              <w:top w:val="nil"/>
              <w:left w:val="nil"/>
              <w:bottom w:val="nil"/>
              <w:right w:val="nil"/>
            </w:tcBorders>
            <w:noWrap/>
            <w:vAlign w:val="center"/>
            <w:hideMark/>
          </w:tcPr>
          <w:p w14:paraId="25434AAE"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0.3 </w:t>
            </w:r>
          </w:p>
        </w:tc>
      </w:tr>
      <w:tr w:rsidR="003C1AB7" w:rsidRPr="004370C6" w14:paraId="56F0B139"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2B883AAD"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Statutory fees and fines</w:t>
            </w:r>
          </w:p>
        </w:tc>
        <w:tc>
          <w:tcPr>
            <w:tcW w:w="1080" w:type="dxa"/>
            <w:tcBorders>
              <w:top w:val="nil"/>
              <w:left w:val="nil"/>
              <w:bottom w:val="nil"/>
              <w:right w:val="nil"/>
            </w:tcBorders>
            <w:noWrap/>
            <w:vAlign w:val="center"/>
            <w:hideMark/>
          </w:tcPr>
          <w:p w14:paraId="3E40C271"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19.3 </w:t>
            </w:r>
          </w:p>
        </w:tc>
        <w:tc>
          <w:tcPr>
            <w:tcW w:w="1220" w:type="dxa"/>
            <w:gridSpan w:val="3"/>
            <w:tcBorders>
              <w:top w:val="nil"/>
              <w:left w:val="nil"/>
              <w:bottom w:val="nil"/>
              <w:right w:val="nil"/>
            </w:tcBorders>
            <w:noWrap/>
            <w:vAlign w:val="center"/>
            <w:hideMark/>
          </w:tcPr>
          <w:p w14:paraId="5570340E"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22.7 </w:t>
            </w:r>
          </w:p>
        </w:tc>
        <w:tc>
          <w:tcPr>
            <w:tcW w:w="1050" w:type="dxa"/>
            <w:tcBorders>
              <w:top w:val="nil"/>
              <w:left w:val="nil"/>
              <w:bottom w:val="nil"/>
              <w:right w:val="nil"/>
            </w:tcBorders>
            <w:noWrap/>
            <w:vAlign w:val="center"/>
            <w:hideMark/>
          </w:tcPr>
          <w:p w14:paraId="4C89D01B"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3.4 </w:t>
            </w:r>
          </w:p>
        </w:tc>
        <w:tc>
          <w:tcPr>
            <w:tcW w:w="890" w:type="dxa"/>
            <w:gridSpan w:val="2"/>
            <w:tcBorders>
              <w:top w:val="nil"/>
              <w:left w:val="nil"/>
              <w:bottom w:val="nil"/>
              <w:right w:val="nil"/>
            </w:tcBorders>
            <w:noWrap/>
            <w:vAlign w:val="center"/>
            <w:hideMark/>
          </w:tcPr>
          <w:p w14:paraId="7A86A1E7"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40.1 </w:t>
            </w:r>
          </w:p>
        </w:tc>
        <w:tc>
          <w:tcPr>
            <w:tcW w:w="1040" w:type="dxa"/>
            <w:gridSpan w:val="2"/>
            <w:tcBorders>
              <w:top w:val="nil"/>
              <w:left w:val="nil"/>
              <w:bottom w:val="nil"/>
              <w:right w:val="nil"/>
            </w:tcBorders>
            <w:noWrap/>
            <w:vAlign w:val="center"/>
            <w:hideMark/>
          </w:tcPr>
          <w:p w14:paraId="19FE13C8"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42.2 </w:t>
            </w:r>
          </w:p>
        </w:tc>
        <w:tc>
          <w:tcPr>
            <w:tcW w:w="967" w:type="dxa"/>
            <w:gridSpan w:val="2"/>
            <w:tcBorders>
              <w:top w:val="nil"/>
              <w:left w:val="nil"/>
              <w:bottom w:val="nil"/>
              <w:right w:val="nil"/>
            </w:tcBorders>
            <w:noWrap/>
            <w:vAlign w:val="center"/>
            <w:hideMark/>
          </w:tcPr>
          <w:p w14:paraId="434992AF"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2.1 </w:t>
            </w:r>
          </w:p>
        </w:tc>
      </w:tr>
      <w:tr w:rsidR="003C1AB7" w:rsidRPr="004370C6" w14:paraId="6D5AD6DE"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6ACBCA1F"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User Fees</w:t>
            </w:r>
          </w:p>
        </w:tc>
        <w:tc>
          <w:tcPr>
            <w:tcW w:w="1080" w:type="dxa"/>
            <w:tcBorders>
              <w:top w:val="nil"/>
              <w:left w:val="nil"/>
              <w:bottom w:val="nil"/>
              <w:right w:val="nil"/>
            </w:tcBorders>
            <w:noWrap/>
            <w:vAlign w:val="center"/>
            <w:hideMark/>
          </w:tcPr>
          <w:p w14:paraId="0F82FC1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18.2 </w:t>
            </w:r>
          </w:p>
        </w:tc>
        <w:tc>
          <w:tcPr>
            <w:tcW w:w="1220" w:type="dxa"/>
            <w:gridSpan w:val="3"/>
            <w:tcBorders>
              <w:top w:val="nil"/>
              <w:left w:val="nil"/>
              <w:bottom w:val="nil"/>
              <w:right w:val="nil"/>
            </w:tcBorders>
            <w:noWrap/>
            <w:vAlign w:val="center"/>
            <w:hideMark/>
          </w:tcPr>
          <w:p w14:paraId="2F0D959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19.2 </w:t>
            </w:r>
          </w:p>
        </w:tc>
        <w:tc>
          <w:tcPr>
            <w:tcW w:w="1050" w:type="dxa"/>
            <w:tcBorders>
              <w:top w:val="nil"/>
              <w:left w:val="nil"/>
              <w:bottom w:val="nil"/>
              <w:right w:val="nil"/>
            </w:tcBorders>
            <w:noWrap/>
            <w:vAlign w:val="center"/>
            <w:hideMark/>
          </w:tcPr>
          <w:p w14:paraId="37305ACF"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1.0 </w:t>
            </w:r>
          </w:p>
        </w:tc>
        <w:tc>
          <w:tcPr>
            <w:tcW w:w="890" w:type="dxa"/>
            <w:gridSpan w:val="2"/>
            <w:tcBorders>
              <w:top w:val="nil"/>
              <w:left w:val="nil"/>
              <w:bottom w:val="nil"/>
              <w:right w:val="nil"/>
            </w:tcBorders>
            <w:noWrap/>
            <w:vAlign w:val="center"/>
            <w:hideMark/>
          </w:tcPr>
          <w:p w14:paraId="278D0052"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34.1 </w:t>
            </w:r>
          </w:p>
        </w:tc>
        <w:tc>
          <w:tcPr>
            <w:tcW w:w="1040" w:type="dxa"/>
            <w:gridSpan w:val="2"/>
            <w:tcBorders>
              <w:top w:val="nil"/>
              <w:left w:val="nil"/>
              <w:bottom w:val="nil"/>
              <w:right w:val="nil"/>
            </w:tcBorders>
            <w:noWrap/>
            <w:vAlign w:val="center"/>
            <w:hideMark/>
          </w:tcPr>
          <w:p w14:paraId="6752067B"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34.8 </w:t>
            </w:r>
          </w:p>
        </w:tc>
        <w:tc>
          <w:tcPr>
            <w:tcW w:w="967" w:type="dxa"/>
            <w:gridSpan w:val="2"/>
            <w:tcBorders>
              <w:top w:val="nil"/>
              <w:left w:val="nil"/>
              <w:bottom w:val="nil"/>
              <w:right w:val="nil"/>
            </w:tcBorders>
            <w:noWrap/>
            <w:vAlign w:val="center"/>
            <w:hideMark/>
          </w:tcPr>
          <w:p w14:paraId="50CF7B78"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0.7 </w:t>
            </w:r>
          </w:p>
        </w:tc>
      </w:tr>
      <w:tr w:rsidR="003C1AB7" w:rsidRPr="004370C6" w14:paraId="019095E0"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50F1E999"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Grants - Operating</w:t>
            </w:r>
          </w:p>
        </w:tc>
        <w:tc>
          <w:tcPr>
            <w:tcW w:w="1080" w:type="dxa"/>
            <w:tcBorders>
              <w:top w:val="nil"/>
              <w:left w:val="nil"/>
              <w:bottom w:val="nil"/>
              <w:right w:val="nil"/>
            </w:tcBorders>
            <w:noWrap/>
            <w:vAlign w:val="center"/>
            <w:hideMark/>
          </w:tcPr>
          <w:p w14:paraId="47EE16A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10.0 </w:t>
            </w:r>
          </w:p>
        </w:tc>
        <w:tc>
          <w:tcPr>
            <w:tcW w:w="1220" w:type="dxa"/>
            <w:gridSpan w:val="3"/>
            <w:tcBorders>
              <w:top w:val="nil"/>
              <w:left w:val="nil"/>
              <w:bottom w:val="nil"/>
              <w:right w:val="nil"/>
            </w:tcBorders>
            <w:noWrap/>
            <w:vAlign w:val="center"/>
            <w:hideMark/>
          </w:tcPr>
          <w:p w14:paraId="13E6D97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8.8 </w:t>
            </w:r>
          </w:p>
        </w:tc>
        <w:tc>
          <w:tcPr>
            <w:tcW w:w="1050" w:type="dxa"/>
            <w:tcBorders>
              <w:top w:val="nil"/>
              <w:left w:val="nil"/>
              <w:bottom w:val="nil"/>
              <w:right w:val="nil"/>
            </w:tcBorders>
            <w:noWrap/>
            <w:vAlign w:val="center"/>
            <w:hideMark/>
          </w:tcPr>
          <w:p w14:paraId="1A313579"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(1.2)</w:t>
            </w:r>
          </w:p>
        </w:tc>
        <w:tc>
          <w:tcPr>
            <w:tcW w:w="890" w:type="dxa"/>
            <w:gridSpan w:val="2"/>
            <w:tcBorders>
              <w:top w:val="nil"/>
              <w:left w:val="nil"/>
              <w:bottom w:val="nil"/>
              <w:right w:val="nil"/>
            </w:tcBorders>
            <w:noWrap/>
            <w:vAlign w:val="center"/>
            <w:hideMark/>
          </w:tcPr>
          <w:p w14:paraId="7A1CA1B3"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17.4 </w:t>
            </w:r>
          </w:p>
        </w:tc>
        <w:tc>
          <w:tcPr>
            <w:tcW w:w="1040" w:type="dxa"/>
            <w:gridSpan w:val="2"/>
            <w:tcBorders>
              <w:top w:val="nil"/>
              <w:left w:val="nil"/>
              <w:bottom w:val="nil"/>
              <w:right w:val="nil"/>
            </w:tcBorders>
            <w:noWrap/>
            <w:vAlign w:val="center"/>
            <w:hideMark/>
          </w:tcPr>
          <w:p w14:paraId="37743B4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16.9 </w:t>
            </w:r>
          </w:p>
        </w:tc>
        <w:tc>
          <w:tcPr>
            <w:tcW w:w="967" w:type="dxa"/>
            <w:gridSpan w:val="2"/>
            <w:tcBorders>
              <w:top w:val="nil"/>
              <w:left w:val="nil"/>
              <w:bottom w:val="nil"/>
              <w:right w:val="nil"/>
            </w:tcBorders>
            <w:noWrap/>
            <w:vAlign w:val="center"/>
            <w:hideMark/>
          </w:tcPr>
          <w:p w14:paraId="0111DD6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(0.6)</w:t>
            </w:r>
          </w:p>
        </w:tc>
      </w:tr>
      <w:tr w:rsidR="003C1AB7" w:rsidRPr="004370C6" w14:paraId="46E8DB9A"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22D25841"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Grants - Capital</w:t>
            </w:r>
          </w:p>
        </w:tc>
        <w:tc>
          <w:tcPr>
            <w:tcW w:w="1080" w:type="dxa"/>
            <w:tcBorders>
              <w:top w:val="nil"/>
              <w:left w:val="nil"/>
              <w:bottom w:val="nil"/>
              <w:right w:val="nil"/>
            </w:tcBorders>
            <w:noWrap/>
            <w:vAlign w:val="center"/>
            <w:hideMark/>
          </w:tcPr>
          <w:p w14:paraId="12F26F63"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2.0 </w:t>
            </w:r>
          </w:p>
        </w:tc>
        <w:tc>
          <w:tcPr>
            <w:tcW w:w="1220" w:type="dxa"/>
            <w:gridSpan w:val="3"/>
            <w:tcBorders>
              <w:top w:val="nil"/>
              <w:left w:val="nil"/>
              <w:bottom w:val="nil"/>
              <w:right w:val="nil"/>
            </w:tcBorders>
            <w:noWrap/>
            <w:vAlign w:val="center"/>
            <w:hideMark/>
          </w:tcPr>
          <w:p w14:paraId="79A7E847"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1.5 </w:t>
            </w:r>
          </w:p>
        </w:tc>
        <w:tc>
          <w:tcPr>
            <w:tcW w:w="1050" w:type="dxa"/>
            <w:tcBorders>
              <w:top w:val="nil"/>
              <w:left w:val="nil"/>
              <w:bottom w:val="nil"/>
              <w:right w:val="nil"/>
            </w:tcBorders>
            <w:noWrap/>
            <w:vAlign w:val="center"/>
            <w:hideMark/>
          </w:tcPr>
          <w:p w14:paraId="3986D84A"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(0.5)</w:t>
            </w:r>
          </w:p>
        </w:tc>
        <w:tc>
          <w:tcPr>
            <w:tcW w:w="890" w:type="dxa"/>
            <w:gridSpan w:val="2"/>
            <w:tcBorders>
              <w:top w:val="nil"/>
              <w:left w:val="nil"/>
              <w:bottom w:val="nil"/>
              <w:right w:val="nil"/>
            </w:tcBorders>
            <w:noWrap/>
            <w:vAlign w:val="center"/>
            <w:hideMark/>
          </w:tcPr>
          <w:p w14:paraId="60E951D8"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9.1 </w:t>
            </w:r>
          </w:p>
        </w:tc>
        <w:tc>
          <w:tcPr>
            <w:tcW w:w="1040" w:type="dxa"/>
            <w:gridSpan w:val="2"/>
            <w:tcBorders>
              <w:top w:val="nil"/>
              <w:left w:val="nil"/>
              <w:bottom w:val="nil"/>
              <w:right w:val="nil"/>
            </w:tcBorders>
            <w:noWrap/>
            <w:vAlign w:val="center"/>
            <w:hideMark/>
          </w:tcPr>
          <w:p w14:paraId="71F5AA4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9.8 </w:t>
            </w:r>
          </w:p>
        </w:tc>
        <w:tc>
          <w:tcPr>
            <w:tcW w:w="967" w:type="dxa"/>
            <w:gridSpan w:val="2"/>
            <w:tcBorders>
              <w:top w:val="nil"/>
              <w:left w:val="nil"/>
              <w:bottom w:val="nil"/>
              <w:right w:val="nil"/>
            </w:tcBorders>
            <w:noWrap/>
            <w:vAlign w:val="center"/>
            <w:hideMark/>
          </w:tcPr>
          <w:p w14:paraId="789150D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0.7 </w:t>
            </w:r>
          </w:p>
        </w:tc>
      </w:tr>
      <w:tr w:rsidR="003C1AB7" w:rsidRPr="004370C6" w14:paraId="6B80F31C"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6E3D737E"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Contributions - Other monetary</w:t>
            </w:r>
          </w:p>
        </w:tc>
        <w:tc>
          <w:tcPr>
            <w:tcW w:w="1080" w:type="dxa"/>
            <w:tcBorders>
              <w:top w:val="nil"/>
              <w:left w:val="nil"/>
              <w:bottom w:val="nil"/>
              <w:right w:val="nil"/>
            </w:tcBorders>
            <w:noWrap/>
            <w:vAlign w:val="center"/>
            <w:hideMark/>
          </w:tcPr>
          <w:p w14:paraId="6617A16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3.4 </w:t>
            </w:r>
          </w:p>
        </w:tc>
        <w:tc>
          <w:tcPr>
            <w:tcW w:w="1220" w:type="dxa"/>
            <w:gridSpan w:val="3"/>
            <w:tcBorders>
              <w:top w:val="nil"/>
              <w:left w:val="nil"/>
              <w:bottom w:val="nil"/>
              <w:right w:val="nil"/>
            </w:tcBorders>
            <w:noWrap/>
            <w:vAlign w:val="center"/>
            <w:hideMark/>
          </w:tcPr>
          <w:p w14:paraId="33979A2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0.9 </w:t>
            </w:r>
          </w:p>
        </w:tc>
        <w:tc>
          <w:tcPr>
            <w:tcW w:w="1050" w:type="dxa"/>
            <w:tcBorders>
              <w:top w:val="nil"/>
              <w:left w:val="nil"/>
              <w:bottom w:val="nil"/>
              <w:right w:val="nil"/>
            </w:tcBorders>
            <w:noWrap/>
            <w:vAlign w:val="center"/>
            <w:hideMark/>
          </w:tcPr>
          <w:p w14:paraId="5A008FD2"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(2.5)</w:t>
            </w:r>
          </w:p>
        </w:tc>
        <w:tc>
          <w:tcPr>
            <w:tcW w:w="890" w:type="dxa"/>
            <w:gridSpan w:val="2"/>
            <w:tcBorders>
              <w:top w:val="nil"/>
              <w:left w:val="nil"/>
              <w:bottom w:val="nil"/>
              <w:right w:val="nil"/>
            </w:tcBorders>
            <w:noWrap/>
            <w:vAlign w:val="center"/>
            <w:hideMark/>
          </w:tcPr>
          <w:p w14:paraId="54D9237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6.7 </w:t>
            </w:r>
          </w:p>
        </w:tc>
        <w:tc>
          <w:tcPr>
            <w:tcW w:w="1040" w:type="dxa"/>
            <w:gridSpan w:val="2"/>
            <w:tcBorders>
              <w:top w:val="nil"/>
              <w:left w:val="nil"/>
              <w:bottom w:val="nil"/>
              <w:right w:val="nil"/>
            </w:tcBorders>
            <w:noWrap/>
            <w:vAlign w:val="center"/>
            <w:hideMark/>
          </w:tcPr>
          <w:p w14:paraId="2932343E"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3.1 </w:t>
            </w:r>
          </w:p>
        </w:tc>
        <w:tc>
          <w:tcPr>
            <w:tcW w:w="967" w:type="dxa"/>
            <w:gridSpan w:val="2"/>
            <w:tcBorders>
              <w:top w:val="nil"/>
              <w:left w:val="nil"/>
              <w:bottom w:val="nil"/>
              <w:right w:val="nil"/>
            </w:tcBorders>
            <w:noWrap/>
            <w:vAlign w:val="center"/>
            <w:hideMark/>
          </w:tcPr>
          <w:p w14:paraId="060B0837"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(3.6)</w:t>
            </w:r>
          </w:p>
        </w:tc>
      </w:tr>
      <w:tr w:rsidR="003C1AB7" w:rsidRPr="004370C6" w14:paraId="5DACC6E4"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4CFB6D1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Reimbursements</w:t>
            </w:r>
          </w:p>
        </w:tc>
        <w:tc>
          <w:tcPr>
            <w:tcW w:w="1080" w:type="dxa"/>
            <w:tcBorders>
              <w:top w:val="nil"/>
              <w:left w:val="nil"/>
              <w:bottom w:val="nil"/>
              <w:right w:val="nil"/>
            </w:tcBorders>
            <w:noWrap/>
            <w:vAlign w:val="center"/>
            <w:hideMark/>
          </w:tcPr>
          <w:p w14:paraId="3969C30D"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0.1 </w:t>
            </w:r>
          </w:p>
        </w:tc>
        <w:tc>
          <w:tcPr>
            <w:tcW w:w="1220" w:type="dxa"/>
            <w:gridSpan w:val="3"/>
            <w:tcBorders>
              <w:top w:val="nil"/>
              <w:left w:val="nil"/>
              <w:bottom w:val="nil"/>
              <w:right w:val="nil"/>
            </w:tcBorders>
            <w:noWrap/>
            <w:vAlign w:val="center"/>
            <w:hideMark/>
          </w:tcPr>
          <w:p w14:paraId="296CA31D"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0.6 </w:t>
            </w:r>
          </w:p>
        </w:tc>
        <w:tc>
          <w:tcPr>
            <w:tcW w:w="1050" w:type="dxa"/>
            <w:tcBorders>
              <w:top w:val="nil"/>
              <w:left w:val="nil"/>
              <w:bottom w:val="nil"/>
              <w:right w:val="nil"/>
            </w:tcBorders>
            <w:noWrap/>
            <w:vAlign w:val="center"/>
            <w:hideMark/>
          </w:tcPr>
          <w:p w14:paraId="47BA5DC3"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0.4 </w:t>
            </w:r>
          </w:p>
        </w:tc>
        <w:tc>
          <w:tcPr>
            <w:tcW w:w="890" w:type="dxa"/>
            <w:gridSpan w:val="2"/>
            <w:tcBorders>
              <w:top w:val="nil"/>
              <w:left w:val="nil"/>
              <w:bottom w:val="nil"/>
              <w:right w:val="nil"/>
            </w:tcBorders>
            <w:noWrap/>
            <w:vAlign w:val="center"/>
            <w:hideMark/>
          </w:tcPr>
          <w:p w14:paraId="00FB0C33"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0.3 </w:t>
            </w:r>
          </w:p>
        </w:tc>
        <w:tc>
          <w:tcPr>
            <w:tcW w:w="1040" w:type="dxa"/>
            <w:gridSpan w:val="2"/>
            <w:tcBorders>
              <w:top w:val="nil"/>
              <w:left w:val="nil"/>
              <w:bottom w:val="nil"/>
              <w:right w:val="nil"/>
            </w:tcBorders>
            <w:noWrap/>
            <w:vAlign w:val="center"/>
            <w:hideMark/>
          </w:tcPr>
          <w:p w14:paraId="3A0FBB0C"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0.9 </w:t>
            </w:r>
          </w:p>
        </w:tc>
        <w:tc>
          <w:tcPr>
            <w:tcW w:w="967" w:type="dxa"/>
            <w:gridSpan w:val="2"/>
            <w:tcBorders>
              <w:top w:val="nil"/>
              <w:left w:val="nil"/>
              <w:bottom w:val="nil"/>
              <w:right w:val="nil"/>
            </w:tcBorders>
            <w:noWrap/>
            <w:vAlign w:val="center"/>
            <w:hideMark/>
          </w:tcPr>
          <w:p w14:paraId="08878FE2"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0.6 </w:t>
            </w:r>
          </w:p>
        </w:tc>
      </w:tr>
      <w:tr w:rsidR="003C1AB7" w:rsidRPr="004370C6" w14:paraId="0357D694"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48570879"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Other Income</w:t>
            </w:r>
          </w:p>
        </w:tc>
        <w:tc>
          <w:tcPr>
            <w:tcW w:w="1080" w:type="dxa"/>
            <w:tcBorders>
              <w:top w:val="nil"/>
              <w:left w:val="nil"/>
              <w:bottom w:val="nil"/>
              <w:right w:val="nil"/>
            </w:tcBorders>
            <w:noWrap/>
            <w:vAlign w:val="center"/>
            <w:hideMark/>
          </w:tcPr>
          <w:p w14:paraId="11E0B252"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1.9 </w:t>
            </w:r>
          </w:p>
        </w:tc>
        <w:tc>
          <w:tcPr>
            <w:tcW w:w="1220" w:type="dxa"/>
            <w:gridSpan w:val="3"/>
            <w:tcBorders>
              <w:top w:val="nil"/>
              <w:left w:val="nil"/>
              <w:bottom w:val="nil"/>
              <w:right w:val="nil"/>
            </w:tcBorders>
            <w:noWrap/>
            <w:vAlign w:val="center"/>
            <w:hideMark/>
          </w:tcPr>
          <w:p w14:paraId="7425BBF1"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3.2 </w:t>
            </w:r>
          </w:p>
        </w:tc>
        <w:tc>
          <w:tcPr>
            <w:tcW w:w="1050" w:type="dxa"/>
            <w:tcBorders>
              <w:top w:val="nil"/>
              <w:left w:val="nil"/>
              <w:bottom w:val="nil"/>
              <w:right w:val="nil"/>
            </w:tcBorders>
            <w:noWrap/>
            <w:vAlign w:val="center"/>
            <w:hideMark/>
          </w:tcPr>
          <w:p w14:paraId="66A809AE"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 </w:t>
            </w:r>
          </w:p>
        </w:tc>
        <w:tc>
          <w:tcPr>
            <w:tcW w:w="890" w:type="dxa"/>
            <w:gridSpan w:val="2"/>
            <w:tcBorders>
              <w:top w:val="nil"/>
              <w:left w:val="nil"/>
              <w:bottom w:val="nil"/>
              <w:right w:val="nil"/>
            </w:tcBorders>
            <w:noWrap/>
            <w:vAlign w:val="center"/>
            <w:hideMark/>
          </w:tcPr>
          <w:p w14:paraId="20EED7A3"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3.7 </w:t>
            </w:r>
          </w:p>
        </w:tc>
        <w:tc>
          <w:tcPr>
            <w:tcW w:w="1040" w:type="dxa"/>
            <w:gridSpan w:val="2"/>
            <w:tcBorders>
              <w:top w:val="nil"/>
              <w:left w:val="nil"/>
              <w:bottom w:val="nil"/>
              <w:right w:val="nil"/>
            </w:tcBorders>
            <w:noWrap/>
            <w:vAlign w:val="center"/>
            <w:hideMark/>
          </w:tcPr>
          <w:p w14:paraId="05D33ED7"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4.3 </w:t>
            </w:r>
          </w:p>
        </w:tc>
        <w:tc>
          <w:tcPr>
            <w:tcW w:w="967" w:type="dxa"/>
            <w:gridSpan w:val="2"/>
            <w:tcBorders>
              <w:top w:val="nil"/>
              <w:left w:val="nil"/>
              <w:bottom w:val="nil"/>
              <w:right w:val="nil"/>
            </w:tcBorders>
            <w:noWrap/>
            <w:vAlign w:val="center"/>
            <w:hideMark/>
          </w:tcPr>
          <w:p w14:paraId="141E818B"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0.6 </w:t>
            </w:r>
          </w:p>
        </w:tc>
      </w:tr>
      <w:tr w:rsidR="003C1AB7" w:rsidRPr="004370C6" w14:paraId="514C8494"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5BCF96D9"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Net gain/(loss) on disposal</w:t>
            </w:r>
          </w:p>
        </w:tc>
        <w:tc>
          <w:tcPr>
            <w:tcW w:w="1080" w:type="dxa"/>
            <w:tcBorders>
              <w:top w:val="nil"/>
              <w:left w:val="nil"/>
              <w:bottom w:val="single" w:sz="4" w:space="0" w:color="auto"/>
              <w:right w:val="nil"/>
            </w:tcBorders>
            <w:noWrap/>
            <w:vAlign w:val="center"/>
            <w:hideMark/>
          </w:tcPr>
          <w:p w14:paraId="7ADD06CC"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0.0 </w:t>
            </w:r>
          </w:p>
        </w:tc>
        <w:tc>
          <w:tcPr>
            <w:tcW w:w="1220" w:type="dxa"/>
            <w:gridSpan w:val="3"/>
            <w:tcBorders>
              <w:top w:val="nil"/>
              <w:left w:val="nil"/>
              <w:bottom w:val="single" w:sz="4" w:space="0" w:color="auto"/>
              <w:right w:val="nil"/>
            </w:tcBorders>
            <w:noWrap/>
            <w:vAlign w:val="center"/>
            <w:hideMark/>
          </w:tcPr>
          <w:p w14:paraId="0C5AB11B"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1.0 </w:t>
            </w:r>
          </w:p>
        </w:tc>
        <w:tc>
          <w:tcPr>
            <w:tcW w:w="1050" w:type="dxa"/>
            <w:tcBorders>
              <w:top w:val="nil"/>
              <w:left w:val="nil"/>
              <w:bottom w:val="single" w:sz="4" w:space="0" w:color="auto"/>
              <w:right w:val="nil"/>
            </w:tcBorders>
            <w:noWrap/>
            <w:vAlign w:val="center"/>
            <w:hideMark/>
          </w:tcPr>
          <w:p w14:paraId="0E4908FE"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0.9 </w:t>
            </w:r>
          </w:p>
        </w:tc>
        <w:tc>
          <w:tcPr>
            <w:tcW w:w="890" w:type="dxa"/>
            <w:gridSpan w:val="2"/>
            <w:tcBorders>
              <w:top w:val="nil"/>
              <w:left w:val="nil"/>
              <w:bottom w:val="single" w:sz="4" w:space="0" w:color="auto"/>
              <w:right w:val="nil"/>
            </w:tcBorders>
            <w:noWrap/>
            <w:vAlign w:val="center"/>
            <w:hideMark/>
          </w:tcPr>
          <w:p w14:paraId="1E9DE401"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0.1 </w:t>
            </w:r>
          </w:p>
        </w:tc>
        <w:tc>
          <w:tcPr>
            <w:tcW w:w="1040" w:type="dxa"/>
            <w:gridSpan w:val="2"/>
            <w:tcBorders>
              <w:top w:val="nil"/>
              <w:left w:val="nil"/>
              <w:bottom w:val="single" w:sz="4" w:space="0" w:color="auto"/>
              <w:right w:val="nil"/>
            </w:tcBorders>
            <w:noWrap/>
            <w:vAlign w:val="center"/>
            <w:hideMark/>
          </w:tcPr>
          <w:p w14:paraId="2A40B81B"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0.7 </w:t>
            </w:r>
          </w:p>
        </w:tc>
        <w:tc>
          <w:tcPr>
            <w:tcW w:w="967" w:type="dxa"/>
            <w:gridSpan w:val="2"/>
            <w:tcBorders>
              <w:top w:val="nil"/>
              <w:left w:val="nil"/>
              <w:bottom w:val="single" w:sz="4" w:space="0" w:color="auto"/>
              <w:right w:val="nil"/>
            </w:tcBorders>
            <w:noWrap/>
            <w:vAlign w:val="center"/>
            <w:hideMark/>
          </w:tcPr>
          <w:p w14:paraId="0FE3B11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0.6 </w:t>
            </w:r>
          </w:p>
        </w:tc>
      </w:tr>
      <w:tr w:rsidR="003C1AB7" w:rsidRPr="004370C6" w14:paraId="548CBE9B"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7F86FDC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Total Revenue</w:t>
            </w:r>
          </w:p>
        </w:tc>
        <w:tc>
          <w:tcPr>
            <w:tcW w:w="1080" w:type="dxa"/>
            <w:tcBorders>
              <w:top w:val="nil"/>
              <w:left w:val="nil"/>
              <w:bottom w:val="nil"/>
              <w:right w:val="nil"/>
            </w:tcBorders>
            <w:noWrap/>
            <w:vAlign w:val="bottom"/>
            <w:hideMark/>
          </w:tcPr>
          <w:p w14:paraId="5C30877A"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200.1 </w:t>
            </w:r>
          </w:p>
        </w:tc>
        <w:tc>
          <w:tcPr>
            <w:tcW w:w="1220" w:type="dxa"/>
            <w:gridSpan w:val="3"/>
            <w:tcBorders>
              <w:top w:val="nil"/>
              <w:left w:val="nil"/>
              <w:bottom w:val="nil"/>
              <w:right w:val="nil"/>
            </w:tcBorders>
            <w:noWrap/>
            <w:vAlign w:val="bottom"/>
            <w:hideMark/>
          </w:tcPr>
          <w:p w14:paraId="4CCA3374"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203.1 </w:t>
            </w:r>
          </w:p>
        </w:tc>
        <w:tc>
          <w:tcPr>
            <w:tcW w:w="1050" w:type="dxa"/>
            <w:tcBorders>
              <w:top w:val="nil"/>
              <w:left w:val="nil"/>
              <w:bottom w:val="nil"/>
              <w:right w:val="nil"/>
            </w:tcBorders>
            <w:noWrap/>
            <w:vAlign w:val="center"/>
            <w:hideMark/>
          </w:tcPr>
          <w:p w14:paraId="0424C4B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3.0 </w:t>
            </w:r>
          </w:p>
        </w:tc>
        <w:tc>
          <w:tcPr>
            <w:tcW w:w="890" w:type="dxa"/>
            <w:gridSpan w:val="2"/>
            <w:tcBorders>
              <w:top w:val="nil"/>
              <w:left w:val="nil"/>
              <w:bottom w:val="nil"/>
              <w:right w:val="nil"/>
            </w:tcBorders>
            <w:noWrap/>
            <w:vAlign w:val="center"/>
            <w:hideMark/>
          </w:tcPr>
          <w:p w14:paraId="033D767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257.4 </w:t>
            </w:r>
          </w:p>
        </w:tc>
        <w:tc>
          <w:tcPr>
            <w:tcW w:w="1040" w:type="dxa"/>
            <w:gridSpan w:val="2"/>
            <w:tcBorders>
              <w:top w:val="nil"/>
              <w:left w:val="nil"/>
              <w:bottom w:val="nil"/>
              <w:right w:val="nil"/>
            </w:tcBorders>
            <w:noWrap/>
            <w:vAlign w:val="bottom"/>
            <w:hideMark/>
          </w:tcPr>
          <w:p w14:paraId="67F5572A"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258.9 </w:t>
            </w:r>
          </w:p>
        </w:tc>
        <w:tc>
          <w:tcPr>
            <w:tcW w:w="967" w:type="dxa"/>
            <w:gridSpan w:val="2"/>
            <w:tcBorders>
              <w:top w:val="nil"/>
              <w:left w:val="nil"/>
              <w:bottom w:val="nil"/>
              <w:right w:val="nil"/>
            </w:tcBorders>
            <w:noWrap/>
            <w:vAlign w:val="center"/>
            <w:hideMark/>
          </w:tcPr>
          <w:p w14:paraId="4A1DD41B"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1.5 </w:t>
            </w:r>
          </w:p>
        </w:tc>
      </w:tr>
      <w:tr w:rsidR="003C1AB7" w:rsidRPr="004370C6" w14:paraId="0545C5BD"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367926BD"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Expenses from ordinary activities</w:t>
            </w:r>
          </w:p>
        </w:tc>
        <w:tc>
          <w:tcPr>
            <w:tcW w:w="1080" w:type="dxa"/>
            <w:tcBorders>
              <w:top w:val="nil"/>
              <w:left w:val="nil"/>
              <w:bottom w:val="nil"/>
              <w:right w:val="nil"/>
            </w:tcBorders>
            <w:noWrap/>
            <w:vAlign w:val="bottom"/>
            <w:hideMark/>
          </w:tcPr>
          <w:p w14:paraId="21C7A058" w14:textId="77777777" w:rsidR="0097622B" w:rsidRPr="004370C6" w:rsidRDefault="0097622B" w:rsidP="0097622B">
            <w:pPr>
              <w:spacing w:after="0" w:line="240" w:lineRule="auto"/>
              <w:rPr>
                <w:rFonts w:ascii="Arial" w:eastAsia="Times New Roman" w:hAnsi="Arial" w:cs="Arial"/>
                <w:sz w:val="20"/>
                <w:szCs w:val="20"/>
                <w:lang w:val="en-AU" w:eastAsia="en-AU"/>
              </w:rPr>
            </w:pPr>
          </w:p>
        </w:tc>
        <w:tc>
          <w:tcPr>
            <w:tcW w:w="1220" w:type="dxa"/>
            <w:gridSpan w:val="3"/>
            <w:tcBorders>
              <w:top w:val="nil"/>
              <w:left w:val="nil"/>
              <w:bottom w:val="nil"/>
              <w:right w:val="nil"/>
            </w:tcBorders>
            <w:noWrap/>
            <w:vAlign w:val="bottom"/>
            <w:hideMark/>
          </w:tcPr>
          <w:p w14:paraId="025F1069" w14:textId="77777777" w:rsidR="0097622B" w:rsidRPr="004370C6" w:rsidRDefault="0097622B" w:rsidP="0097622B">
            <w:pPr>
              <w:spacing w:after="0" w:line="240" w:lineRule="auto"/>
              <w:rPr>
                <w:rFonts w:ascii="Arial" w:eastAsia="Times New Roman" w:hAnsi="Arial" w:cs="Arial"/>
                <w:sz w:val="20"/>
                <w:szCs w:val="20"/>
                <w:lang w:val="en-AU" w:eastAsia="en-AU"/>
              </w:rPr>
            </w:pPr>
          </w:p>
        </w:tc>
        <w:tc>
          <w:tcPr>
            <w:tcW w:w="1050" w:type="dxa"/>
            <w:tcBorders>
              <w:top w:val="nil"/>
              <w:left w:val="nil"/>
              <w:bottom w:val="nil"/>
              <w:right w:val="nil"/>
            </w:tcBorders>
            <w:noWrap/>
            <w:vAlign w:val="bottom"/>
            <w:hideMark/>
          </w:tcPr>
          <w:p w14:paraId="140547B7" w14:textId="77777777" w:rsidR="0097622B" w:rsidRPr="004370C6" w:rsidRDefault="0097622B" w:rsidP="0097622B">
            <w:pPr>
              <w:spacing w:after="0" w:line="240" w:lineRule="auto"/>
              <w:rPr>
                <w:rFonts w:ascii="Arial" w:eastAsia="Times New Roman" w:hAnsi="Arial" w:cs="Arial"/>
                <w:sz w:val="20"/>
                <w:szCs w:val="20"/>
                <w:lang w:val="en-AU" w:eastAsia="en-AU"/>
              </w:rPr>
            </w:pPr>
          </w:p>
        </w:tc>
        <w:tc>
          <w:tcPr>
            <w:tcW w:w="890" w:type="dxa"/>
            <w:gridSpan w:val="2"/>
            <w:tcBorders>
              <w:top w:val="nil"/>
              <w:left w:val="nil"/>
              <w:bottom w:val="nil"/>
              <w:right w:val="nil"/>
            </w:tcBorders>
            <w:noWrap/>
            <w:vAlign w:val="center"/>
            <w:hideMark/>
          </w:tcPr>
          <w:p w14:paraId="0641A6EA"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w:t>
            </w:r>
          </w:p>
        </w:tc>
        <w:tc>
          <w:tcPr>
            <w:tcW w:w="1040" w:type="dxa"/>
            <w:gridSpan w:val="2"/>
            <w:tcBorders>
              <w:top w:val="nil"/>
              <w:left w:val="nil"/>
              <w:bottom w:val="nil"/>
              <w:right w:val="nil"/>
            </w:tcBorders>
            <w:noWrap/>
            <w:vAlign w:val="bottom"/>
            <w:hideMark/>
          </w:tcPr>
          <w:p w14:paraId="1FACFFE7"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w:t>
            </w:r>
          </w:p>
        </w:tc>
        <w:tc>
          <w:tcPr>
            <w:tcW w:w="967" w:type="dxa"/>
            <w:gridSpan w:val="2"/>
            <w:tcBorders>
              <w:top w:val="nil"/>
              <w:left w:val="nil"/>
              <w:bottom w:val="nil"/>
              <w:right w:val="nil"/>
            </w:tcBorders>
            <w:noWrap/>
            <w:vAlign w:val="bottom"/>
            <w:hideMark/>
          </w:tcPr>
          <w:p w14:paraId="4AE210CB" w14:textId="77777777" w:rsidR="0097622B" w:rsidRPr="004370C6" w:rsidRDefault="0097622B" w:rsidP="0097622B">
            <w:pPr>
              <w:spacing w:after="0" w:line="240" w:lineRule="auto"/>
              <w:rPr>
                <w:rFonts w:ascii="Arial" w:eastAsia="Times New Roman" w:hAnsi="Arial" w:cs="Arial"/>
                <w:sz w:val="18"/>
                <w:szCs w:val="18"/>
                <w:lang w:val="en-AU" w:eastAsia="en-AU"/>
              </w:rPr>
            </w:pPr>
          </w:p>
        </w:tc>
      </w:tr>
      <w:tr w:rsidR="003C1AB7" w:rsidRPr="004370C6" w14:paraId="69ADBEA5"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60BFA66B"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Employee Costs</w:t>
            </w:r>
          </w:p>
        </w:tc>
        <w:tc>
          <w:tcPr>
            <w:tcW w:w="1080" w:type="dxa"/>
            <w:tcBorders>
              <w:top w:val="nil"/>
              <w:left w:val="nil"/>
              <w:bottom w:val="nil"/>
              <w:right w:val="nil"/>
            </w:tcBorders>
            <w:noWrap/>
            <w:vAlign w:val="center"/>
            <w:hideMark/>
          </w:tcPr>
          <w:p w14:paraId="1110700E"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56.0 </w:t>
            </w:r>
          </w:p>
        </w:tc>
        <w:tc>
          <w:tcPr>
            <w:tcW w:w="1220" w:type="dxa"/>
            <w:gridSpan w:val="3"/>
            <w:tcBorders>
              <w:top w:val="nil"/>
              <w:left w:val="nil"/>
              <w:bottom w:val="nil"/>
              <w:right w:val="nil"/>
            </w:tcBorders>
            <w:noWrap/>
            <w:vAlign w:val="center"/>
            <w:hideMark/>
          </w:tcPr>
          <w:p w14:paraId="3EA770A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53.3 </w:t>
            </w:r>
          </w:p>
        </w:tc>
        <w:tc>
          <w:tcPr>
            <w:tcW w:w="1050" w:type="dxa"/>
            <w:tcBorders>
              <w:top w:val="nil"/>
              <w:left w:val="nil"/>
              <w:bottom w:val="nil"/>
              <w:right w:val="nil"/>
            </w:tcBorders>
            <w:noWrap/>
            <w:vAlign w:val="center"/>
            <w:hideMark/>
          </w:tcPr>
          <w:p w14:paraId="3899668C"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2.7 </w:t>
            </w:r>
          </w:p>
        </w:tc>
        <w:tc>
          <w:tcPr>
            <w:tcW w:w="890" w:type="dxa"/>
            <w:gridSpan w:val="2"/>
            <w:tcBorders>
              <w:top w:val="nil"/>
              <w:left w:val="nil"/>
              <w:bottom w:val="nil"/>
              <w:right w:val="nil"/>
            </w:tcBorders>
            <w:noWrap/>
            <w:vAlign w:val="center"/>
            <w:hideMark/>
          </w:tcPr>
          <w:p w14:paraId="470D5A2C"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106.7 </w:t>
            </w:r>
          </w:p>
        </w:tc>
        <w:tc>
          <w:tcPr>
            <w:tcW w:w="1040" w:type="dxa"/>
            <w:gridSpan w:val="2"/>
            <w:tcBorders>
              <w:top w:val="nil"/>
              <w:left w:val="nil"/>
              <w:bottom w:val="nil"/>
              <w:right w:val="nil"/>
            </w:tcBorders>
            <w:noWrap/>
            <w:vAlign w:val="center"/>
            <w:hideMark/>
          </w:tcPr>
          <w:p w14:paraId="66492CAA"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105.0 </w:t>
            </w:r>
          </w:p>
        </w:tc>
        <w:tc>
          <w:tcPr>
            <w:tcW w:w="967" w:type="dxa"/>
            <w:gridSpan w:val="2"/>
            <w:tcBorders>
              <w:top w:val="nil"/>
              <w:left w:val="nil"/>
              <w:bottom w:val="nil"/>
              <w:right w:val="nil"/>
            </w:tcBorders>
            <w:noWrap/>
            <w:vAlign w:val="center"/>
            <w:hideMark/>
          </w:tcPr>
          <w:p w14:paraId="20435811"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1.7 </w:t>
            </w:r>
          </w:p>
        </w:tc>
      </w:tr>
      <w:tr w:rsidR="003C1AB7" w:rsidRPr="004370C6" w14:paraId="17F8D255"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4977B88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Materials and services</w:t>
            </w:r>
          </w:p>
        </w:tc>
        <w:tc>
          <w:tcPr>
            <w:tcW w:w="1080" w:type="dxa"/>
            <w:tcBorders>
              <w:top w:val="nil"/>
              <w:left w:val="nil"/>
              <w:bottom w:val="nil"/>
              <w:right w:val="nil"/>
            </w:tcBorders>
            <w:noWrap/>
            <w:vAlign w:val="center"/>
            <w:hideMark/>
          </w:tcPr>
          <w:p w14:paraId="12428A1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39.4 </w:t>
            </w:r>
          </w:p>
        </w:tc>
        <w:tc>
          <w:tcPr>
            <w:tcW w:w="1220" w:type="dxa"/>
            <w:gridSpan w:val="3"/>
            <w:tcBorders>
              <w:top w:val="nil"/>
              <w:left w:val="nil"/>
              <w:bottom w:val="nil"/>
              <w:right w:val="nil"/>
            </w:tcBorders>
            <w:noWrap/>
            <w:vAlign w:val="center"/>
            <w:hideMark/>
          </w:tcPr>
          <w:p w14:paraId="1DB7EFA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39.2 </w:t>
            </w:r>
          </w:p>
        </w:tc>
        <w:tc>
          <w:tcPr>
            <w:tcW w:w="1050" w:type="dxa"/>
            <w:tcBorders>
              <w:top w:val="nil"/>
              <w:left w:val="nil"/>
              <w:bottom w:val="nil"/>
              <w:right w:val="nil"/>
            </w:tcBorders>
            <w:noWrap/>
            <w:vAlign w:val="center"/>
            <w:hideMark/>
          </w:tcPr>
          <w:p w14:paraId="3471404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0.2 </w:t>
            </w:r>
          </w:p>
        </w:tc>
        <w:tc>
          <w:tcPr>
            <w:tcW w:w="890" w:type="dxa"/>
            <w:gridSpan w:val="2"/>
            <w:tcBorders>
              <w:top w:val="nil"/>
              <w:left w:val="nil"/>
              <w:bottom w:val="nil"/>
              <w:right w:val="nil"/>
            </w:tcBorders>
            <w:noWrap/>
            <w:vAlign w:val="center"/>
            <w:hideMark/>
          </w:tcPr>
          <w:p w14:paraId="69974C1A"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96.8 </w:t>
            </w:r>
          </w:p>
        </w:tc>
        <w:tc>
          <w:tcPr>
            <w:tcW w:w="1040" w:type="dxa"/>
            <w:gridSpan w:val="2"/>
            <w:tcBorders>
              <w:top w:val="nil"/>
              <w:left w:val="nil"/>
              <w:bottom w:val="nil"/>
              <w:right w:val="nil"/>
            </w:tcBorders>
            <w:noWrap/>
            <w:vAlign w:val="center"/>
            <w:hideMark/>
          </w:tcPr>
          <w:p w14:paraId="6C4F755B"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92.9 </w:t>
            </w:r>
          </w:p>
        </w:tc>
        <w:tc>
          <w:tcPr>
            <w:tcW w:w="967" w:type="dxa"/>
            <w:gridSpan w:val="2"/>
            <w:tcBorders>
              <w:top w:val="nil"/>
              <w:left w:val="nil"/>
              <w:bottom w:val="nil"/>
              <w:right w:val="nil"/>
            </w:tcBorders>
            <w:noWrap/>
            <w:vAlign w:val="center"/>
            <w:hideMark/>
          </w:tcPr>
          <w:p w14:paraId="3F56243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3.9 </w:t>
            </w:r>
          </w:p>
        </w:tc>
      </w:tr>
      <w:tr w:rsidR="003C1AB7" w:rsidRPr="004370C6" w14:paraId="100D5577" w14:textId="77777777" w:rsidTr="00DC63FD">
        <w:trPr>
          <w:gridAfter w:val="2"/>
          <w:wAfter w:w="720" w:type="dxa"/>
          <w:trHeight w:val="465"/>
        </w:trPr>
        <w:tc>
          <w:tcPr>
            <w:tcW w:w="2405" w:type="dxa"/>
            <w:tcBorders>
              <w:top w:val="nil"/>
              <w:left w:val="single" w:sz="4" w:space="0" w:color="auto"/>
              <w:bottom w:val="nil"/>
              <w:right w:val="nil"/>
            </w:tcBorders>
            <w:noWrap/>
            <w:vAlign w:val="bottom"/>
            <w:hideMark/>
          </w:tcPr>
          <w:p w14:paraId="3FA9CC7D"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Depreciation &amp; Amortisation</w:t>
            </w:r>
          </w:p>
        </w:tc>
        <w:tc>
          <w:tcPr>
            <w:tcW w:w="1080" w:type="dxa"/>
            <w:tcBorders>
              <w:top w:val="nil"/>
              <w:left w:val="nil"/>
              <w:bottom w:val="nil"/>
              <w:right w:val="nil"/>
            </w:tcBorders>
            <w:noWrap/>
            <w:vAlign w:val="center"/>
            <w:hideMark/>
          </w:tcPr>
          <w:p w14:paraId="302226DD"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14.8 </w:t>
            </w:r>
          </w:p>
        </w:tc>
        <w:tc>
          <w:tcPr>
            <w:tcW w:w="1220" w:type="dxa"/>
            <w:gridSpan w:val="3"/>
            <w:tcBorders>
              <w:top w:val="nil"/>
              <w:left w:val="nil"/>
              <w:bottom w:val="nil"/>
              <w:right w:val="nil"/>
            </w:tcBorders>
            <w:noWrap/>
            <w:vAlign w:val="center"/>
            <w:hideMark/>
          </w:tcPr>
          <w:p w14:paraId="2939C88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14.6 </w:t>
            </w:r>
          </w:p>
        </w:tc>
        <w:tc>
          <w:tcPr>
            <w:tcW w:w="1050" w:type="dxa"/>
            <w:tcBorders>
              <w:top w:val="nil"/>
              <w:left w:val="nil"/>
              <w:bottom w:val="nil"/>
              <w:right w:val="nil"/>
            </w:tcBorders>
            <w:noWrap/>
            <w:vAlign w:val="center"/>
            <w:hideMark/>
          </w:tcPr>
          <w:p w14:paraId="28CE8729"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0.2 </w:t>
            </w:r>
          </w:p>
        </w:tc>
        <w:tc>
          <w:tcPr>
            <w:tcW w:w="890" w:type="dxa"/>
            <w:gridSpan w:val="2"/>
            <w:tcBorders>
              <w:top w:val="nil"/>
              <w:left w:val="nil"/>
              <w:bottom w:val="nil"/>
              <w:right w:val="nil"/>
            </w:tcBorders>
            <w:noWrap/>
            <w:vAlign w:val="center"/>
            <w:hideMark/>
          </w:tcPr>
          <w:p w14:paraId="7D0120B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31.2 </w:t>
            </w:r>
          </w:p>
        </w:tc>
        <w:tc>
          <w:tcPr>
            <w:tcW w:w="1040" w:type="dxa"/>
            <w:gridSpan w:val="2"/>
            <w:tcBorders>
              <w:top w:val="nil"/>
              <w:left w:val="nil"/>
              <w:bottom w:val="nil"/>
              <w:right w:val="nil"/>
            </w:tcBorders>
            <w:noWrap/>
            <w:vAlign w:val="center"/>
            <w:hideMark/>
          </w:tcPr>
          <w:p w14:paraId="2F50DAA2"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30.7 </w:t>
            </w:r>
          </w:p>
        </w:tc>
        <w:tc>
          <w:tcPr>
            <w:tcW w:w="967" w:type="dxa"/>
            <w:gridSpan w:val="2"/>
            <w:tcBorders>
              <w:top w:val="nil"/>
              <w:left w:val="nil"/>
              <w:bottom w:val="nil"/>
              <w:right w:val="nil"/>
            </w:tcBorders>
            <w:noWrap/>
            <w:vAlign w:val="center"/>
            <w:hideMark/>
          </w:tcPr>
          <w:p w14:paraId="4BE03DB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0.5 </w:t>
            </w:r>
          </w:p>
        </w:tc>
      </w:tr>
      <w:tr w:rsidR="003C1AB7" w:rsidRPr="004370C6" w14:paraId="58B812D5"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6A94685B"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Amortisation - right of use assets</w:t>
            </w:r>
          </w:p>
        </w:tc>
        <w:tc>
          <w:tcPr>
            <w:tcW w:w="1080" w:type="dxa"/>
            <w:tcBorders>
              <w:top w:val="nil"/>
              <w:left w:val="nil"/>
              <w:bottom w:val="nil"/>
              <w:right w:val="nil"/>
            </w:tcBorders>
            <w:noWrap/>
            <w:vAlign w:val="center"/>
            <w:hideMark/>
          </w:tcPr>
          <w:p w14:paraId="3C7DBAF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0.6 </w:t>
            </w:r>
          </w:p>
        </w:tc>
        <w:tc>
          <w:tcPr>
            <w:tcW w:w="1220" w:type="dxa"/>
            <w:gridSpan w:val="3"/>
            <w:tcBorders>
              <w:top w:val="nil"/>
              <w:left w:val="nil"/>
              <w:bottom w:val="nil"/>
              <w:right w:val="nil"/>
            </w:tcBorders>
            <w:noWrap/>
            <w:vAlign w:val="center"/>
            <w:hideMark/>
          </w:tcPr>
          <w:p w14:paraId="3E7A107C"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0.6 </w:t>
            </w:r>
          </w:p>
        </w:tc>
        <w:tc>
          <w:tcPr>
            <w:tcW w:w="1050" w:type="dxa"/>
            <w:tcBorders>
              <w:top w:val="nil"/>
              <w:left w:val="nil"/>
              <w:bottom w:val="nil"/>
              <w:right w:val="nil"/>
            </w:tcBorders>
            <w:noWrap/>
            <w:vAlign w:val="center"/>
            <w:hideMark/>
          </w:tcPr>
          <w:p w14:paraId="6BD749D3"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(0.0)</w:t>
            </w:r>
          </w:p>
        </w:tc>
        <w:tc>
          <w:tcPr>
            <w:tcW w:w="890" w:type="dxa"/>
            <w:gridSpan w:val="2"/>
            <w:tcBorders>
              <w:top w:val="nil"/>
              <w:left w:val="nil"/>
              <w:bottom w:val="nil"/>
              <w:right w:val="nil"/>
            </w:tcBorders>
            <w:noWrap/>
            <w:vAlign w:val="center"/>
            <w:hideMark/>
          </w:tcPr>
          <w:p w14:paraId="29C7E82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1.3 </w:t>
            </w:r>
          </w:p>
        </w:tc>
        <w:tc>
          <w:tcPr>
            <w:tcW w:w="1040" w:type="dxa"/>
            <w:gridSpan w:val="2"/>
            <w:tcBorders>
              <w:top w:val="nil"/>
              <w:left w:val="nil"/>
              <w:bottom w:val="nil"/>
              <w:right w:val="nil"/>
            </w:tcBorders>
            <w:noWrap/>
            <w:vAlign w:val="center"/>
            <w:hideMark/>
          </w:tcPr>
          <w:p w14:paraId="75218BA2"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1.3 </w:t>
            </w:r>
          </w:p>
        </w:tc>
        <w:tc>
          <w:tcPr>
            <w:tcW w:w="967" w:type="dxa"/>
            <w:gridSpan w:val="2"/>
            <w:tcBorders>
              <w:top w:val="nil"/>
              <w:left w:val="nil"/>
              <w:bottom w:val="nil"/>
              <w:right w:val="nil"/>
            </w:tcBorders>
            <w:noWrap/>
            <w:vAlign w:val="center"/>
            <w:hideMark/>
          </w:tcPr>
          <w:p w14:paraId="22F6CEE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(0.0)</w:t>
            </w:r>
          </w:p>
        </w:tc>
      </w:tr>
      <w:tr w:rsidR="003C1AB7" w:rsidRPr="004370C6" w14:paraId="517D0F23"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28B76BB1"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Bad and doubtful debts</w:t>
            </w:r>
          </w:p>
        </w:tc>
        <w:tc>
          <w:tcPr>
            <w:tcW w:w="1080" w:type="dxa"/>
            <w:tcBorders>
              <w:top w:val="nil"/>
              <w:left w:val="nil"/>
              <w:bottom w:val="nil"/>
              <w:right w:val="nil"/>
            </w:tcBorders>
            <w:noWrap/>
            <w:vAlign w:val="center"/>
            <w:hideMark/>
          </w:tcPr>
          <w:p w14:paraId="068B464C"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1.9 </w:t>
            </w:r>
          </w:p>
        </w:tc>
        <w:tc>
          <w:tcPr>
            <w:tcW w:w="1220" w:type="dxa"/>
            <w:gridSpan w:val="3"/>
            <w:tcBorders>
              <w:top w:val="nil"/>
              <w:left w:val="nil"/>
              <w:bottom w:val="nil"/>
              <w:right w:val="nil"/>
            </w:tcBorders>
            <w:noWrap/>
            <w:vAlign w:val="center"/>
            <w:hideMark/>
          </w:tcPr>
          <w:p w14:paraId="281494BF"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2.4 </w:t>
            </w:r>
          </w:p>
        </w:tc>
        <w:tc>
          <w:tcPr>
            <w:tcW w:w="1050" w:type="dxa"/>
            <w:tcBorders>
              <w:top w:val="nil"/>
              <w:left w:val="nil"/>
              <w:bottom w:val="nil"/>
              <w:right w:val="nil"/>
            </w:tcBorders>
            <w:noWrap/>
            <w:vAlign w:val="center"/>
            <w:hideMark/>
          </w:tcPr>
          <w:p w14:paraId="389B33A3"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(0.5)</w:t>
            </w:r>
          </w:p>
        </w:tc>
        <w:tc>
          <w:tcPr>
            <w:tcW w:w="890" w:type="dxa"/>
            <w:gridSpan w:val="2"/>
            <w:tcBorders>
              <w:top w:val="nil"/>
              <w:left w:val="nil"/>
              <w:bottom w:val="nil"/>
              <w:right w:val="nil"/>
            </w:tcBorders>
            <w:noWrap/>
            <w:vAlign w:val="center"/>
            <w:hideMark/>
          </w:tcPr>
          <w:p w14:paraId="10FC7F69"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4.3 </w:t>
            </w:r>
          </w:p>
        </w:tc>
        <w:tc>
          <w:tcPr>
            <w:tcW w:w="1040" w:type="dxa"/>
            <w:gridSpan w:val="2"/>
            <w:tcBorders>
              <w:top w:val="nil"/>
              <w:left w:val="nil"/>
              <w:bottom w:val="nil"/>
              <w:right w:val="nil"/>
            </w:tcBorders>
            <w:noWrap/>
            <w:vAlign w:val="center"/>
            <w:hideMark/>
          </w:tcPr>
          <w:p w14:paraId="41B0A3C7"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4.7 </w:t>
            </w:r>
          </w:p>
        </w:tc>
        <w:tc>
          <w:tcPr>
            <w:tcW w:w="967" w:type="dxa"/>
            <w:gridSpan w:val="2"/>
            <w:tcBorders>
              <w:top w:val="nil"/>
              <w:left w:val="nil"/>
              <w:bottom w:val="nil"/>
              <w:right w:val="nil"/>
            </w:tcBorders>
            <w:noWrap/>
            <w:vAlign w:val="center"/>
            <w:hideMark/>
          </w:tcPr>
          <w:p w14:paraId="3087F1D2"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(0.4)</w:t>
            </w:r>
          </w:p>
        </w:tc>
      </w:tr>
      <w:tr w:rsidR="003C1AB7" w:rsidRPr="004370C6" w14:paraId="54B62500"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45BAA302"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Borrowing costs</w:t>
            </w:r>
          </w:p>
        </w:tc>
        <w:tc>
          <w:tcPr>
            <w:tcW w:w="1080" w:type="dxa"/>
            <w:tcBorders>
              <w:top w:val="nil"/>
              <w:left w:val="nil"/>
              <w:bottom w:val="nil"/>
              <w:right w:val="nil"/>
            </w:tcBorders>
            <w:noWrap/>
            <w:vAlign w:val="center"/>
            <w:hideMark/>
          </w:tcPr>
          <w:p w14:paraId="075D6D2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0.3 </w:t>
            </w:r>
          </w:p>
        </w:tc>
        <w:tc>
          <w:tcPr>
            <w:tcW w:w="1220" w:type="dxa"/>
            <w:gridSpan w:val="3"/>
            <w:tcBorders>
              <w:top w:val="nil"/>
              <w:left w:val="nil"/>
              <w:bottom w:val="nil"/>
              <w:right w:val="nil"/>
            </w:tcBorders>
            <w:noWrap/>
            <w:vAlign w:val="center"/>
            <w:hideMark/>
          </w:tcPr>
          <w:p w14:paraId="2630F4D7"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0.3 </w:t>
            </w:r>
          </w:p>
        </w:tc>
        <w:tc>
          <w:tcPr>
            <w:tcW w:w="1050" w:type="dxa"/>
            <w:tcBorders>
              <w:top w:val="nil"/>
              <w:left w:val="nil"/>
              <w:bottom w:val="nil"/>
              <w:right w:val="nil"/>
            </w:tcBorders>
            <w:noWrap/>
            <w:vAlign w:val="center"/>
            <w:hideMark/>
          </w:tcPr>
          <w:p w14:paraId="3F2DB22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(0.0)</w:t>
            </w:r>
          </w:p>
        </w:tc>
        <w:tc>
          <w:tcPr>
            <w:tcW w:w="890" w:type="dxa"/>
            <w:gridSpan w:val="2"/>
            <w:tcBorders>
              <w:top w:val="nil"/>
              <w:left w:val="nil"/>
              <w:bottom w:val="nil"/>
              <w:right w:val="nil"/>
            </w:tcBorders>
            <w:noWrap/>
            <w:vAlign w:val="center"/>
            <w:hideMark/>
          </w:tcPr>
          <w:p w14:paraId="3192F97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0.7 </w:t>
            </w:r>
          </w:p>
        </w:tc>
        <w:tc>
          <w:tcPr>
            <w:tcW w:w="1040" w:type="dxa"/>
            <w:gridSpan w:val="2"/>
            <w:tcBorders>
              <w:top w:val="nil"/>
              <w:left w:val="nil"/>
              <w:bottom w:val="nil"/>
              <w:right w:val="nil"/>
            </w:tcBorders>
            <w:noWrap/>
            <w:vAlign w:val="center"/>
            <w:hideMark/>
          </w:tcPr>
          <w:p w14:paraId="6E78DEFC"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0.7 </w:t>
            </w:r>
          </w:p>
        </w:tc>
        <w:tc>
          <w:tcPr>
            <w:tcW w:w="967" w:type="dxa"/>
            <w:gridSpan w:val="2"/>
            <w:tcBorders>
              <w:top w:val="nil"/>
              <w:left w:val="nil"/>
              <w:bottom w:val="nil"/>
              <w:right w:val="nil"/>
            </w:tcBorders>
            <w:noWrap/>
            <w:vAlign w:val="center"/>
            <w:hideMark/>
          </w:tcPr>
          <w:p w14:paraId="2E0F4F73"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r>
      <w:tr w:rsidR="003C1AB7" w:rsidRPr="004370C6" w14:paraId="37D7B9CB"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6AB6552D"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Interest Exp - Leases</w:t>
            </w:r>
          </w:p>
        </w:tc>
        <w:tc>
          <w:tcPr>
            <w:tcW w:w="1080" w:type="dxa"/>
            <w:tcBorders>
              <w:top w:val="nil"/>
              <w:left w:val="nil"/>
              <w:bottom w:val="nil"/>
              <w:right w:val="nil"/>
            </w:tcBorders>
            <w:noWrap/>
            <w:vAlign w:val="center"/>
            <w:hideMark/>
          </w:tcPr>
          <w:p w14:paraId="2F941F98"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0.1 </w:t>
            </w:r>
          </w:p>
        </w:tc>
        <w:tc>
          <w:tcPr>
            <w:tcW w:w="1220" w:type="dxa"/>
            <w:gridSpan w:val="3"/>
            <w:tcBorders>
              <w:top w:val="nil"/>
              <w:left w:val="nil"/>
              <w:bottom w:val="nil"/>
              <w:right w:val="nil"/>
            </w:tcBorders>
            <w:noWrap/>
            <w:vAlign w:val="center"/>
            <w:hideMark/>
          </w:tcPr>
          <w:p w14:paraId="608CE5DB"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0.1 </w:t>
            </w:r>
          </w:p>
        </w:tc>
        <w:tc>
          <w:tcPr>
            <w:tcW w:w="1050" w:type="dxa"/>
            <w:tcBorders>
              <w:top w:val="nil"/>
              <w:left w:val="nil"/>
              <w:bottom w:val="nil"/>
              <w:right w:val="nil"/>
            </w:tcBorders>
            <w:noWrap/>
            <w:vAlign w:val="center"/>
            <w:hideMark/>
          </w:tcPr>
          <w:p w14:paraId="185AE20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0.1 </w:t>
            </w:r>
          </w:p>
        </w:tc>
        <w:tc>
          <w:tcPr>
            <w:tcW w:w="890" w:type="dxa"/>
            <w:gridSpan w:val="2"/>
            <w:tcBorders>
              <w:top w:val="nil"/>
              <w:left w:val="nil"/>
              <w:bottom w:val="nil"/>
              <w:right w:val="nil"/>
            </w:tcBorders>
            <w:noWrap/>
            <w:vAlign w:val="center"/>
            <w:hideMark/>
          </w:tcPr>
          <w:p w14:paraId="469DECC2"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0.2 </w:t>
            </w:r>
          </w:p>
        </w:tc>
        <w:tc>
          <w:tcPr>
            <w:tcW w:w="1040" w:type="dxa"/>
            <w:gridSpan w:val="2"/>
            <w:tcBorders>
              <w:top w:val="nil"/>
              <w:left w:val="nil"/>
              <w:bottom w:val="nil"/>
              <w:right w:val="nil"/>
            </w:tcBorders>
            <w:noWrap/>
            <w:vAlign w:val="center"/>
            <w:hideMark/>
          </w:tcPr>
          <w:p w14:paraId="3390B8CD"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0.2 </w:t>
            </w:r>
          </w:p>
        </w:tc>
        <w:tc>
          <w:tcPr>
            <w:tcW w:w="967" w:type="dxa"/>
            <w:gridSpan w:val="2"/>
            <w:tcBorders>
              <w:top w:val="nil"/>
              <w:left w:val="nil"/>
              <w:bottom w:val="nil"/>
              <w:right w:val="nil"/>
            </w:tcBorders>
            <w:noWrap/>
            <w:vAlign w:val="center"/>
            <w:hideMark/>
          </w:tcPr>
          <w:p w14:paraId="520E60A5"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(0.0)</w:t>
            </w:r>
          </w:p>
        </w:tc>
      </w:tr>
      <w:tr w:rsidR="003C1AB7" w:rsidRPr="004370C6" w14:paraId="0632CF5B"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69FF6501"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Other expenses</w:t>
            </w:r>
          </w:p>
        </w:tc>
        <w:tc>
          <w:tcPr>
            <w:tcW w:w="1080" w:type="dxa"/>
            <w:tcBorders>
              <w:top w:val="nil"/>
              <w:left w:val="nil"/>
              <w:bottom w:val="nil"/>
              <w:right w:val="nil"/>
            </w:tcBorders>
            <w:noWrap/>
            <w:vAlign w:val="center"/>
            <w:hideMark/>
          </w:tcPr>
          <w:p w14:paraId="019F6A24"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0.4 </w:t>
            </w:r>
          </w:p>
        </w:tc>
        <w:tc>
          <w:tcPr>
            <w:tcW w:w="1220" w:type="dxa"/>
            <w:gridSpan w:val="3"/>
            <w:tcBorders>
              <w:top w:val="nil"/>
              <w:left w:val="nil"/>
              <w:bottom w:val="nil"/>
              <w:right w:val="nil"/>
            </w:tcBorders>
            <w:noWrap/>
            <w:vAlign w:val="center"/>
            <w:hideMark/>
          </w:tcPr>
          <w:p w14:paraId="5BB79622"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0.3 </w:t>
            </w:r>
          </w:p>
        </w:tc>
        <w:tc>
          <w:tcPr>
            <w:tcW w:w="1050" w:type="dxa"/>
            <w:tcBorders>
              <w:top w:val="nil"/>
              <w:left w:val="nil"/>
              <w:bottom w:val="nil"/>
              <w:right w:val="nil"/>
            </w:tcBorders>
            <w:noWrap/>
            <w:vAlign w:val="center"/>
            <w:hideMark/>
          </w:tcPr>
          <w:p w14:paraId="2D0772E4"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0.1 </w:t>
            </w:r>
          </w:p>
        </w:tc>
        <w:tc>
          <w:tcPr>
            <w:tcW w:w="890" w:type="dxa"/>
            <w:gridSpan w:val="2"/>
            <w:tcBorders>
              <w:top w:val="nil"/>
              <w:left w:val="nil"/>
              <w:bottom w:val="nil"/>
              <w:right w:val="nil"/>
            </w:tcBorders>
            <w:noWrap/>
            <w:vAlign w:val="center"/>
            <w:hideMark/>
          </w:tcPr>
          <w:p w14:paraId="5BAD809F"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0.8 </w:t>
            </w:r>
          </w:p>
        </w:tc>
        <w:tc>
          <w:tcPr>
            <w:tcW w:w="1040" w:type="dxa"/>
            <w:gridSpan w:val="2"/>
            <w:tcBorders>
              <w:top w:val="nil"/>
              <w:left w:val="nil"/>
              <w:bottom w:val="nil"/>
              <w:right w:val="nil"/>
            </w:tcBorders>
            <w:noWrap/>
            <w:vAlign w:val="center"/>
            <w:hideMark/>
          </w:tcPr>
          <w:p w14:paraId="2A2C4521"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0.8 </w:t>
            </w:r>
          </w:p>
        </w:tc>
        <w:tc>
          <w:tcPr>
            <w:tcW w:w="967" w:type="dxa"/>
            <w:gridSpan w:val="2"/>
            <w:tcBorders>
              <w:top w:val="nil"/>
              <w:left w:val="nil"/>
              <w:bottom w:val="nil"/>
              <w:right w:val="nil"/>
            </w:tcBorders>
            <w:noWrap/>
            <w:vAlign w:val="center"/>
            <w:hideMark/>
          </w:tcPr>
          <w:p w14:paraId="7F64D601"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r>
      <w:tr w:rsidR="003C1AB7" w:rsidRPr="004370C6" w14:paraId="68D1B974" w14:textId="77777777" w:rsidTr="00DC63FD">
        <w:trPr>
          <w:gridAfter w:val="2"/>
          <w:wAfter w:w="720" w:type="dxa"/>
          <w:trHeight w:val="230"/>
        </w:trPr>
        <w:tc>
          <w:tcPr>
            <w:tcW w:w="2405" w:type="dxa"/>
            <w:tcBorders>
              <w:top w:val="nil"/>
              <w:left w:val="single" w:sz="4" w:space="0" w:color="auto"/>
              <w:bottom w:val="nil"/>
              <w:right w:val="nil"/>
            </w:tcBorders>
            <w:noWrap/>
            <w:vAlign w:val="bottom"/>
            <w:hideMark/>
          </w:tcPr>
          <w:p w14:paraId="66498928"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Total expenses</w:t>
            </w:r>
          </w:p>
        </w:tc>
        <w:tc>
          <w:tcPr>
            <w:tcW w:w="1080" w:type="dxa"/>
            <w:tcBorders>
              <w:top w:val="single" w:sz="4" w:space="0" w:color="auto"/>
              <w:left w:val="nil"/>
              <w:bottom w:val="nil"/>
              <w:right w:val="nil"/>
            </w:tcBorders>
            <w:noWrap/>
            <w:vAlign w:val="bottom"/>
            <w:hideMark/>
          </w:tcPr>
          <w:p w14:paraId="12F29CFD"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113.6 </w:t>
            </w:r>
          </w:p>
        </w:tc>
        <w:tc>
          <w:tcPr>
            <w:tcW w:w="1220" w:type="dxa"/>
            <w:gridSpan w:val="3"/>
            <w:tcBorders>
              <w:top w:val="single" w:sz="4" w:space="0" w:color="auto"/>
              <w:left w:val="nil"/>
              <w:bottom w:val="nil"/>
              <w:right w:val="nil"/>
            </w:tcBorders>
            <w:noWrap/>
            <w:vAlign w:val="bottom"/>
            <w:hideMark/>
          </w:tcPr>
          <w:p w14:paraId="007D6244"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110.9 </w:t>
            </w:r>
          </w:p>
        </w:tc>
        <w:tc>
          <w:tcPr>
            <w:tcW w:w="1050" w:type="dxa"/>
            <w:tcBorders>
              <w:top w:val="single" w:sz="4" w:space="0" w:color="auto"/>
              <w:left w:val="nil"/>
              <w:bottom w:val="nil"/>
              <w:right w:val="nil"/>
            </w:tcBorders>
            <w:noWrap/>
            <w:vAlign w:val="bottom"/>
            <w:hideMark/>
          </w:tcPr>
          <w:p w14:paraId="652F81B3"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2.7 </w:t>
            </w:r>
          </w:p>
        </w:tc>
        <w:tc>
          <w:tcPr>
            <w:tcW w:w="890" w:type="dxa"/>
            <w:gridSpan w:val="2"/>
            <w:tcBorders>
              <w:top w:val="single" w:sz="4" w:space="0" w:color="auto"/>
              <w:left w:val="nil"/>
              <w:bottom w:val="nil"/>
              <w:right w:val="nil"/>
            </w:tcBorders>
            <w:noWrap/>
            <w:vAlign w:val="center"/>
            <w:hideMark/>
          </w:tcPr>
          <w:p w14:paraId="21861152"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241.9 </w:t>
            </w:r>
          </w:p>
        </w:tc>
        <w:tc>
          <w:tcPr>
            <w:tcW w:w="1040" w:type="dxa"/>
            <w:gridSpan w:val="2"/>
            <w:tcBorders>
              <w:top w:val="single" w:sz="4" w:space="0" w:color="auto"/>
              <w:left w:val="nil"/>
              <w:bottom w:val="nil"/>
              <w:right w:val="nil"/>
            </w:tcBorders>
            <w:noWrap/>
            <w:vAlign w:val="bottom"/>
            <w:hideMark/>
          </w:tcPr>
          <w:p w14:paraId="2F53283E"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236.2 </w:t>
            </w:r>
          </w:p>
        </w:tc>
        <w:tc>
          <w:tcPr>
            <w:tcW w:w="967" w:type="dxa"/>
            <w:gridSpan w:val="2"/>
            <w:tcBorders>
              <w:top w:val="single" w:sz="4" w:space="0" w:color="auto"/>
              <w:left w:val="nil"/>
              <w:bottom w:val="single" w:sz="4" w:space="0" w:color="auto"/>
              <w:right w:val="nil"/>
            </w:tcBorders>
            <w:noWrap/>
            <w:vAlign w:val="center"/>
            <w:hideMark/>
          </w:tcPr>
          <w:p w14:paraId="243BA7DE"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5.7 </w:t>
            </w:r>
          </w:p>
        </w:tc>
      </w:tr>
      <w:tr w:rsidR="007C689D" w:rsidRPr="004370C6" w14:paraId="270B7722" w14:textId="77777777" w:rsidTr="00DC63FD">
        <w:trPr>
          <w:gridAfter w:val="2"/>
          <w:wAfter w:w="720" w:type="dxa"/>
          <w:trHeight w:val="230"/>
        </w:trPr>
        <w:tc>
          <w:tcPr>
            <w:tcW w:w="2405" w:type="dxa"/>
            <w:tcBorders>
              <w:top w:val="nil"/>
              <w:left w:val="single" w:sz="4" w:space="0" w:color="auto"/>
              <w:bottom w:val="single" w:sz="4" w:space="0" w:color="auto"/>
              <w:right w:val="nil"/>
            </w:tcBorders>
            <w:noWrap/>
            <w:vAlign w:val="bottom"/>
            <w:hideMark/>
          </w:tcPr>
          <w:p w14:paraId="50C4754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Net Result</w:t>
            </w:r>
          </w:p>
        </w:tc>
        <w:tc>
          <w:tcPr>
            <w:tcW w:w="1080" w:type="dxa"/>
            <w:tcBorders>
              <w:top w:val="single" w:sz="4" w:space="0" w:color="auto"/>
              <w:left w:val="nil"/>
              <w:bottom w:val="single" w:sz="4" w:space="0" w:color="auto"/>
              <w:right w:val="nil"/>
            </w:tcBorders>
            <w:noWrap/>
            <w:vAlign w:val="bottom"/>
            <w:hideMark/>
          </w:tcPr>
          <w:p w14:paraId="076D24B8"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86.6 </w:t>
            </w:r>
          </w:p>
        </w:tc>
        <w:tc>
          <w:tcPr>
            <w:tcW w:w="1220" w:type="dxa"/>
            <w:gridSpan w:val="3"/>
            <w:tcBorders>
              <w:top w:val="single" w:sz="4" w:space="0" w:color="auto"/>
              <w:left w:val="nil"/>
              <w:bottom w:val="single" w:sz="4" w:space="0" w:color="auto"/>
              <w:right w:val="nil"/>
            </w:tcBorders>
            <w:noWrap/>
            <w:vAlign w:val="bottom"/>
            <w:hideMark/>
          </w:tcPr>
          <w:p w14:paraId="01266410"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92.3 </w:t>
            </w:r>
          </w:p>
        </w:tc>
        <w:tc>
          <w:tcPr>
            <w:tcW w:w="1050" w:type="dxa"/>
            <w:tcBorders>
              <w:top w:val="single" w:sz="4" w:space="0" w:color="auto"/>
              <w:left w:val="nil"/>
              <w:bottom w:val="single" w:sz="4" w:space="0" w:color="auto"/>
              <w:right w:val="nil"/>
            </w:tcBorders>
            <w:noWrap/>
            <w:vAlign w:val="bottom"/>
            <w:hideMark/>
          </w:tcPr>
          <w:p w14:paraId="38D97CA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5.6 </w:t>
            </w:r>
          </w:p>
        </w:tc>
        <w:tc>
          <w:tcPr>
            <w:tcW w:w="890" w:type="dxa"/>
            <w:gridSpan w:val="2"/>
            <w:tcBorders>
              <w:top w:val="single" w:sz="4" w:space="0" w:color="auto"/>
              <w:left w:val="nil"/>
              <w:bottom w:val="single" w:sz="4" w:space="0" w:color="auto"/>
              <w:right w:val="nil"/>
            </w:tcBorders>
            <w:noWrap/>
            <w:vAlign w:val="center"/>
            <w:hideMark/>
          </w:tcPr>
          <w:p w14:paraId="48D3D50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15.5 </w:t>
            </w:r>
          </w:p>
        </w:tc>
        <w:tc>
          <w:tcPr>
            <w:tcW w:w="1040" w:type="dxa"/>
            <w:gridSpan w:val="2"/>
            <w:tcBorders>
              <w:top w:val="single" w:sz="4" w:space="0" w:color="auto"/>
              <w:left w:val="nil"/>
              <w:bottom w:val="single" w:sz="4" w:space="0" w:color="auto"/>
              <w:right w:val="nil"/>
            </w:tcBorders>
            <w:noWrap/>
            <w:vAlign w:val="bottom"/>
            <w:hideMark/>
          </w:tcPr>
          <w:p w14:paraId="01A033D4"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22.7 </w:t>
            </w:r>
          </w:p>
        </w:tc>
        <w:tc>
          <w:tcPr>
            <w:tcW w:w="967" w:type="dxa"/>
            <w:gridSpan w:val="2"/>
            <w:tcBorders>
              <w:top w:val="nil"/>
              <w:left w:val="nil"/>
              <w:bottom w:val="single" w:sz="4" w:space="0" w:color="auto"/>
              <w:right w:val="nil"/>
            </w:tcBorders>
            <w:noWrap/>
            <w:vAlign w:val="bottom"/>
            <w:hideMark/>
          </w:tcPr>
          <w:p w14:paraId="79F10E06" w14:textId="77777777" w:rsidR="0097622B" w:rsidRPr="004370C6" w:rsidRDefault="0097622B" w:rsidP="0097622B">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7.2 </w:t>
            </w:r>
          </w:p>
        </w:tc>
      </w:tr>
    </w:tbl>
    <w:p w14:paraId="39257BBE" w14:textId="77777777" w:rsidR="00B17716" w:rsidRPr="004370C6" w:rsidRDefault="00B17716" w:rsidP="002124C8">
      <w:pPr>
        <w:rPr>
          <w:rFonts w:ascii="Arial" w:hAnsi="Arial" w:cs="Arial"/>
        </w:rPr>
      </w:pPr>
    </w:p>
    <w:p w14:paraId="6A79AE61" w14:textId="77777777" w:rsidR="00B17716" w:rsidRPr="004370C6" w:rsidRDefault="00B17716">
      <w:pPr>
        <w:rPr>
          <w:rFonts w:ascii="Arial" w:hAnsi="Arial" w:cs="Arial"/>
        </w:rPr>
      </w:pPr>
      <w:r w:rsidRPr="004370C6">
        <w:rPr>
          <w:rFonts w:ascii="Arial" w:hAnsi="Arial" w:cs="Arial"/>
        </w:rPr>
        <w:br w:type="page"/>
      </w:r>
    </w:p>
    <w:p w14:paraId="0E19C32D" w14:textId="59239FAB" w:rsidR="002124C8" w:rsidRPr="004370C6" w:rsidRDefault="002124C8" w:rsidP="001F1DB5">
      <w:pPr>
        <w:rPr>
          <w:rFonts w:ascii="Arial" w:hAnsi="Arial" w:cs="Arial"/>
        </w:rPr>
      </w:pPr>
      <w:r w:rsidRPr="004370C6">
        <w:rPr>
          <w:rFonts w:ascii="Arial" w:hAnsi="Arial" w:cs="Arial"/>
        </w:rPr>
        <w:lastRenderedPageBreak/>
        <w:t>Variance analysis is prepared based on a comparison of YTD actuals and YTD budget. YTD actual results to YTD budget is favourable by $5.6m. Full year forecast to full year budget is $7.2m favourable. This result is driven by the following:</w:t>
      </w:r>
    </w:p>
    <w:p w14:paraId="0D613C8A" w14:textId="77777777" w:rsidR="002124C8" w:rsidRPr="004370C6" w:rsidRDefault="002124C8" w:rsidP="006164E6">
      <w:pPr>
        <w:pStyle w:val="Heading4"/>
        <w:rPr>
          <w:rFonts w:ascii="Arial" w:hAnsi="Arial" w:cs="Arial"/>
          <w:color w:val="auto"/>
        </w:rPr>
      </w:pPr>
      <w:bookmarkStart w:id="60" w:name="_Toc224732190"/>
      <w:r w:rsidRPr="004370C6">
        <w:rPr>
          <w:rFonts w:ascii="Arial" w:hAnsi="Arial" w:cs="Arial"/>
          <w:color w:val="auto"/>
        </w:rPr>
        <w:t>Revenue</w:t>
      </w:r>
      <w:bookmarkEnd w:id="60"/>
      <w:r w:rsidRPr="004370C6">
        <w:rPr>
          <w:rFonts w:ascii="Arial" w:hAnsi="Arial" w:cs="Arial"/>
          <w:color w:val="auto"/>
        </w:rPr>
        <w:t xml:space="preserve"> </w:t>
      </w:r>
      <w:r w:rsidRPr="004370C6">
        <w:rPr>
          <w:rFonts w:ascii="Arial" w:hAnsi="Arial" w:cs="Arial"/>
          <w:color w:val="auto"/>
        </w:rPr>
        <w:tab/>
      </w:r>
      <w:r w:rsidRPr="004370C6">
        <w:rPr>
          <w:rFonts w:ascii="Arial" w:hAnsi="Arial" w:cs="Arial"/>
          <w:color w:val="auto"/>
        </w:rPr>
        <w:tab/>
      </w:r>
      <w:r w:rsidRPr="004370C6">
        <w:rPr>
          <w:rFonts w:ascii="Arial" w:hAnsi="Arial" w:cs="Arial"/>
          <w:color w:val="auto"/>
        </w:rPr>
        <w:tab/>
      </w:r>
      <w:r w:rsidRPr="004370C6">
        <w:rPr>
          <w:rFonts w:ascii="Arial" w:hAnsi="Arial" w:cs="Arial"/>
          <w:color w:val="auto"/>
        </w:rPr>
        <w:tab/>
      </w:r>
      <w:r w:rsidRPr="004370C6">
        <w:rPr>
          <w:rFonts w:ascii="Arial" w:hAnsi="Arial" w:cs="Arial"/>
          <w:color w:val="auto"/>
        </w:rPr>
        <w:tab/>
      </w:r>
      <w:r w:rsidRPr="004370C6">
        <w:rPr>
          <w:rFonts w:ascii="Arial" w:hAnsi="Arial" w:cs="Arial"/>
          <w:color w:val="auto"/>
        </w:rPr>
        <w:tab/>
      </w:r>
      <w:r w:rsidRPr="004370C6">
        <w:rPr>
          <w:rFonts w:ascii="Arial" w:hAnsi="Arial" w:cs="Arial"/>
          <w:color w:val="auto"/>
        </w:rPr>
        <w:tab/>
      </w:r>
      <w:r w:rsidRPr="004370C6">
        <w:rPr>
          <w:rFonts w:ascii="Arial" w:hAnsi="Arial" w:cs="Arial"/>
          <w:color w:val="auto"/>
        </w:rPr>
        <w:tab/>
      </w:r>
      <w:r w:rsidRPr="004370C6">
        <w:rPr>
          <w:rFonts w:ascii="Arial" w:hAnsi="Arial" w:cs="Arial"/>
          <w:color w:val="auto"/>
        </w:rPr>
        <w:tab/>
      </w:r>
    </w:p>
    <w:p w14:paraId="665C2D88" w14:textId="77777777" w:rsidR="002124C8" w:rsidRPr="004370C6" w:rsidRDefault="002124C8" w:rsidP="006164E6">
      <w:pPr>
        <w:pStyle w:val="Heading5"/>
        <w:rPr>
          <w:rFonts w:ascii="Arial" w:hAnsi="Arial" w:cs="Arial"/>
          <w:color w:val="auto"/>
        </w:rPr>
      </w:pPr>
      <w:bookmarkStart w:id="61" w:name="_Toc224732191"/>
      <w:r w:rsidRPr="004370C6">
        <w:rPr>
          <w:rFonts w:ascii="Arial" w:hAnsi="Arial" w:cs="Arial"/>
          <w:color w:val="auto"/>
        </w:rPr>
        <w:t>a) Rates and Charges</w:t>
      </w:r>
      <w:bookmarkEnd w:id="61"/>
      <w:r w:rsidRPr="004370C6">
        <w:rPr>
          <w:rFonts w:ascii="Arial" w:hAnsi="Arial" w:cs="Arial"/>
          <w:color w:val="auto"/>
        </w:rPr>
        <w:t xml:space="preserve"> </w:t>
      </w:r>
    </w:p>
    <w:p w14:paraId="794BAB78" w14:textId="67D1A8A6" w:rsidR="002124C8" w:rsidRPr="004370C6" w:rsidRDefault="002124C8" w:rsidP="001F1DB5">
      <w:pPr>
        <w:rPr>
          <w:rFonts w:ascii="Arial" w:hAnsi="Arial" w:cs="Arial"/>
        </w:rPr>
      </w:pPr>
      <w:r w:rsidRPr="004370C6">
        <w:rPr>
          <w:rFonts w:ascii="Arial" w:hAnsi="Arial" w:cs="Arial"/>
        </w:rPr>
        <w:t>YTD performance is $0.153 favourable to budget, primarily driven by income from supplementary valuations and interest received on overdue rates. Full year forecast has been updated to show $0.300m more revenue from Fire Service Admin than budgeted.</w:t>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p>
    <w:p w14:paraId="66FE1E77" w14:textId="77777777" w:rsidR="002124C8" w:rsidRPr="004370C6" w:rsidRDefault="002124C8" w:rsidP="006164E6">
      <w:pPr>
        <w:pStyle w:val="Heading5"/>
        <w:rPr>
          <w:rFonts w:ascii="Arial" w:hAnsi="Arial" w:cs="Arial"/>
          <w:color w:val="auto"/>
        </w:rPr>
      </w:pPr>
      <w:bookmarkStart w:id="62" w:name="_Toc224732192"/>
      <w:r w:rsidRPr="004370C6">
        <w:rPr>
          <w:rFonts w:ascii="Arial" w:hAnsi="Arial" w:cs="Arial"/>
          <w:color w:val="auto"/>
        </w:rPr>
        <w:t>b) Statutory Fees</w:t>
      </w:r>
      <w:bookmarkEnd w:id="62"/>
    </w:p>
    <w:p w14:paraId="3DE3AF72" w14:textId="77777777" w:rsidR="002124C8" w:rsidRPr="004370C6" w:rsidRDefault="002124C8" w:rsidP="001F1DB5">
      <w:pPr>
        <w:rPr>
          <w:rFonts w:ascii="Arial" w:hAnsi="Arial" w:cs="Arial"/>
        </w:rPr>
      </w:pPr>
      <w:r w:rsidRPr="004370C6">
        <w:rPr>
          <w:rFonts w:ascii="Arial" w:hAnsi="Arial" w:cs="Arial"/>
        </w:rPr>
        <w:t xml:space="preserve">YTD actual is favourable to budget due to strong infringement enforcement and favourable weather conditions. Favourable variances are from increased parking infringement income ($2.534m), parking permit income ($0.195m), and parking meter income ($0.720m). </w:t>
      </w:r>
    </w:p>
    <w:p w14:paraId="62CE77B0" w14:textId="37218A71" w:rsidR="002124C8" w:rsidRPr="004370C6" w:rsidRDefault="002124C8" w:rsidP="001F1DB5">
      <w:pPr>
        <w:rPr>
          <w:rFonts w:ascii="Arial" w:hAnsi="Arial" w:cs="Arial"/>
        </w:rPr>
      </w:pPr>
      <w:r w:rsidRPr="004370C6">
        <w:rPr>
          <w:rFonts w:ascii="Arial" w:hAnsi="Arial" w:cs="Arial"/>
        </w:rPr>
        <w:t>Forecast has been adjusted to show additional $2.110m of revenue to budget, mainly driven by increase in infringement revenue ($1.750m) as well as increased volume of parking fees ($0.500m) and parking permits issued ($0.110m).</w:t>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p>
    <w:p w14:paraId="25D27B86" w14:textId="77777777" w:rsidR="002124C8" w:rsidRPr="004370C6" w:rsidRDefault="002124C8" w:rsidP="006164E6">
      <w:pPr>
        <w:pStyle w:val="Heading5"/>
        <w:rPr>
          <w:rFonts w:ascii="Arial" w:hAnsi="Arial" w:cs="Arial"/>
          <w:color w:val="auto"/>
        </w:rPr>
      </w:pPr>
      <w:bookmarkStart w:id="63" w:name="_Toc224732193"/>
      <w:r w:rsidRPr="004370C6">
        <w:rPr>
          <w:rFonts w:ascii="Arial" w:hAnsi="Arial" w:cs="Arial"/>
          <w:color w:val="auto"/>
        </w:rPr>
        <w:t>c) User Fees</w:t>
      </w:r>
      <w:bookmarkEnd w:id="63"/>
    </w:p>
    <w:p w14:paraId="16D97C54" w14:textId="77777777" w:rsidR="002124C8" w:rsidRPr="004370C6" w:rsidRDefault="002124C8" w:rsidP="001F1DB5">
      <w:pPr>
        <w:rPr>
          <w:rFonts w:ascii="Arial" w:hAnsi="Arial" w:cs="Arial"/>
        </w:rPr>
      </w:pPr>
      <w:r w:rsidRPr="004370C6">
        <w:rPr>
          <w:rFonts w:ascii="Arial" w:hAnsi="Arial" w:cs="Arial"/>
        </w:rPr>
        <w:t xml:space="preserve">Overall favourable variance ($1.018m) driven by higher-than-expected activity levels in Traffic and Civil Engineering ($0.735m) and Statutory Planning ($0.326m) offset by reduction in income from Childcare centers (-$0.164m) reflecting lower utilisation that budgeted. </w:t>
      </w:r>
    </w:p>
    <w:p w14:paraId="30836248" w14:textId="15312412" w:rsidR="002124C8" w:rsidRPr="004370C6" w:rsidRDefault="002124C8" w:rsidP="001F1DB5">
      <w:pPr>
        <w:rPr>
          <w:rFonts w:ascii="Arial" w:hAnsi="Arial" w:cs="Arial"/>
        </w:rPr>
      </w:pPr>
      <w:r w:rsidRPr="004370C6">
        <w:rPr>
          <w:rFonts w:ascii="Arial" w:hAnsi="Arial" w:cs="Arial"/>
        </w:rPr>
        <w:t>Full year forecast has been updated to show activity increase in Civil Engineering and Construction Management ($0.454m) as well as Statutory Planning ($0.170m). These increases are partially offset by a reduction in income expected from Childcare Centres (-$0.170m) and Learn to Swim program (-0.321m) reflecting lower utilisation than budgeted.</w:t>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r w:rsidRPr="004370C6">
        <w:rPr>
          <w:rFonts w:ascii="Arial" w:hAnsi="Arial" w:cs="Arial"/>
        </w:rPr>
        <w:tab/>
      </w:r>
    </w:p>
    <w:p w14:paraId="3B5E2DBD" w14:textId="77777777" w:rsidR="002124C8" w:rsidRPr="004370C6" w:rsidRDefault="002124C8" w:rsidP="006164E6">
      <w:pPr>
        <w:pStyle w:val="Heading5"/>
        <w:rPr>
          <w:rFonts w:ascii="Arial" w:hAnsi="Arial" w:cs="Arial"/>
          <w:color w:val="auto"/>
        </w:rPr>
      </w:pPr>
      <w:bookmarkStart w:id="64" w:name="_Toc224732194"/>
      <w:r w:rsidRPr="004370C6">
        <w:rPr>
          <w:rFonts w:ascii="Arial" w:hAnsi="Arial" w:cs="Arial"/>
          <w:color w:val="auto"/>
        </w:rPr>
        <w:t>d) Grants - Operating</w:t>
      </w:r>
      <w:bookmarkEnd w:id="64"/>
    </w:p>
    <w:p w14:paraId="270D6D60" w14:textId="77777777" w:rsidR="002124C8" w:rsidRPr="004370C6" w:rsidRDefault="002124C8" w:rsidP="001F1DB5">
      <w:pPr>
        <w:rPr>
          <w:rFonts w:ascii="Arial" w:hAnsi="Arial" w:cs="Arial"/>
        </w:rPr>
      </w:pPr>
      <w:r w:rsidRPr="004370C6">
        <w:rPr>
          <w:rFonts w:ascii="Arial" w:hAnsi="Arial" w:cs="Arial"/>
        </w:rPr>
        <w:t>The YTD unfavourable variance in operating grant income is primarily attributable to timing differences. This includes the VLGC grant, which was partially received early in the previous financial year (-$1.147m), and the timing of Child Care Subsidy receipts associated with the summer closure period of Child Care services (-$1.021m).</w:t>
      </w:r>
    </w:p>
    <w:p w14:paraId="4929BAD1" w14:textId="77777777" w:rsidR="002124C8" w:rsidRPr="004370C6" w:rsidRDefault="002124C8" w:rsidP="001F1DB5">
      <w:pPr>
        <w:rPr>
          <w:rFonts w:ascii="Arial" w:hAnsi="Arial" w:cs="Arial"/>
        </w:rPr>
      </w:pPr>
      <w:r w:rsidRPr="004370C6">
        <w:rPr>
          <w:rFonts w:ascii="Arial" w:hAnsi="Arial" w:cs="Arial"/>
        </w:rPr>
        <w:t xml:space="preserve">These timing impacts are partially offset by unbudgeted grant income received for School Crossing Supervisors ($0.438m) and additional unbudgeted, non-recurrent State </w:t>
      </w:r>
      <w:r w:rsidRPr="004370C6">
        <w:rPr>
          <w:rFonts w:ascii="Arial" w:hAnsi="Arial" w:cs="Arial"/>
        </w:rPr>
        <w:lastRenderedPageBreak/>
        <w:t>grants ($0.435m favourable), primarily relating to Combustible Cladding Services and the 30km/h Trial.</w:t>
      </w:r>
    </w:p>
    <w:p w14:paraId="0C3FF5D0" w14:textId="4745E259" w:rsidR="002124C8" w:rsidRPr="004370C6" w:rsidRDefault="002124C8" w:rsidP="001F1DB5">
      <w:pPr>
        <w:rPr>
          <w:rFonts w:ascii="Arial" w:hAnsi="Arial" w:cs="Arial"/>
        </w:rPr>
      </w:pPr>
      <w:r w:rsidRPr="004370C6">
        <w:rPr>
          <w:rFonts w:ascii="Arial" w:hAnsi="Arial" w:cs="Arial"/>
        </w:rPr>
        <w:t>The full-year forecast has been reduced to reflect the non-recurrence of the VLGC grant prepayment at year-end. This reduction is partly offset by additional income from both recurrent and non-recurrent State grants, resulting in a more accurate representation of expected full-year grant income.</w:t>
      </w:r>
    </w:p>
    <w:p w14:paraId="0CC5E762" w14:textId="77777777" w:rsidR="002124C8" w:rsidRPr="004370C6" w:rsidRDefault="002124C8" w:rsidP="006164E6">
      <w:pPr>
        <w:pStyle w:val="Heading5"/>
        <w:rPr>
          <w:rFonts w:ascii="Arial" w:hAnsi="Arial" w:cs="Arial"/>
          <w:color w:val="auto"/>
        </w:rPr>
      </w:pPr>
      <w:bookmarkStart w:id="65" w:name="_Toc224732195"/>
      <w:r w:rsidRPr="004370C6">
        <w:rPr>
          <w:rFonts w:ascii="Arial" w:hAnsi="Arial" w:cs="Arial"/>
          <w:color w:val="auto"/>
        </w:rPr>
        <w:t>e) Grants - Capital</w:t>
      </w:r>
      <w:bookmarkEnd w:id="65"/>
      <w:r w:rsidRPr="004370C6">
        <w:rPr>
          <w:rFonts w:ascii="Arial" w:hAnsi="Arial" w:cs="Arial"/>
          <w:color w:val="auto"/>
        </w:rPr>
        <w:t xml:space="preserve"> </w:t>
      </w:r>
    </w:p>
    <w:p w14:paraId="1F4A64A2" w14:textId="77777777" w:rsidR="002124C8" w:rsidRPr="004370C6" w:rsidRDefault="002124C8" w:rsidP="001F1DB5">
      <w:pPr>
        <w:rPr>
          <w:rFonts w:ascii="Arial" w:hAnsi="Arial" w:cs="Arial"/>
        </w:rPr>
      </w:pPr>
      <w:r w:rsidRPr="004370C6">
        <w:rPr>
          <w:rFonts w:ascii="Arial" w:hAnsi="Arial" w:cs="Arial"/>
        </w:rPr>
        <w:t>The YTD favourable variance is driven by grant income received for the Community Charge project ($0.03m), Atherton Gardens Kindergarten ($0.158m), Princess Hill Playground ($0.117), and the Get Off Gas project at Collingwood Leisure Centre ($0.082m).</w:t>
      </w:r>
    </w:p>
    <w:p w14:paraId="04036004" w14:textId="5F09540F" w:rsidR="002124C8" w:rsidRPr="004370C6" w:rsidRDefault="002124C8" w:rsidP="001F1DB5">
      <w:pPr>
        <w:rPr>
          <w:rFonts w:ascii="Arial" w:hAnsi="Arial" w:cs="Arial"/>
        </w:rPr>
      </w:pPr>
      <w:r w:rsidRPr="004370C6">
        <w:rPr>
          <w:rFonts w:ascii="Arial" w:hAnsi="Arial" w:cs="Arial"/>
        </w:rPr>
        <w:t>The full-year forecast has been updated to reflect the full-year expected amounts to be recognised for the aforementioned grants, including Community Charge ($0.398m), Atherton Kinder ($0.158m), and Connie Benn Acoustic Treatment ($0.149m).</w:t>
      </w:r>
    </w:p>
    <w:p w14:paraId="10871FAB" w14:textId="77777777" w:rsidR="002124C8" w:rsidRPr="004370C6" w:rsidRDefault="002124C8" w:rsidP="006164E6">
      <w:pPr>
        <w:pStyle w:val="Heading5"/>
        <w:rPr>
          <w:rFonts w:ascii="Arial" w:hAnsi="Arial" w:cs="Arial"/>
          <w:color w:val="auto"/>
        </w:rPr>
      </w:pPr>
      <w:bookmarkStart w:id="66" w:name="_Toc224732196"/>
      <w:r w:rsidRPr="004370C6">
        <w:rPr>
          <w:rFonts w:ascii="Arial" w:hAnsi="Arial" w:cs="Arial"/>
          <w:color w:val="auto"/>
        </w:rPr>
        <w:t>e) Contributions - Other Monetary</w:t>
      </w:r>
      <w:bookmarkEnd w:id="66"/>
      <w:r w:rsidRPr="004370C6">
        <w:rPr>
          <w:rFonts w:ascii="Arial" w:hAnsi="Arial" w:cs="Arial"/>
          <w:color w:val="auto"/>
        </w:rPr>
        <w:t xml:space="preserve"> </w:t>
      </w:r>
    </w:p>
    <w:p w14:paraId="2AD6AF06" w14:textId="492EEEED" w:rsidR="002124C8" w:rsidRPr="004370C6" w:rsidRDefault="002124C8" w:rsidP="001F1DB5">
      <w:pPr>
        <w:rPr>
          <w:rFonts w:ascii="Arial" w:hAnsi="Arial" w:cs="Arial"/>
        </w:rPr>
      </w:pPr>
      <w:r w:rsidRPr="004370C6">
        <w:rPr>
          <w:rFonts w:ascii="Arial" w:hAnsi="Arial" w:cs="Arial"/>
        </w:rPr>
        <w:t xml:space="preserve">The YTD unfavourable variance is largely driven by lower-than-budgeted income from Open Space Contributions  </w:t>
      </w:r>
      <w:r w:rsidR="004E61A6" w:rsidRPr="004370C6">
        <w:rPr>
          <w:rFonts w:ascii="Arial" w:hAnsi="Arial" w:cs="Arial"/>
        </w:rPr>
        <w:t xml:space="preserve">  (</w:t>
      </w:r>
      <w:r w:rsidRPr="004370C6">
        <w:rPr>
          <w:rFonts w:ascii="Arial" w:hAnsi="Arial" w:cs="Arial"/>
        </w:rPr>
        <w:t>-$2.101m) and the timing of Developer Contributions (-$0.434m).</w:t>
      </w:r>
    </w:p>
    <w:p w14:paraId="09055319" w14:textId="49AB2F64" w:rsidR="002124C8" w:rsidRPr="004370C6" w:rsidRDefault="002124C8" w:rsidP="001F1DB5">
      <w:pPr>
        <w:rPr>
          <w:rFonts w:ascii="Arial" w:hAnsi="Arial" w:cs="Arial"/>
        </w:rPr>
      </w:pPr>
      <w:r w:rsidRPr="004370C6">
        <w:rPr>
          <w:rFonts w:ascii="Arial" w:hAnsi="Arial" w:cs="Arial"/>
        </w:rPr>
        <w:t>The full-year forecast has been updated to reflect an expected $3.5m reduction in revenue against budget from Open Space Contributions by year end.</w:t>
      </w:r>
    </w:p>
    <w:p w14:paraId="2C51985C" w14:textId="77777777" w:rsidR="002124C8" w:rsidRPr="004370C6" w:rsidRDefault="002124C8" w:rsidP="006164E6">
      <w:pPr>
        <w:pStyle w:val="Heading5"/>
        <w:rPr>
          <w:rFonts w:ascii="Arial" w:hAnsi="Arial" w:cs="Arial"/>
          <w:color w:val="auto"/>
        </w:rPr>
      </w:pPr>
      <w:bookmarkStart w:id="67" w:name="_Toc224732197"/>
      <w:r w:rsidRPr="004370C6">
        <w:rPr>
          <w:rFonts w:ascii="Arial" w:hAnsi="Arial" w:cs="Arial"/>
          <w:color w:val="auto"/>
        </w:rPr>
        <w:t>f) Reimbursements</w:t>
      </w:r>
      <w:bookmarkEnd w:id="67"/>
    </w:p>
    <w:p w14:paraId="514ED6B1" w14:textId="77777777" w:rsidR="002124C8" w:rsidRPr="004370C6" w:rsidRDefault="002124C8" w:rsidP="001F1DB5">
      <w:pPr>
        <w:rPr>
          <w:rFonts w:ascii="Arial" w:hAnsi="Arial" w:cs="Arial"/>
        </w:rPr>
      </w:pPr>
      <w:r w:rsidRPr="004370C6">
        <w:rPr>
          <w:rFonts w:ascii="Arial" w:hAnsi="Arial" w:cs="Arial"/>
        </w:rPr>
        <w:t>The YTD favourable variance of $0.447m in Traffic and Engineering is primarily driven by advance income received from the previous financial year relating to Mollison Street ($0.090m) and Engineering resource funding ($0.113m), as well as reimbursements recouped on Council-owned properties ($0.071m). In addition, reimbursements have been received for the Business Renewables Buying Group ($0.109m).</w:t>
      </w:r>
    </w:p>
    <w:p w14:paraId="588F12E6" w14:textId="48C310D1" w:rsidR="002124C8" w:rsidRPr="004370C6" w:rsidRDefault="002124C8" w:rsidP="001F1DB5">
      <w:pPr>
        <w:rPr>
          <w:rFonts w:ascii="Arial" w:hAnsi="Arial" w:cs="Arial"/>
        </w:rPr>
      </w:pPr>
      <w:r w:rsidRPr="004370C6">
        <w:rPr>
          <w:rFonts w:ascii="Arial" w:hAnsi="Arial" w:cs="Arial"/>
        </w:rPr>
        <w:t>The full-year forecast has been adjusted to reflect an expected $0.586m increase in revenue against budget from the above-mentioned activities.</w:t>
      </w:r>
    </w:p>
    <w:p w14:paraId="03D4F027" w14:textId="77777777" w:rsidR="002124C8" w:rsidRPr="004370C6" w:rsidRDefault="002124C8" w:rsidP="006164E6">
      <w:pPr>
        <w:pStyle w:val="Heading5"/>
        <w:rPr>
          <w:rFonts w:ascii="Arial" w:hAnsi="Arial" w:cs="Arial"/>
          <w:color w:val="auto"/>
        </w:rPr>
      </w:pPr>
      <w:bookmarkStart w:id="68" w:name="_Toc224732198"/>
      <w:r w:rsidRPr="004370C6">
        <w:rPr>
          <w:rFonts w:ascii="Arial" w:hAnsi="Arial" w:cs="Arial"/>
          <w:color w:val="auto"/>
        </w:rPr>
        <w:t>g) Other Income</w:t>
      </w:r>
      <w:bookmarkEnd w:id="68"/>
      <w:r w:rsidRPr="004370C6">
        <w:rPr>
          <w:rFonts w:ascii="Arial" w:hAnsi="Arial" w:cs="Arial"/>
          <w:color w:val="auto"/>
        </w:rPr>
        <w:t xml:space="preserve"> </w:t>
      </w:r>
    </w:p>
    <w:p w14:paraId="1B0DBF8B" w14:textId="77777777" w:rsidR="002124C8" w:rsidRPr="004370C6" w:rsidRDefault="002124C8" w:rsidP="001F1DB5">
      <w:pPr>
        <w:rPr>
          <w:rFonts w:ascii="Arial" w:hAnsi="Arial" w:cs="Arial"/>
        </w:rPr>
      </w:pPr>
      <w:r w:rsidRPr="004370C6">
        <w:rPr>
          <w:rFonts w:ascii="Arial" w:hAnsi="Arial" w:cs="Arial"/>
        </w:rPr>
        <w:t>The YTD favourable variance to budget is primarily driven by higher interest income from term deposits ($1.151m), reflecting both larger deposit balances and higher interest rates than budgeted. In addition, funds were received from the VEC for fines and infringements collected in relation to the Council elections.</w:t>
      </w:r>
    </w:p>
    <w:p w14:paraId="7979F3E3" w14:textId="330A5089" w:rsidR="002124C8" w:rsidRPr="004370C6" w:rsidRDefault="002124C8" w:rsidP="001F1DB5">
      <w:pPr>
        <w:rPr>
          <w:rFonts w:ascii="Arial" w:hAnsi="Arial" w:cs="Arial"/>
        </w:rPr>
      </w:pPr>
      <w:r w:rsidRPr="004370C6">
        <w:rPr>
          <w:rFonts w:ascii="Arial" w:hAnsi="Arial" w:cs="Arial"/>
        </w:rPr>
        <w:t>The full-year forecast has been adjusted to reflect the additional VEC funding ($0.148m) and increased income from term deposits and savings ($0.499m).</w:t>
      </w:r>
    </w:p>
    <w:p w14:paraId="568E34BD" w14:textId="77777777" w:rsidR="002124C8" w:rsidRPr="004370C6" w:rsidRDefault="002124C8" w:rsidP="006164E6">
      <w:pPr>
        <w:pStyle w:val="Heading5"/>
        <w:rPr>
          <w:rFonts w:ascii="Arial" w:hAnsi="Arial" w:cs="Arial"/>
          <w:color w:val="auto"/>
        </w:rPr>
      </w:pPr>
      <w:bookmarkStart w:id="69" w:name="_Toc224732199"/>
      <w:r w:rsidRPr="004370C6">
        <w:rPr>
          <w:rFonts w:ascii="Arial" w:hAnsi="Arial" w:cs="Arial"/>
          <w:color w:val="auto"/>
        </w:rPr>
        <w:lastRenderedPageBreak/>
        <w:t>h) Net gain on disposal of assets</w:t>
      </w:r>
      <w:bookmarkEnd w:id="69"/>
      <w:r w:rsidRPr="004370C6">
        <w:rPr>
          <w:rFonts w:ascii="Arial" w:hAnsi="Arial" w:cs="Arial"/>
          <w:color w:val="auto"/>
        </w:rPr>
        <w:t xml:space="preserve"> </w:t>
      </w:r>
    </w:p>
    <w:p w14:paraId="288A1871" w14:textId="77777777" w:rsidR="002124C8" w:rsidRPr="004370C6" w:rsidRDefault="002124C8" w:rsidP="00C048B3">
      <w:pPr>
        <w:rPr>
          <w:rFonts w:ascii="Arial" w:hAnsi="Arial" w:cs="Arial"/>
        </w:rPr>
      </w:pPr>
      <w:r w:rsidRPr="004370C6">
        <w:rPr>
          <w:rFonts w:ascii="Arial" w:hAnsi="Arial" w:cs="Arial"/>
        </w:rPr>
        <w:t>The net gain on disposal of assets is favourable to budget, driven by proceeds from right-of-way (R.O.W) sales at 101 Bridge Road and 106 Balmain Street ($0.430m), and 74–76 Rose Street ($0.360m). Additional favourable outcomes were realised from fleet sales ($0.206m) following the cessation of private use agreements.</w:t>
      </w:r>
    </w:p>
    <w:p w14:paraId="54D88276" w14:textId="515C237B" w:rsidR="002124C8" w:rsidRPr="004370C6" w:rsidRDefault="002124C8" w:rsidP="00C048B3">
      <w:pPr>
        <w:rPr>
          <w:rFonts w:ascii="Arial" w:hAnsi="Arial" w:cs="Arial"/>
        </w:rPr>
      </w:pPr>
      <w:r w:rsidRPr="004370C6">
        <w:rPr>
          <w:rFonts w:ascii="Arial" w:hAnsi="Arial" w:cs="Arial"/>
        </w:rPr>
        <w:t>The full-year forecast has been adjusted to reflect the increased revenue against budget from asset disposals already completed, as well as those planned for sale by the end of the financial year</w:t>
      </w:r>
    </w:p>
    <w:p w14:paraId="1111D9CA" w14:textId="56CA0165" w:rsidR="002124C8" w:rsidRPr="004370C6" w:rsidRDefault="002124C8" w:rsidP="006164E6">
      <w:pPr>
        <w:pStyle w:val="Heading4"/>
        <w:rPr>
          <w:rFonts w:ascii="Arial" w:hAnsi="Arial" w:cs="Arial"/>
          <w:color w:val="auto"/>
        </w:rPr>
      </w:pPr>
      <w:bookmarkStart w:id="70" w:name="_Toc224732200"/>
      <w:r w:rsidRPr="004370C6">
        <w:rPr>
          <w:rFonts w:ascii="Arial" w:hAnsi="Arial" w:cs="Arial"/>
          <w:color w:val="auto"/>
        </w:rPr>
        <w:t>Expenses</w:t>
      </w:r>
      <w:bookmarkEnd w:id="70"/>
      <w:r w:rsidRPr="004370C6">
        <w:rPr>
          <w:rFonts w:ascii="Arial" w:hAnsi="Arial" w:cs="Arial"/>
          <w:color w:val="auto"/>
        </w:rPr>
        <w:t xml:space="preserve"> </w:t>
      </w:r>
    </w:p>
    <w:p w14:paraId="74DCC397" w14:textId="77777777" w:rsidR="002124C8" w:rsidRPr="004370C6" w:rsidRDefault="002124C8" w:rsidP="006164E6">
      <w:pPr>
        <w:pStyle w:val="Heading5"/>
        <w:rPr>
          <w:rFonts w:ascii="Arial" w:hAnsi="Arial" w:cs="Arial"/>
          <w:color w:val="auto"/>
        </w:rPr>
      </w:pPr>
      <w:bookmarkStart w:id="71" w:name="_Toc224732201"/>
      <w:r w:rsidRPr="004370C6">
        <w:rPr>
          <w:rFonts w:ascii="Arial" w:hAnsi="Arial" w:cs="Arial"/>
          <w:color w:val="auto"/>
        </w:rPr>
        <w:t>i) Employee Costs</w:t>
      </w:r>
      <w:bookmarkEnd w:id="71"/>
    </w:p>
    <w:p w14:paraId="5448744F" w14:textId="77777777" w:rsidR="002124C8" w:rsidRPr="004370C6" w:rsidRDefault="002124C8" w:rsidP="00C048B3">
      <w:pPr>
        <w:rPr>
          <w:rFonts w:ascii="Arial" w:hAnsi="Arial" w:cs="Arial"/>
        </w:rPr>
      </w:pPr>
      <w:r w:rsidRPr="004370C6">
        <w:rPr>
          <w:rFonts w:ascii="Arial" w:hAnsi="Arial" w:cs="Arial"/>
        </w:rPr>
        <w:t>YTD results show a $2.685m favourable variance to budget, largely driven by $3.212m in salaried staff savings from a combination of higher-than-anticipated vacancy levels and the timing of the application of the EBA increment, which accounts for $0.994m of the total variance (with an actual increase of 2.5% applied compared to the budgeted 3.5%). These favourable outcomes are partially offset by higher-than-budgeted WorkCover premiums (-$0.336m) and increased expenditure on casual staff (-$1.008m) to backfill a number of critical vacant roles.</w:t>
      </w:r>
    </w:p>
    <w:p w14:paraId="7AA2EFA9" w14:textId="31ECDCC7" w:rsidR="002124C8" w:rsidRPr="004370C6" w:rsidRDefault="002124C8" w:rsidP="00C048B3">
      <w:pPr>
        <w:rPr>
          <w:rFonts w:ascii="Arial" w:hAnsi="Arial" w:cs="Arial"/>
        </w:rPr>
      </w:pPr>
      <w:r w:rsidRPr="004370C6">
        <w:rPr>
          <w:rFonts w:ascii="Arial" w:hAnsi="Arial" w:cs="Arial"/>
        </w:rPr>
        <w:t>The full-year forecast has been updated to reflect the YTD savings; however, forecast savings in the second half of the year are lower as vacant positions are progressively filled in line with the organisation’s approved structure and planned recruitment activity. In addition, the timing benefit associated with the EBA increment does not continue into the second half of the year, resulting in a more normalised salary cost profile.</w:t>
      </w:r>
    </w:p>
    <w:p w14:paraId="57D114FD" w14:textId="77777777" w:rsidR="002124C8" w:rsidRPr="004370C6" w:rsidRDefault="002124C8" w:rsidP="006164E6">
      <w:pPr>
        <w:pStyle w:val="Heading5"/>
        <w:rPr>
          <w:rFonts w:ascii="Arial" w:hAnsi="Arial" w:cs="Arial"/>
          <w:color w:val="auto"/>
        </w:rPr>
      </w:pPr>
      <w:bookmarkStart w:id="72" w:name="_Toc224732202"/>
      <w:r w:rsidRPr="004370C6">
        <w:rPr>
          <w:rFonts w:ascii="Arial" w:hAnsi="Arial" w:cs="Arial"/>
          <w:color w:val="auto"/>
        </w:rPr>
        <w:t>j) Materials &amp; Services</w:t>
      </w:r>
      <w:bookmarkEnd w:id="72"/>
    </w:p>
    <w:p w14:paraId="0B1F0BA6" w14:textId="77777777" w:rsidR="002124C8" w:rsidRPr="004370C6" w:rsidRDefault="002124C8" w:rsidP="00C048B3">
      <w:pPr>
        <w:rPr>
          <w:rFonts w:ascii="Arial" w:hAnsi="Arial" w:cs="Arial"/>
        </w:rPr>
      </w:pPr>
      <w:r w:rsidRPr="004370C6">
        <w:rPr>
          <w:rFonts w:ascii="Arial" w:hAnsi="Arial" w:cs="Arial"/>
        </w:rPr>
        <w:t xml:space="preserve">YTD in line with budget. </w:t>
      </w:r>
    </w:p>
    <w:p w14:paraId="410E9BB2" w14:textId="77777777" w:rsidR="002124C8" w:rsidRPr="004370C6" w:rsidRDefault="002124C8" w:rsidP="00C048B3">
      <w:pPr>
        <w:rPr>
          <w:rFonts w:ascii="Arial" w:hAnsi="Arial" w:cs="Arial"/>
        </w:rPr>
      </w:pPr>
      <w:r w:rsidRPr="004370C6">
        <w:rPr>
          <w:rFonts w:ascii="Arial" w:hAnsi="Arial" w:cs="Arial"/>
        </w:rPr>
        <w:t>The full-year forecast has been updated to reflect savings primarily within the DTS portfolio, driven by lower software licensing costs resulting from a combination of timing impacts and prudent management through licence consolidation. Key drivers include lower-than-budgeted costs associated with the Copilot program ($0.796m), a reduction in business requests as the organisation transitions to the new ERP system ($0.266m), reduced expenditure associated with the asset register ($0.210m) and reduction in forecast for projects that will not be able to be completed in this financial year DTS projects (0.845m).</w:t>
      </w:r>
    </w:p>
    <w:p w14:paraId="6877E4F0" w14:textId="355120F6" w:rsidR="002124C8" w:rsidRPr="004370C6" w:rsidRDefault="002124C8" w:rsidP="00C048B3">
      <w:pPr>
        <w:rPr>
          <w:rFonts w:ascii="Arial" w:hAnsi="Arial" w:cs="Arial"/>
        </w:rPr>
      </w:pPr>
      <w:r w:rsidRPr="004370C6">
        <w:rPr>
          <w:rFonts w:ascii="Arial" w:hAnsi="Arial" w:cs="Arial"/>
        </w:rPr>
        <w:t xml:space="preserve">We also updated forecast in strategic transport space due to some projects not going ahead ($0.241m) as well as recognised savings statutory and strategic planning ($0.570m) from a combination of consultancy and legal costs. </w:t>
      </w:r>
    </w:p>
    <w:p w14:paraId="5A96ACE5" w14:textId="77777777" w:rsidR="002124C8" w:rsidRPr="004370C6" w:rsidRDefault="002124C8" w:rsidP="006164E6">
      <w:pPr>
        <w:pStyle w:val="Heading5"/>
        <w:rPr>
          <w:rFonts w:ascii="Arial" w:hAnsi="Arial" w:cs="Arial"/>
          <w:color w:val="auto"/>
        </w:rPr>
      </w:pPr>
      <w:bookmarkStart w:id="73" w:name="_Toc224732203"/>
      <w:r w:rsidRPr="004370C6">
        <w:rPr>
          <w:rFonts w:ascii="Arial" w:hAnsi="Arial" w:cs="Arial"/>
          <w:color w:val="auto"/>
        </w:rPr>
        <w:lastRenderedPageBreak/>
        <w:t>k) Other Expenses</w:t>
      </w:r>
      <w:bookmarkEnd w:id="73"/>
    </w:p>
    <w:p w14:paraId="6173A1A2" w14:textId="5014194F" w:rsidR="002124C8" w:rsidRPr="004370C6" w:rsidRDefault="002124C8" w:rsidP="00C048B3">
      <w:pPr>
        <w:rPr>
          <w:rFonts w:ascii="Arial" w:hAnsi="Arial" w:cs="Arial"/>
        </w:rPr>
      </w:pPr>
      <w:r w:rsidRPr="004370C6">
        <w:rPr>
          <w:rFonts w:ascii="Arial" w:hAnsi="Arial" w:cs="Arial"/>
        </w:rPr>
        <w:t>YTD favourable variance is primarily due to the timing of audit fee payments, with costs expected to be incurred later in the year.</w:t>
      </w:r>
    </w:p>
    <w:p w14:paraId="2C0CB8E4" w14:textId="77777777" w:rsidR="002124C8" w:rsidRPr="004370C6" w:rsidRDefault="002124C8" w:rsidP="006164E6">
      <w:pPr>
        <w:pStyle w:val="Heading5"/>
        <w:rPr>
          <w:rFonts w:ascii="Arial" w:hAnsi="Arial" w:cs="Arial"/>
          <w:color w:val="auto"/>
        </w:rPr>
      </w:pPr>
      <w:bookmarkStart w:id="74" w:name="_Toc224732204"/>
      <w:r w:rsidRPr="004370C6">
        <w:rPr>
          <w:rFonts w:ascii="Arial" w:hAnsi="Arial" w:cs="Arial"/>
          <w:color w:val="auto"/>
        </w:rPr>
        <w:t>l) Bad and doubtful debts</w:t>
      </w:r>
      <w:bookmarkEnd w:id="74"/>
    </w:p>
    <w:p w14:paraId="7F1DD206" w14:textId="77777777" w:rsidR="002124C8" w:rsidRPr="004370C6" w:rsidRDefault="002124C8" w:rsidP="00C048B3">
      <w:pPr>
        <w:rPr>
          <w:rFonts w:ascii="Arial" w:hAnsi="Arial" w:cs="Arial"/>
        </w:rPr>
      </w:pPr>
      <w:r w:rsidRPr="004370C6">
        <w:rPr>
          <w:rFonts w:ascii="Arial" w:hAnsi="Arial" w:cs="Arial"/>
        </w:rPr>
        <w:t>The YTD unfavourable variance is driven by higher-than-budgeted bad debt expense, reflecting an increase in the volume of infringement notices issued (-$0.487m). As a proportion of infringement revenue is inherently uncollectable, higher infringement activity results in a corresponding increase in bad debt expense.</w:t>
      </w:r>
    </w:p>
    <w:p w14:paraId="317C5948" w14:textId="77777777" w:rsidR="00B17716" w:rsidRPr="004370C6" w:rsidRDefault="002124C8" w:rsidP="00C048B3">
      <w:pPr>
        <w:rPr>
          <w:rFonts w:ascii="Arial" w:hAnsi="Arial" w:cs="Arial"/>
        </w:rPr>
      </w:pPr>
      <w:r w:rsidRPr="004370C6">
        <w:rPr>
          <w:rFonts w:ascii="Arial" w:hAnsi="Arial" w:cs="Arial"/>
        </w:rPr>
        <w:t>The full-year forecast has been adjusted to align bad debt expense proportionately with the higher expected volume of infringement notices.</w:t>
      </w:r>
    </w:p>
    <w:p w14:paraId="01CE3D48" w14:textId="77777777" w:rsidR="00B17716" w:rsidRPr="004370C6" w:rsidRDefault="00B17716">
      <w:pPr>
        <w:rPr>
          <w:rFonts w:ascii="Arial" w:hAnsi="Arial" w:cs="Arial"/>
        </w:rPr>
      </w:pPr>
      <w:r w:rsidRPr="004370C6">
        <w:rPr>
          <w:rFonts w:ascii="Arial" w:hAnsi="Arial" w:cs="Arial"/>
        </w:rPr>
        <w:br w:type="page"/>
      </w:r>
    </w:p>
    <w:p w14:paraId="7FB751A8" w14:textId="7C15E5ED" w:rsidR="002124C8" w:rsidRPr="004370C6" w:rsidRDefault="002124C8" w:rsidP="00B17716">
      <w:pPr>
        <w:rPr>
          <w:rFonts w:ascii="Arial" w:hAnsi="Arial" w:cs="Arial"/>
        </w:rPr>
      </w:pPr>
      <w:r w:rsidRPr="004370C6">
        <w:rPr>
          <w:rFonts w:ascii="Arial" w:hAnsi="Arial" w:cs="Arial"/>
        </w:rPr>
        <w:lastRenderedPageBreak/>
        <w:t xml:space="preserve">Quarter Two – Capital Works </w:t>
      </w:r>
    </w:p>
    <w:p w14:paraId="36C4A626" w14:textId="77777777" w:rsidR="002124C8" w:rsidRPr="004370C6" w:rsidRDefault="002124C8" w:rsidP="00C048B3">
      <w:pPr>
        <w:rPr>
          <w:rFonts w:ascii="Arial" w:hAnsi="Arial" w:cs="Arial"/>
          <w:noProof/>
          <w:lang w:val="en-AU"/>
        </w:rPr>
      </w:pPr>
      <w:r w:rsidRPr="004370C6">
        <w:rPr>
          <w:rFonts w:ascii="Arial" w:hAnsi="Arial" w:cs="Arial"/>
          <w:noProof/>
        </w:rPr>
        <w:t>The adopted capital works budget for FY2025/26 is $38.5m, comprising a $35.75m budget allocation on planned capital projects and a carry forward budget of $2.748m from the FY2024/25 capital program.</w:t>
      </w:r>
      <w:r w:rsidRPr="004370C6">
        <w:rPr>
          <w:rFonts w:ascii="Arial" w:hAnsi="Arial" w:cs="Arial"/>
          <w:noProof/>
          <w:lang w:val="en-AU"/>
        </w:rPr>
        <w:t> </w:t>
      </w:r>
    </w:p>
    <w:p w14:paraId="3126CD0F" w14:textId="77777777" w:rsidR="002124C8" w:rsidRPr="004370C6" w:rsidRDefault="002124C8" w:rsidP="00C048B3">
      <w:pPr>
        <w:rPr>
          <w:rFonts w:ascii="Arial" w:hAnsi="Arial" w:cs="Arial"/>
          <w:noProof/>
          <w:lang w:val="en-AU"/>
        </w:rPr>
      </w:pPr>
      <w:r w:rsidRPr="004370C6">
        <w:rPr>
          <w:rFonts w:ascii="Arial" w:hAnsi="Arial" w:cs="Arial"/>
          <w:noProof/>
        </w:rPr>
        <w:t>Actual expenditure at the end of December was $13.50m, being 37% of the adopted budget. </w:t>
      </w:r>
      <w:r w:rsidRPr="004370C6">
        <w:rPr>
          <w:rFonts w:ascii="Arial" w:hAnsi="Arial" w:cs="Arial"/>
          <w:noProof/>
          <w:lang w:val="en-AU"/>
        </w:rPr>
        <w:t> </w:t>
      </w:r>
    </w:p>
    <w:p w14:paraId="5D6FE990" w14:textId="705E2240" w:rsidR="00C53B00" w:rsidRPr="004370C6" w:rsidRDefault="002124C8" w:rsidP="00C048B3">
      <w:pPr>
        <w:rPr>
          <w:rFonts w:ascii="Arial" w:hAnsi="Arial" w:cs="Arial"/>
        </w:rPr>
      </w:pPr>
      <w:r w:rsidRPr="004370C6">
        <w:rPr>
          <w:rFonts w:ascii="Arial" w:hAnsi="Arial" w:cs="Arial"/>
          <w:noProof/>
        </w:rPr>
        <w:t>Expenditure committed (actual expenditure plus open purchase commitments) is $20.25m, 52% of the adopted budget.</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1017"/>
        <w:gridCol w:w="1129"/>
        <w:gridCol w:w="942"/>
        <w:gridCol w:w="1151"/>
        <w:gridCol w:w="1020"/>
        <w:gridCol w:w="967"/>
      </w:tblGrid>
      <w:tr w:rsidR="003C1AB7" w:rsidRPr="004370C6" w14:paraId="7C281C6B" w14:textId="77777777" w:rsidTr="00CE04F2">
        <w:trPr>
          <w:trHeight w:val="1020"/>
        </w:trPr>
        <w:tc>
          <w:tcPr>
            <w:tcW w:w="3574" w:type="dxa"/>
            <w:vMerge w:val="restart"/>
            <w:vAlign w:val="center"/>
            <w:hideMark/>
          </w:tcPr>
          <w:p w14:paraId="4C2B1BB0" w14:textId="77777777" w:rsidR="00771E03" w:rsidRPr="004370C6" w:rsidRDefault="00771E03" w:rsidP="00C53B00">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Financial Results Summary</w:t>
            </w:r>
          </w:p>
          <w:p w14:paraId="3A5785C0" w14:textId="3120A372" w:rsidR="00771E03" w:rsidRPr="004370C6" w:rsidRDefault="00771E03" w:rsidP="00C53B00">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w:t>
            </w:r>
          </w:p>
        </w:tc>
        <w:tc>
          <w:tcPr>
            <w:tcW w:w="1017" w:type="dxa"/>
            <w:vAlign w:val="center"/>
            <w:hideMark/>
          </w:tcPr>
          <w:p w14:paraId="4AB2F349" w14:textId="77777777" w:rsidR="00771E03" w:rsidRPr="004370C6" w:rsidRDefault="00771E03" w:rsidP="477F705A">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YTD</w:t>
            </w:r>
            <w:r w:rsidRPr="004370C6">
              <w:rPr>
                <w:rFonts w:ascii="Arial" w:hAnsi="Arial" w:cs="Arial"/>
              </w:rPr>
              <w:br/>
            </w:r>
            <w:r w:rsidRPr="004370C6">
              <w:rPr>
                <w:rFonts w:ascii="Arial" w:eastAsia="Times New Roman" w:hAnsi="Arial" w:cs="Arial"/>
                <w:sz w:val="18"/>
                <w:szCs w:val="18"/>
                <w:lang w:val="en-AU" w:eastAsia="en-AU"/>
              </w:rPr>
              <w:t>Budget</w:t>
            </w:r>
          </w:p>
        </w:tc>
        <w:tc>
          <w:tcPr>
            <w:tcW w:w="1129" w:type="dxa"/>
            <w:vAlign w:val="center"/>
            <w:hideMark/>
          </w:tcPr>
          <w:p w14:paraId="4E2C1DDF" w14:textId="77777777" w:rsidR="00771E03" w:rsidRPr="004370C6" w:rsidRDefault="00771E03" w:rsidP="477F705A">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YTD</w:t>
            </w:r>
            <w:r w:rsidRPr="004370C6">
              <w:rPr>
                <w:rFonts w:ascii="Arial" w:hAnsi="Arial" w:cs="Arial"/>
              </w:rPr>
              <w:br/>
            </w:r>
            <w:r w:rsidRPr="004370C6">
              <w:rPr>
                <w:rFonts w:ascii="Arial" w:eastAsia="Times New Roman" w:hAnsi="Arial" w:cs="Arial"/>
                <w:sz w:val="18"/>
                <w:szCs w:val="18"/>
                <w:lang w:val="en-AU" w:eastAsia="en-AU"/>
              </w:rPr>
              <w:t>Actuals</w:t>
            </w:r>
          </w:p>
        </w:tc>
        <w:tc>
          <w:tcPr>
            <w:tcW w:w="942" w:type="dxa"/>
            <w:vAlign w:val="center"/>
            <w:hideMark/>
          </w:tcPr>
          <w:p w14:paraId="0D82D280" w14:textId="77777777" w:rsidR="00771E03" w:rsidRPr="004370C6" w:rsidRDefault="00771E03" w:rsidP="477F705A">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Annual </w:t>
            </w:r>
            <w:r w:rsidRPr="004370C6">
              <w:rPr>
                <w:rFonts w:ascii="Arial" w:hAnsi="Arial" w:cs="Arial"/>
              </w:rPr>
              <w:br/>
            </w:r>
            <w:r w:rsidRPr="004370C6">
              <w:rPr>
                <w:rFonts w:ascii="Arial" w:eastAsia="Times New Roman" w:hAnsi="Arial" w:cs="Arial"/>
                <w:sz w:val="18"/>
                <w:szCs w:val="18"/>
                <w:lang w:val="en-AU" w:eastAsia="en-AU"/>
              </w:rPr>
              <w:t>Var</w:t>
            </w:r>
            <w:r w:rsidRPr="004370C6">
              <w:rPr>
                <w:rFonts w:ascii="Arial" w:hAnsi="Arial" w:cs="Arial"/>
              </w:rPr>
              <w:br/>
            </w:r>
            <w:r w:rsidRPr="004370C6">
              <w:rPr>
                <w:rFonts w:ascii="Arial" w:eastAsia="Times New Roman" w:hAnsi="Arial" w:cs="Arial"/>
                <w:sz w:val="18"/>
                <w:szCs w:val="18"/>
                <w:lang w:val="en-AU" w:eastAsia="en-AU"/>
              </w:rPr>
              <w:t>To Budget</w:t>
            </w:r>
          </w:p>
        </w:tc>
        <w:tc>
          <w:tcPr>
            <w:tcW w:w="1151" w:type="dxa"/>
            <w:vAlign w:val="center"/>
            <w:hideMark/>
          </w:tcPr>
          <w:p w14:paraId="6ED22DD9" w14:textId="77777777" w:rsidR="00771E03" w:rsidRPr="004370C6" w:rsidRDefault="00771E03" w:rsidP="477F705A">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Annual</w:t>
            </w:r>
            <w:r w:rsidRPr="004370C6">
              <w:rPr>
                <w:rFonts w:ascii="Arial" w:hAnsi="Arial" w:cs="Arial"/>
              </w:rPr>
              <w:br/>
            </w:r>
            <w:r w:rsidRPr="004370C6">
              <w:rPr>
                <w:rFonts w:ascii="Arial" w:eastAsia="Times New Roman" w:hAnsi="Arial" w:cs="Arial"/>
                <w:sz w:val="18"/>
                <w:szCs w:val="18"/>
                <w:lang w:val="en-AU" w:eastAsia="en-AU"/>
              </w:rPr>
              <w:t>Budget</w:t>
            </w:r>
          </w:p>
        </w:tc>
        <w:tc>
          <w:tcPr>
            <w:tcW w:w="1020" w:type="dxa"/>
            <w:vAlign w:val="center"/>
            <w:hideMark/>
          </w:tcPr>
          <w:p w14:paraId="1035C443" w14:textId="77777777" w:rsidR="00771E03" w:rsidRPr="004370C6" w:rsidRDefault="00771E03" w:rsidP="477F705A">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Forecast</w:t>
            </w:r>
          </w:p>
        </w:tc>
        <w:tc>
          <w:tcPr>
            <w:tcW w:w="967" w:type="dxa"/>
            <w:vAlign w:val="center"/>
            <w:hideMark/>
          </w:tcPr>
          <w:p w14:paraId="79B6FD80" w14:textId="77777777" w:rsidR="00771E03" w:rsidRPr="004370C6" w:rsidRDefault="00771E03" w:rsidP="477F705A">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Annual</w:t>
            </w:r>
            <w:r w:rsidRPr="004370C6">
              <w:rPr>
                <w:rFonts w:ascii="Arial" w:hAnsi="Arial" w:cs="Arial"/>
              </w:rPr>
              <w:br/>
            </w:r>
            <w:r w:rsidRPr="004370C6">
              <w:rPr>
                <w:rFonts w:ascii="Arial" w:eastAsia="Times New Roman" w:hAnsi="Arial" w:cs="Arial"/>
                <w:sz w:val="18"/>
                <w:szCs w:val="18"/>
                <w:lang w:val="en-AU" w:eastAsia="en-AU"/>
              </w:rPr>
              <w:t>Var to Forecast</w:t>
            </w:r>
          </w:p>
        </w:tc>
      </w:tr>
      <w:tr w:rsidR="003C1AB7" w:rsidRPr="004370C6" w14:paraId="38A80764" w14:textId="77777777" w:rsidTr="00CE04F2">
        <w:trPr>
          <w:trHeight w:val="230"/>
        </w:trPr>
        <w:tc>
          <w:tcPr>
            <w:tcW w:w="3574" w:type="dxa"/>
            <w:vMerge/>
            <w:vAlign w:val="center"/>
            <w:hideMark/>
          </w:tcPr>
          <w:p w14:paraId="4174DC21" w14:textId="77777777" w:rsidR="00771E03" w:rsidRPr="004370C6" w:rsidRDefault="00771E03" w:rsidP="00C53B00">
            <w:pPr>
              <w:spacing w:after="0" w:line="240" w:lineRule="auto"/>
              <w:rPr>
                <w:rFonts w:ascii="Arial" w:eastAsia="Times New Roman" w:hAnsi="Arial" w:cs="Arial"/>
                <w:sz w:val="18"/>
                <w:szCs w:val="18"/>
                <w:lang w:val="en-AU" w:eastAsia="en-AU"/>
              </w:rPr>
            </w:pPr>
          </w:p>
        </w:tc>
        <w:tc>
          <w:tcPr>
            <w:tcW w:w="1017" w:type="dxa"/>
            <w:vAlign w:val="center"/>
            <w:hideMark/>
          </w:tcPr>
          <w:p w14:paraId="3B2DC28B"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1129" w:type="dxa"/>
            <w:vAlign w:val="center"/>
            <w:hideMark/>
          </w:tcPr>
          <w:p w14:paraId="658D1F31"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942" w:type="dxa"/>
            <w:vAlign w:val="center"/>
            <w:hideMark/>
          </w:tcPr>
          <w:p w14:paraId="71F28CB0"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1151" w:type="dxa"/>
            <w:vAlign w:val="center"/>
            <w:hideMark/>
          </w:tcPr>
          <w:p w14:paraId="010C3FBE"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1020" w:type="dxa"/>
            <w:vAlign w:val="center"/>
            <w:hideMark/>
          </w:tcPr>
          <w:p w14:paraId="4DF5FC9E"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967" w:type="dxa"/>
            <w:vAlign w:val="center"/>
            <w:hideMark/>
          </w:tcPr>
          <w:p w14:paraId="70E913C3"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r>
      <w:tr w:rsidR="003C1AB7" w:rsidRPr="004370C6" w14:paraId="2235853C" w14:textId="77777777" w:rsidTr="00CE04F2">
        <w:trPr>
          <w:trHeight w:val="230"/>
        </w:trPr>
        <w:tc>
          <w:tcPr>
            <w:tcW w:w="3574" w:type="dxa"/>
            <w:vAlign w:val="center"/>
            <w:hideMark/>
          </w:tcPr>
          <w:p w14:paraId="583A7E39" w14:textId="289B533A" w:rsidR="00771E03" w:rsidRPr="004370C6" w:rsidRDefault="00771E03" w:rsidP="00C53B00">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New asset expenditure</w:t>
            </w:r>
          </w:p>
        </w:tc>
        <w:tc>
          <w:tcPr>
            <w:tcW w:w="1017" w:type="dxa"/>
            <w:vAlign w:val="center"/>
            <w:hideMark/>
          </w:tcPr>
          <w:p w14:paraId="570934E3"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2,833 </w:t>
            </w:r>
          </w:p>
        </w:tc>
        <w:tc>
          <w:tcPr>
            <w:tcW w:w="1129" w:type="dxa"/>
            <w:vAlign w:val="center"/>
            <w:hideMark/>
          </w:tcPr>
          <w:p w14:paraId="173EBCB0"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1,924 </w:t>
            </w:r>
          </w:p>
        </w:tc>
        <w:tc>
          <w:tcPr>
            <w:tcW w:w="942" w:type="dxa"/>
            <w:vAlign w:val="center"/>
            <w:hideMark/>
          </w:tcPr>
          <w:p w14:paraId="5CD965B5"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909 </w:t>
            </w:r>
          </w:p>
        </w:tc>
        <w:tc>
          <w:tcPr>
            <w:tcW w:w="1151" w:type="dxa"/>
            <w:vAlign w:val="center"/>
            <w:hideMark/>
          </w:tcPr>
          <w:p w14:paraId="1B1FAC52"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9,069 </w:t>
            </w:r>
          </w:p>
        </w:tc>
        <w:tc>
          <w:tcPr>
            <w:tcW w:w="1020" w:type="dxa"/>
            <w:vAlign w:val="center"/>
            <w:hideMark/>
          </w:tcPr>
          <w:p w14:paraId="292277EB"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7,006 </w:t>
            </w:r>
          </w:p>
        </w:tc>
        <w:tc>
          <w:tcPr>
            <w:tcW w:w="967" w:type="dxa"/>
            <w:noWrap/>
            <w:vAlign w:val="center"/>
            <w:hideMark/>
          </w:tcPr>
          <w:p w14:paraId="2A5F39B4" w14:textId="77777777" w:rsidR="00771E03" w:rsidRPr="004370C6" w:rsidRDefault="00771E03"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2,063 </w:t>
            </w:r>
          </w:p>
        </w:tc>
      </w:tr>
      <w:tr w:rsidR="003C1AB7" w:rsidRPr="004370C6" w14:paraId="35AAAEA0" w14:textId="77777777" w:rsidTr="00CE04F2">
        <w:trPr>
          <w:trHeight w:val="230"/>
        </w:trPr>
        <w:tc>
          <w:tcPr>
            <w:tcW w:w="3574" w:type="dxa"/>
            <w:vAlign w:val="center"/>
            <w:hideMark/>
          </w:tcPr>
          <w:p w14:paraId="47748692" w14:textId="58EDD556" w:rsidR="00AE3E59" w:rsidRPr="004370C6" w:rsidRDefault="00AE3E59" w:rsidP="00C53B00">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Asset renewal expenditure</w:t>
            </w:r>
          </w:p>
        </w:tc>
        <w:tc>
          <w:tcPr>
            <w:tcW w:w="1017" w:type="dxa"/>
            <w:vAlign w:val="center"/>
            <w:hideMark/>
          </w:tcPr>
          <w:p w14:paraId="5C5B74B7"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9,028 </w:t>
            </w:r>
          </w:p>
        </w:tc>
        <w:tc>
          <w:tcPr>
            <w:tcW w:w="1129" w:type="dxa"/>
            <w:vAlign w:val="center"/>
            <w:hideMark/>
          </w:tcPr>
          <w:p w14:paraId="3B997CFA"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8,959 </w:t>
            </w:r>
          </w:p>
        </w:tc>
        <w:tc>
          <w:tcPr>
            <w:tcW w:w="942" w:type="dxa"/>
            <w:vAlign w:val="center"/>
            <w:hideMark/>
          </w:tcPr>
          <w:p w14:paraId="0A5C5D43"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69 </w:t>
            </w:r>
          </w:p>
        </w:tc>
        <w:tc>
          <w:tcPr>
            <w:tcW w:w="1151" w:type="dxa"/>
            <w:vAlign w:val="center"/>
            <w:hideMark/>
          </w:tcPr>
          <w:p w14:paraId="14729009"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14,877 </w:t>
            </w:r>
          </w:p>
        </w:tc>
        <w:tc>
          <w:tcPr>
            <w:tcW w:w="1020" w:type="dxa"/>
            <w:vAlign w:val="center"/>
            <w:hideMark/>
          </w:tcPr>
          <w:p w14:paraId="0A0C61B2"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15,031 </w:t>
            </w:r>
          </w:p>
        </w:tc>
        <w:tc>
          <w:tcPr>
            <w:tcW w:w="967" w:type="dxa"/>
            <w:noWrap/>
            <w:vAlign w:val="center"/>
            <w:hideMark/>
          </w:tcPr>
          <w:p w14:paraId="180C9487"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(154)</w:t>
            </w:r>
          </w:p>
        </w:tc>
      </w:tr>
      <w:tr w:rsidR="003C1AB7" w:rsidRPr="004370C6" w14:paraId="1B5CAF0E" w14:textId="77777777" w:rsidTr="00CE04F2">
        <w:trPr>
          <w:trHeight w:val="230"/>
        </w:trPr>
        <w:tc>
          <w:tcPr>
            <w:tcW w:w="3574" w:type="dxa"/>
            <w:vAlign w:val="center"/>
            <w:hideMark/>
          </w:tcPr>
          <w:p w14:paraId="629465FC" w14:textId="31DB63B4" w:rsidR="00AE3E59" w:rsidRPr="004370C6" w:rsidRDefault="00AE3E59" w:rsidP="00C53B00">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Asset upgrade expenditure</w:t>
            </w:r>
          </w:p>
        </w:tc>
        <w:tc>
          <w:tcPr>
            <w:tcW w:w="1017" w:type="dxa"/>
            <w:vAlign w:val="center"/>
            <w:hideMark/>
          </w:tcPr>
          <w:p w14:paraId="721955BA"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7,684 </w:t>
            </w:r>
          </w:p>
        </w:tc>
        <w:tc>
          <w:tcPr>
            <w:tcW w:w="1129" w:type="dxa"/>
            <w:vAlign w:val="center"/>
            <w:hideMark/>
          </w:tcPr>
          <w:p w14:paraId="50FAB0F6"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2,625 </w:t>
            </w:r>
          </w:p>
        </w:tc>
        <w:tc>
          <w:tcPr>
            <w:tcW w:w="942" w:type="dxa"/>
            <w:vAlign w:val="center"/>
            <w:hideMark/>
          </w:tcPr>
          <w:p w14:paraId="3C63B8E4"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5,060 </w:t>
            </w:r>
          </w:p>
        </w:tc>
        <w:tc>
          <w:tcPr>
            <w:tcW w:w="1151" w:type="dxa"/>
            <w:vAlign w:val="center"/>
            <w:hideMark/>
          </w:tcPr>
          <w:p w14:paraId="58B8CF67"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14,567 </w:t>
            </w:r>
          </w:p>
        </w:tc>
        <w:tc>
          <w:tcPr>
            <w:tcW w:w="1020" w:type="dxa"/>
            <w:vAlign w:val="center"/>
            <w:hideMark/>
          </w:tcPr>
          <w:p w14:paraId="44F994AF"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13,768 </w:t>
            </w:r>
          </w:p>
        </w:tc>
        <w:tc>
          <w:tcPr>
            <w:tcW w:w="967" w:type="dxa"/>
            <w:noWrap/>
            <w:vAlign w:val="center"/>
            <w:hideMark/>
          </w:tcPr>
          <w:p w14:paraId="35C9D77D"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799 </w:t>
            </w:r>
          </w:p>
        </w:tc>
      </w:tr>
      <w:tr w:rsidR="003C1AB7" w:rsidRPr="004370C6" w14:paraId="5EA23CB9" w14:textId="77777777" w:rsidTr="00CE04F2">
        <w:trPr>
          <w:trHeight w:val="230"/>
        </w:trPr>
        <w:tc>
          <w:tcPr>
            <w:tcW w:w="3574" w:type="dxa"/>
            <w:noWrap/>
            <w:vAlign w:val="center"/>
            <w:hideMark/>
          </w:tcPr>
          <w:p w14:paraId="4E374188" w14:textId="77777777" w:rsidR="00AE3E59" w:rsidRPr="004370C6" w:rsidRDefault="00AE3E59" w:rsidP="00C53B00">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Total capital works expenditure</w:t>
            </w:r>
          </w:p>
          <w:p w14:paraId="1B1390E0" w14:textId="457FADB1" w:rsidR="00AE3E59" w:rsidRPr="004370C6" w:rsidRDefault="00AE3E59" w:rsidP="00C53B00">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w:t>
            </w:r>
          </w:p>
        </w:tc>
        <w:tc>
          <w:tcPr>
            <w:tcW w:w="1017" w:type="dxa"/>
            <w:vAlign w:val="center"/>
            <w:hideMark/>
          </w:tcPr>
          <w:p w14:paraId="58A9A99B"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19,546 </w:t>
            </w:r>
          </w:p>
        </w:tc>
        <w:tc>
          <w:tcPr>
            <w:tcW w:w="1129" w:type="dxa"/>
            <w:vAlign w:val="center"/>
            <w:hideMark/>
          </w:tcPr>
          <w:p w14:paraId="7FDC7D0A"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13,508 </w:t>
            </w:r>
          </w:p>
        </w:tc>
        <w:tc>
          <w:tcPr>
            <w:tcW w:w="942" w:type="dxa"/>
            <w:vAlign w:val="center"/>
            <w:hideMark/>
          </w:tcPr>
          <w:p w14:paraId="48B5F1C0"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6,038 </w:t>
            </w:r>
          </w:p>
        </w:tc>
        <w:tc>
          <w:tcPr>
            <w:tcW w:w="1151" w:type="dxa"/>
            <w:vAlign w:val="center"/>
            <w:hideMark/>
          </w:tcPr>
          <w:p w14:paraId="07083C2E"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38,513 </w:t>
            </w:r>
          </w:p>
        </w:tc>
        <w:tc>
          <w:tcPr>
            <w:tcW w:w="1020" w:type="dxa"/>
            <w:vAlign w:val="center"/>
            <w:hideMark/>
          </w:tcPr>
          <w:p w14:paraId="61F953A0" w14:textId="77777777" w:rsidR="00AE3E59" w:rsidRPr="004370C6" w:rsidRDefault="00AE3E59" w:rsidP="00C53B0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35,806 </w:t>
            </w:r>
          </w:p>
        </w:tc>
        <w:tc>
          <w:tcPr>
            <w:tcW w:w="967" w:type="dxa"/>
            <w:vAlign w:val="center"/>
            <w:hideMark/>
          </w:tcPr>
          <w:p w14:paraId="350A13B1" w14:textId="77777777" w:rsidR="00AE3E59" w:rsidRPr="004370C6" w:rsidRDefault="00AE3E59" w:rsidP="00C53B00">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2,707 </w:t>
            </w:r>
          </w:p>
        </w:tc>
      </w:tr>
    </w:tbl>
    <w:p w14:paraId="54E92B86" w14:textId="0D183438" w:rsidR="00B17716" w:rsidRPr="004370C6" w:rsidRDefault="002124C8">
      <w:pPr>
        <w:rPr>
          <w:rFonts w:ascii="Arial" w:hAnsi="Arial" w:cs="Arial"/>
        </w:rPr>
      </w:pPr>
      <w:r w:rsidRPr="004370C6">
        <w:rPr>
          <w:rFonts w:ascii="Arial" w:hAnsi="Arial" w:cs="Arial"/>
        </w:rPr>
        <w:tab/>
      </w:r>
      <w:r w:rsidR="00B17716" w:rsidRPr="004370C6">
        <w:rPr>
          <w:rFonts w:ascii="Arial" w:hAnsi="Arial" w:cs="Arial"/>
        </w:rPr>
        <w:br w:type="page"/>
      </w:r>
    </w:p>
    <w:p w14:paraId="528F3F69" w14:textId="0649B674" w:rsidR="002124C8" w:rsidRPr="004370C6" w:rsidRDefault="002124C8" w:rsidP="00B17716">
      <w:pPr>
        <w:rPr>
          <w:rFonts w:ascii="Arial" w:hAnsi="Arial" w:cs="Arial"/>
        </w:rPr>
      </w:pPr>
      <w:r w:rsidRPr="004370C6">
        <w:rPr>
          <w:rFonts w:ascii="Arial" w:hAnsi="Arial" w:cs="Arial"/>
        </w:rPr>
        <w:lastRenderedPageBreak/>
        <w:t>Quarter Two - Cash Position </w:t>
      </w:r>
    </w:p>
    <w:p w14:paraId="5C8077DC" w14:textId="4A53BAF1" w:rsidR="002124C8" w:rsidRPr="004370C6" w:rsidRDefault="002124C8" w:rsidP="00C048B3">
      <w:pPr>
        <w:rPr>
          <w:rFonts w:ascii="Arial" w:hAnsi="Arial" w:cs="Arial"/>
          <w:lang w:val="en-AU"/>
        </w:rPr>
      </w:pPr>
      <w:r w:rsidRPr="004370C6">
        <w:rPr>
          <w:rFonts w:ascii="Arial" w:hAnsi="Arial" w:cs="Arial"/>
        </w:rPr>
        <w:t>Council has prudently managed debt arrangements to ensure value for the community.  At the end of 2025-26, Council may be in the position to settle on borrowings. However, the interest rate for borrowings is 2.6%, </w:t>
      </w:r>
      <w:r w:rsidR="000E2BA8" w:rsidRPr="004370C6">
        <w:rPr>
          <w:rFonts w:ascii="Arial" w:hAnsi="Arial" w:cs="Arial"/>
        </w:rPr>
        <w:t>while</w:t>
      </w:r>
      <w:r w:rsidRPr="004370C6">
        <w:rPr>
          <w:rFonts w:ascii="Arial" w:hAnsi="Arial" w:cs="Arial"/>
        </w:rPr>
        <w:t> earning greater than 4% on term deposits. A position to hold on to the current strategy means additional income earned on term deposits for 2025-26 will offset decreases in revenue, which would not be possible if the Council repaid borrowings.  Council may also consider in investing in new infrastructure or assets that provide value to the community, instead of paying down debt.</w:t>
      </w:r>
      <w:r w:rsidRPr="004370C6">
        <w:rPr>
          <w:rFonts w:ascii="Arial" w:hAnsi="Arial" w:cs="Arial"/>
          <w:lang w:val="en-AU"/>
        </w:rPr>
        <w:t> </w:t>
      </w:r>
    </w:p>
    <w:p w14:paraId="433D2CA9" w14:textId="601BC82E" w:rsidR="00CE57A2" w:rsidRPr="004370C6" w:rsidRDefault="00CC48A0" w:rsidP="00C048B3">
      <w:pPr>
        <w:rPr>
          <w:rFonts w:ascii="Arial" w:hAnsi="Arial" w:cs="Arial"/>
          <w:lang w:val="en-AU"/>
        </w:rPr>
      </w:pPr>
      <w:r w:rsidRPr="004370C6">
        <w:rPr>
          <w:rFonts w:ascii="Arial" w:hAnsi="Arial" w:cs="Arial"/>
          <w:lang w:val="en-AU"/>
        </w:rPr>
        <w:t xml:space="preserve">As </w:t>
      </w:r>
      <w:r w:rsidR="00A1783D" w:rsidRPr="004370C6">
        <w:rPr>
          <w:rFonts w:ascii="Arial" w:hAnsi="Arial" w:cs="Arial"/>
          <w:lang w:val="en-AU"/>
        </w:rPr>
        <w:t>of</w:t>
      </w:r>
      <w:r w:rsidR="002124C8" w:rsidRPr="004370C6">
        <w:rPr>
          <w:rFonts w:ascii="Arial" w:hAnsi="Arial" w:cs="Arial"/>
          <w:lang w:val="en-AU"/>
        </w:rPr>
        <w:t xml:space="preserve"> 31 December 2025, Council has total cash of $127.00m, of which $23.64m is funded by borrowings. Unrestricted and unallocated cash position is $47.38m, moving from $38.78m as </w:t>
      </w:r>
      <w:r w:rsidR="00A45CF2" w:rsidRPr="004370C6">
        <w:rPr>
          <w:rFonts w:ascii="Arial" w:hAnsi="Arial" w:cs="Arial"/>
          <w:lang w:val="en-AU"/>
        </w:rPr>
        <w:t>of</w:t>
      </w:r>
      <w:r w:rsidR="002124C8" w:rsidRPr="004370C6">
        <w:rPr>
          <w:rFonts w:ascii="Arial" w:hAnsi="Arial" w:cs="Arial"/>
          <w:lang w:val="en-AU"/>
        </w:rPr>
        <w:t xml:space="preserve"> 30 June 2025.</w:t>
      </w:r>
    </w:p>
    <w:p w14:paraId="7E1D18AF" w14:textId="66EB5BEC" w:rsidR="008B3C29" w:rsidRPr="004370C6" w:rsidRDefault="00132D7E" w:rsidP="002124C8">
      <w:pPr>
        <w:rPr>
          <w:rFonts w:ascii="Arial" w:hAnsi="Arial" w:cs="Arial"/>
        </w:rPr>
      </w:pPr>
      <w:r w:rsidRPr="004370C6">
        <w:rPr>
          <w:rFonts w:ascii="Arial" w:hAnsi="Arial" w:cs="Arial"/>
          <w:noProof/>
        </w:rPr>
        <mc:AlternateContent>
          <mc:Choice Requires="wps">
            <w:drawing>
              <wp:anchor distT="0" distB="0" distL="114300" distR="114300" simplePos="0" relativeHeight="251658240" behindDoc="0" locked="0" layoutInCell="1" allowOverlap="1" wp14:anchorId="22A3ED50" wp14:editId="38A27446">
                <wp:simplePos x="0" y="0"/>
                <wp:positionH relativeFrom="column">
                  <wp:posOffset>5264150</wp:posOffset>
                </wp:positionH>
                <wp:positionV relativeFrom="paragraph">
                  <wp:posOffset>1054100</wp:posOffset>
                </wp:positionV>
                <wp:extent cx="469089" cy="430763"/>
                <wp:effectExtent l="0" t="0" r="0" b="0"/>
                <wp:wrapNone/>
                <wp:docPr id="7" name="TextBox 1">
                  <a:extLst xmlns:a="http://schemas.openxmlformats.org/drawingml/2006/main">
                    <a:ext uri="{FF2B5EF4-FFF2-40B4-BE49-F238E27FC236}">
                      <a16:creationId xmlns:a16="http://schemas.microsoft.com/office/drawing/2014/main" id="{E7FDF2FA-2858-6237-AF3E-2FE4F971E5E8}"/>
                    </a:ext>
                    <a:ext uri="{147F2762-F138-4A5C-976F-8EAC2B608ADB}">
                      <a16:predDERef xmlns:a16="http://schemas.microsoft.com/office/drawing/2014/main" pred="{AFA38C72-2F55-0D4F-175F-BA3B4FB37B87}"/>
                    </a:ext>
                  </a:extLst>
                </wp:docPr>
                <wp:cNvGraphicFramePr/>
                <a:graphic xmlns:a="http://schemas.openxmlformats.org/drawingml/2006/main">
                  <a:graphicData uri="http://schemas.microsoft.com/office/word/2010/wordprocessingShape">
                    <wps:wsp>
                      <wps:cNvSpPr txBox="1"/>
                      <wps:spPr>
                        <a:xfrm>
                          <a:off x="0" y="0"/>
                          <a:ext cx="469089" cy="43076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721B56A" w14:textId="77777777" w:rsidR="00132D7E" w:rsidRDefault="00132D7E" w:rsidP="00132D7E">
                            <w:pPr>
                              <w:rPr>
                                <w:rFonts w:hAnsi="Aptos" w:cs="Arial"/>
                                <w:color w:val="000000"/>
                                <w:kern w:val="24"/>
                                <w:sz w:val="18"/>
                                <w:szCs w:val="18"/>
                              </w:rPr>
                            </w:pPr>
                            <w:r>
                              <w:rPr>
                                <w:rFonts w:hAnsi="Aptos" w:cs="Arial"/>
                                <w:color w:val="000000"/>
                                <w:kern w:val="24"/>
                                <w:sz w:val="18"/>
                                <w:szCs w:val="18"/>
                              </w:rPr>
                              <w:t xml:space="preserve"> 47.38 </w:t>
                            </w:r>
                          </w:p>
                        </w:txbxContent>
                      </wps:txbx>
                      <wps:bodyPr vertOverflow="clip" horzOverflow="clip" wrap="square" rtlCol="0" anchor="t"/>
                    </wps:wsp>
                  </a:graphicData>
                </a:graphic>
              </wp:anchor>
            </w:drawing>
          </mc:Choice>
          <mc:Fallback>
            <w:pict>
              <v:shapetype w14:anchorId="22A3ED50" id="_x0000_t202" coordsize="21600,21600" o:spt="202" path="m,l,21600r21600,l21600,xe">
                <v:stroke joinstyle="miter"/>
                <v:path gradientshapeok="t" o:connecttype="rect"/>
              </v:shapetype>
              <v:shape id="TextBox 1" o:spid="_x0000_s1026" type="#_x0000_t202" style="position:absolute;margin-left:414.5pt;margin-top:83pt;width:36.95pt;height:33.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bi9wEAADkEAAAOAAAAZHJzL2Uyb0RvYy54bWysU8Fu2zAMvQ/YPwi6L3bTNmuCOAXWorsM&#10;67BuH6DIUixMEjVKjZ19/Sg5cYbu1GEX2aLIx8dHcn07OMv2CqMB3/CLWc2Z8hJa43cN//7t4d0N&#10;ZzEJ3woLXjX8oCK/3bx9s+7DSs2hA9sqZATi46oPDe9SCquqirJTTsQZBOXpUQM6keiKu6pF0RO6&#10;s9W8rhdVD9gGBKliJOv9+Mg3BV9rJdOj1lElZhtO3FI5sZzbfFabtVjtUITOyCMN8Q8snDCekk5Q&#10;9yIJ9ozmLyhnJEIEnWYSXAVaG6lKDVTNRf2imqdOBFVqIXFimGSK/w9Wft4/hS/I0vABBmpgFqQP&#10;cRXJmOsZNLr8JaaM3knCwySbGhKTZLxaLOubJWeSnq4u6/eLy4xSnYMDxvRRgWP5p+FIXSliif2n&#10;mEbXk0vO5eHBWFs6Yz3rG768nl8TvAttw6PfldjJifJYT+nOrMtfOliVwaz/qjQzbSGfDVHibntn&#10;kY1TQGNKRZ1moYBRQHbUROKVsceQHK3K8L0yfgoq+cGnKd4ZD1gKL6uhcgF7QUPd/ig9I+J69D9J&#10;MQqQtUjDdji2dQvtgbpNC5se6dAWSF5pTeCsA/z10tbTYpDkP58FKs4w2TsY90h4Sf4NT6XTOQnN&#10;Z+n5cZfyAvx5L6zOG7/5DQAA//8DAFBLAwQUAAYACAAAACEA3Ujeu98AAAALAQAADwAAAGRycy9k&#10;b3ducmV2LnhtbEyPwU7DMBBE70j8g7VI3KhNClES4lRVEVcQbUHi5sbbJCJeR7HbhL9nOdHbjmY0&#10;+6Zcza4XZxxD50nD/UKBQKq97ajRsN+93GUgQjRkTe8JNfxggFV1fVWawvqJ3vG8jY3gEgqF0dDG&#10;OBRShrpFZ8LCD0jsHf3oTGQ5NtKOZuJy18tEqVQ60xF/aM2Amxbr7+3Jafh4PX59Pqi35tk9DpOf&#10;lSSXS61vb+b1E4iIc/wPwx8+o0PFTAd/IhtEryFLct4S2UhTPjiRqyQHcdCQLJcZyKqUlxuqXwAA&#10;AP//AwBQSwECLQAUAAYACAAAACEAtoM4kv4AAADhAQAAEwAAAAAAAAAAAAAAAAAAAAAAW0NvbnRl&#10;bnRfVHlwZXNdLnhtbFBLAQItABQABgAIAAAAIQA4/SH/1gAAAJQBAAALAAAAAAAAAAAAAAAAAC8B&#10;AABfcmVscy8ucmVsc1BLAQItABQABgAIAAAAIQCCYObi9wEAADkEAAAOAAAAAAAAAAAAAAAAAC4C&#10;AABkcnMvZTJvRG9jLnhtbFBLAQItABQABgAIAAAAIQDdSN673wAAAAsBAAAPAAAAAAAAAAAAAAAA&#10;AFEEAABkcnMvZG93bnJldi54bWxQSwUGAAAAAAQABADzAAAAXQUAAAAA&#10;" filled="f" stroked="f">
                <v:textbox>
                  <w:txbxContent>
                    <w:p w14:paraId="6721B56A" w14:textId="77777777" w:rsidR="00132D7E" w:rsidRDefault="00132D7E" w:rsidP="00132D7E">
                      <w:pPr>
                        <w:rPr>
                          <w:rFonts w:hAnsi="Aptos" w:cs="Arial"/>
                          <w:color w:val="000000"/>
                          <w:kern w:val="24"/>
                          <w:sz w:val="18"/>
                          <w:szCs w:val="18"/>
                        </w:rPr>
                      </w:pPr>
                      <w:r>
                        <w:rPr>
                          <w:rFonts w:hAnsi="Aptos" w:cs="Arial"/>
                          <w:color w:val="000000"/>
                          <w:kern w:val="24"/>
                          <w:sz w:val="18"/>
                          <w:szCs w:val="18"/>
                        </w:rPr>
                        <w:t xml:space="preserve"> 47.38 </w:t>
                      </w:r>
                    </w:p>
                  </w:txbxContent>
                </v:textbox>
              </v:shape>
            </w:pict>
          </mc:Fallback>
        </mc:AlternateContent>
      </w:r>
      <w:r w:rsidR="00EA44A7" w:rsidRPr="004370C6">
        <w:rPr>
          <w:rFonts w:ascii="Arial" w:hAnsi="Arial" w:cs="Arial"/>
          <w:noProof/>
        </w:rPr>
        <w:drawing>
          <wp:inline distT="0" distB="0" distL="0" distR="0" wp14:anchorId="4FD08E25" wp14:editId="29EFBD78">
            <wp:extent cx="5944235" cy="2451100"/>
            <wp:effectExtent l="0" t="0" r="0" b="6350"/>
            <wp:docPr id="1567202784" name="Picture 1" descr="Graph showing financial sustainability rations, opening cash $127M, trust funds -10.84M, Staturoty reserve -28.91 million, risk mitigation -9.0 million, strategic growth -5.0 million, intended allocations -25.87 million and closing cash balance 47.3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02784" name="Picture 1" descr="Graph showing financial sustainability rations, opening cash $127M, trust funds -10.84M, Staturoty reserve -28.91 million, risk mitigation -9.0 million, strategic growth -5.0 million, intended allocations -25.87 million and closing cash balance 47.3 mill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2451100"/>
                    </a:xfrm>
                    <a:prstGeom prst="rect">
                      <a:avLst/>
                    </a:prstGeom>
                    <a:noFill/>
                  </pic:spPr>
                </pic:pic>
              </a:graphicData>
            </a:graphic>
          </wp:inline>
        </w:drawing>
      </w:r>
    </w:p>
    <w:p w14:paraId="526F1AB4" w14:textId="15772508" w:rsidR="002124C8" w:rsidRPr="004370C6" w:rsidRDefault="002124C8" w:rsidP="00B64127">
      <w:pPr>
        <w:pStyle w:val="Heading4"/>
        <w:rPr>
          <w:rFonts w:ascii="Arial" w:hAnsi="Arial" w:cs="Arial"/>
          <w:color w:val="auto"/>
        </w:rPr>
      </w:pPr>
      <w:bookmarkStart w:id="75" w:name="_Toc224732205"/>
      <w:r w:rsidRPr="004370C6">
        <w:rPr>
          <w:rFonts w:ascii="Arial" w:hAnsi="Arial" w:cs="Arial"/>
          <w:color w:val="auto"/>
        </w:rPr>
        <w:t>Quarter Two - Financial Sustainability Ratios</w:t>
      </w:r>
      <w:bookmarkEnd w:id="75"/>
      <w:r w:rsidRPr="004370C6">
        <w:rPr>
          <w:rFonts w:ascii="Arial" w:hAnsi="Arial" w:cs="Arial"/>
          <w:color w:val="auto"/>
        </w:rPr>
        <w:t> </w:t>
      </w:r>
    </w:p>
    <w:p w14:paraId="6D37249B" w14:textId="29B16185" w:rsidR="00472CA0" w:rsidRPr="004370C6" w:rsidRDefault="00472CA0" w:rsidP="00472CA0">
      <w:pPr>
        <w:rPr>
          <w:rFonts w:ascii="Arial" w:hAnsi="Arial" w:cs="Arial"/>
        </w:rPr>
      </w:pPr>
      <w:bookmarkStart w:id="76" w:name="_Toc224732206"/>
      <w:r w:rsidRPr="004370C6">
        <w:rPr>
          <w:rStyle w:val="Heading5Char"/>
          <w:rFonts w:ascii="Arial" w:hAnsi="Arial" w:cs="Arial"/>
        </w:rPr>
        <w:t>Adjusted underlying surplus (deficit) / adjusted underlying revenue</w:t>
      </w:r>
      <w:bookmarkEnd w:id="76"/>
      <w:r w:rsidRPr="004370C6">
        <w:rPr>
          <w:rFonts w:ascii="Arial" w:hAnsi="Arial" w:cs="Arial"/>
          <w:sz w:val="20"/>
          <w:szCs w:val="20"/>
          <w:lang w:val="en-AU"/>
        </w:rPr>
        <w:br/>
      </w:r>
      <w:r w:rsidRPr="004370C6">
        <w:rPr>
          <w:rFonts w:ascii="Arial" w:hAnsi="Arial" w:cs="Arial"/>
        </w:rPr>
        <w:t>This ratio measures an entity's ability to generate its own cash.  A positive result indicates a surplus, and the larger the percentage, the stronger the result. The result highlights Councils challenges in generating enough cash to fund future capital works without borrowing.</w:t>
      </w:r>
    </w:p>
    <w:p w14:paraId="0B60568B" w14:textId="61EA7701" w:rsidR="002124C8" w:rsidRPr="004370C6" w:rsidRDefault="002124C8" w:rsidP="002124C8">
      <w:pPr>
        <w:spacing w:after="0" w:line="240" w:lineRule="auto"/>
        <w:rPr>
          <w:rFonts w:ascii="Arial" w:hAnsi="Arial" w:cs="Arial"/>
        </w:rPr>
      </w:pPr>
      <w:r w:rsidRPr="004370C6">
        <w:rPr>
          <w:rFonts w:ascii="Arial" w:eastAsia="Times New Roman" w:hAnsi="Arial" w:cs="Arial"/>
          <w:noProof/>
          <w:lang w:val="en-AU" w:eastAsia="en-AU"/>
        </w:rPr>
        <w:lastRenderedPageBreak/>
        <w:drawing>
          <wp:inline distT="0" distB="0" distL="0" distR="0" wp14:anchorId="42B7A69F" wp14:editId="509A89F3">
            <wp:extent cx="2838450" cy="1905000"/>
            <wp:effectExtent l="0" t="0" r="0" b="0"/>
            <wp:docPr id="1" name="Picture 1" descr="Adjusted underlying result graph with the 2024/25 result above the VAGO low risk level result of 5% and the forecast for 2025/26 below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justed underlying result graph with the 2024/25 result above the VAGO low risk level result of 5% and the forecast for 2025/26 below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1905000"/>
                    </a:xfrm>
                    <a:prstGeom prst="rect">
                      <a:avLst/>
                    </a:prstGeom>
                    <a:noFill/>
                    <a:ln>
                      <a:noFill/>
                    </a:ln>
                  </pic:spPr>
                </pic:pic>
              </a:graphicData>
            </a:graphic>
          </wp:inline>
        </w:drawing>
      </w:r>
      <w:r w:rsidRPr="004370C6">
        <w:rPr>
          <w:rFonts w:ascii="Arial" w:hAnsi="Arial" w:cs="Arial"/>
        </w:rPr>
        <w:t xml:space="preserve"> </w:t>
      </w:r>
    </w:p>
    <w:p w14:paraId="2BFFF4C2" w14:textId="77777777" w:rsidR="00472CA0" w:rsidRPr="004370C6" w:rsidRDefault="00472CA0" w:rsidP="002124C8">
      <w:pPr>
        <w:spacing w:after="0" w:line="240" w:lineRule="auto"/>
        <w:rPr>
          <w:rFonts w:ascii="Arial" w:hAnsi="Arial" w:cs="Arial"/>
        </w:rPr>
      </w:pPr>
    </w:p>
    <w:p w14:paraId="3E76C7A1" w14:textId="77777777" w:rsidR="00472CA0" w:rsidRPr="004370C6" w:rsidRDefault="00472CA0" w:rsidP="002124C8">
      <w:pPr>
        <w:spacing w:after="0" w:line="240" w:lineRule="auto"/>
        <w:rPr>
          <w:rFonts w:ascii="Arial" w:hAnsi="Arial" w:cs="Arial"/>
        </w:rPr>
      </w:pPr>
    </w:p>
    <w:p w14:paraId="59C9C9CD" w14:textId="4C28CFEC" w:rsidR="00472CA0" w:rsidRPr="004370C6" w:rsidRDefault="00472CA0" w:rsidP="00472CA0">
      <w:pPr>
        <w:rPr>
          <w:rFonts w:ascii="Arial" w:hAnsi="Arial" w:cs="Arial"/>
        </w:rPr>
      </w:pPr>
      <w:bookmarkStart w:id="77" w:name="_Toc224732207"/>
      <w:r w:rsidRPr="004370C6">
        <w:rPr>
          <w:rStyle w:val="Heading5Char"/>
          <w:rFonts w:ascii="Arial" w:hAnsi="Arial" w:cs="Arial"/>
        </w:rPr>
        <w:t>Current assets / current liabilities</w:t>
      </w:r>
      <w:bookmarkEnd w:id="77"/>
      <w:r w:rsidRPr="004370C6">
        <w:rPr>
          <w:rFonts w:ascii="Arial" w:hAnsi="Arial" w:cs="Arial"/>
          <w:sz w:val="20"/>
          <w:szCs w:val="20"/>
          <w:lang w:val="en-AU"/>
        </w:rPr>
        <w:br/>
      </w:r>
      <w:r w:rsidRPr="004370C6">
        <w:rPr>
          <w:rFonts w:ascii="Arial" w:hAnsi="Arial" w:cs="Arial"/>
        </w:rPr>
        <w:t>Compares current assets to current liabilities, which provides a measure of the ability to pay existing liabilities in the next 12 months. This year's result expected to be in the low-risk range.</w:t>
      </w:r>
    </w:p>
    <w:p w14:paraId="2D4FAACB" w14:textId="77777777" w:rsidR="00472CA0" w:rsidRPr="004370C6" w:rsidRDefault="00472CA0" w:rsidP="00472CA0">
      <w:pPr>
        <w:rPr>
          <w:rFonts w:ascii="Arial" w:hAnsi="Arial" w:cs="Arial"/>
        </w:rPr>
      </w:pPr>
      <w:r w:rsidRPr="004370C6">
        <w:rPr>
          <w:rFonts w:ascii="Arial" w:hAnsi="Arial" w:cs="Arial"/>
          <w:noProof/>
        </w:rPr>
        <w:drawing>
          <wp:inline distT="0" distB="0" distL="0" distR="0" wp14:anchorId="203BF643" wp14:editId="66C37DE3">
            <wp:extent cx="3048000" cy="1914525"/>
            <wp:effectExtent l="0" t="0" r="0" b="9525"/>
            <wp:docPr id="1236676147" name="Picture 1" descr="Working capital graph showing the actual, budget and forecast results above the VAGO low risk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76147" name="Picture 1" descr="Working capital graph showing the actual, budget and forecast results above the VAGO low risk lev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914525"/>
                    </a:xfrm>
                    <a:prstGeom prst="rect">
                      <a:avLst/>
                    </a:prstGeom>
                    <a:noFill/>
                    <a:ln>
                      <a:noFill/>
                    </a:ln>
                  </pic:spPr>
                </pic:pic>
              </a:graphicData>
            </a:graphic>
          </wp:inline>
        </w:drawing>
      </w:r>
    </w:p>
    <w:p w14:paraId="27EBAF0C" w14:textId="7E9C6B20" w:rsidR="00472CA0" w:rsidRPr="004370C6" w:rsidRDefault="00472CA0" w:rsidP="002124C8">
      <w:pPr>
        <w:spacing w:after="0" w:line="240" w:lineRule="auto"/>
        <w:rPr>
          <w:rFonts w:ascii="Arial" w:hAnsi="Arial" w:cs="Arial"/>
        </w:rPr>
      </w:pPr>
      <w:bookmarkStart w:id="78" w:name="_Toc224732208"/>
      <w:r w:rsidRPr="004370C6">
        <w:rPr>
          <w:rStyle w:val="Heading5Char"/>
          <w:rFonts w:ascii="Arial" w:hAnsi="Arial" w:cs="Arial"/>
        </w:rPr>
        <w:t>Renewal &amp; upgrade spend/ depreciation</w:t>
      </w:r>
      <w:bookmarkEnd w:id="78"/>
      <w:r w:rsidRPr="004370C6">
        <w:rPr>
          <w:rFonts w:ascii="Arial" w:hAnsi="Arial" w:cs="Arial"/>
          <w:sz w:val="20"/>
          <w:szCs w:val="20"/>
          <w:lang w:val="en-AU"/>
        </w:rPr>
        <w:br/>
      </w:r>
      <w:r w:rsidRPr="004370C6">
        <w:rPr>
          <w:rFonts w:ascii="Arial" w:hAnsi="Arial" w:cs="Arial"/>
          <w:sz w:val="20"/>
          <w:szCs w:val="20"/>
          <w:lang w:val="en-AU"/>
        </w:rPr>
        <w:br/>
      </w:r>
      <w:r w:rsidRPr="004370C6">
        <w:rPr>
          <w:rFonts w:ascii="Arial" w:hAnsi="Arial" w:cs="Arial"/>
        </w:rPr>
        <w:t xml:space="preserve">Ratios higher than 1.0 indicate that spending on existing assets is faster than the depreciation rate. This year's result is expected to stay in the low-risk range. </w:t>
      </w:r>
    </w:p>
    <w:p w14:paraId="4E82EE1A" w14:textId="77777777" w:rsidR="00C048B3" w:rsidRPr="004370C6" w:rsidRDefault="00C048B3" w:rsidP="002124C8">
      <w:pPr>
        <w:spacing w:after="0" w:line="240" w:lineRule="auto"/>
        <w:rPr>
          <w:rFonts w:ascii="Arial" w:hAnsi="Arial" w:cs="Arial"/>
        </w:rPr>
      </w:pPr>
    </w:p>
    <w:p w14:paraId="5CEEF0CE" w14:textId="77777777" w:rsidR="00472CA0" w:rsidRPr="004370C6" w:rsidRDefault="002124C8" w:rsidP="002124C8">
      <w:pPr>
        <w:rPr>
          <w:rFonts w:ascii="Arial" w:hAnsi="Arial" w:cs="Arial"/>
          <w:noProof/>
        </w:rPr>
      </w:pPr>
      <w:r w:rsidRPr="004370C6">
        <w:rPr>
          <w:rFonts w:ascii="Arial" w:hAnsi="Arial" w:cs="Arial"/>
          <w:noProof/>
          <w:lang w:val="en-AU"/>
        </w:rPr>
        <w:drawing>
          <wp:inline distT="0" distB="0" distL="0" distR="0" wp14:anchorId="27DD00F7" wp14:editId="08AC5F7D">
            <wp:extent cx="2809875" cy="1993900"/>
            <wp:effectExtent l="0" t="0" r="9525" b="6350"/>
            <wp:docPr id="1511308909" name="Picture 3" descr="Asset renewal graph with the actual, budget and forecast results sitting just below the Vago low risk level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08909" name="Picture 3" descr="Asset renewal graph with the actual, budget and forecast results sitting just below the Vago low risk level of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1993900"/>
                    </a:xfrm>
                    <a:prstGeom prst="rect">
                      <a:avLst/>
                    </a:prstGeom>
                    <a:noFill/>
                    <a:ln>
                      <a:noFill/>
                    </a:ln>
                  </pic:spPr>
                </pic:pic>
              </a:graphicData>
            </a:graphic>
          </wp:inline>
        </w:drawing>
      </w:r>
      <w:r w:rsidRPr="004370C6">
        <w:rPr>
          <w:rFonts w:ascii="Arial" w:hAnsi="Arial" w:cs="Arial"/>
          <w:noProof/>
        </w:rPr>
        <w:t xml:space="preserve"> </w:t>
      </w:r>
    </w:p>
    <w:p w14:paraId="688D1919" w14:textId="65F27E02" w:rsidR="00472CA0" w:rsidRPr="004370C6" w:rsidRDefault="00472CA0" w:rsidP="00C048B3">
      <w:pPr>
        <w:rPr>
          <w:rFonts w:ascii="Arial" w:hAnsi="Arial" w:cs="Arial"/>
          <w:noProof/>
          <w:lang w:val="en-AU"/>
        </w:rPr>
      </w:pPr>
      <w:bookmarkStart w:id="79" w:name="_Toc224732209"/>
      <w:r w:rsidRPr="004370C6">
        <w:rPr>
          <w:rStyle w:val="Heading5Char"/>
          <w:rFonts w:ascii="Arial" w:hAnsi="Arial" w:cs="Arial"/>
        </w:rPr>
        <w:lastRenderedPageBreak/>
        <w:t>Non-current liabilities / own-source revenue</w:t>
      </w:r>
      <w:bookmarkEnd w:id="79"/>
      <w:r w:rsidRPr="004370C6">
        <w:rPr>
          <w:rFonts w:ascii="Arial" w:hAnsi="Arial" w:cs="Arial"/>
          <w:lang w:val="en-AU"/>
        </w:rPr>
        <w:br/>
        <w:t>Measures Council's ability to pay the principal and interest on its borrowings when they are due from the funds it generates. This year's result is expected to stay in the low-risk range.</w:t>
      </w:r>
    </w:p>
    <w:p w14:paraId="75B3C003" w14:textId="3638E634" w:rsidR="002124C8" w:rsidRPr="004370C6" w:rsidRDefault="002124C8" w:rsidP="002124C8">
      <w:pPr>
        <w:rPr>
          <w:rFonts w:ascii="Arial" w:hAnsi="Arial" w:cs="Arial"/>
          <w:lang w:val="en-AU"/>
        </w:rPr>
      </w:pPr>
      <w:r w:rsidRPr="004370C6">
        <w:rPr>
          <w:rFonts w:ascii="Arial" w:hAnsi="Arial" w:cs="Arial"/>
          <w:noProof/>
        </w:rPr>
        <w:drawing>
          <wp:inline distT="0" distB="0" distL="0" distR="0" wp14:anchorId="55A79D56" wp14:editId="1F207E79">
            <wp:extent cx="3086100" cy="1990725"/>
            <wp:effectExtent l="0" t="0" r="0" b="9525"/>
            <wp:docPr id="6" name="Picture 2" descr="Indebtedness graph showing the actual, budget and forecast results below the VAGO low risk level of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ndebtedness graph showing the actual, budget and forecast results below the VAGO low risk level of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1990725"/>
                    </a:xfrm>
                    <a:prstGeom prst="rect">
                      <a:avLst/>
                    </a:prstGeom>
                    <a:noFill/>
                    <a:ln>
                      <a:noFill/>
                    </a:ln>
                  </pic:spPr>
                </pic:pic>
              </a:graphicData>
            </a:graphic>
          </wp:inline>
        </w:drawing>
      </w:r>
    </w:p>
    <w:p w14:paraId="1037912C" w14:textId="0FE039C5" w:rsidR="00774992" w:rsidRPr="004370C6" w:rsidRDefault="00774992">
      <w:pPr>
        <w:rPr>
          <w:rFonts w:ascii="Arial" w:eastAsiaTheme="majorEastAsia" w:hAnsi="Arial" w:cs="Arial"/>
          <w:i/>
          <w:iCs/>
        </w:rPr>
      </w:pPr>
      <w:r w:rsidRPr="004370C6">
        <w:rPr>
          <w:rFonts w:ascii="Arial" w:hAnsi="Arial" w:cs="Arial"/>
        </w:rPr>
        <w:br w:type="page"/>
      </w:r>
    </w:p>
    <w:p w14:paraId="25E1DE49" w14:textId="4AFE134F" w:rsidR="002124C8" w:rsidRPr="004370C6" w:rsidRDefault="002124C8" w:rsidP="00B64127">
      <w:pPr>
        <w:pStyle w:val="Heading4"/>
        <w:rPr>
          <w:rFonts w:ascii="Arial" w:hAnsi="Arial" w:cs="Arial"/>
          <w:color w:val="auto"/>
        </w:rPr>
      </w:pPr>
      <w:bookmarkStart w:id="80" w:name="_Toc224732210"/>
      <w:r w:rsidRPr="004370C6">
        <w:rPr>
          <w:rFonts w:ascii="Arial" w:hAnsi="Arial" w:cs="Arial"/>
          <w:color w:val="auto"/>
        </w:rPr>
        <w:lastRenderedPageBreak/>
        <w:t>Treasury Corporation of Victoria (TCV) Loan financial covenants</w:t>
      </w:r>
      <w:bookmarkEnd w:id="80"/>
      <w:r w:rsidRPr="004370C6">
        <w:rPr>
          <w:rFonts w:ascii="Arial" w:hAnsi="Arial" w:cs="Arial"/>
          <w:color w:val="auto"/>
        </w:rPr>
        <w:t>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000"/>
        <w:gridCol w:w="4440"/>
        <w:gridCol w:w="1020"/>
        <w:gridCol w:w="1033"/>
      </w:tblGrid>
      <w:tr w:rsidR="003C1AB7" w:rsidRPr="004370C6" w14:paraId="09A2DE54" w14:textId="77777777" w:rsidTr="0026308F">
        <w:trPr>
          <w:trHeight w:val="510"/>
        </w:trPr>
        <w:tc>
          <w:tcPr>
            <w:tcW w:w="7440" w:type="dxa"/>
            <w:gridSpan w:val="2"/>
            <w:vAlign w:val="center"/>
            <w:hideMark/>
          </w:tcPr>
          <w:p w14:paraId="64FE6488" w14:textId="46A4C389" w:rsidR="0026308F" w:rsidRPr="004370C6" w:rsidRDefault="0026308F" w:rsidP="005A3F70">
            <w:pPr>
              <w:spacing w:after="0" w:line="240" w:lineRule="auto"/>
              <w:jc w:val="center"/>
              <w:rPr>
                <w:rFonts w:ascii="Arial" w:eastAsia="Times New Roman" w:hAnsi="Arial" w:cs="Arial"/>
                <w:sz w:val="20"/>
                <w:szCs w:val="20"/>
                <w:lang w:val="en-AU" w:eastAsia="en-AU"/>
              </w:rPr>
            </w:pPr>
            <w:r w:rsidRPr="004370C6">
              <w:rPr>
                <w:rFonts w:ascii="Arial" w:eastAsia="Times New Roman" w:hAnsi="Arial" w:cs="Arial"/>
                <w:sz w:val="18"/>
                <w:szCs w:val="18"/>
                <w:lang w:val="en-AU" w:eastAsia="en-AU"/>
              </w:rPr>
              <w:t>TCV loan requirements</w:t>
            </w:r>
          </w:p>
        </w:tc>
        <w:tc>
          <w:tcPr>
            <w:tcW w:w="1020" w:type="dxa"/>
            <w:vAlign w:val="center"/>
            <w:hideMark/>
          </w:tcPr>
          <w:p w14:paraId="0E63B443" w14:textId="77777777" w:rsidR="0026308F" w:rsidRPr="004370C6" w:rsidRDefault="0026308F" w:rsidP="005A3F70">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Target</w:t>
            </w:r>
          </w:p>
        </w:tc>
        <w:tc>
          <w:tcPr>
            <w:tcW w:w="1033" w:type="dxa"/>
            <w:vAlign w:val="center"/>
            <w:hideMark/>
          </w:tcPr>
          <w:p w14:paraId="220735AC" w14:textId="77777777" w:rsidR="0026308F" w:rsidRPr="004370C6" w:rsidRDefault="0026308F" w:rsidP="005A3F70">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Current Month</w:t>
            </w:r>
          </w:p>
        </w:tc>
      </w:tr>
      <w:tr w:rsidR="003C1AB7" w:rsidRPr="004370C6" w14:paraId="6CAF732C" w14:textId="77777777" w:rsidTr="0026308F">
        <w:trPr>
          <w:trHeight w:val="240"/>
        </w:trPr>
        <w:tc>
          <w:tcPr>
            <w:tcW w:w="3000" w:type="dxa"/>
            <w:noWrap/>
            <w:vAlign w:val="bottom"/>
            <w:hideMark/>
          </w:tcPr>
          <w:p w14:paraId="483803FF" w14:textId="77777777" w:rsidR="0026308F" w:rsidRPr="004370C6" w:rsidRDefault="0026308F" w:rsidP="005A3F70">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Interest Cover</w:t>
            </w:r>
          </w:p>
        </w:tc>
        <w:tc>
          <w:tcPr>
            <w:tcW w:w="4440" w:type="dxa"/>
            <w:noWrap/>
            <w:vAlign w:val="bottom"/>
            <w:hideMark/>
          </w:tcPr>
          <w:p w14:paraId="27FE326B" w14:textId="77777777" w:rsidR="0026308F" w:rsidRPr="004370C6" w:rsidRDefault="0026308F" w:rsidP="005A3F70">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EBITDA/Interest Expense</w:t>
            </w:r>
          </w:p>
        </w:tc>
        <w:tc>
          <w:tcPr>
            <w:tcW w:w="1020" w:type="dxa"/>
            <w:noWrap/>
            <w:vAlign w:val="bottom"/>
            <w:hideMark/>
          </w:tcPr>
          <w:p w14:paraId="5DE0F21C" w14:textId="77777777" w:rsidR="0026308F" w:rsidRPr="004370C6" w:rsidRDefault="0026308F" w:rsidP="005A3F70">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&gt; 2.0</w:t>
            </w:r>
          </w:p>
        </w:tc>
        <w:tc>
          <w:tcPr>
            <w:tcW w:w="1033" w:type="dxa"/>
            <w:noWrap/>
            <w:vAlign w:val="center"/>
            <w:hideMark/>
          </w:tcPr>
          <w:p w14:paraId="500F0E96" w14:textId="7A37EE35" w:rsidR="0026308F" w:rsidRPr="004370C6" w:rsidRDefault="0026308F" w:rsidP="005A3F70">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304 </w:t>
            </w:r>
          </w:p>
        </w:tc>
      </w:tr>
      <w:tr w:rsidR="00472CA0" w:rsidRPr="004370C6" w14:paraId="619FE08D" w14:textId="77777777" w:rsidTr="0026308F">
        <w:trPr>
          <w:trHeight w:val="225"/>
        </w:trPr>
        <w:tc>
          <w:tcPr>
            <w:tcW w:w="3000" w:type="dxa"/>
            <w:noWrap/>
            <w:vAlign w:val="center"/>
            <w:hideMark/>
          </w:tcPr>
          <w:p w14:paraId="21E2414B" w14:textId="77777777" w:rsidR="0026308F" w:rsidRPr="004370C6" w:rsidRDefault="0026308F" w:rsidP="005A3F70">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Interest Bearing Loans</w:t>
            </w:r>
          </w:p>
        </w:tc>
        <w:tc>
          <w:tcPr>
            <w:tcW w:w="4440" w:type="dxa"/>
            <w:vAlign w:val="center"/>
            <w:hideMark/>
          </w:tcPr>
          <w:p w14:paraId="7FEF99B5" w14:textId="77777777" w:rsidR="0026308F" w:rsidRPr="004370C6" w:rsidRDefault="0026308F" w:rsidP="005A3F70">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Interest Bearing Liabilities/Own Source Revenue</w:t>
            </w:r>
          </w:p>
        </w:tc>
        <w:tc>
          <w:tcPr>
            <w:tcW w:w="1020" w:type="dxa"/>
            <w:noWrap/>
            <w:vAlign w:val="center"/>
            <w:hideMark/>
          </w:tcPr>
          <w:p w14:paraId="25E8AF30" w14:textId="77777777" w:rsidR="0026308F" w:rsidRPr="004370C6" w:rsidRDefault="0026308F" w:rsidP="005A3F70">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&lt; 60%</w:t>
            </w:r>
          </w:p>
        </w:tc>
        <w:tc>
          <w:tcPr>
            <w:tcW w:w="1033" w:type="dxa"/>
            <w:noWrap/>
            <w:vAlign w:val="center"/>
            <w:hideMark/>
          </w:tcPr>
          <w:p w14:paraId="07C66867" w14:textId="3375F519" w:rsidR="0026308F" w:rsidRPr="004370C6" w:rsidRDefault="0026308F" w:rsidP="005A3F70">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12.31%</w:t>
            </w:r>
          </w:p>
        </w:tc>
      </w:tr>
    </w:tbl>
    <w:p w14:paraId="4A1002A3" w14:textId="77777777" w:rsidR="00824E21" w:rsidRPr="004370C6" w:rsidRDefault="00824E21" w:rsidP="00C048B3">
      <w:pPr>
        <w:rPr>
          <w:rFonts w:ascii="Arial" w:hAnsi="Arial" w:cs="Arial"/>
        </w:rPr>
      </w:pPr>
    </w:p>
    <w:p w14:paraId="16C846D8" w14:textId="0D0D15F5" w:rsidR="002124C8" w:rsidRPr="004370C6" w:rsidRDefault="0092575C" w:rsidP="00C048B3">
      <w:pPr>
        <w:rPr>
          <w:rFonts w:ascii="Arial" w:hAnsi="Arial" w:cs="Arial"/>
        </w:rPr>
      </w:pPr>
      <w:r w:rsidRPr="004370C6">
        <w:rPr>
          <w:rFonts w:ascii="Arial" w:hAnsi="Arial" w:cs="Arial"/>
        </w:rPr>
        <w:t>TCV financing is conditional upon Council maintaining a sustainable financial position when measured by the interest cover and interest bearing loans ratios. YTD results indicate that Council is meeting the minimum requirements. TCV loan requirements are well within target given limited borrowing compared to own source revenue and liability obligations.</w:t>
      </w:r>
    </w:p>
    <w:p w14:paraId="1C5297A0" w14:textId="77777777" w:rsidR="002124C8" w:rsidRPr="004370C6" w:rsidRDefault="002124C8" w:rsidP="002124C8">
      <w:pPr>
        <w:rPr>
          <w:rFonts w:ascii="Arial" w:hAnsi="Arial" w:cs="Arial"/>
        </w:rPr>
      </w:pPr>
      <w:r w:rsidRPr="004370C6">
        <w:rPr>
          <w:rFonts w:ascii="Arial" w:hAnsi="Arial" w:cs="Arial"/>
        </w:rPr>
        <w:br w:type="page"/>
      </w:r>
    </w:p>
    <w:p w14:paraId="278F8FB9" w14:textId="77777777" w:rsidR="002124C8" w:rsidRPr="004370C6" w:rsidRDefault="002124C8" w:rsidP="00B64127">
      <w:pPr>
        <w:pStyle w:val="Heading4"/>
        <w:rPr>
          <w:rFonts w:ascii="Arial" w:hAnsi="Arial" w:cs="Arial"/>
          <w:color w:val="auto"/>
        </w:rPr>
      </w:pPr>
      <w:bookmarkStart w:id="81" w:name="_Toc224732211"/>
      <w:r w:rsidRPr="004370C6">
        <w:rPr>
          <w:rFonts w:ascii="Arial" w:hAnsi="Arial" w:cs="Arial"/>
          <w:color w:val="auto"/>
        </w:rPr>
        <w:lastRenderedPageBreak/>
        <w:t>Quarter Two - Statement of Financial Position</w:t>
      </w:r>
      <w:bookmarkEnd w:id="81"/>
      <w:r w:rsidRPr="004370C6">
        <w:rPr>
          <w:rFonts w:ascii="Arial" w:hAnsi="Arial" w:cs="Arial"/>
          <w:color w:val="auto"/>
        </w:rPr>
        <w:t> </w:t>
      </w:r>
    </w:p>
    <w:tbl>
      <w:tblPr>
        <w:tblW w:w="8009" w:type="dxa"/>
        <w:jc w:val="center"/>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ook w:val="04A0" w:firstRow="1" w:lastRow="0" w:firstColumn="1" w:lastColumn="0" w:noHBand="0" w:noVBand="1"/>
      </w:tblPr>
      <w:tblGrid>
        <w:gridCol w:w="4034"/>
        <w:gridCol w:w="1358"/>
        <w:gridCol w:w="1358"/>
        <w:gridCol w:w="1337"/>
      </w:tblGrid>
      <w:tr w:rsidR="003C1AB7" w:rsidRPr="004370C6" w14:paraId="3E5B460B" w14:textId="77777777" w:rsidTr="0091289A">
        <w:trPr>
          <w:trHeight w:val="501"/>
          <w:jc w:val="center"/>
        </w:trPr>
        <w:tc>
          <w:tcPr>
            <w:tcW w:w="4034" w:type="dxa"/>
            <w:vMerge w:val="restart"/>
            <w:vAlign w:val="center"/>
            <w:hideMark/>
          </w:tcPr>
          <w:p w14:paraId="76FA1C86"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Statement of Financial Position</w:t>
            </w:r>
          </w:p>
        </w:tc>
        <w:tc>
          <w:tcPr>
            <w:tcW w:w="1358" w:type="dxa"/>
            <w:vMerge w:val="restart"/>
            <w:vAlign w:val="center"/>
            <w:hideMark/>
          </w:tcPr>
          <w:p w14:paraId="74253005"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YTD</w:t>
            </w:r>
            <w:r w:rsidRPr="004370C6">
              <w:rPr>
                <w:rFonts w:ascii="Arial" w:hAnsi="Arial" w:cs="Arial"/>
                <w:lang w:val="en-AU" w:eastAsia="en-AU"/>
              </w:rPr>
              <w:br/>
              <w:t>Actuals</w:t>
            </w:r>
          </w:p>
        </w:tc>
        <w:tc>
          <w:tcPr>
            <w:tcW w:w="1358" w:type="dxa"/>
            <w:vMerge w:val="restart"/>
            <w:vAlign w:val="center"/>
            <w:hideMark/>
          </w:tcPr>
          <w:p w14:paraId="51B02D05"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30/06/25</w:t>
            </w:r>
            <w:r w:rsidRPr="004370C6">
              <w:rPr>
                <w:rFonts w:ascii="Arial" w:hAnsi="Arial" w:cs="Arial"/>
                <w:lang w:val="en-AU" w:eastAsia="en-AU"/>
              </w:rPr>
              <w:br/>
              <w:t>Actuals</w:t>
            </w:r>
          </w:p>
        </w:tc>
        <w:tc>
          <w:tcPr>
            <w:tcW w:w="1259" w:type="dxa"/>
            <w:vMerge w:val="restart"/>
            <w:vAlign w:val="center"/>
            <w:hideMark/>
          </w:tcPr>
          <w:p w14:paraId="6EBC06B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Movement</w:t>
            </w:r>
            <w:r w:rsidRPr="004370C6">
              <w:rPr>
                <w:rFonts w:ascii="Arial" w:hAnsi="Arial" w:cs="Arial"/>
                <w:lang w:val="en-AU" w:eastAsia="en-AU"/>
              </w:rPr>
              <w:br/>
              <w:t>Inc/(Dec)</w:t>
            </w:r>
          </w:p>
        </w:tc>
      </w:tr>
      <w:tr w:rsidR="003C1AB7" w:rsidRPr="004370C6" w14:paraId="50727A64" w14:textId="77777777" w:rsidTr="0091289A">
        <w:trPr>
          <w:trHeight w:val="501"/>
          <w:jc w:val="center"/>
        </w:trPr>
        <w:tc>
          <w:tcPr>
            <w:tcW w:w="4034" w:type="dxa"/>
            <w:vMerge/>
            <w:vAlign w:val="center"/>
            <w:hideMark/>
          </w:tcPr>
          <w:p w14:paraId="4E9AF5A1" w14:textId="77777777" w:rsidR="00624C62" w:rsidRPr="004370C6" w:rsidRDefault="00624C62" w:rsidP="00824E21">
            <w:pPr>
              <w:rPr>
                <w:rFonts w:ascii="Arial" w:hAnsi="Arial" w:cs="Arial"/>
                <w:lang w:val="en-AU" w:eastAsia="en-AU"/>
              </w:rPr>
            </w:pPr>
          </w:p>
        </w:tc>
        <w:tc>
          <w:tcPr>
            <w:tcW w:w="1358" w:type="dxa"/>
            <w:vMerge/>
            <w:vAlign w:val="center"/>
            <w:hideMark/>
          </w:tcPr>
          <w:p w14:paraId="29CDEEF7" w14:textId="77777777" w:rsidR="00624C62" w:rsidRPr="004370C6" w:rsidRDefault="00624C62" w:rsidP="00824E21">
            <w:pPr>
              <w:rPr>
                <w:rFonts w:ascii="Arial" w:hAnsi="Arial" w:cs="Arial"/>
                <w:lang w:val="en-AU" w:eastAsia="en-AU"/>
              </w:rPr>
            </w:pPr>
          </w:p>
        </w:tc>
        <w:tc>
          <w:tcPr>
            <w:tcW w:w="1358" w:type="dxa"/>
            <w:vMerge/>
            <w:vAlign w:val="center"/>
            <w:hideMark/>
          </w:tcPr>
          <w:p w14:paraId="5C554C86" w14:textId="77777777" w:rsidR="00624C62" w:rsidRPr="004370C6" w:rsidRDefault="00624C62" w:rsidP="00824E21">
            <w:pPr>
              <w:rPr>
                <w:rFonts w:ascii="Arial" w:hAnsi="Arial" w:cs="Arial"/>
                <w:lang w:val="en-AU" w:eastAsia="en-AU"/>
              </w:rPr>
            </w:pPr>
          </w:p>
        </w:tc>
        <w:tc>
          <w:tcPr>
            <w:tcW w:w="1259" w:type="dxa"/>
            <w:vMerge/>
            <w:vAlign w:val="center"/>
            <w:hideMark/>
          </w:tcPr>
          <w:p w14:paraId="4F65A5DE" w14:textId="77777777" w:rsidR="00624C62" w:rsidRPr="004370C6" w:rsidRDefault="00624C62" w:rsidP="00824E21">
            <w:pPr>
              <w:rPr>
                <w:rFonts w:ascii="Arial" w:hAnsi="Arial" w:cs="Arial"/>
                <w:lang w:val="en-AU" w:eastAsia="en-AU"/>
              </w:rPr>
            </w:pPr>
          </w:p>
        </w:tc>
      </w:tr>
      <w:tr w:rsidR="003C1AB7" w:rsidRPr="004370C6" w14:paraId="0977BE48" w14:textId="77777777" w:rsidTr="0091289A">
        <w:trPr>
          <w:trHeight w:val="230"/>
          <w:jc w:val="center"/>
        </w:trPr>
        <w:tc>
          <w:tcPr>
            <w:tcW w:w="4034" w:type="dxa"/>
            <w:vMerge/>
            <w:vAlign w:val="center"/>
            <w:hideMark/>
          </w:tcPr>
          <w:p w14:paraId="52CE3235" w14:textId="77777777" w:rsidR="00624C62" w:rsidRPr="004370C6" w:rsidRDefault="00624C62" w:rsidP="00824E21">
            <w:pPr>
              <w:rPr>
                <w:rFonts w:ascii="Arial" w:hAnsi="Arial" w:cs="Arial"/>
                <w:lang w:val="en-AU" w:eastAsia="en-AU"/>
              </w:rPr>
            </w:pPr>
          </w:p>
        </w:tc>
        <w:tc>
          <w:tcPr>
            <w:tcW w:w="1358" w:type="dxa"/>
            <w:vAlign w:val="center"/>
            <w:hideMark/>
          </w:tcPr>
          <w:p w14:paraId="4B68F9F7"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$’000</w:t>
            </w:r>
          </w:p>
        </w:tc>
        <w:tc>
          <w:tcPr>
            <w:tcW w:w="1358" w:type="dxa"/>
            <w:vAlign w:val="center"/>
            <w:hideMark/>
          </w:tcPr>
          <w:p w14:paraId="154A42FD"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$’000</w:t>
            </w:r>
          </w:p>
        </w:tc>
        <w:tc>
          <w:tcPr>
            <w:tcW w:w="1259" w:type="dxa"/>
            <w:vAlign w:val="center"/>
            <w:hideMark/>
          </w:tcPr>
          <w:p w14:paraId="5CF8979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$’000</w:t>
            </w:r>
          </w:p>
        </w:tc>
      </w:tr>
      <w:tr w:rsidR="003C1AB7" w:rsidRPr="004370C6" w14:paraId="0D9F3315" w14:textId="77777777" w:rsidTr="0091289A">
        <w:trPr>
          <w:trHeight w:val="230"/>
          <w:jc w:val="center"/>
        </w:trPr>
        <w:tc>
          <w:tcPr>
            <w:tcW w:w="4034" w:type="dxa"/>
            <w:noWrap/>
            <w:vAlign w:val="bottom"/>
            <w:hideMark/>
          </w:tcPr>
          <w:p w14:paraId="51CB792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Current assets</w:t>
            </w:r>
          </w:p>
        </w:tc>
        <w:tc>
          <w:tcPr>
            <w:tcW w:w="1358" w:type="dxa"/>
            <w:noWrap/>
            <w:vAlign w:val="center"/>
            <w:hideMark/>
          </w:tcPr>
          <w:p w14:paraId="05F341A2"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w:t>
            </w:r>
          </w:p>
        </w:tc>
        <w:tc>
          <w:tcPr>
            <w:tcW w:w="1358" w:type="dxa"/>
            <w:noWrap/>
            <w:vAlign w:val="center"/>
            <w:hideMark/>
          </w:tcPr>
          <w:p w14:paraId="60299860" w14:textId="77777777" w:rsidR="00624C62" w:rsidRPr="004370C6" w:rsidRDefault="00624C62" w:rsidP="00824E21">
            <w:pPr>
              <w:rPr>
                <w:rFonts w:ascii="Arial" w:hAnsi="Arial" w:cs="Arial"/>
                <w:lang w:val="en-AU" w:eastAsia="en-AU"/>
              </w:rPr>
            </w:pPr>
          </w:p>
        </w:tc>
        <w:tc>
          <w:tcPr>
            <w:tcW w:w="1259" w:type="dxa"/>
            <w:noWrap/>
            <w:vAlign w:val="center"/>
            <w:hideMark/>
          </w:tcPr>
          <w:p w14:paraId="36C78161" w14:textId="77777777" w:rsidR="00624C62" w:rsidRPr="004370C6" w:rsidRDefault="00624C62" w:rsidP="00824E21">
            <w:pPr>
              <w:rPr>
                <w:rFonts w:ascii="Arial" w:hAnsi="Arial" w:cs="Arial"/>
                <w:sz w:val="20"/>
                <w:szCs w:val="20"/>
                <w:lang w:val="en-AU" w:eastAsia="en-AU"/>
              </w:rPr>
            </w:pPr>
          </w:p>
        </w:tc>
      </w:tr>
      <w:tr w:rsidR="003C1AB7" w:rsidRPr="004370C6" w14:paraId="7DE84758" w14:textId="77777777" w:rsidTr="0091289A">
        <w:trPr>
          <w:trHeight w:val="240"/>
          <w:jc w:val="center"/>
        </w:trPr>
        <w:tc>
          <w:tcPr>
            <w:tcW w:w="4034" w:type="dxa"/>
            <w:noWrap/>
            <w:vAlign w:val="center"/>
            <w:hideMark/>
          </w:tcPr>
          <w:p w14:paraId="2F776D71"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Cash and cash equivalents</w:t>
            </w:r>
          </w:p>
        </w:tc>
        <w:tc>
          <w:tcPr>
            <w:tcW w:w="1358" w:type="dxa"/>
            <w:noWrap/>
            <w:vAlign w:val="center"/>
            <w:hideMark/>
          </w:tcPr>
          <w:p w14:paraId="13AE6677"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43,004 </w:t>
            </w:r>
          </w:p>
        </w:tc>
        <w:tc>
          <w:tcPr>
            <w:tcW w:w="1358" w:type="dxa"/>
            <w:noWrap/>
            <w:vAlign w:val="center"/>
            <w:hideMark/>
          </w:tcPr>
          <w:p w14:paraId="249D919D"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53,243 </w:t>
            </w:r>
          </w:p>
        </w:tc>
        <w:tc>
          <w:tcPr>
            <w:tcW w:w="1259" w:type="dxa"/>
            <w:noWrap/>
            <w:vAlign w:val="center"/>
            <w:hideMark/>
          </w:tcPr>
          <w:p w14:paraId="4BE7F838"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(10,239)</w:t>
            </w:r>
          </w:p>
        </w:tc>
      </w:tr>
      <w:tr w:rsidR="003C1AB7" w:rsidRPr="004370C6" w14:paraId="6F51EA18" w14:textId="77777777" w:rsidTr="0091289A">
        <w:trPr>
          <w:trHeight w:val="240"/>
          <w:jc w:val="center"/>
        </w:trPr>
        <w:tc>
          <w:tcPr>
            <w:tcW w:w="4034" w:type="dxa"/>
            <w:noWrap/>
            <w:vAlign w:val="center"/>
            <w:hideMark/>
          </w:tcPr>
          <w:p w14:paraId="5305F660"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Trade and other receivables</w:t>
            </w:r>
          </w:p>
        </w:tc>
        <w:tc>
          <w:tcPr>
            <w:tcW w:w="1358" w:type="dxa"/>
            <w:noWrap/>
            <w:vAlign w:val="center"/>
            <w:hideMark/>
          </w:tcPr>
          <w:p w14:paraId="26C9A103"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125,891 </w:t>
            </w:r>
          </w:p>
        </w:tc>
        <w:tc>
          <w:tcPr>
            <w:tcW w:w="1358" w:type="dxa"/>
            <w:noWrap/>
            <w:vAlign w:val="center"/>
            <w:hideMark/>
          </w:tcPr>
          <w:p w14:paraId="2032A54B"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37,166 </w:t>
            </w:r>
          </w:p>
        </w:tc>
        <w:tc>
          <w:tcPr>
            <w:tcW w:w="1259" w:type="dxa"/>
            <w:noWrap/>
            <w:vAlign w:val="center"/>
            <w:hideMark/>
          </w:tcPr>
          <w:p w14:paraId="51FBE05F"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88,725 </w:t>
            </w:r>
          </w:p>
        </w:tc>
      </w:tr>
      <w:tr w:rsidR="003C1AB7" w:rsidRPr="004370C6" w14:paraId="3AF25826" w14:textId="77777777" w:rsidTr="0091289A">
        <w:trPr>
          <w:trHeight w:val="240"/>
          <w:jc w:val="center"/>
        </w:trPr>
        <w:tc>
          <w:tcPr>
            <w:tcW w:w="4034" w:type="dxa"/>
            <w:noWrap/>
            <w:vAlign w:val="center"/>
            <w:hideMark/>
          </w:tcPr>
          <w:p w14:paraId="348E8891"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Other financial assets</w:t>
            </w:r>
          </w:p>
        </w:tc>
        <w:tc>
          <w:tcPr>
            <w:tcW w:w="1358" w:type="dxa"/>
            <w:noWrap/>
            <w:vAlign w:val="center"/>
            <w:hideMark/>
          </w:tcPr>
          <w:p w14:paraId="5B19E13D"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84,000 </w:t>
            </w:r>
          </w:p>
        </w:tc>
        <w:tc>
          <w:tcPr>
            <w:tcW w:w="1358" w:type="dxa"/>
            <w:noWrap/>
            <w:vAlign w:val="center"/>
            <w:hideMark/>
          </w:tcPr>
          <w:p w14:paraId="0AE2D4B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69,000 </w:t>
            </w:r>
          </w:p>
        </w:tc>
        <w:tc>
          <w:tcPr>
            <w:tcW w:w="1259" w:type="dxa"/>
            <w:noWrap/>
            <w:vAlign w:val="center"/>
            <w:hideMark/>
          </w:tcPr>
          <w:p w14:paraId="3B06B450"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15,000 </w:t>
            </w:r>
          </w:p>
        </w:tc>
      </w:tr>
      <w:tr w:rsidR="003C1AB7" w:rsidRPr="004370C6" w14:paraId="75A6EAF1" w14:textId="77777777" w:rsidTr="0091289A">
        <w:trPr>
          <w:trHeight w:val="240"/>
          <w:jc w:val="center"/>
        </w:trPr>
        <w:tc>
          <w:tcPr>
            <w:tcW w:w="4034" w:type="dxa"/>
            <w:noWrap/>
            <w:vAlign w:val="center"/>
            <w:hideMark/>
          </w:tcPr>
          <w:p w14:paraId="7E2C8943"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Inventories</w:t>
            </w:r>
          </w:p>
        </w:tc>
        <w:tc>
          <w:tcPr>
            <w:tcW w:w="1358" w:type="dxa"/>
            <w:noWrap/>
            <w:vAlign w:val="center"/>
            <w:hideMark/>
          </w:tcPr>
          <w:p w14:paraId="0D9AB8EB"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77 </w:t>
            </w:r>
          </w:p>
        </w:tc>
        <w:tc>
          <w:tcPr>
            <w:tcW w:w="1358" w:type="dxa"/>
            <w:noWrap/>
            <w:vAlign w:val="center"/>
            <w:hideMark/>
          </w:tcPr>
          <w:p w14:paraId="03B4C04E"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77 </w:t>
            </w:r>
          </w:p>
        </w:tc>
        <w:tc>
          <w:tcPr>
            <w:tcW w:w="1259" w:type="dxa"/>
            <w:noWrap/>
            <w:vAlign w:val="center"/>
            <w:hideMark/>
          </w:tcPr>
          <w:p w14:paraId="484214E7"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   </w:t>
            </w:r>
          </w:p>
        </w:tc>
      </w:tr>
      <w:tr w:rsidR="003C1AB7" w:rsidRPr="004370C6" w14:paraId="6794FFD6" w14:textId="77777777" w:rsidTr="0091289A">
        <w:trPr>
          <w:trHeight w:val="240"/>
          <w:jc w:val="center"/>
        </w:trPr>
        <w:tc>
          <w:tcPr>
            <w:tcW w:w="4034" w:type="dxa"/>
            <w:noWrap/>
            <w:vAlign w:val="center"/>
            <w:hideMark/>
          </w:tcPr>
          <w:p w14:paraId="1F901650"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Non-current assets classified as held for sale</w:t>
            </w:r>
          </w:p>
        </w:tc>
        <w:tc>
          <w:tcPr>
            <w:tcW w:w="1358" w:type="dxa"/>
            <w:noWrap/>
            <w:vAlign w:val="center"/>
            <w:hideMark/>
          </w:tcPr>
          <w:p w14:paraId="75B4D127"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   </w:t>
            </w:r>
          </w:p>
        </w:tc>
        <w:tc>
          <w:tcPr>
            <w:tcW w:w="1358" w:type="dxa"/>
            <w:noWrap/>
            <w:vAlign w:val="center"/>
            <w:hideMark/>
          </w:tcPr>
          <w:p w14:paraId="34C8BA0F"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   </w:t>
            </w:r>
          </w:p>
        </w:tc>
        <w:tc>
          <w:tcPr>
            <w:tcW w:w="1259" w:type="dxa"/>
            <w:noWrap/>
            <w:vAlign w:val="center"/>
            <w:hideMark/>
          </w:tcPr>
          <w:p w14:paraId="139692B7"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   </w:t>
            </w:r>
          </w:p>
        </w:tc>
      </w:tr>
      <w:tr w:rsidR="003C1AB7" w:rsidRPr="004370C6" w14:paraId="2C068047" w14:textId="77777777" w:rsidTr="0091289A">
        <w:trPr>
          <w:trHeight w:val="240"/>
          <w:jc w:val="center"/>
        </w:trPr>
        <w:tc>
          <w:tcPr>
            <w:tcW w:w="4034" w:type="dxa"/>
            <w:noWrap/>
            <w:vAlign w:val="center"/>
            <w:hideMark/>
          </w:tcPr>
          <w:p w14:paraId="5A27A189"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Other assets</w:t>
            </w:r>
          </w:p>
        </w:tc>
        <w:tc>
          <w:tcPr>
            <w:tcW w:w="1358" w:type="dxa"/>
            <w:noWrap/>
            <w:vAlign w:val="center"/>
            <w:hideMark/>
          </w:tcPr>
          <w:p w14:paraId="3D6CFB15"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3,457 </w:t>
            </w:r>
          </w:p>
        </w:tc>
        <w:tc>
          <w:tcPr>
            <w:tcW w:w="1358" w:type="dxa"/>
            <w:noWrap/>
            <w:vAlign w:val="center"/>
            <w:hideMark/>
          </w:tcPr>
          <w:p w14:paraId="18E9273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1,955 </w:t>
            </w:r>
          </w:p>
        </w:tc>
        <w:tc>
          <w:tcPr>
            <w:tcW w:w="1259" w:type="dxa"/>
            <w:noWrap/>
            <w:vAlign w:val="center"/>
            <w:hideMark/>
          </w:tcPr>
          <w:p w14:paraId="4391AFCF"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1,502 </w:t>
            </w:r>
          </w:p>
        </w:tc>
      </w:tr>
      <w:tr w:rsidR="003C1AB7" w:rsidRPr="004370C6" w14:paraId="4670CB28" w14:textId="77777777" w:rsidTr="0091289A">
        <w:trPr>
          <w:trHeight w:val="240"/>
          <w:jc w:val="center"/>
        </w:trPr>
        <w:tc>
          <w:tcPr>
            <w:tcW w:w="4034" w:type="dxa"/>
            <w:noWrap/>
            <w:vAlign w:val="center"/>
            <w:hideMark/>
          </w:tcPr>
          <w:p w14:paraId="1073EBE1"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Total current assets</w:t>
            </w:r>
          </w:p>
        </w:tc>
        <w:tc>
          <w:tcPr>
            <w:tcW w:w="1358" w:type="dxa"/>
            <w:noWrap/>
            <w:vAlign w:val="center"/>
            <w:hideMark/>
          </w:tcPr>
          <w:p w14:paraId="4A2CC02C" w14:textId="69C791BE"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256,4</w:t>
            </w:r>
            <w:r w:rsidR="005F0C30" w:rsidRPr="004370C6">
              <w:rPr>
                <w:rFonts w:ascii="Arial" w:hAnsi="Arial" w:cs="Arial"/>
                <w:lang w:val="en-AU" w:eastAsia="en-AU"/>
              </w:rPr>
              <w:t>30</w:t>
            </w:r>
          </w:p>
        </w:tc>
        <w:tc>
          <w:tcPr>
            <w:tcW w:w="1358" w:type="dxa"/>
            <w:noWrap/>
            <w:vAlign w:val="center"/>
            <w:hideMark/>
          </w:tcPr>
          <w:p w14:paraId="31D542F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161,441 </w:t>
            </w:r>
          </w:p>
        </w:tc>
        <w:tc>
          <w:tcPr>
            <w:tcW w:w="1259" w:type="dxa"/>
            <w:noWrap/>
            <w:vAlign w:val="center"/>
            <w:hideMark/>
          </w:tcPr>
          <w:p w14:paraId="5D777FB5"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94,989 </w:t>
            </w:r>
          </w:p>
        </w:tc>
      </w:tr>
      <w:tr w:rsidR="003C1AB7" w:rsidRPr="004370C6" w14:paraId="4FAAA76B" w14:textId="77777777" w:rsidTr="0091289A">
        <w:trPr>
          <w:trHeight w:val="240"/>
          <w:jc w:val="center"/>
        </w:trPr>
        <w:tc>
          <w:tcPr>
            <w:tcW w:w="4034" w:type="dxa"/>
            <w:noWrap/>
            <w:vAlign w:val="center"/>
            <w:hideMark/>
          </w:tcPr>
          <w:p w14:paraId="2D377928"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Non-current assets</w:t>
            </w:r>
          </w:p>
        </w:tc>
        <w:tc>
          <w:tcPr>
            <w:tcW w:w="1358" w:type="dxa"/>
            <w:noWrap/>
            <w:vAlign w:val="center"/>
            <w:hideMark/>
          </w:tcPr>
          <w:p w14:paraId="442FC068"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w:t>
            </w:r>
          </w:p>
        </w:tc>
        <w:tc>
          <w:tcPr>
            <w:tcW w:w="1358" w:type="dxa"/>
            <w:noWrap/>
            <w:vAlign w:val="center"/>
            <w:hideMark/>
          </w:tcPr>
          <w:p w14:paraId="76F53D8E" w14:textId="77777777" w:rsidR="00624C62" w:rsidRPr="004370C6" w:rsidRDefault="00624C62" w:rsidP="00824E21">
            <w:pPr>
              <w:rPr>
                <w:rFonts w:ascii="Arial" w:hAnsi="Arial" w:cs="Arial"/>
                <w:lang w:val="en-AU" w:eastAsia="en-AU"/>
              </w:rPr>
            </w:pPr>
          </w:p>
        </w:tc>
        <w:tc>
          <w:tcPr>
            <w:tcW w:w="1259" w:type="dxa"/>
            <w:noWrap/>
            <w:vAlign w:val="center"/>
            <w:hideMark/>
          </w:tcPr>
          <w:p w14:paraId="39476061" w14:textId="77777777" w:rsidR="00624C62" w:rsidRPr="004370C6" w:rsidRDefault="00624C62" w:rsidP="00824E21">
            <w:pPr>
              <w:rPr>
                <w:rFonts w:ascii="Arial" w:hAnsi="Arial" w:cs="Arial"/>
                <w:sz w:val="20"/>
                <w:szCs w:val="20"/>
                <w:lang w:val="en-AU" w:eastAsia="en-AU"/>
              </w:rPr>
            </w:pPr>
          </w:p>
        </w:tc>
      </w:tr>
      <w:tr w:rsidR="003C1AB7" w:rsidRPr="004370C6" w14:paraId="02C6D406" w14:textId="77777777" w:rsidTr="0091289A">
        <w:trPr>
          <w:trHeight w:val="240"/>
          <w:jc w:val="center"/>
        </w:trPr>
        <w:tc>
          <w:tcPr>
            <w:tcW w:w="4034" w:type="dxa"/>
            <w:noWrap/>
            <w:vAlign w:val="center"/>
            <w:hideMark/>
          </w:tcPr>
          <w:p w14:paraId="60E5A32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Investments in joint arrangements</w:t>
            </w:r>
          </w:p>
        </w:tc>
        <w:tc>
          <w:tcPr>
            <w:tcW w:w="1358" w:type="dxa"/>
            <w:noWrap/>
            <w:vAlign w:val="center"/>
            <w:hideMark/>
          </w:tcPr>
          <w:p w14:paraId="64B082CE"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5 </w:t>
            </w:r>
          </w:p>
        </w:tc>
        <w:tc>
          <w:tcPr>
            <w:tcW w:w="1358" w:type="dxa"/>
            <w:noWrap/>
            <w:vAlign w:val="center"/>
            <w:hideMark/>
          </w:tcPr>
          <w:p w14:paraId="6296F3C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5 </w:t>
            </w:r>
          </w:p>
        </w:tc>
        <w:tc>
          <w:tcPr>
            <w:tcW w:w="1259" w:type="dxa"/>
            <w:noWrap/>
            <w:vAlign w:val="center"/>
            <w:hideMark/>
          </w:tcPr>
          <w:p w14:paraId="5413C69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   </w:t>
            </w:r>
          </w:p>
        </w:tc>
      </w:tr>
      <w:tr w:rsidR="003C1AB7" w:rsidRPr="004370C6" w14:paraId="747DB49A" w14:textId="77777777" w:rsidTr="0091289A">
        <w:trPr>
          <w:trHeight w:val="240"/>
          <w:jc w:val="center"/>
        </w:trPr>
        <w:tc>
          <w:tcPr>
            <w:tcW w:w="4034" w:type="dxa"/>
            <w:noWrap/>
            <w:vAlign w:val="center"/>
            <w:hideMark/>
          </w:tcPr>
          <w:p w14:paraId="20C0A779"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Property, infrastructure, plant and equipment</w:t>
            </w:r>
          </w:p>
        </w:tc>
        <w:tc>
          <w:tcPr>
            <w:tcW w:w="1358" w:type="dxa"/>
            <w:noWrap/>
            <w:vAlign w:val="center"/>
            <w:hideMark/>
          </w:tcPr>
          <w:p w14:paraId="19E596C4" w14:textId="582D0509"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2,027,72</w:t>
            </w:r>
            <w:r w:rsidR="002633E5" w:rsidRPr="004370C6">
              <w:rPr>
                <w:rFonts w:ascii="Arial" w:hAnsi="Arial" w:cs="Arial"/>
                <w:lang w:val="en-AU" w:eastAsia="en-AU"/>
              </w:rPr>
              <w:t>9</w:t>
            </w:r>
          </w:p>
        </w:tc>
        <w:tc>
          <w:tcPr>
            <w:tcW w:w="1358" w:type="dxa"/>
            <w:noWrap/>
            <w:vAlign w:val="center"/>
            <w:hideMark/>
          </w:tcPr>
          <w:p w14:paraId="17D5A476"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2,028,454 </w:t>
            </w:r>
          </w:p>
        </w:tc>
        <w:tc>
          <w:tcPr>
            <w:tcW w:w="1259" w:type="dxa"/>
            <w:noWrap/>
            <w:vAlign w:val="center"/>
            <w:hideMark/>
          </w:tcPr>
          <w:p w14:paraId="7A1312BD" w14:textId="55AB83CA"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(72</w:t>
            </w:r>
            <w:r w:rsidR="00197BEF" w:rsidRPr="004370C6">
              <w:rPr>
                <w:rFonts w:ascii="Arial" w:hAnsi="Arial" w:cs="Arial"/>
                <w:lang w:val="en-AU" w:eastAsia="en-AU"/>
              </w:rPr>
              <w:t>5</w:t>
            </w:r>
            <w:r w:rsidRPr="004370C6">
              <w:rPr>
                <w:rFonts w:ascii="Arial" w:hAnsi="Arial" w:cs="Arial"/>
                <w:lang w:val="en-AU" w:eastAsia="en-AU"/>
              </w:rPr>
              <w:t>)</w:t>
            </w:r>
          </w:p>
        </w:tc>
      </w:tr>
      <w:tr w:rsidR="003C1AB7" w:rsidRPr="004370C6" w14:paraId="0D06E74E" w14:textId="77777777" w:rsidTr="0091289A">
        <w:trPr>
          <w:trHeight w:val="240"/>
          <w:jc w:val="center"/>
        </w:trPr>
        <w:tc>
          <w:tcPr>
            <w:tcW w:w="4034" w:type="dxa"/>
            <w:noWrap/>
            <w:vAlign w:val="center"/>
            <w:hideMark/>
          </w:tcPr>
          <w:p w14:paraId="1586680A"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Right-of-use assets</w:t>
            </w:r>
          </w:p>
        </w:tc>
        <w:tc>
          <w:tcPr>
            <w:tcW w:w="1358" w:type="dxa"/>
            <w:noWrap/>
            <w:vAlign w:val="center"/>
            <w:hideMark/>
          </w:tcPr>
          <w:p w14:paraId="60521748"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3,255 </w:t>
            </w:r>
          </w:p>
        </w:tc>
        <w:tc>
          <w:tcPr>
            <w:tcW w:w="1358" w:type="dxa"/>
            <w:noWrap/>
            <w:vAlign w:val="center"/>
            <w:hideMark/>
          </w:tcPr>
          <w:p w14:paraId="48540238"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3,864 </w:t>
            </w:r>
          </w:p>
        </w:tc>
        <w:tc>
          <w:tcPr>
            <w:tcW w:w="1259" w:type="dxa"/>
            <w:noWrap/>
            <w:vAlign w:val="center"/>
            <w:hideMark/>
          </w:tcPr>
          <w:p w14:paraId="59E5E8BF"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(609)</w:t>
            </w:r>
          </w:p>
        </w:tc>
      </w:tr>
      <w:tr w:rsidR="003C1AB7" w:rsidRPr="004370C6" w14:paraId="5FA997A1" w14:textId="77777777" w:rsidTr="0091289A">
        <w:trPr>
          <w:trHeight w:val="240"/>
          <w:jc w:val="center"/>
        </w:trPr>
        <w:tc>
          <w:tcPr>
            <w:tcW w:w="4034" w:type="dxa"/>
            <w:noWrap/>
            <w:vAlign w:val="center"/>
            <w:hideMark/>
          </w:tcPr>
          <w:p w14:paraId="5CE442BF"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Total non-current assets</w:t>
            </w:r>
          </w:p>
        </w:tc>
        <w:tc>
          <w:tcPr>
            <w:tcW w:w="1358" w:type="dxa"/>
            <w:noWrap/>
            <w:vAlign w:val="center"/>
            <w:hideMark/>
          </w:tcPr>
          <w:p w14:paraId="3BE1880E" w14:textId="21BE8935"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2,030,98</w:t>
            </w:r>
            <w:r w:rsidR="002344E2" w:rsidRPr="004370C6">
              <w:rPr>
                <w:rFonts w:ascii="Arial" w:hAnsi="Arial" w:cs="Arial"/>
                <w:lang w:val="en-AU" w:eastAsia="en-AU"/>
              </w:rPr>
              <w:t>9</w:t>
            </w:r>
            <w:r w:rsidRPr="004370C6">
              <w:rPr>
                <w:rFonts w:ascii="Arial" w:hAnsi="Arial" w:cs="Arial"/>
                <w:lang w:val="en-AU" w:eastAsia="en-AU"/>
              </w:rPr>
              <w:t xml:space="preserve"> </w:t>
            </w:r>
          </w:p>
        </w:tc>
        <w:tc>
          <w:tcPr>
            <w:tcW w:w="1358" w:type="dxa"/>
            <w:noWrap/>
            <w:vAlign w:val="center"/>
            <w:hideMark/>
          </w:tcPr>
          <w:p w14:paraId="562D65CA"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2,032,323 </w:t>
            </w:r>
          </w:p>
        </w:tc>
        <w:tc>
          <w:tcPr>
            <w:tcW w:w="1259" w:type="dxa"/>
            <w:noWrap/>
            <w:vAlign w:val="center"/>
            <w:hideMark/>
          </w:tcPr>
          <w:p w14:paraId="26A6D505" w14:textId="66B0FCDB"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(1,33</w:t>
            </w:r>
            <w:r w:rsidR="00972BDC" w:rsidRPr="004370C6">
              <w:rPr>
                <w:rFonts w:ascii="Arial" w:hAnsi="Arial" w:cs="Arial"/>
                <w:lang w:val="en-AU" w:eastAsia="en-AU"/>
              </w:rPr>
              <w:t>4</w:t>
            </w:r>
            <w:r w:rsidRPr="004370C6">
              <w:rPr>
                <w:rFonts w:ascii="Arial" w:hAnsi="Arial" w:cs="Arial"/>
                <w:lang w:val="en-AU" w:eastAsia="en-AU"/>
              </w:rPr>
              <w:t>)</w:t>
            </w:r>
          </w:p>
        </w:tc>
      </w:tr>
      <w:tr w:rsidR="003C1AB7" w:rsidRPr="004370C6" w14:paraId="3B3B171D" w14:textId="77777777" w:rsidTr="0091289A">
        <w:trPr>
          <w:trHeight w:val="240"/>
          <w:jc w:val="center"/>
        </w:trPr>
        <w:tc>
          <w:tcPr>
            <w:tcW w:w="4034" w:type="dxa"/>
            <w:noWrap/>
            <w:vAlign w:val="center"/>
            <w:hideMark/>
          </w:tcPr>
          <w:p w14:paraId="082AE1B2"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Total assets</w:t>
            </w:r>
          </w:p>
        </w:tc>
        <w:tc>
          <w:tcPr>
            <w:tcW w:w="1358" w:type="dxa"/>
            <w:noWrap/>
            <w:vAlign w:val="center"/>
            <w:hideMark/>
          </w:tcPr>
          <w:p w14:paraId="702113D9" w14:textId="6587DC88"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2,287,41</w:t>
            </w:r>
            <w:r w:rsidR="002344E2" w:rsidRPr="004370C6">
              <w:rPr>
                <w:rFonts w:ascii="Arial" w:hAnsi="Arial" w:cs="Arial"/>
                <w:lang w:val="en-AU" w:eastAsia="en-AU"/>
              </w:rPr>
              <w:t>9</w:t>
            </w:r>
            <w:r w:rsidRPr="004370C6">
              <w:rPr>
                <w:rFonts w:ascii="Arial" w:hAnsi="Arial" w:cs="Arial"/>
                <w:lang w:val="en-AU" w:eastAsia="en-AU"/>
              </w:rPr>
              <w:t xml:space="preserve"> </w:t>
            </w:r>
          </w:p>
        </w:tc>
        <w:tc>
          <w:tcPr>
            <w:tcW w:w="1358" w:type="dxa"/>
            <w:noWrap/>
            <w:vAlign w:val="center"/>
            <w:hideMark/>
          </w:tcPr>
          <w:p w14:paraId="40034FC9"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2,193,764 </w:t>
            </w:r>
          </w:p>
        </w:tc>
        <w:tc>
          <w:tcPr>
            <w:tcW w:w="1259" w:type="dxa"/>
            <w:noWrap/>
            <w:vAlign w:val="center"/>
            <w:hideMark/>
          </w:tcPr>
          <w:p w14:paraId="5A18B7D9" w14:textId="15A90118"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93,65</w:t>
            </w:r>
            <w:r w:rsidR="00972BDC" w:rsidRPr="004370C6">
              <w:rPr>
                <w:rFonts w:ascii="Arial" w:hAnsi="Arial" w:cs="Arial"/>
                <w:lang w:val="en-AU" w:eastAsia="en-AU"/>
              </w:rPr>
              <w:t>5</w:t>
            </w:r>
            <w:r w:rsidRPr="004370C6">
              <w:rPr>
                <w:rFonts w:ascii="Arial" w:hAnsi="Arial" w:cs="Arial"/>
                <w:lang w:val="en-AU" w:eastAsia="en-AU"/>
              </w:rPr>
              <w:t xml:space="preserve"> </w:t>
            </w:r>
          </w:p>
        </w:tc>
      </w:tr>
      <w:tr w:rsidR="003C1AB7" w:rsidRPr="004370C6" w14:paraId="22D2D385" w14:textId="77777777" w:rsidTr="0091289A">
        <w:trPr>
          <w:trHeight w:val="240"/>
          <w:jc w:val="center"/>
        </w:trPr>
        <w:tc>
          <w:tcPr>
            <w:tcW w:w="4034" w:type="dxa"/>
            <w:noWrap/>
            <w:vAlign w:val="center"/>
            <w:hideMark/>
          </w:tcPr>
          <w:p w14:paraId="442987B8" w14:textId="77777777" w:rsidR="00624C62" w:rsidRPr="004370C6" w:rsidRDefault="00624C62" w:rsidP="00824E21">
            <w:pPr>
              <w:rPr>
                <w:rFonts w:ascii="Arial" w:hAnsi="Arial" w:cs="Arial"/>
                <w:lang w:val="en-AU" w:eastAsia="en-AU"/>
              </w:rPr>
            </w:pPr>
            <w:r w:rsidRPr="004370C6">
              <w:rPr>
                <w:rFonts w:ascii="Arial" w:hAnsi="Arial" w:cs="Arial"/>
                <w:lang w:val="en-AU" w:eastAsia="en-AU"/>
              </w:rPr>
              <w:lastRenderedPageBreak/>
              <w:t>Current liabilities</w:t>
            </w:r>
          </w:p>
        </w:tc>
        <w:tc>
          <w:tcPr>
            <w:tcW w:w="1358" w:type="dxa"/>
            <w:noWrap/>
            <w:vAlign w:val="center"/>
            <w:hideMark/>
          </w:tcPr>
          <w:p w14:paraId="08487E9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w:t>
            </w:r>
          </w:p>
        </w:tc>
        <w:tc>
          <w:tcPr>
            <w:tcW w:w="1358" w:type="dxa"/>
            <w:noWrap/>
            <w:vAlign w:val="center"/>
            <w:hideMark/>
          </w:tcPr>
          <w:p w14:paraId="602CBA59" w14:textId="77777777" w:rsidR="00624C62" w:rsidRPr="004370C6" w:rsidRDefault="00624C62" w:rsidP="00824E21">
            <w:pPr>
              <w:rPr>
                <w:rFonts w:ascii="Arial" w:hAnsi="Arial" w:cs="Arial"/>
                <w:lang w:val="en-AU" w:eastAsia="en-AU"/>
              </w:rPr>
            </w:pPr>
          </w:p>
        </w:tc>
        <w:tc>
          <w:tcPr>
            <w:tcW w:w="1259" w:type="dxa"/>
            <w:noWrap/>
            <w:vAlign w:val="center"/>
            <w:hideMark/>
          </w:tcPr>
          <w:p w14:paraId="2EF5C638" w14:textId="77777777" w:rsidR="00624C62" w:rsidRPr="004370C6" w:rsidRDefault="00624C62" w:rsidP="00824E21">
            <w:pPr>
              <w:rPr>
                <w:rFonts w:ascii="Arial" w:hAnsi="Arial" w:cs="Arial"/>
                <w:sz w:val="20"/>
                <w:szCs w:val="20"/>
                <w:lang w:val="en-AU" w:eastAsia="en-AU"/>
              </w:rPr>
            </w:pPr>
          </w:p>
        </w:tc>
      </w:tr>
      <w:tr w:rsidR="003C1AB7" w:rsidRPr="004370C6" w14:paraId="4B537B2E" w14:textId="77777777" w:rsidTr="0091289A">
        <w:trPr>
          <w:trHeight w:val="240"/>
          <w:jc w:val="center"/>
        </w:trPr>
        <w:tc>
          <w:tcPr>
            <w:tcW w:w="4034" w:type="dxa"/>
            <w:noWrap/>
            <w:vAlign w:val="center"/>
            <w:hideMark/>
          </w:tcPr>
          <w:p w14:paraId="0D09516A"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Trade and other payables</w:t>
            </w:r>
          </w:p>
        </w:tc>
        <w:tc>
          <w:tcPr>
            <w:tcW w:w="1358" w:type="dxa"/>
            <w:noWrap/>
            <w:vAlign w:val="center"/>
            <w:hideMark/>
          </w:tcPr>
          <w:p w14:paraId="3984F68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5,907 </w:t>
            </w:r>
          </w:p>
        </w:tc>
        <w:tc>
          <w:tcPr>
            <w:tcW w:w="1358" w:type="dxa"/>
            <w:noWrap/>
            <w:vAlign w:val="center"/>
            <w:hideMark/>
          </w:tcPr>
          <w:p w14:paraId="3CF324B0"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15,289 </w:t>
            </w:r>
          </w:p>
        </w:tc>
        <w:tc>
          <w:tcPr>
            <w:tcW w:w="1259" w:type="dxa"/>
            <w:noWrap/>
            <w:vAlign w:val="center"/>
            <w:hideMark/>
          </w:tcPr>
          <w:p w14:paraId="56D346E2"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(9,382)</w:t>
            </w:r>
          </w:p>
        </w:tc>
      </w:tr>
      <w:tr w:rsidR="003C1AB7" w:rsidRPr="004370C6" w14:paraId="273D4776" w14:textId="77777777" w:rsidTr="0091289A">
        <w:trPr>
          <w:trHeight w:val="240"/>
          <w:jc w:val="center"/>
        </w:trPr>
        <w:tc>
          <w:tcPr>
            <w:tcW w:w="4034" w:type="dxa"/>
            <w:noWrap/>
            <w:vAlign w:val="center"/>
            <w:hideMark/>
          </w:tcPr>
          <w:p w14:paraId="5CA965D5"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Trust funds and deposits</w:t>
            </w:r>
          </w:p>
        </w:tc>
        <w:tc>
          <w:tcPr>
            <w:tcW w:w="1358" w:type="dxa"/>
            <w:noWrap/>
            <w:vAlign w:val="center"/>
            <w:hideMark/>
          </w:tcPr>
          <w:p w14:paraId="69B49037"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33,594 </w:t>
            </w:r>
          </w:p>
        </w:tc>
        <w:tc>
          <w:tcPr>
            <w:tcW w:w="1358" w:type="dxa"/>
            <w:noWrap/>
            <w:vAlign w:val="center"/>
            <w:hideMark/>
          </w:tcPr>
          <w:p w14:paraId="4F0D872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17,598 </w:t>
            </w:r>
          </w:p>
        </w:tc>
        <w:tc>
          <w:tcPr>
            <w:tcW w:w="1259" w:type="dxa"/>
            <w:noWrap/>
            <w:vAlign w:val="center"/>
            <w:hideMark/>
          </w:tcPr>
          <w:p w14:paraId="55063EE7"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15,996 </w:t>
            </w:r>
          </w:p>
        </w:tc>
      </w:tr>
      <w:tr w:rsidR="003C1AB7" w:rsidRPr="004370C6" w14:paraId="6564250B" w14:textId="77777777" w:rsidTr="0091289A">
        <w:trPr>
          <w:trHeight w:val="240"/>
          <w:jc w:val="center"/>
        </w:trPr>
        <w:tc>
          <w:tcPr>
            <w:tcW w:w="4034" w:type="dxa"/>
            <w:noWrap/>
            <w:vAlign w:val="center"/>
            <w:hideMark/>
          </w:tcPr>
          <w:p w14:paraId="74EB3788"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Unearned income/revenue</w:t>
            </w:r>
          </w:p>
        </w:tc>
        <w:tc>
          <w:tcPr>
            <w:tcW w:w="1358" w:type="dxa"/>
            <w:noWrap/>
            <w:vAlign w:val="center"/>
            <w:hideMark/>
          </w:tcPr>
          <w:p w14:paraId="7EBE490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9,879 </w:t>
            </w:r>
          </w:p>
        </w:tc>
        <w:tc>
          <w:tcPr>
            <w:tcW w:w="1358" w:type="dxa"/>
            <w:noWrap/>
            <w:vAlign w:val="center"/>
            <w:hideMark/>
          </w:tcPr>
          <w:p w14:paraId="6505603F"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10,981 </w:t>
            </w:r>
          </w:p>
        </w:tc>
        <w:tc>
          <w:tcPr>
            <w:tcW w:w="1259" w:type="dxa"/>
            <w:noWrap/>
            <w:vAlign w:val="center"/>
            <w:hideMark/>
          </w:tcPr>
          <w:p w14:paraId="1A4A39B7"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(1,102)</w:t>
            </w:r>
          </w:p>
        </w:tc>
      </w:tr>
      <w:tr w:rsidR="003C1AB7" w:rsidRPr="004370C6" w14:paraId="73FCFAD6" w14:textId="77777777" w:rsidTr="0091289A">
        <w:trPr>
          <w:trHeight w:val="240"/>
          <w:jc w:val="center"/>
        </w:trPr>
        <w:tc>
          <w:tcPr>
            <w:tcW w:w="4034" w:type="dxa"/>
            <w:noWrap/>
            <w:vAlign w:val="center"/>
            <w:hideMark/>
          </w:tcPr>
          <w:p w14:paraId="4DEE09C9"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Provisions</w:t>
            </w:r>
          </w:p>
        </w:tc>
        <w:tc>
          <w:tcPr>
            <w:tcW w:w="1358" w:type="dxa"/>
            <w:noWrap/>
            <w:vAlign w:val="center"/>
            <w:hideMark/>
          </w:tcPr>
          <w:p w14:paraId="3FFA4859"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15,949 </w:t>
            </w:r>
          </w:p>
        </w:tc>
        <w:tc>
          <w:tcPr>
            <w:tcW w:w="1358" w:type="dxa"/>
            <w:noWrap/>
            <w:vAlign w:val="center"/>
            <w:hideMark/>
          </w:tcPr>
          <w:p w14:paraId="7FB6607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17,148 </w:t>
            </w:r>
          </w:p>
        </w:tc>
        <w:tc>
          <w:tcPr>
            <w:tcW w:w="1259" w:type="dxa"/>
            <w:noWrap/>
            <w:vAlign w:val="center"/>
            <w:hideMark/>
          </w:tcPr>
          <w:p w14:paraId="12A0734E"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(1,199)</w:t>
            </w:r>
          </w:p>
        </w:tc>
      </w:tr>
      <w:tr w:rsidR="003C1AB7" w:rsidRPr="004370C6" w14:paraId="6363AF39" w14:textId="77777777" w:rsidTr="0091289A">
        <w:trPr>
          <w:trHeight w:val="240"/>
          <w:jc w:val="center"/>
        </w:trPr>
        <w:tc>
          <w:tcPr>
            <w:tcW w:w="4034" w:type="dxa"/>
            <w:noWrap/>
            <w:vAlign w:val="center"/>
            <w:hideMark/>
          </w:tcPr>
          <w:p w14:paraId="4B2FCA78"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Interest-bearing liabilities</w:t>
            </w:r>
          </w:p>
        </w:tc>
        <w:tc>
          <w:tcPr>
            <w:tcW w:w="1358" w:type="dxa"/>
            <w:noWrap/>
            <w:vAlign w:val="center"/>
            <w:hideMark/>
          </w:tcPr>
          <w:p w14:paraId="037738A3"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2,337 </w:t>
            </w:r>
          </w:p>
        </w:tc>
        <w:tc>
          <w:tcPr>
            <w:tcW w:w="1358" w:type="dxa"/>
            <w:noWrap/>
            <w:vAlign w:val="center"/>
            <w:hideMark/>
          </w:tcPr>
          <w:p w14:paraId="0FC46CEE"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4,669 </w:t>
            </w:r>
          </w:p>
        </w:tc>
        <w:tc>
          <w:tcPr>
            <w:tcW w:w="1259" w:type="dxa"/>
            <w:noWrap/>
            <w:vAlign w:val="center"/>
            <w:hideMark/>
          </w:tcPr>
          <w:p w14:paraId="7D93A446"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(2,332)</w:t>
            </w:r>
          </w:p>
        </w:tc>
      </w:tr>
      <w:tr w:rsidR="003C1AB7" w:rsidRPr="004370C6" w14:paraId="66B5F0F8" w14:textId="77777777" w:rsidTr="0091289A">
        <w:trPr>
          <w:trHeight w:val="240"/>
          <w:jc w:val="center"/>
        </w:trPr>
        <w:tc>
          <w:tcPr>
            <w:tcW w:w="4034" w:type="dxa"/>
            <w:noWrap/>
            <w:vAlign w:val="center"/>
            <w:hideMark/>
          </w:tcPr>
          <w:p w14:paraId="0245F946"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Lease liabilities</w:t>
            </w:r>
          </w:p>
        </w:tc>
        <w:tc>
          <w:tcPr>
            <w:tcW w:w="1358" w:type="dxa"/>
            <w:noWrap/>
            <w:vAlign w:val="center"/>
            <w:hideMark/>
          </w:tcPr>
          <w:p w14:paraId="5178A48E"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598 </w:t>
            </w:r>
          </w:p>
        </w:tc>
        <w:tc>
          <w:tcPr>
            <w:tcW w:w="1358" w:type="dxa"/>
            <w:noWrap/>
            <w:vAlign w:val="center"/>
            <w:hideMark/>
          </w:tcPr>
          <w:p w14:paraId="1C4DC949"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1,182 </w:t>
            </w:r>
          </w:p>
        </w:tc>
        <w:tc>
          <w:tcPr>
            <w:tcW w:w="1259" w:type="dxa"/>
            <w:noWrap/>
            <w:vAlign w:val="center"/>
            <w:hideMark/>
          </w:tcPr>
          <w:p w14:paraId="6F2FBD00"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(584)</w:t>
            </w:r>
          </w:p>
        </w:tc>
      </w:tr>
      <w:tr w:rsidR="003C1AB7" w:rsidRPr="004370C6" w14:paraId="08D03AF0" w14:textId="77777777" w:rsidTr="0091289A">
        <w:trPr>
          <w:trHeight w:val="240"/>
          <w:jc w:val="center"/>
        </w:trPr>
        <w:tc>
          <w:tcPr>
            <w:tcW w:w="4034" w:type="dxa"/>
            <w:noWrap/>
            <w:vAlign w:val="center"/>
            <w:hideMark/>
          </w:tcPr>
          <w:p w14:paraId="6CEA4696"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Total current liabilities</w:t>
            </w:r>
          </w:p>
        </w:tc>
        <w:tc>
          <w:tcPr>
            <w:tcW w:w="1358" w:type="dxa"/>
            <w:noWrap/>
            <w:vAlign w:val="center"/>
            <w:hideMark/>
          </w:tcPr>
          <w:p w14:paraId="72A2E94B"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68,264 </w:t>
            </w:r>
          </w:p>
        </w:tc>
        <w:tc>
          <w:tcPr>
            <w:tcW w:w="1358" w:type="dxa"/>
            <w:noWrap/>
            <w:vAlign w:val="center"/>
            <w:hideMark/>
          </w:tcPr>
          <w:p w14:paraId="6EDCC560"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66,867 </w:t>
            </w:r>
          </w:p>
        </w:tc>
        <w:tc>
          <w:tcPr>
            <w:tcW w:w="1259" w:type="dxa"/>
            <w:noWrap/>
            <w:vAlign w:val="center"/>
            <w:hideMark/>
          </w:tcPr>
          <w:p w14:paraId="268CD9B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1,397 </w:t>
            </w:r>
          </w:p>
        </w:tc>
      </w:tr>
      <w:tr w:rsidR="003C1AB7" w:rsidRPr="004370C6" w14:paraId="02B666F8" w14:textId="77777777" w:rsidTr="0091289A">
        <w:trPr>
          <w:trHeight w:val="240"/>
          <w:jc w:val="center"/>
        </w:trPr>
        <w:tc>
          <w:tcPr>
            <w:tcW w:w="4034" w:type="dxa"/>
            <w:noWrap/>
            <w:vAlign w:val="center"/>
            <w:hideMark/>
          </w:tcPr>
          <w:p w14:paraId="7BDD20E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Non-current liabilities</w:t>
            </w:r>
          </w:p>
        </w:tc>
        <w:tc>
          <w:tcPr>
            <w:tcW w:w="1358" w:type="dxa"/>
            <w:noWrap/>
            <w:vAlign w:val="center"/>
            <w:hideMark/>
          </w:tcPr>
          <w:p w14:paraId="6D43CD5A"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w:t>
            </w:r>
          </w:p>
        </w:tc>
        <w:tc>
          <w:tcPr>
            <w:tcW w:w="1358" w:type="dxa"/>
            <w:noWrap/>
            <w:vAlign w:val="center"/>
            <w:hideMark/>
          </w:tcPr>
          <w:p w14:paraId="5D29DFB8" w14:textId="77777777" w:rsidR="00624C62" w:rsidRPr="004370C6" w:rsidRDefault="00624C62" w:rsidP="00824E21">
            <w:pPr>
              <w:rPr>
                <w:rFonts w:ascii="Arial" w:hAnsi="Arial" w:cs="Arial"/>
                <w:lang w:val="en-AU" w:eastAsia="en-AU"/>
              </w:rPr>
            </w:pPr>
          </w:p>
        </w:tc>
        <w:tc>
          <w:tcPr>
            <w:tcW w:w="1259" w:type="dxa"/>
            <w:noWrap/>
            <w:vAlign w:val="center"/>
            <w:hideMark/>
          </w:tcPr>
          <w:p w14:paraId="2A787095" w14:textId="77777777" w:rsidR="00624C62" w:rsidRPr="004370C6" w:rsidRDefault="00624C62" w:rsidP="00824E21">
            <w:pPr>
              <w:rPr>
                <w:rFonts w:ascii="Arial" w:hAnsi="Arial" w:cs="Arial"/>
                <w:sz w:val="20"/>
                <w:szCs w:val="20"/>
                <w:lang w:val="en-AU" w:eastAsia="en-AU"/>
              </w:rPr>
            </w:pPr>
          </w:p>
        </w:tc>
      </w:tr>
      <w:tr w:rsidR="003C1AB7" w:rsidRPr="004370C6" w14:paraId="5FBA9D61" w14:textId="77777777" w:rsidTr="0091289A">
        <w:trPr>
          <w:trHeight w:val="240"/>
          <w:jc w:val="center"/>
        </w:trPr>
        <w:tc>
          <w:tcPr>
            <w:tcW w:w="4034" w:type="dxa"/>
            <w:noWrap/>
            <w:vAlign w:val="center"/>
            <w:hideMark/>
          </w:tcPr>
          <w:p w14:paraId="2A98E47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Other Liabilities</w:t>
            </w:r>
          </w:p>
        </w:tc>
        <w:tc>
          <w:tcPr>
            <w:tcW w:w="1358" w:type="dxa"/>
            <w:noWrap/>
            <w:vAlign w:val="center"/>
            <w:hideMark/>
          </w:tcPr>
          <w:p w14:paraId="4680FE00"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415 </w:t>
            </w:r>
          </w:p>
        </w:tc>
        <w:tc>
          <w:tcPr>
            <w:tcW w:w="1358" w:type="dxa"/>
            <w:noWrap/>
            <w:vAlign w:val="center"/>
            <w:hideMark/>
          </w:tcPr>
          <w:p w14:paraId="5D9D17E5"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411 </w:t>
            </w:r>
          </w:p>
        </w:tc>
        <w:tc>
          <w:tcPr>
            <w:tcW w:w="1259" w:type="dxa"/>
            <w:noWrap/>
            <w:vAlign w:val="center"/>
            <w:hideMark/>
          </w:tcPr>
          <w:p w14:paraId="6EAA9A7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4 </w:t>
            </w:r>
          </w:p>
        </w:tc>
      </w:tr>
      <w:tr w:rsidR="003C1AB7" w:rsidRPr="004370C6" w14:paraId="6F4D9E6A" w14:textId="77777777" w:rsidTr="0091289A">
        <w:trPr>
          <w:trHeight w:val="240"/>
          <w:jc w:val="center"/>
        </w:trPr>
        <w:tc>
          <w:tcPr>
            <w:tcW w:w="4034" w:type="dxa"/>
            <w:noWrap/>
            <w:vAlign w:val="center"/>
            <w:hideMark/>
          </w:tcPr>
          <w:p w14:paraId="153480F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Provisions</w:t>
            </w:r>
          </w:p>
        </w:tc>
        <w:tc>
          <w:tcPr>
            <w:tcW w:w="1358" w:type="dxa"/>
            <w:noWrap/>
            <w:vAlign w:val="center"/>
            <w:hideMark/>
          </w:tcPr>
          <w:p w14:paraId="1A4508D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1,337 </w:t>
            </w:r>
          </w:p>
        </w:tc>
        <w:tc>
          <w:tcPr>
            <w:tcW w:w="1358" w:type="dxa"/>
            <w:noWrap/>
            <w:vAlign w:val="center"/>
            <w:hideMark/>
          </w:tcPr>
          <w:p w14:paraId="65719412"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1,330 </w:t>
            </w:r>
          </w:p>
        </w:tc>
        <w:tc>
          <w:tcPr>
            <w:tcW w:w="1259" w:type="dxa"/>
            <w:noWrap/>
            <w:vAlign w:val="center"/>
            <w:hideMark/>
          </w:tcPr>
          <w:p w14:paraId="514A6090"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7 </w:t>
            </w:r>
          </w:p>
        </w:tc>
      </w:tr>
      <w:tr w:rsidR="003C1AB7" w:rsidRPr="004370C6" w14:paraId="00B40DC3" w14:textId="77777777" w:rsidTr="0091289A">
        <w:trPr>
          <w:trHeight w:val="240"/>
          <w:jc w:val="center"/>
        </w:trPr>
        <w:tc>
          <w:tcPr>
            <w:tcW w:w="4034" w:type="dxa"/>
            <w:noWrap/>
            <w:vAlign w:val="center"/>
            <w:hideMark/>
          </w:tcPr>
          <w:p w14:paraId="0FC3414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Interest-bearing liabilities</w:t>
            </w:r>
          </w:p>
        </w:tc>
        <w:tc>
          <w:tcPr>
            <w:tcW w:w="1358" w:type="dxa"/>
            <w:noWrap/>
            <w:vAlign w:val="center"/>
            <w:hideMark/>
          </w:tcPr>
          <w:p w14:paraId="50ACAC97"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21,299 </w:t>
            </w:r>
          </w:p>
        </w:tc>
        <w:tc>
          <w:tcPr>
            <w:tcW w:w="1358" w:type="dxa"/>
            <w:noWrap/>
            <w:vAlign w:val="center"/>
            <w:hideMark/>
          </w:tcPr>
          <w:p w14:paraId="0B660E9A"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21,299 </w:t>
            </w:r>
          </w:p>
        </w:tc>
        <w:tc>
          <w:tcPr>
            <w:tcW w:w="1259" w:type="dxa"/>
            <w:noWrap/>
            <w:vAlign w:val="center"/>
            <w:hideMark/>
          </w:tcPr>
          <w:p w14:paraId="654AD31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   </w:t>
            </w:r>
          </w:p>
        </w:tc>
      </w:tr>
      <w:tr w:rsidR="003C1AB7" w:rsidRPr="004370C6" w14:paraId="4567C66D" w14:textId="77777777" w:rsidTr="0091289A">
        <w:trPr>
          <w:trHeight w:val="240"/>
          <w:jc w:val="center"/>
        </w:trPr>
        <w:tc>
          <w:tcPr>
            <w:tcW w:w="4034" w:type="dxa"/>
            <w:noWrap/>
            <w:vAlign w:val="center"/>
            <w:hideMark/>
          </w:tcPr>
          <w:p w14:paraId="1680B2B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Lease liabilities</w:t>
            </w:r>
          </w:p>
        </w:tc>
        <w:tc>
          <w:tcPr>
            <w:tcW w:w="1358" w:type="dxa"/>
            <w:noWrap/>
            <w:vAlign w:val="center"/>
            <w:hideMark/>
          </w:tcPr>
          <w:p w14:paraId="625585F2"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2,824 </w:t>
            </w:r>
          </w:p>
        </w:tc>
        <w:tc>
          <w:tcPr>
            <w:tcW w:w="1358" w:type="dxa"/>
            <w:noWrap/>
            <w:vAlign w:val="center"/>
            <w:hideMark/>
          </w:tcPr>
          <w:p w14:paraId="06006FB6"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2,829 </w:t>
            </w:r>
          </w:p>
        </w:tc>
        <w:tc>
          <w:tcPr>
            <w:tcW w:w="1259" w:type="dxa"/>
            <w:noWrap/>
            <w:vAlign w:val="center"/>
            <w:hideMark/>
          </w:tcPr>
          <w:p w14:paraId="59CA5A27"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(5)</w:t>
            </w:r>
          </w:p>
        </w:tc>
      </w:tr>
      <w:tr w:rsidR="003C1AB7" w:rsidRPr="004370C6" w14:paraId="596BA96C" w14:textId="77777777" w:rsidTr="0091289A">
        <w:trPr>
          <w:trHeight w:val="240"/>
          <w:jc w:val="center"/>
        </w:trPr>
        <w:tc>
          <w:tcPr>
            <w:tcW w:w="4034" w:type="dxa"/>
            <w:noWrap/>
            <w:vAlign w:val="center"/>
            <w:hideMark/>
          </w:tcPr>
          <w:p w14:paraId="39342F45"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Total non-current liabilities</w:t>
            </w:r>
          </w:p>
        </w:tc>
        <w:tc>
          <w:tcPr>
            <w:tcW w:w="1358" w:type="dxa"/>
            <w:noWrap/>
            <w:vAlign w:val="center"/>
            <w:hideMark/>
          </w:tcPr>
          <w:p w14:paraId="22064495"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25,875 </w:t>
            </w:r>
          </w:p>
        </w:tc>
        <w:tc>
          <w:tcPr>
            <w:tcW w:w="1358" w:type="dxa"/>
            <w:noWrap/>
            <w:vAlign w:val="center"/>
            <w:hideMark/>
          </w:tcPr>
          <w:p w14:paraId="6581CBCA"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25,870 </w:t>
            </w:r>
          </w:p>
        </w:tc>
        <w:tc>
          <w:tcPr>
            <w:tcW w:w="1259" w:type="dxa"/>
            <w:noWrap/>
            <w:vAlign w:val="center"/>
            <w:hideMark/>
          </w:tcPr>
          <w:p w14:paraId="3F73DF0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6 </w:t>
            </w:r>
          </w:p>
        </w:tc>
      </w:tr>
      <w:tr w:rsidR="003C1AB7" w:rsidRPr="004370C6" w14:paraId="4E387E0C" w14:textId="77777777" w:rsidTr="0091289A">
        <w:trPr>
          <w:trHeight w:val="240"/>
          <w:jc w:val="center"/>
        </w:trPr>
        <w:tc>
          <w:tcPr>
            <w:tcW w:w="4034" w:type="dxa"/>
            <w:noWrap/>
            <w:vAlign w:val="center"/>
            <w:hideMark/>
          </w:tcPr>
          <w:p w14:paraId="124F8CF2"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Total liabilities</w:t>
            </w:r>
          </w:p>
        </w:tc>
        <w:tc>
          <w:tcPr>
            <w:tcW w:w="1358" w:type="dxa"/>
            <w:noWrap/>
            <w:vAlign w:val="center"/>
            <w:hideMark/>
          </w:tcPr>
          <w:p w14:paraId="10DEEB4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94,139 </w:t>
            </w:r>
          </w:p>
        </w:tc>
        <w:tc>
          <w:tcPr>
            <w:tcW w:w="1358" w:type="dxa"/>
            <w:noWrap/>
            <w:vAlign w:val="center"/>
            <w:hideMark/>
          </w:tcPr>
          <w:p w14:paraId="52F56BBF"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92,737 </w:t>
            </w:r>
          </w:p>
        </w:tc>
        <w:tc>
          <w:tcPr>
            <w:tcW w:w="1259" w:type="dxa"/>
            <w:noWrap/>
            <w:vAlign w:val="center"/>
            <w:hideMark/>
          </w:tcPr>
          <w:p w14:paraId="2C334D83"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1,402 </w:t>
            </w:r>
          </w:p>
        </w:tc>
      </w:tr>
      <w:tr w:rsidR="003C1AB7" w:rsidRPr="004370C6" w14:paraId="230BD3D1" w14:textId="77777777" w:rsidTr="0091289A">
        <w:trPr>
          <w:trHeight w:val="240"/>
          <w:jc w:val="center"/>
        </w:trPr>
        <w:tc>
          <w:tcPr>
            <w:tcW w:w="4034" w:type="dxa"/>
            <w:noWrap/>
            <w:vAlign w:val="center"/>
            <w:hideMark/>
          </w:tcPr>
          <w:p w14:paraId="684877B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Net assets</w:t>
            </w:r>
          </w:p>
        </w:tc>
        <w:tc>
          <w:tcPr>
            <w:tcW w:w="1358" w:type="dxa"/>
            <w:noWrap/>
            <w:vAlign w:val="center"/>
            <w:hideMark/>
          </w:tcPr>
          <w:p w14:paraId="3F265E49" w14:textId="1FFF41AA"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2,193,2</w:t>
            </w:r>
            <w:r w:rsidR="0072612E" w:rsidRPr="004370C6">
              <w:rPr>
                <w:rFonts w:ascii="Arial" w:hAnsi="Arial" w:cs="Arial"/>
                <w:lang w:val="en-AU" w:eastAsia="en-AU"/>
              </w:rPr>
              <w:t>80</w:t>
            </w:r>
          </w:p>
        </w:tc>
        <w:tc>
          <w:tcPr>
            <w:tcW w:w="1358" w:type="dxa"/>
            <w:noWrap/>
            <w:vAlign w:val="center"/>
            <w:hideMark/>
          </w:tcPr>
          <w:p w14:paraId="3DFBDB1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2,101,027 </w:t>
            </w:r>
          </w:p>
        </w:tc>
        <w:tc>
          <w:tcPr>
            <w:tcW w:w="1259" w:type="dxa"/>
            <w:noWrap/>
            <w:vAlign w:val="center"/>
            <w:hideMark/>
          </w:tcPr>
          <w:p w14:paraId="02106FD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92,250 </w:t>
            </w:r>
          </w:p>
        </w:tc>
      </w:tr>
      <w:tr w:rsidR="003C1AB7" w:rsidRPr="004370C6" w14:paraId="706AEF69" w14:textId="77777777" w:rsidTr="0091289A">
        <w:trPr>
          <w:trHeight w:val="240"/>
          <w:jc w:val="center"/>
        </w:trPr>
        <w:tc>
          <w:tcPr>
            <w:tcW w:w="4034" w:type="dxa"/>
            <w:noWrap/>
            <w:vAlign w:val="center"/>
            <w:hideMark/>
          </w:tcPr>
          <w:p w14:paraId="05ABE640"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Equity</w:t>
            </w:r>
          </w:p>
        </w:tc>
        <w:tc>
          <w:tcPr>
            <w:tcW w:w="1358" w:type="dxa"/>
            <w:noWrap/>
            <w:vAlign w:val="center"/>
            <w:hideMark/>
          </w:tcPr>
          <w:p w14:paraId="2EACCDF0"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w:t>
            </w:r>
          </w:p>
        </w:tc>
        <w:tc>
          <w:tcPr>
            <w:tcW w:w="1358" w:type="dxa"/>
            <w:noWrap/>
            <w:vAlign w:val="center"/>
            <w:hideMark/>
          </w:tcPr>
          <w:p w14:paraId="36653BDE" w14:textId="77777777" w:rsidR="00624C62" w:rsidRPr="004370C6" w:rsidRDefault="00624C62" w:rsidP="00824E21">
            <w:pPr>
              <w:rPr>
                <w:rFonts w:ascii="Arial" w:hAnsi="Arial" w:cs="Arial"/>
                <w:lang w:val="en-AU" w:eastAsia="en-AU"/>
              </w:rPr>
            </w:pPr>
          </w:p>
        </w:tc>
        <w:tc>
          <w:tcPr>
            <w:tcW w:w="1259" w:type="dxa"/>
            <w:noWrap/>
            <w:vAlign w:val="center"/>
            <w:hideMark/>
          </w:tcPr>
          <w:p w14:paraId="64B678A8" w14:textId="77777777" w:rsidR="00624C62" w:rsidRPr="004370C6" w:rsidRDefault="00624C62" w:rsidP="00824E21">
            <w:pPr>
              <w:rPr>
                <w:rFonts w:ascii="Arial" w:hAnsi="Arial" w:cs="Arial"/>
                <w:sz w:val="20"/>
                <w:szCs w:val="20"/>
                <w:lang w:val="en-AU" w:eastAsia="en-AU"/>
              </w:rPr>
            </w:pPr>
          </w:p>
        </w:tc>
      </w:tr>
      <w:tr w:rsidR="003C1AB7" w:rsidRPr="004370C6" w14:paraId="38133ADA" w14:textId="77777777" w:rsidTr="0091289A">
        <w:trPr>
          <w:trHeight w:val="240"/>
          <w:jc w:val="center"/>
        </w:trPr>
        <w:tc>
          <w:tcPr>
            <w:tcW w:w="4034" w:type="dxa"/>
            <w:noWrap/>
            <w:vAlign w:val="center"/>
            <w:hideMark/>
          </w:tcPr>
          <w:p w14:paraId="516F8EA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lastRenderedPageBreak/>
              <w:t>Accumulated surplus</w:t>
            </w:r>
          </w:p>
        </w:tc>
        <w:tc>
          <w:tcPr>
            <w:tcW w:w="1358" w:type="dxa"/>
            <w:noWrap/>
            <w:vAlign w:val="center"/>
            <w:hideMark/>
          </w:tcPr>
          <w:p w14:paraId="3FC13C51"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715,273 </w:t>
            </w:r>
          </w:p>
        </w:tc>
        <w:tc>
          <w:tcPr>
            <w:tcW w:w="1358" w:type="dxa"/>
            <w:noWrap/>
            <w:vAlign w:val="center"/>
            <w:hideMark/>
          </w:tcPr>
          <w:p w14:paraId="7333D57A"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681,219 </w:t>
            </w:r>
          </w:p>
        </w:tc>
        <w:tc>
          <w:tcPr>
            <w:tcW w:w="1259" w:type="dxa"/>
            <w:noWrap/>
            <w:vAlign w:val="center"/>
            <w:hideMark/>
          </w:tcPr>
          <w:p w14:paraId="2691924C"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34,054 </w:t>
            </w:r>
          </w:p>
        </w:tc>
      </w:tr>
      <w:tr w:rsidR="003C1AB7" w:rsidRPr="004370C6" w14:paraId="0AD6D94C" w14:textId="77777777" w:rsidTr="0091289A">
        <w:trPr>
          <w:trHeight w:val="240"/>
          <w:jc w:val="center"/>
        </w:trPr>
        <w:tc>
          <w:tcPr>
            <w:tcW w:w="4034" w:type="dxa"/>
            <w:noWrap/>
            <w:vAlign w:val="center"/>
            <w:hideMark/>
          </w:tcPr>
          <w:p w14:paraId="54C58640"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Asset revaluation reserves</w:t>
            </w:r>
          </w:p>
        </w:tc>
        <w:tc>
          <w:tcPr>
            <w:tcW w:w="1358" w:type="dxa"/>
            <w:noWrap/>
            <w:vAlign w:val="center"/>
            <w:hideMark/>
          </w:tcPr>
          <w:p w14:paraId="38BC22E9"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1,342,841 </w:t>
            </w:r>
          </w:p>
        </w:tc>
        <w:tc>
          <w:tcPr>
            <w:tcW w:w="1358" w:type="dxa"/>
            <w:noWrap/>
            <w:vAlign w:val="center"/>
            <w:hideMark/>
          </w:tcPr>
          <w:p w14:paraId="2494206F"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1,342,841 </w:t>
            </w:r>
          </w:p>
        </w:tc>
        <w:tc>
          <w:tcPr>
            <w:tcW w:w="1259" w:type="dxa"/>
            <w:noWrap/>
            <w:vAlign w:val="center"/>
            <w:hideMark/>
          </w:tcPr>
          <w:p w14:paraId="61AD095B"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   </w:t>
            </w:r>
          </w:p>
        </w:tc>
      </w:tr>
      <w:tr w:rsidR="003C1AB7" w:rsidRPr="004370C6" w14:paraId="69319B95" w14:textId="77777777" w:rsidTr="0091289A">
        <w:trPr>
          <w:trHeight w:val="240"/>
          <w:jc w:val="center"/>
        </w:trPr>
        <w:tc>
          <w:tcPr>
            <w:tcW w:w="4034" w:type="dxa"/>
            <w:noWrap/>
            <w:vAlign w:val="center"/>
            <w:hideMark/>
          </w:tcPr>
          <w:p w14:paraId="6F5AF586"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Other reserves</w:t>
            </w:r>
          </w:p>
        </w:tc>
        <w:tc>
          <w:tcPr>
            <w:tcW w:w="1358" w:type="dxa"/>
            <w:noWrap/>
            <w:vAlign w:val="center"/>
            <w:hideMark/>
          </w:tcPr>
          <w:p w14:paraId="0F8A095F"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42,913 </w:t>
            </w:r>
          </w:p>
        </w:tc>
        <w:tc>
          <w:tcPr>
            <w:tcW w:w="1358" w:type="dxa"/>
            <w:noWrap/>
            <w:vAlign w:val="center"/>
            <w:hideMark/>
          </w:tcPr>
          <w:p w14:paraId="3D96465F"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43,472 </w:t>
            </w:r>
          </w:p>
        </w:tc>
        <w:tc>
          <w:tcPr>
            <w:tcW w:w="1259" w:type="dxa"/>
            <w:noWrap/>
            <w:vAlign w:val="center"/>
            <w:hideMark/>
          </w:tcPr>
          <w:p w14:paraId="49168194"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(560)</w:t>
            </w:r>
          </w:p>
        </w:tc>
      </w:tr>
      <w:tr w:rsidR="003C1AB7" w:rsidRPr="004370C6" w14:paraId="48BCBA82" w14:textId="77777777" w:rsidTr="0091289A">
        <w:trPr>
          <w:trHeight w:val="240"/>
          <w:jc w:val="center"/>
        </w:trPr>
        <w:tc>
          <w:tcPr>
            <w:tcW w:w="4034" w:type="dxa"/>
            <w:noWrap/>
            <w:vAlign w:val="center"/>
            <w:hideMark/>
          </w:tcPr>
          <w:p w14:paraId="2F2A89DB"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Surplus for the year</w:t>
            </w:r>
          </w:p>
        </w:tc>
        <w:tc>
          <w:tcPr>
            <w:tcW w:w="1358" w:type="dxa"/>
            <w:noWrap/>
            <w:vAlign w:val="center"/>
            <w:hideMark/>
          </w:tcPr>
          <w:p w14:paraId="0DF77186" w14:textId="71A0FFA8"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92,25</w:t>
            </w:r>
            <w:r w:rsidR="00F637FA" w:rsidRPr="004370C6">
              <w:rPr>
                <w:rFonts w:ascii="Arial" w:hAnsi="Arial" w:cs="Arial"/>
                <w:lang w:val="en-AU" w:eastAsia="en-AU"/>
              </w:rPr>
              <w:t>3</w:t>
            </w:r>
          </w:p>
        </w:tc>
        <w:tc>
          <w:tcPr>
            <w:tcW w:w="1358" w:type="dxa"/>
            <w:noWrap/>
            <w:vAlign w:val="center"/>
            <w:hideMark/>
          </w:tcPr>
          <w:p w14:paraId="68CAE8C9"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33,494 </w:t>
            </w:r>
          </w:p>
        </w:tc>
        <w:tc>
          <w:tcPr>
            <w:tcW w:w="1259" w:type="dxa"/>
            <w:noWrap/>
            <w:vAlign w:val="center"/>
            <w:hideMark/>
          </w:tcPr>
          <w:p w14:paraId="4B514F52" w14:textId="6340831E"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58,75</w:t>
            </w:r>
            <w:r w:rsidR="00972BDC" w:rsidRPr="004370C6">
              <w:rPr>
                <w:rFonts w:ascii="Arial" w:hAnsi="Arial" w:cs="Arial"/>
                <w:lang w:val="en-AU" w:eastAsia="en-AU"/>
              </w:rPr>
              <w:t>8</w:t>
            </w:r>
            <w:r w:rsidRPr="004370C6">
              <w:rPr>
                <w:rFonts w:ascii="Arial" w:hAnsi="Arial" w:cs="Arial"/>
                <w:lang w:val="en-AU" w:eastAsia="en-AU"/>
              </w:rPr>
              <w:t xml:space="preserve"> </w:t>
            </w:r>
          </w:p>
        </w:tc>
      </w:tr>
      <w:tr w:rsidR="003C1AB7" w:rsidRPr="004370C6" w14:paraId="57A9D7A7" w14:textId="77777777" w:rsidTr="0091289A">
        <w:trPr>
          <w:trHeight w:val="240"/>
          <w:jc w:val="center"/>
        </w:trPr>
        <w:tc>
          <w:tcPr>
            <w:tcW w:w="4034" w:type="dxa"/>
            <w:noWrap/>
            <w:vAlign w:val="center"/>
            <w:hideMark/>
          </w:tcPr>
          <w:p w14:paraId="0B4BD709"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Total equity</w:t>
            </w:r>
          </w:p>
        </w:tc>
        <w:tc>
          <w:tcPr>
            <w:tcW w:w="1358" w:type="dxa"/>
            <w:noWrap/>
            <w:vAlign w:val="center"/>
            <w:hideMark/>
          </w:tcPr>
          <w:p w14:paraId="77852485" w14:textId="5285B21E"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2,193,2</w:t>
            </w:r>
            <w:r w:rsidR="00863716" w:rsidRPr="004370C6">
              <w:rPr>
                <w:rFonts w:ascii="Arial" w:hAnsi="Arial" w:cs="Arial"/>
                <w:lang w:val="en-AU" w:eastAsia="en-AU"/>
              </w:rPr>
              <w:t>80</w:t>
            </w:r>
          </w:p>
        </w:tc>
        <w:tc>
          <w:tcPr>
            <w:tcW w:w="1358" w:type="dxa"/>
            <w:noWrap/>
            <w:vAlign w:val="center"/>
            <w:hideMark/>
          </w:tcPr>
          <w:p w14:paraId="49D7019F" w14:textId="77777777"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2,101,027 </w:t>
            </w:r>
          </w:p>
        </w:tc>
        <w:tc>
          <w:tcPr>
            <w:tcW w:w="1259" w:type="dxa"/>
            <w:noWrap/>
            <w:vAlign w:val="center"/>
            <w:hideMark/>
          </w:tcPr>
          <w:p w14:paraId="5865FB9D" w14:textId="5073855B" w:rsidR="00624C62" w:rsidRPr="004370C6" w:rsidRDefault="00624C62" w:rsidP="00824E21">
            <w:pPr>
              <w:rPr>
                <w:rFonts w:ascii="Arial" w:hAnsi="Arial" w:cs="Arial"/>
                <w:lang w:val="en-AU" w:eastAsia="en-AU"/>
              </w:rPr>
            </w:pPr>
            <w:r w:rsidRPr="004370C6">
              <w:rPr>
                <w:rFonts w:ascii="Arial" w:hAnsi="Arial" w:cs="Arial"/>
                <w:lang w:val="en-AU" w:eastAsia="en-AU"/>
              </w:rPr>
              <w:t xml:space="preserve">           92,25</w:t>
            </w:r>
            <w:r w:rsidR="00972BDC" w:rsidRPr="004370C6">
              <w:rPr>
                <w:rFonts w:ascii="Arial" w:hAnsi="Arial" w:cs="Arial"/>
                <w:lang w:val="en-AU" w:eastAsia="en-AU"/>
              </w:rPr>
              <w:t>3</w:t>
            </w:r>
            <w:r w:rsidRPr="004370C6">
              <w:rPr>
                <w:rFonts w:ascii="Arial" w:hAnsi="Arial" w:cs="Arial"/>
                <w:lang w:val="en-AU" w:eastAsia="en-AU"/>
              </w:rPr>
              <w:t xml:space="preserve"> </w:t>
            </w:r>
          </w:p>
        </w:tc>
      </w:tr>
    </w:tbl>
    <w:p w14:paraId="75EA634E" w14:textId="667A74AB" w:rsidR="0085655B" w:rsidRPr="004370C6" w:rsidRDefault="009908CE" w:rsidP="002124C8">
      <w:pPr>
        <w:rPr>
          <w:rFonts w:ascii="Arial" w:hAnsi="Arial" w:cs="Arial"/>
        </w:rPr>
      </w:pPr>
      <w:r w:rsidRPr="004370C6">
        <w:rPr>
          <w:rFonts w:ascii="Arial" w:hAnsi="Arial" w:cs="Arial"/>
        </w:rPr>
        <w:fldChar w:fldCharType="begin"/>
      </w:r>
      <w:r w:rsidRPr="004370C6">
        <w:rPr>
          <w:rFonts w:ascii="Arial" w:hAnsi="Arial" w:cs="Arial"/>
        </w:rPr>
        <w:instrText xml:space="preserve"> LINK </w:instrText>
      </w:r>
      <w:r w:rsidR="00E4643C" w:rsidRPr="004370C6">
        <w:rPr>
          <w:rFonts w:ascii="Arial" w:hAnsi="Arial" w:cs="Arial"/>
        </w:rPr>
        <w:instrText xml:space="preserve">Excel.Sheet.12 https://cityofyarra.sharepoint.com/sites/ManagementAccounting/Shared%20Documents/Month%20end/F26%20Finance%20Reports/6.%20December%202025/Monthly%20Report%20-%20December%202025.xlsx Appendix!R70C4:R112C13 </w:instrText>
      </w:r>
      <w:r w:rsidRPr="004370C6">
        <w:rPr>
          <w:rFonts w:ascii="Arial" w:hAnsi="Arial" w:cs="Arial"/>
        </w:rPr>
        <w:instrText xml:space="preserve">\a \f 4 \h </w:instrText>
      </w:r>
      <w:r w:rsidR="00B17716" w:rsidRPr="004370C6">
        <w:rPr>
          <w:rFonts w:ascii="Arial" w:hAnsi="Arial" w:cs="Arial"/>
        </w:rPr>
        <w:instrText xml:space="preserve"> \* MERGEFORMAT </w:instrText>
      </w:r>
      <w:r w:rsidRPr="004370C6">
        <w:rPr>
          <w:rFonts w:ascii="Arial" w:hAnsi="Arial" w:cs="Arial"/>
        </w:rPr>
        <w:fldChar w:fldCharType="separate"/>
      </w:r>
    </w:p>
    <w:p w14:paraId="061F42CE" w14:textId="11305AD8" w:rsidR="0085655B" w:rsidRPr="004370C6" w:rsidRDefault="009908CE" w:rsidP="002124C8">
      <w:pPr>
        <w:rPr>
          <w:rFonts w:ascii="Arial" w:hAnsi="Arial" w:cs="Arial"/>
        </w:rPr>
      </w:pPr>
      <w:r w:rsidRPr="004370C6">
        <w:rPr>
          <w:rFonts w:ascii="Arial" w:hAnsi="Arial" w:cs="Arial"/>
        </w:rPr>
        <w:fldChar w:fldCharType="end"/>
      </w:r>
      <w:r w:rsidRPr="004370C6">
        <w:rPr>
          <w:rFonts w:ascii="Arial" w:hAnsi="Arial" w:cs="Arial"/>
        </w:rPr>
        <w:fldChar w:fldCharType="begin"/>
      </w:r>
      <w:r w:rsidRPr="004370C6">
        <w:rPr>
          <w:rFonts w:ascii="Arial" w:hAnsi="Arial" w:cs="Arial"/>
        </w:rPr>
        <w:instrText xml:space="preserve"> LINK </w:instrText>
      </w:r>
      <w:r w:rsidR="00E4643C" w:rsidRPr="004370C6">
        <w:rPr>
          <w:rFonts w:ascii="Arial" w:hAnsi="Arial" w:cs="Arial"/>
        </w:rPr>
        <w:instrText xml:space="preserve">Excel.Sheet.12 https://cityofyarra.sharepoint.com/sites/ManagementAccounting/Shared%20Documents/Month%20end/F26%20Finance%20Reports/6.%20December%202025/Monthly%20Report%20-%20December%202025.xlsx Appendix!R70C4:R112C13 </w:instrText>
      </w:r>
      <w:r w:rsidRPr="004370C6">
        <w:rPr>
          <w:rFonts w:ascii="Arial" w:hAnsi="Arial" w:cs="Arial"/>
        </w:rPr>
        <w:instrText xml:space="preserve">\a \f 4 \h </w:instrText>
      </w:r>
      <w:r w:rsidR="00B17716" w:rsidRPr="004370C6">
        <w:rPr>
          <w:rFonts w:ascii="Arial" w:hAnsi="Arial" w:cs="Arial"/>
        </w:rPr>
        <w:instrText xml:space="preserve"> \* MERGEFORMAT </w:instrText>
      </w:r>
      <w:r w:rsidRPr="004370C6">
        <w:rPr>
          <w:rFonts w:ascii="Arial" w:hAnsi="Arial" w:cs="Arial"/>
        </w:rPr>
        <w:fldChar w:fldCharType="separate"/>
      </w:r>
    </w:p>
    <w:p w14:paraId="3667CB67" w14:textId="21442ADC" w:rsidR="002124C8" w:rsidRPr="004370C6" w:rsidRDefault="009908CE" w:rsidP="002124C8">
      <w:pPr>
        <w:rPr>
          <w:rFonts w:ascii="Arial" w:hAnsi="Arial" w:cs="Arial"/>
        </w:rPr>
      </w:pPr>
      <w:r w:rsidRPr="004370C6">
        <w:rPr>
          <w:rFonts w:ascii="Arial" w:hAnsi="Arial" w:cs="Arial"/>
        </w:rPr>
        <w:fldChar w:fldCharType="end"/>
      </w:r>
      <w:r w:rsidR="002124C8" w:rsidRPr="004370C6">
        <w:rPr>
          <w:rFonts w:ascii="Arial" w:hAnsi="Arial" w:cs="Arial"/>
        </w:rPr>
        <w:br w:type="page"/>
      </w:r>
    </w:p>
    <w:p w14:paraId="46F2F9DF" w14:textId="77777777" w:rsidR="002124C8" w:rsidRPr="004370C6" w:rsidRDefault="002124C8" w:rsidP="00B64127">
      <w:pPr>
        <w:pStyle w:val="Heading4"/>
        <w:rPr>
          <w:rFonts w:ascii="Arial" w:hAnsi="Arial" w:cs="Arial"/>
          <w:color w:val="auto"/>
        </w:rPr>
      </w:pPr>
      <w:bookmarkStart w:id="82" w:name="_Toc224732212"/>
      <w:r w:rsidRPr="004370C6">
        <w:rPr>
          <w:rFonts w:ascii="Arial" w:hAnsi="Arial" w:cs="Arial"/>
          <w:color w:val="auto"/>
        </w:rPr>
        <w:lastRenderedPageBreak/>
        <w:t>Quarter Two - Statement of Cash Flows</w:t>
      </w:r>
      <w:bookmarkEnd w:id="82"/>
      <w:r w:rsidRPr="004370C6">
        <w:rPr>
          <w:rFonts w:ascii="Arial" w:hAnsi="Arial" w:cs="Arial"/>
          <w:color w:val="auto"/>
        </w:rPr>
        <w:t> </w:t>
      </w:r>
    </w:p>
    <w:tbl>
      <w:tblPr>
        <w:tblW w:w="11759" w:type="dxa"/>
        <w:tblInd w:w="-1198" w:type="dxa"/>
        <w:tblCellMar>
          <w:top w:w="15" w:type="dxa"/>
          <w:bottom w:w="15" w:type="dxa"/>
        </w:tblCellMar>
        <w:tblLook w:val="04A0" w:firstRow="1" w:lastRow="0" w:firstColumn="1" w:lastColumn="0" w:noHBand="0" w:noVBand="1"/>
      </w:tblPr>
      <w:tblGrid>
        <w:gridCol w:w="4300"/>
        <w:gridCol w:w="222"/>
        <w:gridCol w:w="1160"/>
        <w:gridCol w:w="1040"/>
        <w:gridCol w:w="1057"/>
        <w:gridCol w:w="1272"/>
        <w:gridCol w:w="1272"/>
        <w:gridCol w:w="1200"/>
        <w:gridCol w:w="236"/>
      </w:tblGrid>
      <w:tr w:rsidR="003C1AB7" w:rsidRPr="004370C6" w14:paraId="78C02240" w14:textId="77777777" w:rsidTr="00C46698">
        <w:trPr>
          <w:gridAfter w:val="1"/>
          <w:wAfter w:w="236" w:type="dxa"/>
          <w:trHeight w:val="501"/>
        </w:trPr>
        <w:tc>
          <w:tcPr>
            <w:tcW w:w="4300" w:type="dxa"/>
            <w:vMerge w:val="restart"/>
            <w:tcBorders>
              <w:top w:val="single" w:sz="4" w:space="0" w:color="auto"/>
              <w:left w:val="single" w:sz="4" w:space="0" w:color="auto"/>
              <w:bottom w:val="nil"/>
              <w:right w:val="nil"/>
            </w:tcBorders>
            <w:vAlign w:val="center"/>
            <w:hideMark/>
          </w:tcPr>
          <w:p w14:paraId="1C942776"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Statement of Cash Flows</w:t>
            </w:r>
          </w:p>
        </w:tc>
        <w:tc>
          <w:tcPr>
            <w:tcW w:w="222" w:type="dxa"/>
            <w:vMerge w:val="restart"/>
            <w:tcBorders>
              <w:top w:val="single" w:sz="4" w:space="0" w:color="auto"/>
              <w:left w:val="nil"/>
              <w:bottom w:val="nil"/>
              <w:right w:val="nil"/>
            </w:tcBorders>
            <w:textDirection w:val="btLr"/>
            <w:vAlign w:val="bottom"/>
            <w:hideMark/>
          </w:tcPr>
          <w:p w14:paraId="7ABA9821"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p>
        </w:tc>
        <w:tc>
          <w:tcPr>
            <w:tcW w:w="1160" w:type="dxa"/>
            <w:vMerge w:val="restart"/>
            <w:tcBorders>
              <w:top w:val="single" w:sz="4" w:space="0" w:color="auto"/>
              <w:left w:val="nil"/>
              <w:bottom w:val="nil"/>
              <w:right w:val="nil"/>
            </w:tcBorders>
            <w:vAlign w:val="center"/>
            <w:hideMark/>
          </w:tcPr>
          <w:p w14:paraId="636B2804"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YTD</w:t>
            </w:r>
            <w:r w:rsidRPr="004370C6">
              <w:rPr>
                <w:rFonts w:ascii="Arial" w:eastAsia="Times New Roman" w:hAnsi="Arial" w:cs="Arial"/>
                <w:sz w:val="18"/>
                <w:szCs w:val="18"/>
                <w:lang w:val="en-AU" w:eastAsia="en-AU"/>
              </w:rPr>
              <w:br/>
              <w:t>Budget</w:t>
            </w:r>
          </w:p>
        </w:tc>
        <w:tc>
          <w:tcPr>
            <w:tcW w:w="1040" w:type="dxa"/>
            <w:vMerge w:val="restart"/>
            <w:tcBorders>
              <w:top w:val="single" w:sz="4" w:space="0" w:color="auto"/>
              <w:left w:val="nil"/>
              <w:bottom w:val="nil"/>
              <w:right w:val="nil"/>
            </w:tcBorders>
            <w:vAlign w:val="center"/>
            <w:hideMark/>
          </w:tcPr>
          <w:p w14:paraId="20EB0F60"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p>
        </w:tc>
        <w:tc>
          <w:tcPr>
            <w:tcW w:w="1057" w:type="dxa"/>
            <w:vMerge w:val="restart"/>
            <w:tcBorders>
              <w:top w:val="single" w:sz="4" w:space="0" w:color="auto"/>
              <w:left w:val="nil"/>
              <w:bottom w:val="nil"/>
              <w:right w:val="single" w:sz="4" w:space="0" w:color="auto"/>
            </w:tcBorders>
            <w:vAlign w:val="center"/>
            <w:hideMark/>
          </w:tcPr>
          <w:p w14:paraId="74B99B4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YTD</w:t>
            </w:r>
            <w:r w:rsidRPr="004370C6">
              <w:rPr>
                <w:rFonts w:ascii="Arial" w:eastAsia="Times New Roman" w:hAnsi="Arial" w:cs="Arial"/>
                <w:sz w:val="18"/>
                <w:szCs w:val="18"/>
                <w:lang w:val="en-AU" w:eastAsia="en-AU"/>
              </w:rPr>
              <w:br/>
              <w:t>Actuals</w:t>
            </w:r>
          </w:p>
        </w:tc>
        <w:tc>
          <w:tcPr>
            <w:tcW w:w="1272" w:type="dxa"/>
            <w:vMerge w:val="restart"/>
            <w:tcBorders>
              <w:top w:val="single" w:sz="4" w:space="0" w:color="auto"/>
              <w:left w:val="single" w:sz="4" w:space="0" w:color="auto"/>
              <w:bottom w:val="nil"/>
              <w:right w:val="single" w:sz="4" w:space="0" w:color="auto"/>
            </w:tcBorders>
            <w:vAlign w:val="center"/>
            <w:hideMark/>
          </w:tcPr>
          <w:p w14:paraId="0F861476"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Annual Budget</w:t>
            </w:r>
          </w:p>
        </w:tc>
        <w:tc>
          <w:tcPr>
            <w:tcW w:w="1272" w:type="dxa"/>
            <w:vMerge w:val="restart"/>
            <w:tcBorders>
              <w:top w:val="single" w:sz="4" w:space="0" w:color="auto"/>
              <w:left w:val="nil"/>
              <w:bottom w:val="nil"/>
              <w:right w:val="nil"/>
            </w:tcBorders>
            <w:vAlign w:val="center"/>
            <w:hideMark/>
          </w:tcPr>
          <w:p w14:paraId="25CBB27C"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Annual</w:t>
            </w:r>
            <w:r w:rsidRPr="004370C6">
              <w:rPr>
                <w:rFonts w:ascii="Arial" w:eastAsia="Times New Roman" w:hAnsi="Arial" w:cs="Arial"/>
                <w:sz w:val="18"/>
                <w:szCs w:val="18"/>
                <w:lang w:val="en-AU" w:eastAsia="en-AU"/>
              </w:rPr>
              <w:br/>
              <w:t>Forecast</w:t>
            </w:r>
          </w:p>
        </w:tc>
        <w:tc>
          <w:tcPr>
            <w:tcW w:w="1200" w:type="dxa"/>
            <w:vMerge w:val="restart"/>
            <w:tcBorders>
              <w:top w:val="single" w:sz="4" w:space="0" w:color="auto"/>
              <w:left w:val="nil"/>
              <w:bottom w:val="nil"/>
              <w:right w:val="single" w:sz="4" w:space="0" w:color="auto"/>
            </w:tcBorders>
            <w:vAlign w:val="center"/>
            <w:hideMark/>
          </w:tcPr>
          <w:p w14:paraId="128AFAB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Annual Variance</w:t>
            </w:r>
          </w:p>
        </w:tc>
      </w:tr>
      <w:tr w:rsidR="003C1AB7" w:rsidRPr="004370C6" w14:paraId="47FA34B6" w14:textId="77777777" w:rsidTr="00C46698">
        <w:trPr>
          <w:trHeight w:val="255"/>
        </w:trPr>
        <w:tc>
          <w:tcPr>
            <w:tcW w:w="4300" w:type="dxa"/>
            <w:vMerge/>
            <w:tcBorders>
              <w:top w:val="nil"/>
              <w:left w:val="single" w:sz="4" w:space="0" w:color="auto"/>
              <w:bottom w:val="nil"/>
              <w:right w:val="nil"/>
            </w:tcBorders>
            <w:vAlign w:val="center"/>
            <w:hideMark/>
          </w:tcPr>
          <w:p w14:paraId="7DEEFC2A"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222" w:type="dxa"/>
            <w:vMerge/>
            <w:tcBorders>
              <w:top w:val="nil"/>
              <w:left w:val="nil"/>
              <w:bottom w:val="nil"/>
              <w:right w:val="nil"/>
            </w:tcBorders>
            <w:vAlign w:val="center"/>
            <w:hideMark/>
          </w:tcPr>
          <w:p w14:paraId="544CCE78"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vMerge/>
            <w:tcBorders>
              <w:top w:val="nil"/>
              <w:left w:val="nil"/>
              <w:bottom w:val="nil"/>
              <w:right w:val="nil"/>
            </w:tcBorders>
            <w:vAlign w:val="center"/>
            <w:hideMark/>
          </w:tcPr>
          <w:p w14:paraId="2199AB23"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040" w:type="dxa"/>
            <w:vMerge/>
            <w:tcBorders>
              <w:top w:val="nil"/>
              <w:left w:val="nil"/>
              <w:bottom w:val="nil"/>
              <w:right w:val="nil"/>
            </w:tcBorders>
            <w:vAlign w:val="center"/>
            <w:hideMark/>
          </w:tcPr>
          <w:p w14:paraId="1F471384"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057" w:type="dxa"/>
            <w:vMerge/>
            <w:tcBorders>
              <w:top w:val="nil"/>
              <w:left w:val="nil"/>
              <w:bottom w:val="nil"/>
              <w:right w:val="single" w:sz="4" w:space="0" w:color="auto"/>
            </w:tcBorders>
            <w:vAlign w:val="center"/>
            <w:hideMark/>
          </w:tcPr>
          <w:p w14:paraId="04C47278"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272" w:type="dxa"/>
            <w:vMerge/>
            <w:tcBorders>
              <w:top w:val="nil"/>
              <w:left w:val="single" w:sz="4" w:space="0" w:color="auto"/>
              <w:bottom w:val="nil"/>
              <w:right w:val="single" w:sz="4" w:space="0" w:color="auto"/>
            </w:tcBorders>
            <w:vAlign w:val="center"/>
            <w:hideMark/>
          </w:tcPr>
          <w:p w14:paraId="7F680BF4"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272" w:type="dxa"/>
            <w:vMerge/>
            <w:tcBorders>
              <w:top w:val="nil"/>
              <w:left w:val="nil"/>
              <w:bottom w:val="nil"/>
              <w:right w:val="nil"/>
            </w:tcBorders>
            <w:vAlign w:val="center"/>
            <w:hideMark/>
          </w:tcPr>
          <w:p w14:paraId="559F8FD8"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200" w:type="dxa"/>
            <w:vMerge/>
            <w:tcBorders>
              <w:top w:val="nil"/>
              <w:left w:val="nil"/>
              <w:bottom w:val="nil"/>
              <w:right w:val="single" w:sz="4" w:space="0" w:color="auto"/>
            </w:tcBorders>
            <w:vAlign w:val="center"/>
            <w:hideMark/>
          </w:tcPr>
          <w:p w14:paraId="655E2337"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236" w:type="dxa"/>
            <w:tcBorders>
              <w:top w:val="nil"/>
              <w:left w:val="single" w:sz="4" w:space="0" w:color="auto"/>
              <w:bottom w:val="nil"/>
              <w:right w:val="single" w:sz="4" w:space="0" w:color="auto"/>
            </w:tcBorders>
            <w:noWrap/>
            <w:vAlign w:val="bottom"/>
            <w:hideMark/>
          </w:tcPr>
          <w:p w14:paraId="6779D556"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p>
        </w:tc>
      </w:tr>
      <w:tr w:rsidR="003C1AB7" w:rsidRPr="004370C6" w14:paraId="60FEF07C" w14:textId="77777777" w:rsidTr="00C46698">
        <w:trPr>
          <w:trHeight w:val="240"/>
        </w:trPr>
        <w:tc>
          <w:tcPr>
            <w:tcW w:w="4300" w:type="dxa"/>
            <w:vMerge/>
            <w:tcBorders>
              <w:top w:val="nil"/>
              <w:left w:val="single" w:sz="4" w:space="0" w:color="auto"/>
              <w:bottom w:val="nil"/>
              <w:right w:val="nil"/>
            </w:tcBorders>
            <w:vAlign w:val="center"/>
            <w:hideMark/>
          </w:tcPr>
          <w:p w14:paraId="64C4F63E"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222" w:type="dxa"/>
            <w:vMerge/>
            <w:tcBorders>
              <w:top w:val="nil"/>
              <w:left w:val="nil"/>
              <w:bottom w:val="nil"/>
              <w:right w:val="nil"/>
            </w:tcBorders>
            <w:vAlign w:val="center"/>
            <w:hideMark/>
          </w:tcPr>
          <w:p w14:paraId="73279757"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vAlign w:val="center"/>
            <w:hideMark/>
          </w:tcPr>
          <w:p w14:paraId="50E5D73F"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1040" w:type="dxa"/>
            <w:tcBorders>
              <w:top w:val="nil"/>
              <w:left w:val="nil"/>
              <w:bottom w:val="nil"/>
              <w:right w:val="nil"/>
            </w:tcBorders>
            <w:vAlign w:val="center"/>
            <w:hideMark/>
          </w:tcPr>
          <w:p w14:paraId="1C7F626E"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p>
        </w:tc>
        <w:tc>
          <w:tcPr>
            <w:tcW w:w="1057" w:type="dxa"/>
            <w:tcBorders>
              <w:top w:val="nil"/>
              <w:left w:val="nil"/>
              <w:bottom w:val="nil"/>
              <w:right w:val="single" w:sz="4" w:space="0" w:color="auto"/>
            </w:tcBorders>
            <w:vAlign w:val="center"/>
            <w:hideMark/>
          </w:tcPr>
          <w:p w14:paraId="5DEFE7EE"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1272" w:type="dxa"/>
            <w:tcBorders>
              <w:top w:val="nil"/>
              <w:left w:val="single" w:sz="4" w:space="0" w:color="auto"/>
              <w:bottom w:val="nil"/>
              <w:right w:val="single" w:sz="4" w:space="0" w:color="auto"/>
            </w:tcBorders>
            <w:vAlign w:val="center"/>
            <w:hideMark/>
          </w:tcPr>
          <w:p w14:paraId="57A18AB9"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1272" w:type="dxa"/>
            <w:tcBorders>
              <w:top w:val="nil"/>
              <w:left w:val="single" w:sz="4" w:space="0" w:color="auto"/>
              <w:bottom w:val="nil"/>
              <w:right w:val="nil"/>
            </w:tcBorders>
            <w:vAlign w:val="center"/>
            <w:hideMark/>
          </w:tcPr>
          <w:p w14:paraId="6B53BF4F"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1200" w:type="dxa"/>
            <w:tcBorders>
              <w:top w:val="nil"/>
              <w:left w:val="nil"/>
              <w:bottom w:val="nil"/>
              <w:right w:val="single" w:sz="4" w:space="0" w:color="auto"/>
            </w:tcBorders>
            <w:vAlign w:val="center"/>
            <w:hideMark/>
          </w:tcPr>
          <w:p w14:paraId="06DF2D5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236" w:type="dxa"/>
            <w:tcBorders>
              <w:left w:val="single" w:sz="4" w:space="0" w:color="auto"/>
              <w:right w:val="single" w:sz="4" w:space="0" w:color="auto"/>
            </w:tcBorders>
            <w:vAlign w:val="center"/>
            <w:hideMark/>
          </w:tcPr>
          <w:p w14:paraId="3ADA3A64"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34D24566" w14:textId="77777777" w:rsidTr="00C46698">
        <w:trPr>
          <w:trHeight w:val="390"/>
        </w:trPr>
        <w:tc>
          <w:tcPr>
            <w:tcW w:w="4300" w:type="dxa"/>
            <w:vMerge/>
            <w:tcBorders>
              <w:top w:val="nil"/>
              <w:left w:val="single" w:sz="4" w:space="0" w:color="auto"/>
              <w:bottom w:val="nil"/>
              <w:right w:val="nil"/>
            </w:tcBorders>
            <w:vAlign w:val="center"/>
            <w:hideMark/>
          </w:tcPr>
          <w:p w14:paraId="2F5C9CF0"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222" w:type="dxa"/>
            <w:vMerge/>
            <w:tcBorders>
              <w:top w:val="nil"/>
              <w:left w:val="nil"/>
              <w:bottom w:val="nil"/>
              <w:right w:val="nil"/>
            </w:tcBorders>
            <w:vAlign w:val="center"/>
            <w:hideMark/>
          </w:tcPr>
          <w:p w14:paraId="0EFD7F81"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vAlign w:val="center"/>
            <w:hideMark/>
          </w:tcPr>
          <w:p w14:paraId="2E1122F3"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Inflows</w:t>
            </w:r>
          </w:p>
        </w:tc>
        <w:tc>
          <w:tcPr>
            <w:tcW w:w="1040" w:type="dxa"/>
            <w:tcBorders>
              <w:top w:val="nil"/>
              <w:left w:val="nil"/>
              <w:bottom w:val="nil"/>
              <w:right w:val="nil"/>
            </w:tcBorders>
            <w:vAlign w:val="center"/>
            <w:hideMark/>
          </w:tcPr>
          <w:p w14:paraId="627688C3"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p>
        </w:tc>
        <w:tc>
          <w:tcPr>
            <w:tcW w:w="1057" w:type="dxa"/>
            <w:tcBorders>
              <w:top w:val="nil"/>
              <w:left w:val="nil"/>
              <w:bottom w:val="nil"/>
              <w:right w:val="single" w:sz="4" w:space="0" w:color="auto"/>
            </w:tcBorders>
            <w:vAlign w:val="center"/>
            <w:hideMark/>
          </w:tcPr>
          <w:p w14:paraId="78697B6D"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Inflows</w:t>
            </w:r>
          </w:p>
        </w:tc>
        <w:tc>
          <w:tcPr>
            <w:tcW w:w="1272" w:type="dxa"/>
            <w:tcBorders>
              <w:top w:val="nil"/>
              <w:left w:val="single" w:sz="4" w:space="0" w:color="auto"/>
              <w:bottom w:val="nil"/>
              <w:right w:val="single" w:sz="4" w:space="0" w:color="auto"/>
            </w:tcBorders>
            <w:vAlign w:val="center"/>
            <w:hideMark/>
          </w:tcPr>
          <w:p w14:paraId="01B0F59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Inflows</w:t>
            </w:r>
          </w:p>
        </w:tc>
        <w:tc>
          <w:tcPr>
            <w:tcW w:w="1272" w:type="dxa"/>
            <w:tcBorders>
              <w:top w:val="nil"/>
              <w:left w:val="single" w:sz="4" w:space="0" w:color="auto"/>
              <w:bottom w:val="nil"/>
              <w:right w:val="nil"/>
            </w:tcBorders>
            <w:vAlign w:val="center"/>
            <w:hideMark/>
          </w:tcPr>
          <w:p w14:paraId="7CCA7865"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Inflows</w:t>
            </w:r>
          </w:p>
        </w:tc>
        <w:tc>
          <w:tcPr>
            <w:tcW w:w="1200" w:type="dxa"/>
            <w:tcBorders>
              <w:top w:val="nil"/>
              <w:left w:val="nil"/>
              <w:bottom w:val="nil"/>
              <w:right w:val="single" w:sz="4" w:space="0" w:color="auto"/>
            </w:tcBorders>
            <w:vAlign w:val="center"/>
            <w:hideMark/>
          </w:tcPr>
          <w:p w14:paraId="7E79B306"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Inflows</w:t>
            </w:r>
          </w:p>
        </w:tc>
        <w:tc>
          <w:tcPr>
            <w:tcW w:w="236" w:type="dxa"/>
            <w:tcBorders>
              <w:right w:val="single" w:sz="4" w:space="0" w:color="auto"/>
            </w:tcBorders>
            <w:vAlign w:val="center"/>
            <w:hideMark/>
          </w:tcPr>
          <w:p w14:paraId="1DD5F986"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35402364" w14:textId="77777777" w:rsidTr="00C46698">
        <w:trPr>
          <w:trHeight w:val="255"/>
        </w:trPr>
        <w:tc>
          <w:tcPr>
            <w:tcW w:w="4300" w:type="dxa"/>
            <w:vMerge/>
            <w:tcBorders>
              <w:top w:val="nil"/>
              <w:left w:val="single" w:sz="4" w:space="0" w:color="auto"/>
              <w:bottom w:val="single" w:sz="4" w:space="0" w:color="auto"/>
              <w:right w:val="nil"/>
            </w:tcBorders>
            <w:vAlign w:val="center"/>
            <w:hideMark/>
          </w:tcPr>
          <w:p w14:paraId="01BD2AFB"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222" w:type="dxa"/>
            <w:vMerge/>
            <w:tcBorders>
              <w:top w:val="nil"/>
              <w:left w:val="nil"/>
              <w:bottom w:val="single" w:sz="4" w:space="0" w:color="auto"/>
              <w:right w:val="nil"/>
            </w:tcBorders>
            <w:vAlign w:val="center"/>
            <w:hideMark/>
          </w:tcPr>
          <w:p w14:paraId="51269941"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single" w:sz="4" w:space="0" w:color="auto"/>
              <w:right w:val="nil"/>
            </w:tcBorders>
            <w:vAlign w:val="center"/>
            <w:hideMark/>
          </w:tcPr>
          <w:p w14:paraId="50D223B0"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(Outflows)</w:t>
            </w:r>
          </w:p>
        </w:tc>
        <w:tc>
          <w:tcPr>
            <w:tcW w:w="1040" w:type="dxa"/>
            <w:tcBorders>
              <w:top w:val="nil"/>
              <w:left w:val="nil"/>
              <w:bottom w:val="single" w:sz="4" w:space="0" w:color="auto"/>
              <w:right w:val="nil"/>
            </w:tcBorders>
            <w:vAlign w:val="center"/>
            <w:hideMark/>
          </w:tcPr>
          <w:p w14:paraId="28AFF5F3"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p>
        </w:tc>
        <w:tc>
          <w:tcPr>
            <w:tcW w:w="1057" w:type="dxa"/>
            <w:tcBorders>
              <w:top w:val="nil"/>
              <w:left w:val="nil"/>
              <w:bottom w:val="single" w:sz="4" w:space="0" w:color="auto"/>
              <w:right w:val="single" w:sz="4" w:space="0" w:color="auto"/>
            </w:tcBorders>
            <w:vAlign w:val="center"/>
            <w:hideMark/>
          </w:tcPr>
          <w:p w14:paraId="017B2B0C" w14:textId="77777777" w:rsidR="006E5072" w:rsidRPr="004370C6" w:rsidRDefault="006E5072" w:rsidP="006E5072">
            <w:pPr>
              <w:spacing w:after="0" w:line="240" w:lineRule="auto"/>
              <w:jc w:val="right"/>
              <w:rPr>
                <w:rFonts w:ascii="Arial" w:eastAsia="Times New Roman" w:hAnsi="Arial" w:cs="Arial"/>
                <w:sz w:val="17"/>
                <w:szCs w:val="17"/>
                <w:lang w:val="en-AU" w:eastAsia="en-AU"/>
              </w:rPr>
            </w:pPr>
            <w:r w:rsidRPr="004370C6">
              <w:rPr>
                <w:rFonts w:ascii="Arial" w:eastAsia="Times New Roman" w:hAnsi="Arial" w:cs="Arial"/>
                <w:sz w:val="17"/>
                <w:szCs w:val="17"/>
                <w:lang w:val="en-AU" w:eastAsia="en-AU"/>
              </w:rPr>
              <w:t>(Outflows)</w:t>
            </w:r>
          </w:p>
        </w:tc>
        <w:tc>
          <w:tcPr>
            <w:tcW w:w="1272" w:type="dxa"/>
            <w:tcBorders>
              <w:top w:val="nil"/>
              <w:left w:val="single" w:sz="4" w:space="0" w:color="auto"/>
              <w:bottom w:val="single" w:sz="4" w:space="0" w:color="auto"/>
              <w:right w:val="single" w:sz="4" w:space="0" w:color="auto"/>
            </w:tcBorders>
            <w:vAlign w:val="center"/>
            <w:hideMark/>
          </w:tcPr>
          <w:p w14:paraId="6D2F0E93" w14:textId="77777777" w:rsidR="006E5072" w:rsidRPr="004370C6" w:rsidRDefault="006E5072" w:rsidP="006E5072">
            <w:pPr>
              <w:spacing w:after="0" w:line="240" w:lineRule="auto"/>
              <w:jc w:val="right"/>
              <w:rPr>
                <w:rFonts w:ascii="Arial" w:eastAsia="Times New Roman" w:hAnsi="Arial" w:cs="Arial"/>
                <w:sz w:val="17"/>
                <w:szCs w:val="17"/>
                <w:lang w:val="en-AU" w:eastAsia="en-AU"/>
              </w:rPr>
            </w:pPr>
            <w:r w:rsidRPr="004370C6">
              <w:rPr>
                <w:rFonts w:ascii="Arial" w:eastAsia="Times New Roman" w:hAnsi="Arial" w:cs="Arial"/>
                <w:sz w:val="17"/>
                <w:szCs w:val="17"/>
                <w:lang w:val="en-AU" w:eastAsia="en-AU"/>
              </w:rPr>
              <w:t>(Outflows)</w:t>
            </w:r>
          </w:p>
        </w:tc>
        <w:tc>
          <w:tcPr>
            <w:tcW w:w="1272" w:type="dxa"/>
            <w:tcBorders>
              <w:top w:val="nil"/>
              <w:left w:val="single" w:sz="4" w:space="0" w:color="auto"/>
              <w:bottom w:val="single" w:sz="4" w:space="0" w:color="auto"/>
              <w:right w:val="nil"/>
            </w:tcBorders>
            <w:vAlign w:val="center"/>
            <w:hideMark/>
          </w:tcPr>
          <w:p w14:paraId="414F057B" w14:textId="77777777" w:rsidR="006E5072" w:rsidRPr="004370C6" w:rsidRDefault="006E5072" w:rsidP="006E5072">
            <w:pPr>
              <w:spacing w:after="0" w:line="240" w:lineRule="auto"/>
              <w:jc w:val="right"/>
              <w:rPr>
                <w:rFonts w:ascii="Arial" w:eastAsia="Times New Roman" w:hAnsi="Arial" w:cs="Arial"/>
                <w:sz w:val="17"/>
                <w:szCs w:val="17"/>
                <w:lang w:val="en-AU" w:eastAsia="en-AU"/>
              </w:rPr>
            </w:pPr>
            <w:r w:rsidRPr="004370C6">
              <w:rPr>
                <w:rFonts w:ascii="Arial" w:eastAsia="Times New Roman" w:hAnsi="Arial" w:cs="Arial"/>
                <w:sz w:val="17"/>
                <w:szCs w:val="17"/>
                <w:lang w:val="en-AU" w:eastAsia="en-AU"/>
              </w:rPr>
              <w:t>(Outflows)</w:t>
            </w:r>
          </w:p>
        </w:tc>
        <w:tc>
          <w:tcPr>
            <w:tcW w:w="1200" w:type="dxa"/>
            <w:tcBorders>
              <w:top w:val="nil"/>
              <w:left w:val="nil"/>
              <w:bottom w:val="single" w:sz="4" w:space="0" w:color="auto"/>
              <w:right w:val="single" w:sz="4" w:space="0" w:color="auto"/>
            </w:tcBorders>
            <w:noWrap/>
            <w:vAlign w:val="center"/>
            <w:hideMark/>
          </w:tcPr>
          <w:p w14:paraId="0F920A3E" w14:textId="77777777" w:rsidR="006E5072" w:rsidRPr="004370C6" w:rsidRDefault="006E5072" w:rsidP="006E5072">
            <w:pPr>
              <w:spacing w:after="0" w:line="240" w:lineRule="auto"/>
              <w:jc w:val="center"/>
              <w:rPr>
                <w:rFonts w:ascii="Arial" w:eastAsia="Times New Roman" w:hAnsi="Arial" w:cs="Arial"/>
                <w:sz w:val="17"/>
                <w:szCs w:val="17"/>
                <w:lang w:val="en-AU" w:eastAsia="en-AU"/>
              </w:rPr>
            </w:pPr>
            <w:r w:rsidRPr="004370C6">
              <w:rPr>
                <w:rFonts w:ascii="Arial" w:eastAsia="Times New Roman" w:hAnsi="Arial" w:cs="Arial"/>
                <w:sz w:val="17"/>
                <w:szCs w:val="17"/>
                <w:lang w:val="en-AU" w:eastAsia="en-AU"/>
              </w:rPr>
              <w:t>(Outflows)</w:t>
            </w:r>
          </w:p>
        </w:tc>
        <w:tc>
          <w:tcPr>
            <w:tcW w:w="236" w:type="dxa"/>
            <w:tcBorders>
              <w:left w:val="single" w:sz="4" w:space="0" w:color="auto"/>
              <w:right w:val="single" w:sz="4" w:space="0" w:color="auto"/>
            </w:tcBorders>
            <w:vAlign w:val="center"/>
            <w:hideMark/>
          </w:tcPr>
          <w:p w14:paraId="709F95BB"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30E10EAB" w14:textId="77777777" w:rsidTr="00C46698">
        <w:trPr>
          <w:trHeight w:val="240"/>
        </w:trPr>
        <w:tc>
          <w:tcPr>
            <w:tcW w:w="4300" w:type="dxa"/>
            <w:tcBorders>
              <w:top w:val="single" w:sz="4" w:space="0" w:color="auto"/>
              <w:left w:val="single" w:sz="4" w:space="0" w:color="auto"/>
              <w:bottom w:val="nil"/>
              <w:right w:val="nil"/>
            </w:tcBorders>
            <w:noWrap/>
            <w:vAlign w:val="center"/>
            <w:hideMark/>
          </w:tcPr>
          <w:p w14:paraId="789A81ED"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Cash flows from operating activities</w:t>
            </w:r>
          </w:p>
        </w:tc>
        <w:tc>
          <w:tcPr>
            <w:tcW w:w="1382" w:type="dxa"/>
            <w:gridSpan w:val="2"/>
            <w:tcBorders>
              <w:top w:val="single" w:sz="4" w:space="0" w:color="auto"/>
              <w:left w:val="nil"/>
              <w:bottom w:val="nil"/>
              <w:right w:val="nil"/>
            </w:tcBorders>
            <w:noWrap/>
            <w:vAlign w:val="center"/>
            <w:hideMark/>
          </w:tcPr>
          <w:p w14:paraId="5A774FB1"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040" w:type="dxa"/>
            <w:tcBorders>
              <w:top w:val="single" w:sz="4" w:space="0" w:color="auto"/>
              <w:left w:val="nil"/>
              <w:bottom w:val="nil"/>
              <w:right w:val="nil"/>
            </w:tcBorders>
            <w:noWrap/>
            <w:vAlign w:val="center"/>
            <w:hideMark/>
          </w:tcPr>
          <w:p w14:paraId="2E39170A"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57" w:type="dxa"/>
            <w:tcBorders>
              <w:top w:val="single" w:sz="4" w:space="0" w:color="auto"/>
              <w:left w:val="nil"/>
              <w:bottom w:val="nil"/>
              <w:right w:val="single" w:sz="4" w:space="0" w:color="auto"/>
            </w:tcBorders>
            <w:noWrap/>
            <w:vAlign w:val="center"/>
            <w:hideMark/>
          </w:tcPr>
          <w:p w14:paraId="5F359706"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72" w:type="dxa"/>
            <w:tcBorders>
              <w:top w:val="single" w:sz="4" w:space="0" w:color="auto"/>
              <w:left w:val="single" w:sz="4" w:space="0" w:color="auto"/>
              <w:bottom w:val="nil"/>
              <w:right w:val="single" w:sz="4" w:space="0" w:color="auto"/>
            </w:tcBorders>
            <w:noWrap/>
            <w:vAlign w:val="center"/>
            <w:hideMark/>
          </w:tcPr>
          <w:p w14:paraId="25EFAA75" w14:textId="77777777" w:rsidR="006E5072" w:rsidRPr="004370C6" w:rsidRDefault="006E5072" w:rsidP="006E5072">
            <w:pPr>
              <w:spacing w:after="0" w:line="240" w:lineRule="auto"/>
              <w:jc w:val="center"/>
              <w:rPr>
                <w:rFonts w:ascii="Arial" w:eastAsia="Times New Roman" w:hAnsi="Arial" w:cs="Arial"/>
                <w:sz w:val="20"/>
                <w:szCs w:val="20"/>
                <w:lang w:val="en-AU" w:eastAsia="en-AU"/>
              </w:rPr>
            </w:pPr>
          </w:p>
        </w:tc>
        <w:tc>
          <w:tcPr>
            <w:tcW w:w="1272" w:type="dxa"/>
            <w:tcBorders>
              <w:top w:val="single" w:sz="4" w:space="0" w:color="auto"/>
              <w:left w:val="nil"/>
              <w:bottom w:val="nil"/>
              <w:right w:val="nil"/>
            </w:tcBorders>
            <w:noWrap/>
            <w:vAlign w:val="center"/>
            <w:hideMark/>
          </w:tcPr>
          <w:p w14:paraId="766B05D8"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00" w:type="dxa"/>
            <w:tcBorders>
              <w:top w:val="single" w:sz="4" w:space="0" w:color="auto"/>
              <w:left w:val="nil"/>
              <w:bottom w:val="nil"/>
              <w:right w:val="nil"/>
            </w:tcBorders>
            <w:noWrap/>
            <w:vAlign w:val="center"/>
            <w:hideMark/>
          </w:tcPr>
          <w:p w14:paraId="02CC2A48"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236" w:type="dxa"/>
            <w:tcBorders>
              <w:right w:val="single" w:sz="4" w:space="0" w:color="auto"/>
            </w:tcBorders>
            <w:vAlign w:val="center"/>
            <w:hideMark/>
          </w:tcPr>
          <w:p w14:paraId="6D7EB48A"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7C52B4FF" w14:textId="77777777" w:rsidTr="00C46698">
        <w:trPr>
          <w:trHeight w:val="255"/>
        </w:trPr>
        <w:tc>
          <w:tcPr>
            <w:tcW w:w="4300" w:type="dxa"/>
            <w:tcBorders>
              <w:top w:val="nil"/>
              <w:left w:val="single" w:sz="4" w:space="0" w:color="auto"/>
              <w:bottom w:val="nil"/>
              <w:right w:val="nil"/>
            </w:tcBorders>
            <w:vAlign w:val="center"/>
            <w:hideMark/>
          </w:tcPr>
          <w:p w14:paraId="44FC7C54"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Rates and charges</w:t>
            </w:r>
          </w:p>
        </w:tc>
        <w:tc>
          <w:tcPr>
            <w:tcW w:w="222" w:type="dxa"/>
            <w:tcBorders>
              <w:top w:val="nil"/>
              <w:left w:val="nil"/>
              <w:bottom w:val="nil"/>
              <w:right w:val="nil"/>
            </w:tcBorders>
            <w:vAlign w:val="center"/>
            <w:hideMark/>
          </w:tcPr>
          <w:p w14:paraId="253A83ED"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50E3D3AB"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4F3C2648"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519565DB"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72,643 </w:t>
            </w:r>
          </w:p>
        </w:tc>
        <w:tc>
          <w:tcPr>
            <w:tcW w:w="1272" w:type="dxa"/>
            <w:tcBorders>
              <w:top w:val="nil"/>
              <w:left w:val="single" w:sz="4" w:space="0" w:color="auto"/>
              <w:bottom w:val="nil"/>
              <w:right w:val="single" w:sz="4" w:space="0" w:color="auto"/>
            </w:tcBorders>
            <w:noWrap/>
            <w:vAlign w:val="center"/>
            <w:hideMark/>
          </w:tcPr>
          <w:p w14:paraId="6B716A42"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142,614 </w:t>
            </w:r>
          </w:p>
        </w:tc>
        <w:tc>
          <w:tcPr>
            <w:tcW w:w="1272" w:type="dxa"/>
            <w:tcBorders>
              <w:top w:val="nil"/>
              <w:left w:val="nil"/>
              <w:bottom w:val="nil"/>
              <w:right w:val="nil"/>
            </w:tcBorders>
            <w:noWrap/>
            <w:vAlign w:val="center"/>
            <w:hideMark/>
          </w:tcPr>
          <w:p w14:paraId="79064ECC"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145,573 </w:t>
            </w:r>
          </w:p>
        </w:tc>
        <w:tc>
          <w:tcPr>
            <w:tcW w:w="1200" w:type="dxa"/>
            <w:tcBorders>
              <w:top w:val="nil"/>
              <w:left w:val="nil"/>
              <w:bottom w:val="nil"/>
              <w:right w:val="nil"/>
            </w:tcBorders>
            <w:noWrap/>
            <w:vAlign w:val="center"/>
            <w:hideMark/>
          </w:tcPr>
          <w:p w14:paraId="0209ECD0"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2,959 </w:t>
            </w:r>
          </w:p>
        </w:tc>
        <w:tc>
          <w:tcPr>
            <w:tcW w:w="236" w:type="dxa"/>
            <w:tcBorders>
              <w:right w:val="single" w:sz="4" w:space="0" w:color="auto"/>
            </w:tcBorders>
            <w:vAlign w:val="center"/>
            <w:hideMark/>
          </w:tcPr>
          <w:p w14:paraId="51CE8F0D"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4C3ED743" w14:textId="77777777" w:rsidTr="00C46698">
        <w:trPr>
          <w:trHeight w:val="240"/>
        </w:trPr>
        <w:tc>
          <w:tcPr>
            <w:tcW w:w="4300" w:type="dxa"/>
            <w:tcBorders>
              <w:top w:val="nil"/>
              <w:left w:val="single" w:sz="4" w:space="0" w:color="auto"/>
              <w:bottom w:val="nil"/>
              <w:right w:val="nil"/>
            </w:tcBorders>
            <w:vAlign w:val="center"/>
            <w:hideMark/>
          </w:tcPr>
          <w:p w14:paraId="0BF6923A"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Statutory fees and fines</w:t>
            </w:r>
          </w:p>
        </w:tc>
        <w:tc>
          <w:tcPr>
            <w:tcW w:w="222" w:type="dxa"/>
            <w:tcBorders>
              <w:top w:val="nil"/>
              <w:left w:val="nil"/>
              <w:bottom w:val="nil"/>
              <w:right w:val="nil"/>
            </w:tcBorders>
            <w:vAlign w:val="center"/>
            <w:hideMark/>
          </w:tcPr>
          <w:p w14:paraId="0D546AA7"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7A8C4941"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72E3327A"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111479DE"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22,146 </w:t>
            </w:r>
          </w:p>
        </w:tc>
        <w:tc>
          <w:tcPr>
            <w:tcW w:w="1272" w:type="dxa"/>
            <w:tcBorders>
              <w:top w:val="nil"/>
              <w:left w:val="single" w:sz="4" w:space="0" w:color="auto"/>
              <w:bottom w:val="nil"/>
              <w:right w:val="single" w:sz="4" w:space="0" w:color="auto"/>
            </w:tcBorders>
            <w:noWrap/>
            <w:vAlign w:val="center"/>
            <w:hideMark/>
          </w:tcPr>
          <w:p w14:paraId="599403C0"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35,759 </w:t>
            </w:r>
          </w:p>
        </w:tc>
        <w:tc>
          <w:tcPr>
            <w:tcW w:w="1272" w:type="dxa"/>
            <w:tcBorders>
              <w:top w:val="nil"/>
              <w:left w:val="nil"/>
              <w:bottom w:val="nil"/>
              <w:right w:val="nil"/>
            </w:tcBorders>
            <w:noWrap/>
            <w:vAlign w:val="center"/>
            <w:hideMark/>
          </w:tcPr>
          <w:p w14:paraId="1E60CF3E"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37,509 </w:t>
            </w:r>
          </w:p>
        </w:tc>
        <w:tc>
          <w:tcPr>
            <w:tcW w:w="1200" w:type="dxa"/>
            <w:tcBorders>
              <w:top w:val="nil"/>
              <w:left w:val="nil"/>
              <w:bottom w:val="nil"/>
              <w:right w:val="nil"/>
            </w:tcBorders>
            <w:noWrap/>
            <w:vAlign w:val="center"/>
            <w:hideMark/>
          </w:tcPr>
          <w:p w14:paraId="02FB45FC"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1,750 </w:t>
            </w:r>
          </w:p>
        </w:tc>
        <w:tc>
          <w:tcPr>
            <w:tcW w:w="236" w:type="dxa"/>
            <w:tcBorders>
              <w:right w:val="single" w:sz="4" w:space="0" w:color="auto"/>
            </w:tcBorders>
            <w:vAlign w:val="center"/>
            <w:hideMark/>
          </w:tcPr>
          <w:p w14:paraId="7CB87A75"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7FD905BE" w14:textId="77777777" w:rsidTr="00C46698">
        <w:trPr>
          <w:trHeight w:val="240"/>
        </w:trPr>
        <w:tc>
          <w:tcPr>
            <w:tcW w:w="4300" w:type="dxa"/>
            <w:tcBorders>
              <w:top w:val="nil"/>
              <w:left w:val="single" w:sz="4" w:space="0" w:color="auto"/>
              <w:bottom w:val="nil"/>
              <w:right w:val="nil"/>
            </w:tcBorders>
            <w:vAlign w:val="center"/>
            <w:hideMark/>
          </w:tcPr>
          <w:p w14:paraId="21D50061"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User fees</w:t>
            </w:r>
          </w:p>
        </w:tc>
        <w:tc>
          <w:tcPr>
            <w:tcW w:w="222" w:type="dxa"/>
            <w:tcBorders>
              <w:top w:val="nil"/>
              <w:left w:val="nil"/>
              <w:bottom w:val="nil"/>
              <w:right w:val="nil"/>
            </w:tcBorders>
            <w:vAlign w:val="center"/>
            <w:hideMark/>
          </w:tcPr>
          <w:p w14:paraId="037C5751"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542E7C3E"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16612ABF"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28B19B28"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18,116 </w:t>
            </w:r>
          </w:p>
        </w:tc>
        <w:tc>
          <w:tcPr>
            <w:tcW w:w="1272" w:type="dxa"/>
            <w:tcBorders>
              <w:top w:val="nil"/>
              <w:left w:val="single" w:sz="4" w:space="0" w:color="auto"/>
              <w:bottom w:val="nil"/>
              <w:right w:val="single" w:sz="4" w:space="0" w:color="auto"/>
            </w:tcBorders>
            <w:noWrap/>
            <w:vAlign w:val="center"/>
            <w:hideMark/>
          </w:tcPr>
          <w:p w14:paraId="409A291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34,074 </w:t>
            </w:r>
          </w:p>
        </w:tc>
        <w:tc>
          <w:tcPr>
            <w:tcW w:w="1272" w:type="dxa"/>
            <w:tcBorders>
              <w:top w:val="nil"/>
              <w:left w:val="nil"/>
              <w:bottom w:val="nil"/>
              <w:right w:val="nil"/>
            </w:tcBorders>
            <w:noWrap/>
            <w:vAlign w:val="center"/>
            <w:hideMark/>
          </w:tcPr>
          <w:p w14:paraId="75275635"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34,762 </w:t>
            </w:r>
          </w:p>
        </w:tc>
        <w:tc>
          <w:tcPr>
            <w:tcW w:w="1200" w:type="dxa"/>
            <w:tcBorders>
              <w:top w:val="nil"/>
              <w:left w:val="nil"/>
              <w:bottom w:val="nil"/>
              <w:right w:val="nil"/>
            </w:tcBorders>
            <w:noWrap/>
            <w:vAlign w:val="center"/>
            <w:hideMark/>
          </w:tcPr>
          <w:p w14:paraId="01231CF4"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687 </w:t>
            </w:r>
          </w:p>
        </w:tc>
        <w:tc>
          <w:tcPr>
            <w:tcW w:w="236" w:type="dxa"/>
            <w:tcBorders>
              <w:right w:val="single" w:sz="4" w:space="0" w:color="auto"/>
            </w:tcBorders>
            <w:vAlign w:val="center"/>
            <w:hideMark/>
          </w:tcPr>
          <w:p w14:paraId="3B1A6D1F"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551B2DA3" w14:textId="77777777" w:rsidTr="00C46698">
        <w:trPr>
          <w:trHeight w:val="240"/>
        </w:trPr>
        <w:tc>
          <w:tcPr>
            <w:tcW w:w="4300" w:type="dxa"/>
            <w:tcBorders>
              <w:top w:val="nil"/>
              <w:left w:val="single" w:sz="4" w:space="0" w:color="auto"/>
              <w:bottom w:val="nil"/>
              <w:right w:val="nil"/>
            </w:tcBorders>
            <w:vAlign w:val="center"/>
            <w:hideMark/>
          </w:tcPr>
          <w:p w14:paraId="43BE3A44"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Grants - operating</w:t>
            </w:r>
          </w:p>
        </w:tc>
        <w:tc>
          <w:tcPr>
            <w:tcW w:w="222" w:type="dxa"/>
            <w:tcBorders>
              <w:top w:val="nil"/>
              <w:left w:val="nil"/>
              <w:bottom w:val="nil"/>
              <w:right w:val="nil"/>
            </w:tcBorders>
            <w:vAlign w:val="center"/>
            <w:hideMark/>
          </w:tcPr>
          <w:p w14:paraId="73CE2070"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45BF4B71"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56BE1779"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55976C99"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7,714 </w:t>
            </w:r>
          </w:p>
        </w:tc>
        <w:tc>
          <w:tcPr>
            <w:tcW w:w="1272" w:type="dxa"/>
            <w:tcBorders>
              <w:top w:val="nil"/>
              <w:left w:val="single" w:sz="4" w:space="0" w:color="auto"/>
              <w:bottom w:val="nil"/>
              <w:right w:val="single" w:sz="4" w:space="0" w:color="auto"/>
            </w:tcBorders>
            <w:noWrap/>
            <w:vAlign w:val="center"/>
            <w:hideMark/>
          </w:tcPr>
          <w:p w14:paraId="2D2E1C26"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17,445 </w:t>
            </w:r>
          </w:p>
        </w:tc>
        <w:tc>
          <w:tcPr>
            <w:tcW w:w="1272" w:type="dxa"/>
            <w:tcBorders>
              <w:top w:val="nil"/>
              <w:left w:val="nil"/>
              <w:bottom w:val="nil"/>
              <w:right w:val="nil"/>
            </w:tcBorders>
            <w:noWrap/>
            <w:vAlign w:val="center"/>
            <w:hideMark/>
          </w:tcPr>
          <w:p w14:paraId="5CFAAD3A"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15,913 </w:t>
            </w:r>
          </w:p>
        </w:tc>
        <w:tc>
          <w:tcPr>
            <w:tcW w:w="1200" w:type="dxa"/>
            <w:tcBorders>
              <w:top w:val="nil"/>
              <w:left w:val="nil"/>
              <w:bottom w:val="nil"/>
              <w:right w:val="nil"/>
            </w:tcBorders>
            <w:noWrap/>
            <w:vAlign w:val="center"/>
            <w:hideMark/>
          </w:tcPr>
          <w:p w14:paraId="17D4789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(1,533)</w:t>
            </w:r>
          </w:p>
        </w:tc>
        <w:tc>
          <w:tcPr>
            <w:tcW w:w="236" w:type="dxa"/>
            <w:tcBorders>
              <w:right w:val="single" w:sz="4" w:space="0" w:color="auto"/>
            </w:tcBorders>
            <w:vAlign w:val="center"/>
            <w:hideMark/>
          </w:tcPr>
          <w:p w14:paraId="4D230F9F"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1135D788" w14:textId="77777777" w:rsidTr="00C46698">
        <w:trPr>
          <w:trHeight w:val="240"/>
        </w:trPr>
        <w:tc>
          <w:tcPr>
            <w:tcW w:w="4300" w:type="dxa"/>
            <w:tcBorders>
              <w:top w:val="nil"/>
              <w:left w:val="single" w:sz="4" w:space="0" w:color="auto"/>
              <w:bottom w:val="nil"/>
              <w:right w:val="nil"/>
            </w:tcBorders>
            <w:vAlign w:val="center"/>
            <w:hideMark/>
          </w:tcPr>
          <w:p w14:paraId="0EB2AF1E"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Grants - capital</w:t>
            </w:r>
          </w:p>
        </w:tc>
        <w:tc>
          <w:tcPr>
            <w:tcW w:w="222" w:type="dxa"/>
            <w:tcBorders>
              <w:top w:val="nil"/>
              <w:left w:val="nil"/>
              <w:bottom w:val="nil"/>
              <w:right w:val="nil"/>
            </w:tcBorders>
            <w:vAlign w:val="center"/>
            <w:hideMark/>
          </w:tcPr>
          <w:p w14:paraId="77F4D0C3"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05F9B1E5"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572A44C7"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0B9D750A"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1,527 </w:t>
            </w:r>
          </w:p>
        </w:tc>
        <w:tc>
          <w:tcPr>
            <w:tcW w:w="1272" w:type="dxa"/>
            <w:tcBorders>
              <w:top w:val="nil"/>
              <w:left w:val="single" w:sz="4" w:space="0" w:color="auto"/>
              <w:bottom w:val="nil"/>
              <w:right w:val="single" w:sz="4" w:space="0" w:color="auto"/>
            </w:tcBorders>
            <w:noWrap/>
            <w:vAlign w:val="center"/>
            <w:hideMark/>
          </w:tcPr>
          <w:p w14:paraId="329FC5F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9,142 </w:t>
            </w:r>
          </w:p>
        </w:tc>
        <w:tc>
          <w:tcPr>
            <w:tcW w:w="1272" w:type="dxa"/>
            <w:tcBorders>
              <w:top w:val="nil"/>
              <w:left w:val="nil"/>
              <w:bottom w:val="nil"/>
              <w:right w:val="nil"/>
            </w:tcBorders>
            <w:noWrap/>
            <w:vAlign w:val="center"/>
            <w:hideMark/>
          </w:tcPr>
          <w:p w14:paraId="3679891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5,576 </w:t>
            </w:r>
          </w:p>
        </w:tc>
        <w:tc>
          <w:tcPr>
            <w:tcW w:w="1200" w:type="dxa"/>
            <w:tcBorders>
              <w:top w:val="nil"/>
              <w:left w:val="nil"/>
              <w:bottom w:val="nil"/>
              <w:right w:val="nil"/>
            </w:tcBorders>
            <w:noWrap/>
            <w:vAlign w:val="center"/>
            <w:hideMark/>
          </w:tcPr>
          <w:p w14:paraId="6F8C14D5"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(3,566)</w:t>
            </w:r>
          </w:p>
        </w:tc>
        <w:tc>
          <w:tcPr>
            <w:tcW w:w="236" w:type="dxa"/>
            <w:tcBorders>
              <w:right w:val="single" w:sz="4" w:space="0" w:color="auto"/>
            </w:tcBorders>
            <w:vAlign w:val="center"/>
            <w:hideMark/>
          </w:tcPr>
          <w:p w14:paraId="6C083067"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189A2FDE" w14:textId="77777777" w:rsidTr="00C46698">
        <w:trPr>
          <w:trHeight w:val="240"/>
        </w:trPr>
        <w:tc>
          <w:tcPr>
            <w:tcW w:w="4300" w:type="dxa"/>
            <w:tcBorders>
              <w:top w:val="nil"/>
              <w:left w:val="single" w:sz="4" w:space="0" w:color="auto"/>
              <w:bottom w:val="nil"/>
              <w:right w:val="nil"/>
            </w:tcBorders>
            <w:vAlign w:val="center"/>
            <w:hideMark/>
          </w:tcPr>
          <w:p w14:paraId="599A3679"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Contributions - monetary</w:t>
            </w:r>
          </w:p>
        </w:tc>
        <w:tc>
          <w:tcPr>
            <w:tcW w:w="222" w:type="dxa"/>
            <w:tcBorders>
              <w:top w:val="nil"/>
              <w:left w:val="nil"/>
              <w:bottom w:val="nil"/>
              <w:right w:val="nil"/>
            </w:tcBorders>
            <w:vAlign w:val="center"/>
            <w:hideMark/>
          </w:tcPr>
          <w:p w14:paraId="0C28B765"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111065B3"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3D1A4CDC"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35035CAE"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875 </w:t>
            </w:r>
          </w:p>
        </w:tc>
        <w:tc>
          <w:tcPr>
            <w:tcW w:w="1272" w:type="dxa"/>
            <w:tcBorders>
              <w:top w:val="nil"/>
              <w:left w:val="single" w:sz="4" w:space="0" w:color="auto"/>
              <w:bottom w:val="nil"/>
              <w:right w:val="single" w:sz="4" w:space="0" w:color="auto"/>
            </w:tcBorders>
            <w:noWrap/>
            <w:vAlign w:val="center"/>
            <w:hideMark/>
          </w:tcPr>
          <w:p w14:paraId="5D0740FF"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6,675 </w:t>
            </w:r>
          </w:p>
        </w:tc>
        <w:tc>
          <w:tcPr>
            <w:tcW w:w="1272" w:type="dxa"/>
            <w:tcBorders>
              <w:top w:val="nil"/>
              <w:left w:val="nil"/>
              <w:bottom w:val="nil"/>
              <w:right w:val="nil"/>
            </w:tcBorders>
            <w:noWrap/>
            <w:vAlign w:val="center"/>
            <w:hideMark/>
          </w:tcPr>
          <w:p w14:paraId="7A5562E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2,487 </w:t>
            </w:r>
          </w:p>
        </w:tc>
        <w:tc>
          <w:tcPr>
            <w:tcW w:w="1200" w:type="dxa"/>
            <w:tcBorders>
              <w:top w:val="nil"/>
              <w:left w:val="nil"/>
              <w:bottom w:val="nil"/>
              <w:right w:val="nil"/>
            </w:tcBorders>
            <w:noWrap/>
            <w:vAlign w:val="center"/>
            <w:hideMark/>
          </w:tcPr>
          <w:p w14:paraId="38C04A2E"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(4,188)</w:t>
            </w:r>
          </w:p>
        </w:tc>
        <w:tc>
          <w:tcPr>
            <w:tcW w:w="236" w:type="dxa"/>
            <w:tcBorders>
              <w:right w:val="single" w:sz="4" w:space="0" w:color="auto"/>
            </w:tcBorders>
            <w:vAlign w:val="center"/>
            <w:hideMark/>
          </w:tcPr>
          <w:p w14:paraId="43EA8FC4"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54435777" w14:textId="77777777" w:rsidTr="00C46698">
        <w:trPr>
          <w:trHeight w:val="240"/>
        </w:trPr>
        <w:tc>
          <w:tcPr>
            <w:tcW w:w="4300" w:type="dxa"/>
            <w:tcBorders>
              <w:top w:val="nil"/>
              <w:left w:val="single" w:sz="4" w:space="0" w:color="auto"/>
              <w:bottom w:val="nil"/>
              <w:right w:val="nil"/>
            </w:tcBorders>
            <w:vAlign w:val="center"/>
            <w:hideMark/>
          </w:tcPr>
          <w:p w14:paraId="6E2B0D12"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Interest received</w:t>
            </w:r>
          </w:p>
        </w:tc>
        <w:tc>
          <w:tcPr>
            <w:tcW w:w="222" w:type="dxa"/>
            <w:tcBorders>
              <w:top w:val="nil"/>
              <w:left w:val="nil"/>
              <w:bottom w:val="nil"/>
              <w:right w:val="nil"/>
            </w:tcBorders>
            <w:vAlign w:val="center"/>
            <w:hideMark/>
          </w:tcPr>
          <w:p w14:paraId="04A158F0"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3CDDAA28"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1ED59880"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0348236C"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2,583 </w:t>
            </w:r>
          </w:p>
        </w:tc>
        <w:tc>
          <w:tcPr>
            <w:tcW w:w="1272" w:type="dxa"/>
            <w:tcBorders>
              <w:top w:val="nil"/>
              <w:left w:val="single" w:sz="4" w:space="0" w:color="auto"/>
              <w:bottom w:val="nil"/>
              <w:right w:val="single" w:sz="4" w:space="0" w:color="auto"/>
            </w:tcBorders>
            <w:noWrap/>
            <w:vAlign w:val="center"/>
            <w:hideMark/>
          </w:tcPr>
          <w:p w14:paraId="01838D34"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2,976 </w:t>
            </w:r>
          </w:p>
        </w:tc>
        <w:tc>
          <w:tcPr>
            <w:tcW w:w="1272" w:type="dxa"/>
            <w:tcBorders>
              <w:top w:val="nil"/>
              <w:left w:val="nil"/>
              <w:bottom w:val="nil"/>
              <w:right w:val="nil"/>
            </w:tcBorders>
            <w:noWrap/>
            <w:vAlign w:val="center"/>
            <w:hideMark/>
          </w:tcPr>
          <w:p w14:paraId="2ECCA264"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3,475 </w:t>
            </w:r>
          </w:p>
        </w:tc>
        <w:tc>
          <w:tcPr>
            <w:tcW w:w="1200" w:type="dxa"/>
            <w:tcBorders>
              <w:top w:val="nil"/>
              <w:left w:val="nil"/>
              <w:bottom w:val="nil"/>
              <w:right w:val="nil"/>
            </w:tcBorders>
            <w:noWrap/>
            <w:vAlign w:val="center"/>
            <w:hideMark/>
          </w:tcPr>
          <w:p w14:paraId="7B7E9E06"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499 </w:t>
            </w:r>
          </w:p>
        </w:tc>
        <w:tc>
          <w:tcPr>
            <w:tcW w:w="236" w:type="dxa"/>
            <w:tcBorders>
              <w:right w:val="single" w:sz="4" w:space="0" w:color="auto"/>
            </w:tcBorders>
            <w:vAlign w:val="center"/>
            <w:hideMark/>
          </w:tcPr>
          <w:p w14:paraId="43815915"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2325BCD0" w14:textId="77777777" w:rsidTr="00C46698">
        <w:trPr>
          <w:trHeight w:val="240"/>
        </w:trPr>
        <w:tc>
          <w:tcPr>
            <w:tcW w:w="4300" w:type="dxa"/>
            <w:tcBorders>
              <w:top w:val="nil"/>
              <w:left w:val="single" w:sz="4" w:space="0" w:color="auto"/>
              <w:bottom w:val="nil"/>
              <w:right w:val="nil"/>
            </w:tcBorders>
            <w:noWrap/>
            <w:vAlign w:val="center"/>
            <w:hideMark/>
          </w:tcPr>
          <w:p w14:paraId="367F4C18"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Trust funds and deposits taken/(repaid)</w:t>
            </w:r>
          </w:p>
        </w:tc>
        <w:tc>
          <w:tcPr>
            <w:tcW w:w="222" w:type="dxa"/>
            <w:tcBorders>
              <w:top w:val="nil"/>
              <w:left w:val="nil"/>
              <w:bottom w:val="nil"/>
              <w:right w:val="nil"/>
            </w:tcBorders>
            <w:vAlign w:val="center"/>
            <w:hideMark/>
          </w:tcPr>
          <w:p w14:paraId="4C9702B8"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58502A0E"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166A336E"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0343BC5C"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1,458 </w:t>
            </w:r>
          </w:p>
        </w:tc>
        <w:tc>
          <w:tcPr>
            <w:tcW w:w="1272" w:type="dxa"/>
            <w:tcBorders>
              <w:top w:val="nil"/>
              <w:left w:val="single" w:sz="4" w:space="0" w:color="auto"/>
              <w:bottom w:val="nil"/>
              <w:right w:val="single" w:sz="4" w:space="0" w:color="auto"/>
            </w:tcBorders>
            <w:noWrap/>
            <w:vAlign w:val="center"/>
            <w:hideMark/>
          </w:tcPr>
          <w:p w14:paraId="589DCE24"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1272" w:type="dxa"/>
            <w:tcBorders>
              <w:top w:val="nil"/>
              <w:left w:val="nil"/>
              <w:bottom w:val="nil"/>
              <w:right w:val="nil"/>
            </w:tcBorders>
            <w:noWrap/>
            <w:vAlign w:val="center"/>
            <w:hideMark/>
          </w:tcPr>
          <w:p w14:paraId="38FA282D"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1200" w:type="dxa"/>
            <w:tcBorders>
              <w:top w:val="nil"/>
              <w:left w:val="nil"/>
              <w:bottom w:val="nil"/>
              <w:right w:val="nil"/>
            </w:tcBorders>
            <w:noWrap/>
            <w:vAlign w:val="center"/>
            <w:hideMark/>
          </w:tcPr>
          <w:p w14:paraId="6FE422CE"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236" w:type="dxa"/>
            <w:tcBorders>
              <w:right w:val="single" w:sz="4" w:space="0" w:color="auto"/>
            </w:tcBorders>
            <w:vAlign w:val="center"/>
            <w:hideMark/>
          </w:tcPr>
          <w:p w14:paraId="1E183E96"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21B5BD18" w14:textId="77777777" w:rsidTr="00C46698">
        <w:trPr>
          <w:trHeight w:val="240"/>
        </w:trPr>
        <w:tc>
          <w:tcPr>
            <w:tcW w:w="4300" w:type="dxa"/>
            <w:tcBorders>
              <w:top w:val="nil"/>
              <w:left w:val="single" w:sz="4" w:space="0" w:color="auto"/>
              <w:bottom w:val="nil"/>
              <w:right w:val="nil"/>
            </w:tcBorders>
            <w:vAlign w:val="center"/>
            <w:hideMark/>
          </w:tcPr>
          <w:p w14:paraId="79C93380"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Other receipts  </w:t>
            </w:r>
          </w:p>
        </w:tc>
        <w:tc>
          <w:tcPr>
            <w:tcW w:w="222" w:type="dxa"/>
            <w:tcBorders>
              <w:top w:val="nil"/>
              <w:left w:val="nil"/>
              <w:bottom w:val="nil"/>
              <w:right w:val="nil"/>
            </w:tcBorders>
            <w:vAlign w:val="center"/>
            <w:hideMark/>
          </w:tcPr>
          <w:p w14:paraId="36C9C1B1"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75187771"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46AB2994"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2F66F29A"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379 </w:t>
            </w:r>
          </w:p>
        </w:tc>
        <w:tc>
          <w:tcPr>
            <w:tcW w:w="1272" w:type="dxa"/>
            <w:tcBorders>
              <w:top w:val="nil"/>
              <w:left w:val="single" w:sz="4" w:space="0" w:color="auto"/>
              <w:bottom w:val="nil"/>
              <w:right w:val="single" w:sz="4" w:space="0" w:color="auto"/>
            </w:tcBorders>
            <w:noWrap/>
            <w:vAlign w:val="center"/>
            <w:hideMark/>
          </w:tcPr>
          <w:p w14:paraId="1B75BDA3"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959 </w:t>
            </w:r>
          </w:p>
        </w:tc>
        <w:tc>
          <w:tcPr>
            <w:tcW w:w="1272" w:type="dxa"/>
            <w:tcBorders>
              <w:top w:val="nil"/>
              <w:left w:val="nil"/>
              <w:bottom w:val="nil"/>
              <w:right w:val="nil"/>
            </w:tcBorders>
            <w:noWrap/>
            <w:vAlign w:val="center"/>
            <w:hideMark/>
          </w:tcPr>
          <w:p w14:paraId="0EF8D8D4"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1,692 </w:t>
            </w:r>
          </w:p>
        </w:tc>
        <w:tc>
          <w:tcPr>
            <w:tcW w:w="1200" w:type="dxa"/>
            <w:tcBorders>
              <w:top w:val="nil"/>
              <w:left w:val="nil"/>
              <w:bottom w:val="nil"/>
              <w:right w:val="nil"/>
            </w:tcBorders>
            <w:noWrap/>
            <w:vAlign w:val="center"/>
            <w:hideMark/>
          </w:tcPr>
          <w:p w14:paraId="7BA302D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734 </w:t>
            </w:r>
          </w:p>
        </w:tc>
        <w:tc>
          <w:tcPr>
            <w:tcW w:w="236" w:type="dxa"/>
            <w:tcBorders>
              <w:right w:val="single" w:sz="4" w:space="0" w:color="auto"/>
            </w:tcBorders>
            <w:vAlign w:val="center"/>
            <w:hideMark/>
          </w:tcPr>
          <w:p w14:paraId="37B123C3"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2640C42C" w14:textId="77777777" w:rsidTr="00C46698">
        <w:trPr>
          <w:trHeight w:val="240"/>
        </w:trPr>
        <w:tc>
          <w:tcPr>
            <w:tcW w:w="4300" w:type="dxa"/>
            <w:tcBorders>
              <w:top w:val="nil"/>
              <w:left w:val="single" w:sz="4" w:space="0" w:color="auto"/>
              <w:bottom w:val="nil"/>
              <w:right w:val="nil"/>
            </w:tcBorders>
            <w:vAlign w:val="center"/>
            <w:hideMark/>
          </w:tcPr>
          <w:p w14:paraId="5423FF9C"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Net GST refund/(payment)</w:t>
            </w:r>
          </w:p>
        </w:tc>
        <w:tc>
          <w:tcPr>
            <w:tcW w:w="222" w:type="dxa"/>
            <w:tcBorders>
              <w:top w:val="nil"/>
              <w:left w:val="nil"/>
              <w:bottom w:val="nil"/>
              <w:right w:val="nil"/>
            </w:tcBorders>
            <w:vAlign w:val="center"/>
            <w:hideMark/>
          </w:tcPr>
          <w:p w14:paraId="0411DEDD"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3C9F79EF"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4D15A1C3"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51EB8ACF"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805 </w:t>
            </w:r>
          </w:p>
        </w:tc>
        <w:tc>
          <w:tcPr>
            <w:tcW w:w="1272" w:type="dxa"/>
            <w:tcBorders>
              <w:top w:val="nil"/>
              <w:left w:val="single" w:sz="4" w:space="0" w:color="auto"/>
              <w:bottom w:val="nil"/>
              <w:right w:val="single" w:sz="4" w:space="0" w:color="auto"/>
            </w:tcBorders>
            <w:noWrap/>
            <w:vAlign w:val="center"/>
            <w:hideMark/>
          </w:tcPr>
          <w:p w14:paraId="5439004A"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1272" w:type="dxa"/>
            <w:tcBorders>
              <w:top w:val="nil"/>
              <w:left w:val="nil"/>
              <w:bottom w:val="nil"/>
              <w:right w:val="nil"/>
            </w:tcBorders>
            <w:noWrap/>
            <w:vAlign w:val="center"/>
            <w:hideMark/>
          </w:tcPr>
          <w:p w14:paraId="29CCEF99"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(794)</w:t>
            </w:r>
          </w:p>
        </w:tc>
        <w:tc>
          <w:tcPr>
            <w:tcW w:w="1200" w:type="dxa"/>
            <w:tcBorders>
              <w:top w:val="nil"/>
              <w:left w:val="nil"/>
              <w:bottom w:val="nil"/>
              <w:right w:val="nil"/>
            </w:tcBorders>
            <w:noWrap/>
            <w:vAlign w:val="center"/>
            <w:hideMark/>
          </w:tcPr>
          <w:p w14:paraId="36109CD2"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(794)</w:t>
            </w:r>
          </w:p>
        </w:tc>
        <w:tc>
          <w:tcPr>
            <w:tcW w:w="236" w:type="dxa"/>
            <w:tcBorders>
              <w:right w:val="single" w:sz="4" w:space="0" w:color="auto"/>
            </w:tcBorders>
            <w:vAlign w:val="center"/>
            <w:hideMark/>
          </w:tcPr>
          <w:p w14:paraId="365CEEC5"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6D6D72F3" w14:textId="77777777" w:rsidTr="00C46698">
        <w:trPr>
          <w:trHeight w:val="240"/>
        </w:trPr>
        <w:tc>
          <w:tcPr>
            <w:tcW w:w="4300" w:type="dxa"/>
            <w:tcBorders>
              <w:top w:val="nil"/>
              <w:left w:val="single" w:sz="4" w:space="0" w:color="auto"/>
              <w:bottom w:val="nil"/>
              <w:right w:val="nil"/>
            </w:tcBorders>
            <w:vAlign w:val="center"/>
            <w:hideMark/>
          </w:tcPr>
          <w:p w14:paraId="1DB2A633"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Payments to Employees</w:t>
            </w:r>
          </w:p>
        </w:tc>
        <w:tc>
          <w:tcPr>
            <w:tcW w:w="222" w:type="dxa"/>
            <w:tcBorders>
              <w:top w:val="nil"/>
              <w:left w:val="nil"/>
              <w:bottom w:val="nil"/>
              <w:right w:val="nil"/>
            </w:tcBorders>
            <w:vAlign w:val="center"/>
            <w:hideMark/>
          </w:tcPr>
          <w:p w14:paraId="699EC0AD"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0A529800"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1D9DE1BD"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4CE9C9CE"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(54,479)</w:t>
            </w:r>
          </w:p>
        </w:tc>
        <w:tc>
          <w:tcPr>
            <w:tcW w:w="1272" w:type="dxa"/>
            <w:tcBorders>
              <w:top w:val="nil"/>
              <w:left w:val="single" w:sz="4" w:space="0" w:color="auto"/>
              <w:bottom w:val="nil"/>
              <w:right w:val="single" w:sz="4" w:space="0" w:color="auto"/>
            </w:tcBorders>
            <w:noWrap/>
            <w:vAlign w:val="center"/>
            <w:hideMark/>
          </w:tcPr>
          <w:p w14:paraId="3FEFBBE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(105,753)</w:t>
            </w:r>
          </w:p>
        </w:tc>
        <w:tc>
          <w:tcPr>
            <w:tcW w:w="1272" w:type="dxa"/>
            <w:tcBorders>
              <w:top w:val="nil"/>
              <w:left w:val="nil"/>
              <w:bottom w:val="nil"/>
              <w:right w:val="nil"/>
            </w:tcBorders>
            <w:noWrap/>
            <w:vAlign w:val="center"/>
            <w:hideMark/>
          </w:tcPr>
          <w:p w14:paraId="6B076A9F"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(104,969)</w:t>
            </w:r>
          </w:p>
        </w:tc>
        <w:tc>
          <w:tcPr>
            <w:tcW w:w="1200" w:type="dxa"/>
            <w:tcBorders>
              <w:top w:val="nil"/>
              <w:left w:val="nil"/>
              <w:bottom w:val="nil"/>
              <w:right w:val="nil"/>
            </w:tcBorders>
            <w:noWrap/>
            <w:vAlign w:val="center"/>
            <w:hideMark/>
          </w:tcPr>
          <w:p w14:paraId="16924555"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784 </w:t>
            </w:r>
          </w:p>
        </w:tc>
        <w:tc>
          <w:tcPr>
            <w:tcW w:w="236" w:type="dxa"/>
            <w:tcBorders>
              <w:right w:val="single" w:sz="4" w:space="0" w:color="auto"/>
            </w:tcBorders>
            <w:vAlign w:val="center"/>
            <w:hideMark/>
          </w:tcPr>
          <w:p w14:paraId="047A9331"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365395D0" w14:textId="77777777" w:rsidTr="00C46698">
        <w:trPr>
          <w:trHeight w:val="240"/>
        </w:trPr>
        <w:tc>
          <w:tcPr>
            <w:tcW w:w="4300" w:type="dxa"/>
            <w:tcBorders>
              <w:top w:val="nil"/>
              <w:left w:val="single" w:sz="4" w:space="0" w:color="auto"/>
              <w:bottom w:val="nil"/>
              <w:right w:val="nil"/>
            </w:tcBorders>
            <w:vAlign w:val="center"/>
            <w:hideMark/>
          </w:tcPr>
          <w:p w14:paraId="1ADFBE4E"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Payments to Suppliers</w:t>
            </w:r>
          </w:p>
        </w:tc>
        <w:tc>
          <w:tcPr>
            <w:tcW w:w="222" w:type="dxa"/>
            <w:tcBorders>
              <w:top w:val="nil"/>
              <w:left w:val="nil"/>
              <w:bottom w:val="nil"/>
              <w:right w:val="nil"/>
            </w:tcBorders>
            <w:vAlign w:val="center"/>
            <w:hideMark/>
          </w:tcPr>
          <w:p w14:paraId="14946AB7"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1CCEA0AF"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3DF727E0"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single" w:sz="4" w:space="0" w:color="auto"/>
              <w:right w:val="single" w:sz="4" w:space="0" w:color="auto"/>
            </w:tcBorders>
            <w:noWrap/>
            <w:vAlign w:val="center"/>
            <w:hideMark/>
          </w:tcPr>
          <w:p w14:paraId="4DC18F18"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(52,799)</w:t>
            </w:r>
          </w:p>
        </w:tc>
        <w:tc>
          <w:tcPr>
            <w:tcW w:w="1272" w:type="dxa"/>
            <w:tcBorders>
              <w:top w:val="nil"/>
              <w:left w:val="single" w:sz="4" w:space="0" w:color="auto"/>
              <w:bottom w:val="single" w:sz="4" w:space="0" w:color="auto"/>
              <w:right w:val="single" w:sz="4" w:space="0" w:color="auto"/>
            </w:tcBorders>
            <w:noWrap/>
            <w:vAlign w:val="center"/>
            <w:hideMark/>
          </w:tcPr>
          <w:p w14:paraId="159B79F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(97,473)</w:t>
            </w:r>
          </w:p>
        </w:tc>
        <w:tc>
          <w:tcPr>
            <w:tcW w:w="1272" w:type="dxa"/>
            <w:tcBorders>
              <w:top w:val="nil"/>
              <w:left w:val="nil"/>
              <w:bottom w:val="nil"/>
              <w:right w:val="nil"/>
            </w:tcBorders>
            <w:noWrap/>
            <w:vAlign w:val="center"/>
            <w:hideMark/>
          </w:tcPr>
          <w:p w14:paraId="08A1CD73"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(94,780)</w:t>
            </w:r>
          </w:p>
        </w:tc>
        <w:tc>
          <w:tcPr>
            <w:tcW w:w="1200" w:type="dxa"/>
            <w:tcBorders>
              <w:top w:val="nil"/>
              <w:left w:val="nil"/>
              <w:bottom w:val="single" w:sz="4" w:space="0" w:color="auto"/>
              <w:right w:val="nil"/>
            </w:tcBorders>
            <w:noWrap/>
            <w:vAlign w:val="center"/>
            <w:hideMark/>
          </w:tcPr>
          <w:p w14:paraId="42535F69"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2,694 </w:t>
            </w:r>
          </w:p>
        </w:tc>
        <w:tc>
          <w:tcPr>
            <w:tcW w:w="236" w:type="dxa"/>
            <w:tcBorders>
              <w:right w:val="single" w:sz="4" w:space="0" w:color="auto"/>
            </w:tcBorders>
            <w:vAlign w:val="center"/>
            <w:hideMark/>
          </w:tcPr>
          <w:p w14:paraId="1380268C"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376C0C9D" w14:textId="77777777" w:rsidTr="00C46698">
        <w:trPr>
          <w:trHeight w:val="240"/>
        </w:trPr>
        <w:tc>
          <w:tcPr>
            <w:tcW w:w="6722" w:type="dxa"/>
            <w:gridSpan w:val="4"/>
            <w:tcBorders>
              <w:top w:val="single" w:sz="4" w:space="0" w:color="auto"/>
              <w:left w:val="single" w:sz="4" w:space="0" w:color="auto"/>
              <w:bottom w:val="nil"/>
              <w:right w:val="nil"/>
            </w:tcBorders>
            <w:noWrap/>
            <w:vAlign w:val="center"/>
            <w:hideMark/>
          </w:tcPr>
          <w:p w14:paraId="3FA714F2"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Net cash (used in) / provided by operating activities</w:t>
            </w:r>
          </w:p>
        </w:tc>
        <w:tc>
          <w:tcPr>
            <w:tcW w:w="1057" w:type="dxa"/>
            <w:tcBorders>
              <w:top w:val="nil"/>
              <w:left w:val="nil"/>
              <w:bottom w:val="nil"/>
              <w:right w:val="nil"/>
            </w:tcBorders>
            <w:noWrap/>
            <w:vAlign w:val="center"/>
            <w:hideMark/>
          </w:tcPr>
          <w:p w14:paraId="07DB4D3A"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20,969 </w:t>
            </w:r>
          </w:p>
        </w:tc>
        <w:tc>
          <w:tcPr>
            <w:tcW w:w="1272" w:type="dxa"/>
            <w:tcBorders>
              <w:top w:val="nil"/>
              <w:left w:val="single" w:sz="4" w:space="0" w:color="auto"/>
              <w:bottom w:val="nil"/>
              <w:right w:val="single" w:sz="4" w:space="0" w:color="auto"/>
            </w:tcBorders>
            <w:noWrap/>
            <w:vAlign w:val="center"/>
            <w:hideMark/>
          </w:tcPr>
          <w:p w14:paraId="032E5E39"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46,418 </w:t>
            </w:r>
          </w:p>
        </w:tc>
        <w:tc>
          <w:tcPr>
            <w:tcW w:w="1272" w:type="dxa"/>
            <w:tcBorders>
              <w:top w:val="single" w:sz="4" w:space="0" w:color="auto"/>
              <w:left w:val="nil"/>
              <w:bottom w:val="nil"/>
              <w:right w:val="nil"/>
            </w:tcBorders>
            <w:noWrap/>
            <w:vAlign w:val="center"/>
            <w:hideMark/>
          </w:tcPr>
          <w:p w14:paraId="24E1745F"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46,444 </w:t>
            </w:r>
          </w:p>
        </w:tc>
        <w:tc>
          <w:tcPr>
            <w:tcW w:w="1200" w:type="dxa"/>
            <w:tcBorders>
              <w:top w:val="nil"/>
              <w:left w:val="nil"/>
              <w:bottom w:val="nil"/>
              <w:right w:val="nil"/>
            </w:tcBorders>
            <w:noWrap/>
            <w:vAlign w:val="center"/>
            <w:hideMark/>
          </w:tcPr>
          <w:p w14:paraId="783A14D0"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26 </w:t>
            </w:r>
          </w:p>
        </w:tc>
        <w:tc>
          <w:tcPr>
            <w:tcW w:w="236" w:type="dxa"/>
            <w:tcBorders>
              <w:right w:val="single" w:sz="4" w:space="0" w:color="auto"/>
            </w:tcBorders>
            <w:vAlign w:val="center"/>
            <w:hideMark/>
          </w:tcPr>
          <w:p w14:paraId="673D5829"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309DC7F1" w14:textId="77777777" w:rsidTr="00C46698">
        <w:trPr>
          <w:trHeight w:val="240"/>
        </w:trPr>
        <w:tc>
          <w:tcPr>
            <w:tcW w:w="4300" w:type="dxa"/>
            <w:tcBorders>
              <w:top w:val="nil"/>
              <w:left w:val="single" w:sz="4" w:space="0" w:color="auto"/>
              <w:bottom w:val="nil"/>
              <w:right w:val="nil"/>
            </w:tcBorders>
            <w:vAlign w:val="center"/>
            <w:hideMark/>
          </w:tcPr>
          <w:p w14:paraId="472CB635"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p>
        </w:tc>
        <w:tc>
          <w:tcPr>
            <w:tcW w:w="222" w:type="dxa"/>
            <w:tcBorders>
              <w:top w:val="nil"/>
              <w:left w:val="nil"/>
              <w:bottom w:val="nil"/>
              <w:right w:val="nil"/>
            </w:tcBorders>
            <w:vAlign w:val="center"/>
            <w:hideMark/>
          </w:tcPr>
          <w:p w14:paraId="1956DA8F"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160" w:type="dxa"/>
            <w:tcBorders>
              <w:top w:val="nil"/>
              <w:left w:val="nil"/>
              <w:bottom w:val="nil"/>
              <w:right w:val="nil"/>
            </w:tcBorders>
            <w:noWrap/>
            <w:vAlign w:val="center"/>
            <w:hideMark/>
          </w:tcPr>
          <w:p w14:paraId="340B687B"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34B409EE"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79EDC1BB"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72" w:type="dxa"/>
            <w:tcBorders>
              <w:top w:val="nil"/>
              <w:left w:val="single" w:sz="4" w:space="0" w:color="auto"/>
              <w:bottom w:val="nil"/>
              <w:right w:val="single" w:sz="4" w:space="0" w:color="auto"/>
            </w:tcBorders>
            <w:noWrap/>
            <w:vAlign w:val="center"/>
            <w:hideMark/>
          </w:tcPr>
          <w:p w14:paraId="312E0DB5" w14:textId="77777777" w:rsidR="006E5072" w:rsidRPr="004370C6" w:rsidRDefault="006E5072" w:rsidP="006E5072">
            <w:pPr>
              <w:spacing w:after="0" w:line="240" w:lineRule="auto"/>
              <w:jc w:val="center"/>
              <w:rPr>
                <w:rFonts w:ascii="Arial" w:eastAsia="Times New Roman" w:hAnsi="Arial" w:cs="Arial"/>
                <w:sz w:val="20"/>
                <w:szCs w:val="20"/>
                <w:lang w:val="en-AU" w:eastAsia="en-AU"/>
              </w:rPr>
            </w:pPr>
          </w:p>
        </w:tc>
        <w:tc>
          <w:tcPr>
            <w:tcW w:w="1272" w:type="dxa"/>
            <w:tcBorders>
              <w:top w:val="nil"/>
              <w:left w:val="nil"/>
              <w:bottom w:val="nil"/>
              <w:right w:val="nil"/>
            </w:tcBorders>
            <w:noWrap/>
            <w:vAlign w:val="center"/>
            <w:hideMark/>
          </w:tcPr>
          <w:p w14:paraId="4ED0AC73"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00" w:type="dxa"/>
            <w:tcBorders>
              <w:top w:val="nil"/>
              <w:left w:val="nil"/>
              <w:bottom w:val="nil"/>
              <w:right w:val="nil"/>
            </w:tcBorders>
            <w:noWrap/>
            <w:vAlign w:val="center"/>
            <w:hideMark/>
          </w:tcPr>
          <w:p w14:paraId="36748D7F"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236" w:type="dxa"/>
            <w:tcBorders>
              <w:right w:val="single" w:sz="4" w:space="0" w:color="auto"/>
            </w:tcBorders>
            <w:vAlign w:val="center"/>
            <w:hideMark/>
          </w:tcPr>
          <w:p w14:paraId="3065132F"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098C2F7A" w14:textId="77777777" w:rsidTr="00C46698">
        <w:trPr>
          <w:trHeight w:val="240"/>
        </w:trPr>
        <w:tc>
          <w:tcPr>
            <w:tcW w:w="4300" w:type="dxa"/>
            <w:tcBorders>
              <w:top w:val="nil"/>
              <w:left w:val="single" w:sz="4" w:space="0" w:color="auto"/>
              <w:bottom w:val="nil"/>
              <w:right w:val="nil"/>
            </w:tcBorders>
            <w:noWrap/>
            <w:vAlign w:val="center"/>
            <w:hideMark/>
          </w:tcPr>
          <w:p w14:paraId="300C4889"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Cash flows from investing activities</w:t>
            </w:r>
          </w:p>
        </w:tc>
        <w:tc>
          <w:tcPr>
            <w:tcW w:w="1382" w:type="dxa"/>
            <w:gridSpan w:val="2"/>
            <w:tcBorders>
              <w:top w:val="nil"/>
              <w:left w:val="nil"/>
              <w:bottom w:val="nil"/>
              <w:right w:val="nil"/>
            </w:tcBorders>
            <w:noWrap/>
            <w:vAlign w:val="center"/>
            <w:hideMark/>
          </w:tcPr>
          <w:p w14:paraId="62477D65"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040" w:type="dxa"/>
            <w:tcBorders>
              <w:top w:val="nil"/>
              <w:left w:val="nil"/>
              <w:bottom w:val="nil"/>
              <w:right w:val="nil"/>
            </w:tcBorders>
            <w:noWrap/>
            <w:vAlign w:val="center"/>
            <w:hideMark/>
          </w:tcPr>
          <w:p w14:paraId="6BA26C6C"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5126582E"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72" w:type="dxa"/>
            <w:tcBorders>
              <w:top w:val="nil"/>
              <w:left w:val="single" w:sz="4" w:space="0" w:color="auto"/>
              <w:bottom w:val="nil"/>
              <w:right w:val="single" w:sz="4" w:space="0" w:color="auto"/>
            </w:tcBorders>
            <w:noWrap/>
            <w:vAlign w:val="center"/>
            <w:hideMark/>
          </w:tcPr>
          <w:p w14:paraId="4711BABF" w14:textId="77777777" w:rsidR="006E5072" w:rsidRPr="004370C6" w:rsidRDefault="006E5072" w:rsidP="006E5072">
            <w:pPr>
              <w:spacing w:after="0" w:line="240" w:lineRule="auto"/>
              <w:jc w:val="center"/>
              <w:rPr>
                <w:rFonts w:ascii="Arial" w:eastAsia="Times New Roman" w:hAnsi="Arial" w:cs="Arial"/>
                <w:sz w:val="20"/>
                <w:szCs w:val="20"/>
                <w:lang w:val="en-AU" w:eastAsia="en-AU"/>
              </w:rPr>
            </w:pPr>
          </w:p>
        </w:tc>
        <w:tc>
          <w:tcPr>
            <w:tcW w:w="1272" w:type="dxa"/>
            <w:tcBorders>
              <w:top w:val="nil"/>
              <w:left w:val="nil"/>
              <w:bottom w:val="nil"/>
              <w:right w:val="nil"/>
            </w:tcBorders>
            <w:noWrap/>
            <w:vAlign w:val="center"/>
            <w:hideMark/>
          </w:tcPr>
          <w:p w14:paraId="0E3609A8"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00" w:type="dxa"/>
            <w:tcBorders>
              <w:top w:val="nil"/>
              <w:left w:val="nil"/>
              <w:bottom w:val="nil"/>
              <w:right w:val="nil"/>
            </w:tcBorders>
            <w:noWrap/>
            <w:vAlign w:val="center"/>
            <w:hideMark/>
          </w:tcPr>
          <w:p w14:paraId="4A1D2475"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236" w:type="dxa"/>
            <w:tcBorders>
              <w:right w:val="single" w:sz="4" w:space="0" w:color="auto"/>
            </w:tcBorders>
            <w:vAlign w:val="center"/>
            <w:hideMark/>
          </w:tcPr>
          <w:p w14:paraId="5B0C7FB5"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54F8F042" w14:textId="77777777" w:rsidTr="00C46698">
        <w:trPr>
          <w:trHeight w:val="225"/>
        </w:trPr>
        <w:tc>
          <w:tcPr>
            <w:tcW w:w="6722" w:type="dxa"/>
            <w:gridSpan w:val="4"/>
            <w:tcBorders>
              <w:top w:val="nil"/>
              <w:left w:val="single" w:sz="4" w:space="0" w:color="auto"/>
              <w:bottom w:val="nil"/>
              <w:right w:val="nil"/>
            </w:tcBorders>
            <w:vAlign w:val="center"/>
            <w:hideMark/>
          </w:tcPr>
          <w:p w14:paraId="6206244C"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Payments for property, infrastructure, plant and equipment</w:t>
            </w:r>
          </w:p>
        </w:tc>
        <w:tc>
          <w:tcPr>
            <w:tcW w:w="1057" w:type="dxa"/>
            <w:tcBorders>
              <w:top w:val="nil"/>
              <w:left w:val="nil"/>
              <w:bottom w:val="nil"/>
              <w:right w:val="single" w:sz="4" w:space="0" w:color="auto"/>
            </w:tcBorders>
            <w:noWrap/>
            <w:vAlign w:val="center"/>
            <w:hideMark/>
          </w:tcPr>
          <w:p w14:paraId="20AB74AB"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(13,825)</w:t>
            </w:r>
          </w:p>
        </w:tc>
        <w:tc>
          <w:tcPr>
            <w:tcW w:w="1272" w:type="dxa"/>
            <w:tcBorders>
              <w:top w:val="nil"/>
              <w:left w:val="single" w:sz="4" w:space="0" w:color="auto"/>
              <w:bottom w:val="nil"/>
              <w:right w:val="single" w:sz="4" w:space="0" w:color="auto"/>
            </w:tcBorders>
            <w:noWrap/>
            <w:vAlign w:val="center"/>
            <w:hideMark/>
          </w:tcPr>
          <w:p w14:paraId="6CA77DAA"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(38,513)</w:t>
            </w:r>
          </w:p>
        </w:tc>
        <w:tc>
          <w:tcPr>
            <w:tcW w:w="1272" w:type="dxa"/>
            <w:tcBorders>
              <w:top w:val="nil"/>
              <w:left w:val="nil"/>
              <w:bottom w:val="nil"/>
              <w:right w:val="nil"/>
            </w:tcBorders>
            <w:noWrap/>
            <w:vAlign w:val="center"/>
            <w:hideMark/>
          </w:tcPr>
          <w:p w14:paraId="708CCFC7"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(35,806)</w:t>
            </w:r>
          </w:p>
        </w:tc>
        <w:tc>
          <w:tcPr>
            <w:tcW w:w="1200" w:type="dxa"/>
            <w:tcBorders>
              <w:top w:val="nil"/>
              <w:left w:val="nil"/>
              <w:bottom w:val="nil"/>
              <w:right w:val="nil"/>
            </w:tcBorders>
            <w:noWrap/>
            <w:vAlign w:val="center"/>
            <w:hideMark/>
          </w:tcPr>
          <w:p w14:paraId="650BEA3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2,707 </w:t>
            </w:r>
          </w:p>
        </w:tc>
        <w:tc>
          <w:tcPr>
            <w:tcW w:w="236" w:type="dxa"/>
            <w:tcBorders>
              <w:right w:val="single" w:sz="4" w:space="0" w:color="auto"/>
            </w:tcBorders>
            <w:vAlign w:val="center"/>
            <w:hideMark/>
          </w:tcPr>
          <w:p w14:paraId="152559F6"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66CB946F" w14:textId="77777777" w:rsidTr="00C46698">
        <w:trPr>
          <w:trHeight w:val="240"/>
        </w:trPr>
        <w:tc>
          <w:tcPr>
            <w:tcW w:w="6722" w:type="dxa"/>
            <w:gridSpan w:val="4"/>
            <w:tcBorders>
              <w:top w:val="nil"/>
              <w:left w:val="single" w:sz="4" w:space="0" w:color="auto"/>
              <w:bottom w:val="nil"/>
              <w:right w:val="nil"/>
            </w:tcBorders>
            <w:vAlign w:val="center"/>
            <w:hideMark/>
          </w:tcPr>
          <w:p w14:paraId="6D25EF29"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Proceeds from sale of property, infrastructure, plant and equipment</w:t>
            </w:r>
          </w:p>
        </w:tc>
        <w:tc>
          <w:tcPr>
            <w:tcW w:w="1057" w:type="dxa"/>
            <w:tcBorders>
              <w:top w:val="nil"/>
              <w:left w:val="nil"/>
              <w:bottom w:val="nil"/>
              <w:right w:val="single" w:sz="4" w:space="0" w:color="auto"/>
            </w:tcBorders>
            <w:noWrap/>
            <w:vAlign w:val="center"/>
            <w:hideMark/>
          </w:tcPr>
          <w:p w14:paraId="6354FA45"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986 </w:t>
            </w:r>
          </w:p>
        </w:tc>
        <w:tc>
          <w:tcPr>
            <w:tcW w:w="1272" w:type="dxa"/>
            <w:tcBorders>
              <w:top w:val="nil"/>
              <w:left w:val="single" w:sz="4" w:space="0" w:color="auto"/>
              <w:bottom w:val="nil"/>
              <w:right w:val="single" w:sz="4" w:space="0" w:color="auto"/>
            </w:tcBorders>
            <w:noWrap/>
            <w:vAlign w:val="center"/>
            <w:hideMark/>
          </w:tcPr>
          <w:p w14:paraId="4E12050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133 </w:t>
            </w:r>
          </w:p>
        </w:tc>
        <w:tc>
          <w:tcPr>
            <w:tcW w:w="1272" w:type="dxa"/>
            <w:tcBorders>
              <w:top w:val="nil"/>
              <w:left w:val="nil"/>
              <w:bottom w:val="nil"/>
              <w:right w:val="nil"/>
            </w:tcBorders>
            <w:noWrap/>
            <w:vAlign w:val="center"/>
            <w:hideMark/>
          </w:tcPr>
          <w:p w14:paraId="2456CC55"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686 </w:t>
            </w:r>
          </w:p>
        </w:tc>
        <w:tc>
          <w:tcPr>
            <w:tcW w:w="1200" w:type="dxa"/>
            <w:tcBorders>
              <w:top w:val="nil"/>
              <w:left w:val="nil"/>
              <w:bottom w:val="nil"/>
              <w:right w:val="nil"/>
            </w:tcBorders>
            <w:noWrap/>
            <w:vAlign w:val="center"/>
            <w:hideMark/>
          </w:tcPr>
          <w:p w14:paraId="30E9B1F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553 </w:t>
            </w:r>
          </w:p>
        </w:tc>
        <w:tc>
          <w:tcPr>
            <w:tcW w:w="236" w:type="dxa"/>
            <w:tcBorders>
              <w:right w:val="single" w:sz="4" w:space="0" w:color="auto"/>
            </w:tcBorders>
            <w:vAlign w:val="center"/>
            <w:hideMark/>
          </w:tcPr>
          <w:p w14:paraId="105D4FD0"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115E7DE0" w14:textId="77777777" w:rsidTr="00C46698">
        <w:trPr>
          <w:trHeight w:val="240"/>
        </w:trPr>
        <w:tc>
          <w:tcPr>
            <w:tcW w:w="4300" w:type="dxa"/>
            <w:tcBorders>
              <w:top w:val="nil"/>
              <w:left w:val="single" w:sz="4" w:space="0" w:color="auto"/>
              <w:bottom w:val="nil"/>
              <w:right w:val="nil"/>
            </w:tcBorders>
            <w:vAlign w:val="center"/>
            <w:hideMark/>
          </w:tcPr>
          <w:p w14:paraId="2B0A572B"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Payments for investments</w:t>
            </w:r>
          </w:p>
        </w:tc>
        <w:tc>
          <w:tcPr>
            <w:tcW w:w="222" w:type="dxa"/>
            <w:tcBorders>
              <w:top w:val="nil"/>
              <w:left w:val="nil"/>
              <w:bottom w:val="nil"/>
              <w:right w:val="nil"/>
            </w:tcBorders>
            <w:vAlign w:val="center"/>
            <w:hideMark/>
          </w:tcPr>
          <w:p w14:paraId="46BED53A"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2206EC49"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7EA37AAB"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60A5DD44"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(15,000)</w:t>
            </w:r>
          </w:p>
        </w:tc>
        <w:tc>
          <w:tcPr>
            <w:tcW w:w="1272" w:type="dxa"/>
            <w:tcBorders>
              <w:top w:val="nil"/>
              <w:left w:val="single" w:sz="4" w:space="0" w:color="auto"/>
              <w:bottom w:val="nil"/>
              <w:right w:val="single" w:sz="4" w:space="0" w:color="auto"/>
            </w:tcBorders>
            <w:noWrap/>
            <w:vAlign w:val="center"/>
            <w:hideMark/>
          </w:tcPr>
          <w:p w14:paraId="56267050"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w:t>
            </w:r>
          </w:p>
        </w:tc>
        <w:tc>
          <w:tcPr>
            <w:tcW w:w="1272" w:type="dxa"/>
            <w:tcBorders>
              <w:top w:val="nil"/>
              <w:left w:val="nil"/>
              <w:bottom w:val="nil"/>
              <w:right w:val="nil"/>
            </w:tcBorders>
            <w:noWrap/>
            <w:vAlign w:val="center"/>
            <w:hideMark/>
          </w:tcPr>
          <w:p w14:paraId="1BAF9B82"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1200" w:type="dxa"/>
            <w:tcBorders>
              <w:top w:val="nil"/>
              <w:left w:val="nil"/>
              <w:bottom w:val="nil"/>
              <w:right w:val="nil"/>
            </w:tcBorders>
            <w:noWrap/>
            <w:vAlign w:val="center"/>
            <w:hideMark/>
          </w:tcPr>
          <w:p w14:paraId="3AED9A07"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236" w:type="dxa"/>
            <w:tcBorders>
              <w:right w:val="single" w:sz="4" w:space="0" w:color="auto"/>
            </w:tcBorders>
            <w:vAlign w:val="center"/>
            <w:hideMark/>
          </w:tcPr>
          <w:p w14:paraId="483AC32D"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42C947BA" w14:textId="77777777" w:rsidTr="00C46698">
        <w:trPr>
          <w:trHeight w:val="240"/>
        </w:trPr>
        <w:tc>
          <w:tcPr>
            <w:tcW w:w="4300" w:type="dxa"/>
            <w:tcBorders>
              <w:top w:val="nil"/>
              <w:left w:val="single" w:sz="4" w:space="0" w:color="auto"/>
              <w:bottom w:val="single" w:sz="4" w:space="0" w:color="auto"/>
              <w:right w:val="nil"/>
            </w:tcBorders>
            <w:vAlign w:val="center"/>
            <w:hideMark/>
          </w:tcPr>
          <w:p w14:paraId="710FBCC2"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Proceeds from sale of investments</w:t>
            </w:r>
          </w:p>
        </w:tc>
        <w:tc>
          <w:tcPr>
            <w:tcW w:w="222" w:type="dxa"/>
            <w:tcBorders>
              <w:top w:val="nil"/>
              <w:left w:val="nil"/>
              <w:bottom w:val="single" w:sz="4" w:space="0" w:color="auto"/>
              <w:right w:val="nil"/>
            </w:tcBorders>
            <w:vAlign w:val="center"/>
            <w:hideMark/>
          </w:tcPr>
          <w:p w14:paraId="03C95C23"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single" w:sz="4" w:space="0" w:color="auto"/>
              <w:right w:val="nil"/>
            </w:tcBorders>
            <w:noWrap/>
            <w:vAlign w:val="center"/>
            <w:hideMark/>
          </w:tcPr>
          <w:p w14:paraId="5EE04F5A"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single" w:sz="4" w:space="0" w:color="auto"/>
              <w:right w:val="nil"/>
            </w:tcBorders>
            <w:noWrap/>
            <w:vAlign w:val="center"/>
            <w:hideMark/>
          </w:tcPr>
          <w:p w14:paraId="5E512914"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single" w:sz="4" w:space="0" w:color="auto"/>
              <w:right w:val="single" w:sz="4" w:space="0" w:color="auto"/>
            </w:tcBorders>
            <w:noWrap/>
            <w:vAlign w:val="center"/>
            <w:hideMark/>
          </w:tcPr>
          <w:p w14:paraId="6AA1C7FE"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72" w:type="dxa"/>
            <w:tcBorders>
              <w:top w:val="nil"/>
              <w:left w:val="single" w:sz="4" w:space="0" w:color="auto"/>
              <w:bottom w:val="single" w:sz="4" w:space="0" w:color="auto"/>
              <w:right w:val="single" w:sz="4" w:space="0" w:color="auto"/>
            </w:tcBorders>
            <w:noWrap/>
            <w:vAlign w:val="center"/>
            <w:hideMark/>
          </w:tcPr>
          <w:p w14:paraId="5B82526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w:t>
            </w:r>
          </w:p>
        </w:tc>
        <w:tc>
          <w:tcPr>
            <w:tcW w:w="1272" w:type="dxa"/>
            <w:tcBorders>
              <w:top w:val="nil"/>
              <w:left w:val="nil"/>
              <w:bottom w:val="single" w:sz="4" w:space="0" w:color="auto"/>
              <w:right w:val="nil"/>
            </w:tcBorders>
            <w:noWrap/>
            <w:vAlign w:val="center"/>
            <w:hideMark/>
          </w:tcPr>
          <w:p w14:paraId="31A058A4"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1200" w:type="dxa"/>
            <w:tcBorders>
              <w:top w:val="nil"/>
              <w:left w:val="nil"/>
              <w:bottom w:val="single" w:sz="4" w:space="0" w:color="auto"/>
              <w:right w:val="nil"/>
            </w:tcBorders>
            <w:noWrap/>
            <w:vAlign w:val="center"/>
            <w:hideMark/>
          </w:tcPr>
          <w:p w14:paraId="6F7564E4"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236" w:type="dxa"/>
            <w:tcBorders>
              <w:right w:val="single" w:sz="4" w:space="0" w:color="auto"/>
            </w:tcBorders>
            <w:vAlign w:val="center"/>
            <w:hideMark/>
          </w:tcPr>
          <w:p w14:paraId="05AC6C74"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5D8E7784" w14:textId="77777777" w:rsidTr="00C46698">
        <w:trPr>
          <w:trHeight w:val="240"/>
        </w:trPr>
        <w:tc>
          <w:tcPr>
            <w:tcW w:w="6722" w:type="dxa"/>
            <w:gridSpan w:val="4"/>
            <w:tcBorders>
              <w:top w:val="nil"/>
              <w:left w:val="single" w:sz="4" w:space="0" w:color="auto"/>
              <w:bottom w:val="nil"/>
              <w:right w:val="nil"/>
            </w:tcBorders>
            <w:vAlign w:val="center"/>
            <w:hideMark/>
          </w:tcPr>
          <w:p w14:paraId="3ED17D24"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Net cash used in investing activities</w:t>
            </w:r>
          </w:p>
        </w:tc>
        <w:tc>
          <w:tcPr>
            <w:tcW w:w="1057" w:type="dxa"/>
            <w:tcBorders>
              <w:top w:val="nil"/>
              <w:left w:val="nil"/>
              <w:bottom w:val="nil"/>
              <w:right w:val="nil"/>
            </w:tcBorders>
            <w:noWrap/>
            <w:vAlign w:val="center"/>
            <w:hideMark/>
          </w:tcPr>
          <w:p w14:paraId="05BAAE5D"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(27,839)</w:t>
            </w:r>
          </w:p>
        </w:tc>
        <w:tc>
          <w:tcPr>
            <w:tcW w:w="1272" w:type="dxa"/>
            <w:tcBorders>
              <w:top w:val="nil"/>
              <w:left w:val="single" w:sz="4" w:space="0" w:color="auto"/>
              <w:bottom w:val="nil"/>
              <w:right w:val="single" w:sz="4" w:space="0" w:color="auto"/>
            </w:tcBorders>
            <w:noWrap/>
            <w:vAlign w:val="center"/>
            <w:hideMark/>
          </w:tcPr>
          <w:p w14:paraId="65BFE8EB"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(38,380)</w:t>
            </w:r>
          </w:p>
        </w:tc>
        <w:tc>
          <w:tcPr>
            <w:tcW w:w="1272" w:type="dxa"/>
            <w:tcBorders>
              <w:top w:val="nil"/>
              <w:left w:val="nil"/>
              <w:bottom w:val="nil"/>
              <w:right w:val="nil"/>
            </w:tcBorders>
            <w:noWrap/>
            <w:vAlign w:val="center"/>
            <w:hideMark/>
          </w:tcPr>
          <w:p w14:paraId="0E5775FC"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(35,120)</w:t>
            </w:r>
          </w:p>
        </w:tc>
        <w:tc>
          <w:tcPr>
            <w:tcW w:w="1200" w:type="dxa"/>
            <w:tcBorders>
              <w:top w:val="nil"/>
              <w:left w:val="nil"/>
              <w:bottom w:val="nil"/>
              <w:right w:val="nil"/>
            </w:tcBorders>
            <w:noWrap/>
            <w:vAlign w:val="center"/>
            <w:hideMark/>
          </w:tcPr>
          <w:p w14:paraId="4C560CA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3,260 </w:t>
            </w:r>
          </w:p>
        </w:tc>
        <w:tc>
          <w:tcPr>
            <w:tcW w:w="236" w:type="dxa"/>
            <w:tcBorders>
              <w:right w:val="single" w:sz="4" w:space="0" w:color="auto"/>
            </w:tcBorders>
            <w:vAlign w:val="center"/>
            <w:hideMark/>
          </w:tcPr>
          <w:p w14:paraId="1C2F4C4A"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02C3390E" w14:textId="77777777" w:rsidTr="00C46698">
        <w:trPr>
          <w:trHeight w:val="240"/>
        </w:trPr>
        <w:tc>
          <w:tcPr>
            <w:tcW w:w="4300" w:type="dxa"/>
            <w:tcBorders>
              <w:top w:val="nil"/>
              <w:left w:val="single" w:sz="4" w:space="0" w:color="auto"/>
              <w:bottom w:val="nil"/>
              <w:right w:val="nil"/>
            </w:tcBorders>
            <w:vAlign w:val="center"/>
            <w:hideMark/>
          </w:tcPr>
          <w:p w14:paraId="3D8BEB7B"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p>
        </w:tc>
        <w:tc>
          <w:tcPr>
            <w:tcW w:w="222" w:type="dxa"/>
            <w:tcBorders>
              <w:top w:val="nil"/>
              <w:left w:val="nil"/>
              <w:bottom w:val="nil"/>
              <w:right w:val="nil"/>
            </w:tcBorders>
            <w:vAlign w:val="center"/>
            <w:hideMark/>
          </w:tcPr>
          <w:p w14:paraId="3BD59012"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160" w:type="dxa"/>
            <w:tcBorders>
              <w:top w:val="nil"/>
              <w:left w:val="nil"/>
              <w:bottom w:val="nil"/>
              <w:right w:val="nil"/>
            </w:tcBorders>
            <w:noWrap/>
            <w:vAlign w:val="center"/>
            <w:hideMark/>
          </w:tcPr>
          <w:p w14:paraId="0B04D9D6"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54258B4E"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3F5E21C0"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72" w:type="dxa"/>
            <w:tcBorders>
              <w:top w:val="nil"/>
              <w:left w:val="single" w:sz="4" w:space="0" w:color="auto"/>
              <w:bottom w:val="nil"/>
              <w:right w:val="single" w:sz="4" w:space="0" w:color="auto"/>
            </w:tcBorders>
            <w:noWrap/>
            <w:vAlign w:val="center"/>
            <w:hideMark/>
          </w:tcPr>
          <w:p w14:paraId="1941AA9A" w14:textId="77777777" w:rsidR="006E5072" w:rsidRPr="004370C6" w:rsidRDefault="006E5072" w:rsidP="006E5072">
            <w:pPr>
              <w:spacing w:after="0" w:line="240" w:lineRule="auto"/>
              <w:jc w:val="center"/>
              <w:rPr>
                <w:rFonts w:ascii="Arial" w:eastAsia="Times New Roman" w:hAnsi="Arial" w:cs="Arial"/>
                <w:sz w:val="20"/>
                <w:szCs w:val="20"/>
                <w:lang w:val="en-AU" w:eastAsia="en-AU"/>
              </w:rPr>
            </w:pPr>
          </w:p>
        </w:tc>
        <w:tc>
          <w:tcPr>
            <w:tcW w:w="1272" w:type="dxa"/>
            <w:tcBorders>
              <w:top w:val="nil"/>
              <w:left w:val="nil"/>
              <w:bottom w:val="nil"/>
              <w:right w:val="nil"/>
            </w:tcBorders>
            <w:noWrap/>
            <w:vAlign w:val="center"/>
            <w:hideMark/>
          </w:tcPr>
          <w:p w14:paraId="073AA659"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00" w:type="dxa"/>
            <w:tcBorders>
              <w:top w:val="nil"/>
              <w:left w:val="nil"/>
              <w:bottom w:val="nil"/>
              <w:right w:val="nil"/>
            </w:tcBorders>
            <w:noWrap/>
            <w:vAlign w:val="center"/>
            <w:hideMark/>
          </w:tcPr>
          <w:p w14:paraId="700C53FC"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236" w:type="dxa"/>
            <w:tcBorders>
              <w:right w:val="single" w:sz="4" w:space="0" w:color="auto"/>
            </w:tcBorders>
            <w:vAlign w:val="center"/>
            <w:hideMark/>
          </w:tcPr>
          <w:p w14:paraId="23FED878"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476A07FC" w14:textId="77777777" w:rsidTr="00C46698">
        <w:trPr>
          <w:trHeight w:val="255"/>
        </w:trPr>
        <w:tc>
          <w:tcPr>
            <w:tcW w:w="4300" w:type="dxa"/>
            <w:tcBorders>
              <w:top w:val="nil"/>
              <w:left w:val="single" w:sz="4" w:space="0" w:color="auto"/>
              <w:bottom w:val="nil"/>
              <w:right w:val="nil"/>
            </w:tcBorders>
            <w:noWrap/>
            <w:vAlign w:val="center"/>
            <w:hideMark/>
          </w:tcPr>
          <w:p w14:paraId="1670902D"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Cash flows from financing activities </w:t>
            </w:r>
          </w:p>
        </w:tc>
        <w:tc>
          <w:tcPr>
            <w:tcW w:w="1382" w:type="dxa"/>
            <w:gridSpan w:val="2"/>
            <w:tcBorders>
              <w:top w:val="nil"/>
              <w:left w:val="nil"/>
              <w:bottom w:val="nil"/>
              <w:right w:val="nil"/>
            </w:tcBorders>
            <w:noWrap/>
            <w:vAlign w:val="center"/>
            <w:hideMark/>
          </w:tcPr>
          <w:p w14:paraId="7757C9C4"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040" w:type="dxa"/>
            <w:tcBorders>
              <w:top w:val="nil"/>
              <w:left w:val="nil"/>
              <w:bottom w:val="nil"/>
              <w:right w:val="nil"/>
            </w:tcBorders>
            <w:noWrap/>
            <w:vAlign w:val="center"/>
            <w:hideMark/>
          </w:tcPr>
          <w:p w14:paraId="7DE4569D"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3BDBD353"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72" w:type="dxa"/>
            <w:tcBorders>
              <w:top w:val="nil"/>
              <w:left w:val="single" w:sz="4" w:space="0" w:color="auto"/>
              <w:bottom w:val="nil"/>
              <w:right w:val="single" w:sz="4" w:space="0" w:color="auto"/>
            </w:tcBorders>
            <w:noWrap/>
            <w:vAlign w:val="center"/>
            <w:hideMark/>
          </w:tcPr>
          <w:p w14:paraId="7B46EE97" w14:textId="77777777" w:rsidR="006E5072" w:rsidRPr="004370C6" w:rsidRDefault="006E5072" w:rsidP="006E5072">
            <w:pPr>
              <w:spacing w:after="0" w:line="240" w:lineRule="auto"/>
              <w:jc w:val="center"/>
              <w:rPr>
                <w:rFonts w:ascii="Arial" w:eastAsia="Times New Roman" w:hAnsi="Arial" w:cs="Arial"/>
                <w:sz w:val="20"/>
                <w:szCs w:val="20"/>
                <w:lang w:val="en-AU" w:eastAsia="en-AU"/>
              </w:rPr>
            </w:pPr>
          </w:p>
        </w:tc>
        <w:tc>
          <w:tcPr>
            <w:tcW w:w="1272" w:type="dxa"/>
            <w:tcBorders>
              <w:top w:val="nil"/>
              <w:left w:val="nil"/>
              <w:bottom w:val="nil"/>
              <w:right w:val="nil"/>
            </w:tcBorders>
            <w:noWrap/>
            <w:vAlign w:val="center"/>
            <w:hideMark/>
          </w:tcPr>
          <w:p w14:paraId="6B3C1615"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00" w:type="dxa"/>
            <w:tcBorders>
              <w:top w:val="nil"/>
              <w:left w:val="nil"/>
              <w:bottom w:val="nil"/>
              <w:right w:val="nil"/>
            </w:tcBorders>
            <w:noWrap/>
            <w:vAlign w:val="center"/>
            <w:hideMark/>
          </w:tcPr>
          <w:p w14:paraId="7B280DF3"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236" w:type="dxa"/>
            <w:tcBorders>
              <w:right w:val="single" w:sz="4" w:space="0" w:color="auto"/>
            </w:tcBorders>
            <w:vAlign w:val="center"/>
            <w:hideMark/>
          </w:tcPr>
          <w:p w14:paraId="4AAC19E3"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34B9F565" w14:textId="77777777" w:rsidTr="00C46698">
        <w:trPr>
          <w:trHeight w:val="240"/>
        </w:trPr>
        <w:tc>
          <w:tcPr>
            <w:tcW w:w="4300" w:type="dxa"/>
            <w:tcBorders>
              <w:top w:val="nil"/>
              <w:left w:val="single" w:sz="4" w:space="0" w:color="auto"/>
              <w:bottom w:val="nil"/>
              <w:right w:val="nil"/>
            </w:tcBorders>
            <w:vAlign w:val="center"/>
            <w:hideMark/>
          </w:tcPr>
          <w:p w14:paraId="49C12550"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Finance costs</w:t>
            </w:r>
          </w:p>
        </w:tc>
        <w:tc>
          <w:tcPr>
            <w:tcW w:w="222" w:type="dxa"/>
            <w:tcBorders>
              <w:top w:val="nil"/>
              <w:left w:val="nil"/>
              <w:bottom w:val="nil"/>
              <w:right w:val="nil"/>
            </w:tcBorders>
            <w:vAlign w:val="center"/>
            <w:hideMark/>
          </w:tcPr>
          <w:p w14:paraId="11C154F1"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40E46416"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14E08539"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04639E66"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(343)</w:t>
            </w:r>
          </w:p>
        </w:tc>
        <w:tc>
          <w:tcPr>
            <w:tcW w:w="1272" w:type="dxa"/>
            <w:tcBorders>
              <w:top w:val="nil"/>
              <w:left w:val="single" w:sz="4" w:space="0" w:color="auto"/>
              <w:bottom w:val="nil"/>
              <w:right w:val="single" w:sz="4" w:space="0" w:color="auto"/>
            </w:tcBorders>
            <w:noWrap/>
            <w:vAlign w:val="center"/>
            <w:hideMark/>
          </w:tcPr>
          <w:p w14:paraId="7CC0557D"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(509)</w:t>
            </w:r>
          </w:p>
        </w:tc>
        <w:tc>
          <w:tcPr>
            <w:tcW w:w="1272" w:type="dxa"/>
            <w:tcBorders>
              <w:top w:val="nil"/>
              <w:left w:val="nil"/>
              <w:bottom w:val="nil"/>
              <w:right w:val="nil"/>
            </w:tcBorders>
            <w:noWrap/>
            <w:vAlign w:val="center"/>
            <w:hideMark/>
          </w:tcPr>
          <w:p w14:paraId="799CA394"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(509)</w:t>
            </w:r>
          </w:p>
        </w:tc>
        <w:tc>
          <w:tcPr>
            <w:tcW w:w="1200" w:type="dxa"/>
            <w:tcBorders>
              <w:top w:val="nil"/>
              <w:left w:val="nil"/>
              <w:bottom w:val="nil"/>
              <w:right w:val="nil"/>
            </w:tcBorders>
            <w:noWrap/>
            <w:vAlign w:val="center"/>
            <w:hideMark/>
          </w:tcPr>
          <w:p w14:paraId="093C58AF"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0 </w:t>
            </w:r>
          </w:p>
        </w:tc>
        <w:tc>
          <w:tcPr>
            <w:tcW w:w="236" w:type="dxa"/>
            <w:tcBorders>
              <w:right w:val="single" w:sz="4" w:space="0" w:color="auto"/>
            </w:tcBorders>
            <w:vAlign w:val="center"/>
            <w:hideMark/>
          </w:tcPr>
          <w:p w14:paraId="6B22E50C"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1CF6AE2F" w14:textId="77777777" w:rsidTr="00C46698">
        <w:trPr>
          <w:trHeight w:val="240"/>
        </w:trPr>
        <w:tc>
          <w:tcPr>
            <w:tcW w:w="4300" w:type="dxa"/>
            <w:tcBorders>
              <w:top w:val="nil"/>
              <w:left w:val="single" w:sz="4" w:space="0" w:color="auto"/>
              <w:bottom w:val="nil"/>
              <w:right w:val="nil"/>
            </w:tcBorders>
            <w:vAlign w:val="center"/>
            <w:hideMark/>
          </w:tcPr>
          <w:p w14:paraId="5D07FD3B"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Proceeds from Borrowings</w:t>
            </w:r>
          </w:p>
        </w:tc>
        <w:tc>
          <w:tcPr>
            <w:tcW w:w="222" w:type="dxa"/>
            <w:tcBorders>
              <w:top w:val="nil"/>
              <w:left w:val="nil"/>
              <w:bottom w:val="nil"/>
              <w:right w:val="nil"/>
            </w:tcBorders>
            <w:vAlign w:val="center"/>
            <w:hideMark/>
          </w:tcPr>
          <w:p w14:paraId="168A9C99"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5EA65D17"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2F4E2E72"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6558A540"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w:t>
            </w:r>
          </w:p>
        </w:tc>
        <w:tc>
          <w:tcPr>
            <w:tcW w:w="1272" w:type="dxa"/>
            <w:tcBorders>
              <w:top w:val="nil"/>
              <w:left w:val="single" w:sz="4" w:space="0" w:color="auto"/>
              <w:bottom w:val="nil"/>
              <w:right w:val="single" w:sz="4" w:space="0" w:color="auto"/>
            </w:tcBorders>
            <w:noWrap/>
            <w:vAlign w:val="center"/>
            <w:hideMark/>
          </w:tcPr>
          <w:p w14:paraId="14C8804A"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1272" w:type="dxa"/>
            <w:tcBorders>
              <w:top w:val="nil"/>
              <w:left w:val="nil"/>
              <w:bottom w:val="nil"/>
              <w:right w:val="nil"/>
            </w:tcBorders>
            <w:noWrap/>
            <w:vAlign w:val="center"/>
            <w:hideMark/>
          </w:tcPr>
          <w:p w14:paraId="6AEE49E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1200" w:type="dxa"/>
            <w:tcBorders>
              <w:top w:val="nil"/>
              <w:left w:val="nil"/>
              <w:bottom w:val="nil"/>
              <w:right w:val="nil"/>
            </w:tcBorders>
            <w:noWrap/>
            <w:vAlign w:val="center"/>
            <w:hideMark/>
          </w:tcPr>
          <w:p w14:paraId="52963DDE"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236" w:type="dxa"/>
            <w:tcBorders>
              <w:right w:val="single" w:sz="4" w:space="0" w:color="auto"/>
            </w:tcBorders>
            <w:vAlign w:val="center"/>
            <w:hideMark/>
          </w:tcPr>
          <w:p w14:paraId="68D05FC3"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1007F441" w14:textId="77777777" w:rsidTr="00C46698">
        <w:trPr>
          <w:trHeight w:val="240"/>
        </w:trPr>
        <w:tc>
          <w:tcPr>
            <w:tcW w:w="4300" w:type="dxa"/>
            <w:tcBorders>
              <w:top w:val="nil"/>
              <w:left w:val="single" w:sz="4" w:space="0" w:color="auto"/>
              <w:bottom w:val="nil"/>
              <w:right w:val="nil"/>
            </w:tcBorders>
            <w:vAlign w:val="center"/>
            <w:hideMark/>
          </w:tcPr>
          <w:p w14:paraId="3E84FB98"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Repayment of borrowings</w:t>
            </w:r>
          </w:p>
        </w:tc>
        <w:tc>
          <w:tcPr>
            <w:tcW w:w="222" w:type="dxa"/>
            <w:tcBorders>
              <w:top w:val="nil"/>
              <w:left w:val="nil"/>
              <w:bottom w:val="nil"/>
              <w:right w:val="nil"/>
            </w:tcBorders>
            <w:vAlign w:val="center"/>
            <w:hideMark/>
          </w:tcPr>
          <w:p w14:paraId="0EB4CABE"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48D28A4E"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50109D6A"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2873C580"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(2,332)</w:t>
            </w:r>
          </w:p>
        </w:tc>
        <w:tc>
          <w:tcPr>
            <w:tcW w:w="1272" w:type="dxa"/>
            <w:tcBorders>
              <w:top w:val="nil"/>
              <w:left w:val="single" w:sz="4" w:space="0" w:color="auto"/>
              <w:bottom w:val="nil"/>
              <w:right w:val="single" w:sz="4" w:space="0" w:color="auto"/>
            </w:tcBorders>
            <w:noWrap/>
            <w:vAlign w:val="center"/>
            <w:hideMark/>
          </w:tcPr>
          <w:p w14:paraId="7C6C78BE"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(4,811)</w:t>
            </w:r>
          </w:p>
        </w:tc>
        <w:tc>
          <w:tcPr>
            <w:tcW w:w="1272" w:type="dxa"/>
            <w:tcBorders>
              <w:top w:val="nil"/>
              <w:left w:val="nil"/>
              <w:bottom w:val="nil"/>
              <w:right w:val="nil"/>
            </w:tcBorders>
            <w:noWrap/>
            <w:vAlign w:val="center"/>
            <w:hideMark/>
          </w:tcPr>
          <w:p w14:paraId="6861088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(4,811)</w:t>
            </w:r>
          </w:p>
        </w:tc>
        <w:tc>
          <w:tcPr>
            <w:tcW w:w="1200" w:type="dxa"/>
            <w:tcBorders>
              <w:top w:val="nil"/>
              <w:left w:val="nil"/>
              <w:bottom w:val="nil"/>
              <w:right w:val="nil"/>
            </w:tcBorders>
            <w:noWrap/>
            <w:vAlign w:val="center"/>
            <w:hideMark/>
          </w:tcPr>
          <w:p w14:paraId="6D913ED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0 </w:t>
            </w:r>
          </w:p>
        </w:tc>
        <w:tc>
          <w:tcPr>
            <w:tcW w:w="236" w:type="dxa"/>
            <w:tcBorders>
              <w:right w:val="single" w:sz="4" w:space="0" w:color="auto"/>
            </w:tcBorders>
            <w:vAlign w:val="center"/>
            <w:hideMark/>
          </w:tcPr>
          <w:p w14:paraId="7823C9F7"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061AF269" w14:textId="77777777" w:rsidTr="00C46698">
        <w:trPr>
          <w:trHeight w:val="240"/>
        </w:trPr>
        <w:tc>
          <w:tcPr>
            <w:tcW w:w="4300" w:type="dxa"/>
            <w:tcBorders>
              <w:top w:val="nil"/>
              <w:left w:val="single" w:sz="4" w:space="0" w:color="auto"/>
              <w:bottom w:val="nil"/>
              <w:right w:val="nil"/>
            </w:tcBorders>
            <w:vAlign w:val="center"/>
            <w:hideMark/>
          </w:tcPr>
          <w:p w14:paraId="1C322E44"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Interest paid - lease liability</w:t>
            </w:r>
          </w:p>
        </w:tc>
        <w:tc>
          <w:tcPr>
            <w:tcW w:w="222" w:type="dxa"/>
            <w:tcBorders>
              <w:top w:val="nil"/>
              <w:left w:val="nil"/>
              <w:bottom w:val="nil"/>
              <w:right w:val="nil"/>
            </w:tcBorders>
            <w:vAlign w:val="center"/>
            <w:hideMark/>
          </w:tcPr>
          <w:p w14:paraId="4C25B993"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5E4D1232"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4DBFE12E"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552E7375"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(112)</w:t>
            </w:r>
          </w:p>
        </w:tc>
        <w:tc>
          <w:tcPr>
            <w:tcW w:w="1272" w:type="dxa"/>
            <w:tcBorders>
              <w:top w:val="nil"/>
              <w:left w:val="single" w:sz="4" w:space="0" w:color="auto"/>
              <w:bottom w:val="nil"/>
              <w:right w:val="single" w:sz="4" w:space="0" w:color="auto"/>
            </w:tcBorders>
            <w:noWrap/>
            <w:vAlign w:val="center"/>
            <w:hideMark/>
          </w:tcPr>
          <w:p w14:paraId="72102FDC"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(216)</w:t>
            </w:r>
          </w:p>
        </w:tc>
        <w:tc>
          <w:tcPr>
            <w:tcW w:w="1272" w:type="dxa"/>
            <w:tcBorders>
              <w:top w:val="nil"/>
              <w:left w:val="nil"/>
              <w:bottom w:val="nil"/>
              <w:right w:val="nil"/>
            </w:tcBorders>
            <w:noWrap/>
            <w:vAlign w:val="center"/>
            <w:hideMark/>
          </w:tcPr>
          <w:p w14:paraId="7208FB63"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(218)</w:t>
            </w:r>
          </w:p>
        </w:tc>
        <w:tc>
          <w:tcPr>
            <w:tcW w:w="1200" w:type="dxa"/>
            <w:tcBorders>
              <w:top w:val="nil"/>
              <w:left w:val="nil"/>
              <w:bottom w:val="nil"/>
              <w:right w:val="nil"/>
            </w:tcBorders>
            <w:noWrap/>
            <w:vAlign w:val="center"/>
            <w:hideMark/>
          </w:tcPr>
          <w:p w14:paraId="5DA0F787"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(2)</w:t>
            </w:r>
          </w:p>
        </w:tc>
        <w:tc>
          <w:tcPr>
            <w:tcW w:w="236" w:type="dxa"/>
            <w:tcBorders>
              <w:right w:val="single" w:sz="4" w:space="0" w:color="auto"/>
            </w:tcBorders>
            <w:vAlign w:val="center"/>
            <w:hideMark/>
          </w:tcPr>
          <w:p w14:paraId="0344EBE9"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31E8E830" w14:textId="77777777" w:rsidTr="00C46698">
        <w:trPr>
          <w:trHeight w:val="240"/>
        </w:trPr>
        <w:tc>
          <w:tcPr>
            <w:tcW w:w="4300" w:type="dxa"/>
            <w:tcBorders>
              <w:top w:val="nil"/>
              <w:left w:val="single" w:sz="4" w:space="0" w:color="auto"/>
              <w:bottom w:val="single" w:sz="4" w:space="0" w:color="auto"/>
              <w:right w:val="nil"/>
            </w:tcBorders>
            <w:vAlign w:val="center"/>
            <w:hideMark/>
          </w:tcPr>
          <w:p w14:paraId="52D2526E"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Repayment of lease liabilities</w:t>
            </w:r>
          </w:p>
        </w:tc>
        <w:tc>
          <w:tcPr>
            <w:tcW w:w="222" w:type="dxa"/>
            <w:tcBorders>
              <w:top w:val="nil"/>
              <w:left w:val="nil"/>
              <w:bottom w:val="single" w:sz="4" w:space="0" w:color="auto"/>
              <w:right w:val="nil"/>
            </w:tcBorders>
            <w:vAlign w:val="center"/>
            <w:hideMark/>
          </w:tcPr>
          <w:p w14:paraId="69B11DD7"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single" w:sz="4" w:space="0" w:color="auto"/>
              <w:right w:val="nil"/>
            </w:tcBorders>
            <w:noWrap/>
            <w:vAlign w:val="center"/>
            <w:hideMark/>
          </w:tcPr>
          <w:p w14:paraId="4AD2B47F"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single" w:sz="4" w:space="0" w:color="auto"/>
              <w:right w:val="nil"/>
            </w:tcBorders>
            <w:noWrap/>
            <w:vAlign w:val="center"/>
            <w:hideMark/>
          </w:tcPr>
          <w:p w14:paraId="10633B7D" w14:textId="77777777" w:rsidR="006E5072" w:rsidRPr="004370C6" w:rsidRDefault="006E5072" w:rsidP="006E5072">
            <w:pPr>
              <w:spacing w:after="0" w:line="240" w:lineRule="auto"/>
              <w:jc w:val="right"/>
              <w:rPr>
                <w:rFonts w:ascii="Arial" w:eastAsia="Times New Roman" w:hAnsi="Arial" w:cs="Arial"/>
                <w:sz w:val="20"/>
                <w:szCs w:val="20"/>
                <w:lang w:val="en-AU" w:eastAsia="en-AU"/>
              </w:rPr>
            </w:pPr>
          </w:p>
        </w:tc>
        <w:tc>
          <w:tcPr>
            <w:tcW w:w="1057" w:type="dxa"/>
            <w:tcBorders>
              <w:top w:val="nil"/>
              <w:left w:val="nil"/>
              <w:bottom w:val="single" w:sz="4" w:space="0" w:color="auto"/>
              <w:right w:val="single" w:sz="4" w:space="0" w:color="auto"/>
            </w:tcBorders>
            <w:noWrap/>
            <w:vAlign w:val="center"/>
            <w:hideMark/>
          </w:tcPr>
          <w:p w14:paraId="49EDEB99"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(581)</w:t>
            </w:r>
          </w:p>
        </w:tc>
        <w:tc>
          <w:tcPr>
            <w:tcW w:w="1272" w:type="dxa"/>
            <w:tcBorders>
              <w:top w:val="nil"/>
              <w:left w:val="single" w:sz="4" w:space="0" w:color="auto"/>
              <w:bottom w:val="single" w:sz="4" w:space="0" w:color="auto"/>
              <w:right w:val="single" w:sz="4" w:space="0" w:color="auto"/>
            </w:tcBorders>
            <w:noWrap/>
            <w:vAlign w:val="center"/>
            <w:hideMark/>
          </w:tcPr>
          <w:p w14:paraId="4774277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(1,231)</w:t>
            </w:r>
          </w:p>
        </w:tc>
        <w:tc>
          <w:tcPr>
            <w:tcW w:w="1272" w:type="dxa"/>
            <w:tcBorders>
              <w:top w:val="nil"/>
              <w:left w:val="single" w:sz="4" w:space="0" w:color="auto"/>
              <w:bottom w:val="single" w:sz="4" w:space="0" w:color="auto"/>
              <w:right w:val="nil"/>
            </w:tcBorders>
            <w:noWrap/>
            <w:vAlign w:val="center"/>
            <w:hideMark/>
          </w:tcPr>
          <w:p w14:paraId="4E1B0D1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(1,274)</w:t>
            </w:r>
          </w:p>
        </w:tc>
        <w:tc>
          <w:tcPr>
            <w:tcW w:w="1200" w:type="dxa"/>
            <w:tcBorders>
              <w:top w:val="nil"/>
              <w:left w:val="nil"/>
              <w:bottom w:val="single" w:sz="4" w:space="0" w:color="auto"/>
              <w:right w:val="nil"/>
            </w:tcBorders>
            <w:noWrap/>
            <w:vAlign w:val="center"/>
            <w:hideMark/>
          </w:tcPr>
          <w:p w14:paraId="7ED23E23"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(43)</w:t>
            </w:r>
          </w:p>
        </w:tc>
        <w:tc>
          <w:tcPr>
            <w:tcW w:w="236" w:type="dxa"/>
            <w:tcBorders>
              <w:right w:val="single" w:sz="4" w:space="0" w:color="auto"/>
            </w:tcBorders>
            <w:vAlign w:val="center"/>
            <w:hideMark/>
          </w:tcPr>
          <w:p w14:paraId="62A6BE8C"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190CF140" w14:textId="77777777" w:rsidTr="00C46698">
        <w:trPr>
          <w:trHeight w:val="255"/>
        </w:trPr>
        <w:tc>
          <w:tcPr>
            <w:tcW w:w="6722" w:type="dxa"/>
            <w:gridSpan w:val="4"/>
            <w:tcBorders>
              <w:top w:val="nil"/>
              <w:left w:val="single" w:sz="4" w:space="0" w:color="auto"/>
              <w:bottom w:val="nil"/>
              <w:right w:val="nil"/>
            </w:tcBorders>
            <w:vAlign w:val="center"/>
            <w:hideMark/>
          </w:tcPr>
          <w:p w14:paraId="4F203F6C"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Net cash used in financing activities</w:t>
            </w:r>
          </w:p>
        </w:tc>
        <w:tc>
          <w:tcPr>
            <w:tcW w:w="1057" w:type="dxa"/>
            <w:tcBorders>
              <w:top w:val="nil"/>
              <w:left w:val="nil"/>
              <w:bottom w:val="nil"/>
              <w:right w:val="single" w:sz="4" w:space="0" w:color="auto"/>
            </w:tcBorders>
            <w:noWrap/>
            <w:vAlign w:val="center"/>
            <w:hideMark/>
          </w:tcPr>
          <w:p w14:paraId="232DDEBD"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(3,368)</w:t>
            </w:r>
          </w:p>
        </w:tc>
        <w:tc>
          <w:tcPr>
            <w:tcW w:w="1272" w:type="dxa"/>
            <w:tcBorders>
              <w:top w:val="nil"/>
              <w:left w:val="single" w:sz="4" w:space="0" w:color="auto"/>
              <w:bottom w:val="nil"/>
              <w:right w:val="single" w:sz="4" w:space="0" w:color="auto"/>
            </w:tcBorders>
            <w:noWrap/>
            <w:vAlign w:val="center"/>
            <w:hideMark/>
          </w:tcPr>
          <w:p w14:paraId="31C6BD98"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(6,768)</w:t>
            </w:r>
          </w:p>
        </w:tc>
        <w:tc>
          <w:tcPr>
            <w:tcW w:w="1272" w:type="dxa"/>
            <w:tcBorders>
              <w:top w:val="nil"/>
              <w:left w:val="nil"/>
              <w:bottom w:val="nil"/>
              <w:right w:val="nil"/>
            </w:tcBorders>
            <w:noWrap/>
            <w:vAlign w:val="center"/>
            <w:hideMark/>
          </w:tcPr>
          <w:p w14:paraId="30644E4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(6,812)</w:t>
            </w:r>
          </w:p>
        </w:tc>
        <w:tc>
          <w:tcPr>
            <w:tcW w:w="1200" w:type="dxa"/>
            <w:tcBorders>
              <w:top w:val="nil"/>
              <w:left w:val="nil"/>
              <w:bottom w:val="nil"/>
              <w:right w:val="nil"/>
            </w:tcBorders>
            <w:noWrap/>
            <w:vAlign w:val="center"/>
            <w:hideMark/>
          </w:tcPr>
          <w:p w14:paraId="131AEBE2"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(44)</w:t>
            </w:r>
          </w:p>
        </w:tc>
        <w:tc>
          <w:tcPr>
            <w:tcW w:w="236" w:type="dxa"/>
            <w:tcBorders>
              <w:right w:val="single" w:sz="4" w:space="0" w:color="auto"/>
            </w:tcBorders>
            <w:vAlign w:val="center"/>
            <w:hideMark/>
          </w:tcPr>
          <w:p w14:paraId="0AD7EF88"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434C6260" w14:textId="77777777" w:rsidTr="00C46698">
        <w:trPr>
          <w:trHeight w:val="240"/>
        </w:trPr>
        <w:tc>
          <w:tcPr>
            <w:tcW w:w="4300" w:type="dxa"/>
            <w:tcBorders>
              <w:top w:val="nil"/>
              <w:left w:val="single" w:sz="4" w:space="0" w:color="auto"/>
              <w:bottom w:val="nil"/>
              <w:right w:val="nil"/>
            </w:tcBorders>
            <w:vAlign w:val="center"/>
            <w:hideMark/>
          </w:tcPr>
          <w:p w14:paraId="208FEA9C"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p>
        </w:tc>
        <w:tc>
          <w:tcPr>
            <w:tcW w:w="222" w:type="dxa"/>
            <w:tcBorders>
              <w:top w:val="nil"/>
              <w:left w:val="nil"/>
              <w:bottom w:val="nil"/>
              <w:right w:val="nil"/>
            </w:tcBorders>
            <w:vAlign w:val="center"/>
            <w:hideMark/>
          </w:tcPr>
          <w:p w14:paraId="4C282BA7"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160" w:type="dxa"/>
            <w:tcBorders>
              <w:top w:val="nil"/>
              <w:left w:val="nil"/>
              <w:bottom w:val="nil"/>
              <w:right w:val="nil"/>
            </w:tcBorders>
            <w:vAlign w:val="center"/>
            <w:hideMark/>
          </w:tcPr>
          <w:p w14:paraId="3C1F7C5C"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vAlign w:val="center"/>
            <w:hideMark/>
          </w:tcPr>
          <w:p w14:paraId="1EF2B555"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60234489"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72" w:type="dxa"/>
            <w:tcBorders>
              <w:top w:val="nil"/>
              <w:left w:val="single" w:sz="4" w:space="0" w:color="auto"/>
              <w:bottom w:val="nil"/>
              <w:right w:val="single" w:sz="4" w:space="0" w:color="auto"/>
            </w:tcBorders>
            <w:noWrap/>
            <w:vAlign w:val="center"/>
            <w:hideMark/>
          </w:tcPr>
          <w:p w14:paraId="440920A0" w14:textId="77777777" w:rsidR="006E5072" w:rsidRPr="004370C6" w:rsidRDefault="006E5072" w:rsidP="006E5072">
            <w:pPr>
              <w:spacing w:after="0" w:line="240" w:lineRule="auto"/>
              <w:jc w:val="center"/>
              <w:rPr>
                <w:rFonts w:ascii="Arial" w:eastAsia="Times New Roman" w:hAnsi="Arial" w:cs="Arial"/>
                <w:sz w:val="20"/>
                <w:szCs w:val="20"/>
                <w:lang w:val="en-AU" w:eastAsia="en-AU"/>
              </w:rPr>
            </w:pPr>
          </w:p>
        </w:tc>
        <w:tc>
          <w:tcPr>
            <w:tcW w:w="1272" w:type="dxa"/>
            <w:tcBorders>
              <w:top w:val="nil"/>
              <w:left w:val="nil"/>
              <w:bottom w:val="nil"/>
              <w:right w:val="nil"/>
            </w:tcBorders>
            <w:noWrap/>
            <w:vAlign w:val="center"/>
            <w:hideMark/>
          </w:tcPr>
          <w:p w14:paraId="2D356056"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200" w:type="dxa"/>
            <w:tcBorders>
              <w:top w:val="nil"/>
              <w:left w:val="nil"/>
              <w:bottom w:val="nil"/>
              <w:right w:val="nil"/>
            </w:tcBorders>
            <w:noWrap/>
            <w:vAlign w:val="center"/>
            <w:hideMark/>
          </w:tcPr>
          <w:p w14:paraId="73BD7E48"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236" w:type="dxa"/>
            <w:tcBorders>
              <w:right w:val="single" w:sz="4" w:space="0" w:color="auto"/>
            </w:tcBorders>
            <w:vAlign w:val="center"/>
            <w:hideMark/>
          </w:tcPr>
          <w:p w14:paraId="47A29574"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1BB0B73B" w14:textId="77777777" w:rsidTr="00C46698">
        <w:trPr>
          <w:trHeight w:val="240"/>
        </w:trPr>
        <w:tc>
          <w:tcPr>
            <w:tcW w:w="4300" w:type="dxa"/>
            <w:tcBorders>
              <w:top w:val="nil"/>
              <w:left w:val="single" w:sz="4" w:space="0" w:color="auto"/>
              <w:bottom w:val="nil"/>
              <w:right w:val="nil"/>
            </w:tcBorders>
            <w:vAlign w:val="center"/>
            <w:hideMark/>
          </w:tcPr>
          <w:p w14:paraId="6466D18B"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Net decrease in cash held</w:t>
            </w:r>
          </w:p>
        </w:tc>
        <w:tc>
          <w:tcPr>
            <w:tcW w:w="222" w:type="dxa"/>
            <w:tcBorders>
              <w:top w:val="nil"/>
              <w:left w:val="nil"/>
              <w:bottom w:val="nil"/>
              <w:right w:val="nil"/>
            </w:tcBorders>
            <w:vAlign w:val="center"/>
            <w:hideMark/>
          </w:tcPr>
          <w:p w14:paraId="5781A513"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nil"/>
              <w:right w:val="nil"/>
            </w:tcBorders>
            <w:noWrap/>
            <w:vAlign w:val="center"/>
            <w:hideMark/>
          </w:tcPr>
          <w:p w14:paraId="23A6B31B"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nil"/>
              <w:right w:val="nil"/>
            </w:tcBorders>
            <w:noWrap/>
            <w:vAlign w:val="center"/>
            <w:hideMark/>
          </w:tcPr>
          <w:p w14:paraId="4D31C72F"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57" w:type="dxa"/>
            <w:tcBorders>
              <w:top w:val="nil"/>
              <w:left w:val="nil"/>
              <w:bottom w:val="nil"/>
              <w:right w:val="single" w:sz="4" w:space="0" w:color="auto"/>
            </w:tcBorders>
            <w:noWrap/>
            <w:vAlign w:val="center"/>
            <w:hideMark/>
          </w:tcPr>
          <w:p w14:paraId="09B32EA5"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(10,239)</w:t>
            </w:r>
          </w:p>
        </w:tc>
        <w:tc>
          <w:tcPr>
            <w:tcW w:w="1272" w:type="dxa"/>
            <w:tcBorders>
              <w:top w:val="nil"/>
              <w:left w:val="single" w:sz="4" w:space="0" w:color="auto"/>
              <w:bottom w:val="nil"/>
              <w:right w:val="single" w:sz="4" w:space="0" w:color="auto"/>
            </w:tcBorders>
            <w:noWrap/>
            <w:vAlign w:val="center"/>
            <w:hideMark/>
          </w:tcPr>
          <w:p w14:paraId="3A1117E1"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1,270 </w:t>
            </w:r>
          </w:p>
        </w:tc>
        <w:tc>
          <w:tcPr>
            <w:tcW w:w="1272" w:type="dxa"/>
            <w:tcBorders>
              <w:top w:val="nil"/>
              <w:left w:val="nil"/>
              <w:bottom w:val="nil"/>
              <w:right w:val="nil"/>
            </w:tcBorders>
            <w:noWrap/>
            <w:vAlign w:val="center"/>
            <w:hideMark/>
          </w:tcPr>
          <w:p w14:paraId="3CCDE576"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4,513 </w:t>
            </w:r>
          </w:p>
        </w:tc>
        <w:tc>
          <w:tcPr>
            <w:tcW w:w="1200" w:type="dxa"/>
            <w:tcBorders>
              <w:top w:val="nil"/>
              <w:left w:val="nil"/>
              <w:bottom w:val="nil"/>
              <w:right w:val="nil"/>
            </w:tcBorders>
            <w:noWrap/>
            <w:vAlign w:val="center"/>
            <w:hideMark/>
          </w:tcPr>
          <w:p w14:paraId="41E8A7B9"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3,242 </w:t>
            </w:r>
          </w:p>
        </w:tc>
        <w:tc>
          <w:tcPr>
            <w:tcW w:w="236" w:type="dxa"/>
            <w:tcBorders>
              <w:right w:val="single" w:sz="4" w:space="0" w:color="auto"/>
            </w:tcBorders>
            <w:vAlign w:val="center"/>
            <w:hideMark/>
          </w:tcPr>
          <w:p w14:paraId="15774578"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557B015D" w14:textId="77777777" w:rsidTr="00C46698">
        <w:trPr>
          <w:trHeight w:val="240"/>
        </w:trPr>
        <w:tc>
          <w:tcPr>
            <w:tcW w:w="4300" w:type="dxa"/>
            <w:tcBorders>
              <w:top w:val="nil"/>
              <w:left w:val="single" w:sz="4" w:space="0" w:color="auto"/>
              <w:bottom w:val="single" w:sz="4" w:space="0" w:color="auto"/>
              <w:right w:val="nil"/>
            </w:tcBorders>
            <w:vAlign w:val="center"/>
            <w:hideMark/>
          </w:tcPr>
          <w:p w14:paraId="65721378"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Cash at beginning of period</w:t>
            </w:r>
          </w:p>
        </w:tc>
        <w:tc>
          <w:tcPr>
            <w:tcW w:w="222" w:type="dxa"/>
            <w:tcBorders>
              <w:top w:val="nil"/>
              <w:left w:val="nil"/>
              <w:bottom w:val="single" w:sz="4" w:space="0" w:color="auto"/>
              <w:right w:val="nil"/>
            </w:tcBorders>
            <w:vAlign w:val="center"/>
            <w:hideMark/>
          </w:tcPr>
          <w:p w14:paraId="6461D5E8"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nil"/>
              <w:left w:val="nil"/>
              <w:bottom w:val="single" w:sz="4" w:space="0" w:color="auto"/>
              <w:right w:val="nil"/>
            </w:tcBorders>
            <w:noWrap/>
            <w:vAlign w:val="center"/>
            <w:hideMark/>
          </w:tcPr>
          <w:p w14:paraId="18581407"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nil"/>
              <w:left w:val="nil"/>
              <w:bottom w:val="single" w:sz="4" w:space="0" w:color="auto"/>
              <w:right w:val="nil"/>
            </w:tcBorders>
            <w:noWrap/>
            <w:vAlign w:val="center"/>
            <w:hideMark/>
          </w:tcPr>
          <w:p w14:paraId="060515DB"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57" w:type="dxa"/>
            <w:tcBorders>
              <w:top w:val="nil"/>
              <w:left w:val="nil"/>
              <w:bottom w:val="single" w:sz="4" w:space="0" w:color="auto"/>
              <w:right w:val="single" w:sz="4" w:space="0" w:color="auto"/>
            </w:tcBorders>
            <w:noWrap/>
            <w:vAlign w:val="center"/>
            <w:hideMark/>
          </w:tcPr>
          <w:p w14:paraId="0C2426B6"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53,243 </w:t>
            </w:r>
          </w:p>
        </w:tc>
        <w:tc>
          <w:tcPr>
            <w:tcW w:w="1272" w:type="dxa"/>
            <w:tcBorders>
              <w:top w:val="nil"/>
              <w:left w:val="single" w:sz="4" w:space="0" w:color="auto"/>
              <w:bottom w:val="nil"/>
              <w:right w:val="single" w:sz="4" w:space="0" w:color="auto"/>
            </w:tcBorders>
            <w:noWrap/>
            <w:vAlign w:val="center"/>
            <w:hideMark/>
          </w:tcPr>
          <w:p w14:paraId="61EDD7C7"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105,023 </w:t>
            </w:r>
          </w:p>
        </w:tc>
        <w:tc>
          <w:tcPr>
            <w:tcW w:w="1272" w:type="dxa"/>
            <w:tcBorders>
              <w:top w:val="nil"/>
              <w:left w:val="nil"/>
              <w:bottom w:val="nil"/>
              <w:right w:val="nil"/>
            </w:tcBorders>
            <w:noWrap/>
            <w:vAlign w:val="center"/>
            <w:hideMark/>
          </w:tcPr>
          <w:p w14:paraId="7C7BC7F4"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96,885 </w:t>
            </w:r>
          </w:p>
        </w:tc>
        <w:tc>
          <w:tcPr>
            <w:tcW w:w="1200" w:type="dxa"/>
            <w:tcBorders>
              <w:top w:val="nil"/>
              <w:left w:val="nil"/>
              <w:bottom w:val="nil"/>
              <w:right w:val="nil"/>
            </w:tcBorders>
            <w:noWrap/>
            <w:vAlign w:val="center"/>
            <w:hideMark/>
          </w:tcPr>
          <w:p w14:paraId="33B2D39A"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(8,138)</w:t>
            </w:r>
          </w:p>
        </w:tc>
        <w:tc>
          <w:tcPr>
            <w:tcW w:w="236" w:type="dxa"/>
            <w:tcBorders>
              <w:right w:val="single" w:sz="4" w:space="0" w:color="auto"/>
            </w:tcBorders>
            <w:vAlign w:val="center"/>
            <w:hideMark/>
          </w:tcPr>
          <w:p w14:paraId="6E6C8D70"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r w:rsidR="003C1AB7" w:rsidRPr="004370C6" w14:paraId="4DFA6828" w14:textId="77777777" w:rsidTr="00C46698">
        <w:trPr>
          <w:trHeight w:val="255"/>
        </w:trPr>
        <w:tc>
          <w:tcPr>
            <w:tcW w:w="4300" w:type="dxa"/>
            <w:tcBorders>
              <w:top w:val="single" w:sz="4" w:space="0" w:color="auto"/>
              <w:left w:val="single" w:sz="4" w:space="0" w:color="auto"/>
              <w:bottom w:val="single" w:sz="4" w:space="0" w:color="auto"/>
              <w:right w:val="nil"/>
            </w:tcBorders>
            <w:vAlign w:val="center"/>
            <w:hideMark/>
          </w:tcPr>
          <w:p w14:paraId="6AF03A67" w14:textId="77777777" w:rsidR="006E5072" w:rsidRPr="004370C6" w:rsidRDefault="006E5072" w:rsidP="006E5072">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Cash at end of period</w:t>
            </w:r>
          </w:p>
        </w:tc>
        <w:tc>
          <w:tcPr>
            <w:tcW w:w="222" w:type="dxa"/>
            <w:tcBorders>
              <w:top w:val="single" w:sz="4" w:space="0" w:color="auto"/>
              <w:left w:val="nil"/>
              <w:bottom w:val="single" w:sz="4" w:space="0" w:color="auto"/>
              <w:right w:val="nil"/>
            </w:tcBorders>
            <w:vAlign w:val="center"/>
            <w:hideMark/>
          </w:tcPr>
          <w:p w14:paraId="1CFD77A8" w14:textId="77777777" w:rsidR="006E5072" w:rsidRPr="004370C6" w:rsidRDefault="006E5072" w:rsidP="006E5072">
            <w:pPr>
              <w:spacing w:after="0" w:line="240" w:lineRule="auto"/>
              <w:rPr>
                <w:rFonts w:ascii="Arial" w:eastAsia="Times New Roman" w:hAnsi="Arial" w:cs="Arial"/>
                <w:sz w:val="18"/>
                <w:szCs w:val="18"/>
                <w:lang w:val="en-AU" w:eastAsia="en-AU"/>
              </w:rPr>
            </w:pPr>
          </w:p>
        </w:tc>
        <w:tc>
          <w:tcPr>
            <w:tcW w:w="1160" w:type="dxa"/>
            <w:tcBorders>
              <w:top w:val="single" w:sz="4" w:space="0" w:color="auto"/>
              <w:left w:val="nil"/>
              <w:bottom w:val="single" w:sz="4" w:space="0" w:color="auto"/>
              <w:right w:val="nil"/>
            </w:tcBorders>
            <w:noWrap/>
            <w:vAlign w:val="center"/>
            <w:hideMark/>
          </w:tcPr>
          <w:p w14:paraId="42E433C9"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40" w:type="dxa"/>
            <w:tcBorders>
              <w:top w:val="single" w:sz="4" w:space="0" w:color="auto"/>
              <w:left w:val="nil"/>
              <w:bottom w:val="single" w:sz="4" w:space="0" w:color="auto"/>
              <w:right w:val="nil"/>
            </w:tcBorders>
            <w:noWrap/>
            <w:vAlign w:val="center"/>
            <w:hideMark/>
          </w:tcPr>
          <w:p w14:paraId="47A371FF" w14:textId="77777777" w:rsidR="006E5072" w:rsidRPr="004370C6" w:rsidRDefault="006E5072" w:rsidP="006E5072">
            <w:pPr>
              <w:spacing w:after="0" w:line="240" w:lineRule="auto"/>
              <w:rPr>
                <w:rFonts w:ascii="Arial" w:eastAsia="Times New Roman" w:hAnsi="Arial" w:cs="Arial"/>
                <w:sz w:val="20"/>
                <w:szCs w:val="20"/>
                <w:lang w:val="en-AU" w:eastAsia="en-AU"/>
              </w:rPr>
            </w:pPr>
          </w:p>
        </w:tc>
        <w:tc>
          <w:tcPr>
            <w:tcW w:w="1057" w:type="dxa"/>
            <w:tcBorders>
              <w:top w:val="single" w:sz="4" w:space="0" w:color="auto"/>
              <w:left w:val="nil"/>
              <w:bottom w:val="single" w:sz="4" w:space="0" w:color="auto"/>
              <w:right w:val="single" w:sz="4" w:space="0" w:color="auto"/>
            </w:tcBorders>
            <w:noWrap/>
            <w:vAlign w:val="center"/>
            <w:hideMark/>
          </w:tcPr>
          <w:p w14:paraId="64592484" w14:textId="77777777" w:rsidR="006E5072" w:rsidRPr="004370C6" w:rsidRDefault="006E5072" w:rsidP="006E5072">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43,004 </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4ADAD6D6"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106,293 </w:t>
            </w:r>
          </w:p>
        </w:tc>
        <w:tc>
          <w:tcPr>
            <w:tcW w:w="1272" w:type="dxa"/>
            <w:tcBorders>
              <w:top w:val="single" w:sz="4" w:space="0" w:color="auto"/>
              <w:left w:val="nil"/>
              <w:bottom w:val="single" w:sz="4" w:space="0" w:color="auto"/>
              <w:right w:val="nil"/>
            </w:tcBorders>
            <w:noWrap/>
            <w:vAlign w:val="center"/>
            <w:hideMark/>
          </w:tcPr>
          <w:p w14:paraId="4870A563"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101,398 </w:t>
            </w:r>
          </w:p>
        </w:tc>
        <w:tc>
          <w:tcPr>
            <w:tcW w:w="1200" w:type="dxa"/>
            <w:tcBorders>
              <w:top w:val="single" w:sz="4" w:space="0" w:color="auto"/>
              <w:left w:val="nil"/>
              <w:bottom w:val="single" w:sz="4" w:space="0" w:color="auto"/>
              <w:right w:val="nil"/>
            </w:tcBorders>
            <w:noWrap/>
            <w:vAlign w:val="center"/>
            <w:hideMark/>
          </w:tcPr>
          <w:p w14:paraId="2485920C" w14:textId="77777777" w:rsidR="006E5072" w:rsidRPr="004370C6" w:rsidRDefault="006E5072" w:rsidP="006E5072">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(4,895)</w:t>
            </w:r>
          </w:p>
        </w:tc>
        <w:tc>
          <w:tcPr>
            <w:tcW w:w="236" w:type="dxa"/>
            <w:tcBorders>
              <w:bottom w:val="single" w:sz="4" w:space="0" w:color="auto"/>
              <w:right w:val="single" w:sz="4" w:space="0" w:color="auto"/>
            </w:tcBorders>
            <w:vAlign w:val="center"/>
            <w:hideMark/>
          </w:tcPr>
          <w:p w14:paraId="334089FC" w14:textId="77777777" w:rsidR="006E5072" w:rsidRPr="004370C6" w:rsidRDefault="006E5072" w:rsidP="006E5072">
            <w:pPr>
              <w:spacing w:after="0" w:line="240" w:lineRule="auto"/>
              <w:rPr>
                <w:rFonts w:ascii="Arial" w:eastAsia="Times New Roman" w:hAnsi="Arial" w:cs="Arial"/>
                <w:sz w:val="20"/>
                <w:szCs w:val="20"/>
                <w:lang w:val="en-AU" w:eastAsia="en-AU"/>
              </w:rPr>
            </w:pPr>
          </w:p>
        </w:tc>
      </w:tr>
    </w:tbl>
    <w:p w14:paraId="362D57B0" w14:textId="77777777" w:rsidR="002124C8" w:rsidRPr="004370C6" w:rsidRDefault="002124C8" w:rsidP="002124C8">
      <w:pPr>
        <w:rPr>
          <w:rFonts w:ascii="Arial" w:hAnsi="Arial" w:cs="Arial"/>
        </w:rPr>
      </w:pPr>
      <w:r w:rsidRPr="004370C6">
        <w:rPr>
          <w:rFonts w:ascii="Arial" w:hAnsi="Arial" w:cs="Arial"/>
        </w:rPr>
        <w:br w:type="page"/>
      </w:r>
    </w:p>
    <w:p w14:paraId="0489CE09" w14:textId="77777777" w:rsidR="002124C8" w:rsidRPr="004370C6" w:rsidRDefault="002124C8" w:rsidP="00B64127">
      <w:pPr>
        <w:pStyle w:val="Heading4"/>
        <w:rPr>
          <w:rFonts w:ascii="Arial" w:hAnsi="Arial" w:cs="Arial"/>
          <w:color w:val="auto"/>
        </w:rPr>
      </w:pPr>
      <w:bookmarkStart w:id="83" w:name="_Toc224732213"/>
      <w:r w:rsidRPr="004370C6">
        <w:rPr>
          <w:rFonts w:ascii="Arial" w:hAnsi="Arial" w:cs="Arial"/>
          <w:color w:val="auto"/>
        </w:rPr>
        <w:lastRenderedPageBreak/>
        <w:t>Quarter Two - Statement of Capital Works</w:t>
      </w:r>
      <w:bookmarkEnd w:id="83"/>
      <w:r w:rsidRPr="004370C6">
        <w:rPr>
          <w:rFonts w:ascii="Arial" w:hAnsi="Arial" w:cs="Arial"/>
          <w:color w:val="auto"/>
        </w:rPr>
        <w:t> </w:t>
      </w:r>
    </w:p>
    <w:tbl>
      <w:tblPr>
        <w:tblW w:w="11724" w:type="dxa"/>
        <w:tblInd w:w="-1145" w:type="dxa"/>
        <w:tblCellMar>
          <w:top w:w="15" w:type="dxa"/>
          <w:bottom w:w="15" w:type="dxa"/>
        </w:tblCellMar>
        <w:tblLook w:val="04A0" w:firstRow="1" w:lastRow="0" w:firstColumn="1" w:lastColumn="0" w:noHBand="0" w:noVBand="1"/>
      </w:tblPr>
      <w:tblGrid>
        <w:gridCol w:w="4279"/>
        <w:gridCol w:w="222"/>
        <w:gridCol w:w="1151"/>
        <w:gridCol w:w="1034"/>
        <w:gridCol w:w="940"/>
        <w:gridCol w:w="1292"/>
        <w:gridCol w:w="1291"/>
        <w:gridCol w:w="1279"/>
        <w:gridCol w:w="236"/>
      </w:tblGrid>
      <w:tr w:rsidR="002C4B93" w:rsidRPr="004370C6" w14:paraId="30D0D5A6" w14:textId="77777777" w:rsidTr="002C4B93">
        <w:trPr>
          <w:gridAfter w:val="1"/>
          <w:wAfter w:w="236" w:type="dxa"/>
          <w:trHeight w:val="525"/>
        </w:trPr>
        <w:tc>
          <w:tcPr>
            <w:tcW w:w="4279" w:type="dxa"/>
            <w:vMerge w:val="restart"/>
            <w:tcBorders>
              <w:top w:val="single" w:sz="4" w:space="0" w:color="auto"/>
              <w:left w:val="single" w:sz="4" w:space="0" w:color="auto"/>
              <w:bottom w:val="single" w:sz="4" w:space="0" w:color="000000"/>
              <w:right w:val="nil"/>
            </w:tcBorders>
            <w:vAlign w:val="center"/>
            <w:hideMark/>
          </w:tcPr>
          <w:p w14:paraId="3F785E6C"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Statement of Capital Works</w:t>
            </w:r>
          </w:p>
        </w:tc>
        <w:tc>
          <w:tcPr>
            <w:tcW w:w="222" w:type="dxa"/>
            <w:vMerge w:val="restart"/>
            <w:tcBorders>
              <w:top w:val="single" w:sz="4" w:space="0" w:color="auto"/>
              <w:left w:val="nil"/>
              <w:bottom w:val="single" w:sz="4" w:space="0" w:color="000000"/>
              <w:right w:val="nil"/>
            </w:tcBorders>
            <w:textDirection w:val="btLr"/>
            <w:vAlign w:val="center"/>
            <w:hideMark/>
          </w:tcPr>
          <w:p w14:paraId="07CB2663"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p>
        </w:tc>
        <w:tc>
          <w:tcPr>
            <w:tcW w:w="1151" w:type="dxa"/>
            <w:vMerge w:val="restart"/>
            <w:tcBorders>
              <w:top w:val="single" w:sz="4" w:space="0" w:color="auto"/>
              <w:left w:val="nil"/>
              <w:bottom w:val="single" w:sz="4" w:space="0" w:color="000000"/>
              <w:right w:val="nil"/>
            </w:tcBorders>
            <w:vAlign w:val="center"/>
            <w:hideMark/>
          </w:tcPr>
          <w:p w14:paraId="178C4C94"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YTD</w:t>
            </w:r>
            <w:r w:rsidRPr="004370C6">
              <w:rPr>
                <w:rFonts w:ascii="Arial" w:eastAsia="Times New Roman" w:hAnsi="Arial" w:cs="Arial"/>
                <w:sz w:val="18"/>
                <w:szCs w:val="18"/>
                <w:lang w:val="en-AU" w:eastAsia="en-AU"/>
              </w:rPr>
              <w:br/>
              <w:t>Budget</w:t>
            </w:r>
          </w:p>
        </w:tc>
        <w:tc>
          <w:tcPr>
            <w:tcW w:w="1034" w:type="dxa"/>
            <w:vMerge w:val="restart"/>
            <w:tcBorders>
              <w:top w:val="single" w:sz="4" w:space="0" w:color="auto"/>
              <w:left w:val="nil"/>
              <w:bottom w:val="single" w:sz="4" w:space="0" w:color="000000"/>
              <w:right w:val="nil"/>
            </w:tcBorders>
            <w:vAlign w:val="center"/>
            <w:hideMark/>
          </w:tcPr>
          <w:p w14:paraId="7C628E79"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YTD</w:t>
            </w:r>
            <w:r w:rsidRPr="004370C6">
              <w:rPr>
                <w:rFonts w:ascii="Arial" w:eastAsia="Times New Roman" w:hAnsi="Arial" w:cs="Arial"/>
                <w:sz w:val="18"/>
                <w:szCs w:val="18"/>
                <w:lang w:val="en-AU" w:eastAsia="en-AU"/>
              </w:rPr>
              <w:br/>
              <w:t>Actuals</w:t>
            </w:r>
          </w:p>
        </w:tc>
        <w:tc>
          <w:tcPr>
            <w:tcW w:w="940" w:type="dxa"/>
            <w:vMerge w:val="restart"/>
            <w:tcBorders>
              <w:top w:val="single" w:sz="4" w:space="0" w:color="auto"/>
              <w:left w:val="nil"/>
              <w:bottom w:val="single" w:sz="4" w:space="0" w:color="000000"/>
              <w:right w:val="nil"/>
            </w:tcBorders>
            <w:vAlign w:val="center"/>
            <w:hideMark/>
          </w:tcPr>
          <w:p w14:paraId="6C00A773"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YTD</w:t>
            </w:r>
            <w:r w:rsidRPr="004370C6">
              <w:rPr>
                <w:rFonts w:ascii="Arial" w:eastAsia="Times New Roman" w:hAnsi="Arial" w:cs="Arial"/>
                <w:sz w:val="18"/>
                <w:szCs w:val="18"/>
                <w:lang w:val="en-AU" w:eastAsia="en-AU"/>
              </w:rPr>
              <w:br/>
              <w:t>Variance</w:t>
            </w:r>
          </w:p>
        </w:tc>
        <w:tc>
          <w:tcPr>
            <w:tcW w:w="1292" w:type="dxa"/>
            <w:vMerge w:val="restart"/>
            <w:tcBorders>
              <w:top w:val="single" w:sz="4" w:space="0" w:color="auto"/>
              <w:left w:val="single" w:sz="4" w:space="0" w:color="auto"/>
              <w:bottom w:val="single" w:sz="4" w:space="0" w:color="000000"/>
              <w:right w:val="single" w:sz="4" w:space="0" w:color="auto"/>
            </w:tcBorders>
            <w:vAlign w:val="center"/>
            <w:hideMark/>
          </w:tcPr>
          <w:p w14:paraId="7024CB67"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Adopted</w:t>
            </w:r>
            <w:r w:rsidRPr="004370C6">
              <w:rPr>
                <w:rFonts w:ascii="Arial" w:eastAsia="Times New Roman" w:hAnsi="Arial" w:cs="Arial"/>
                <w:sz w:val="18"/>
                <w:szCs w:val="18"/>
                <w:lang w:val="en-AU" w:eastAsia="en-AU"/>
              </w:rPr>
              <w:br/>
              <w:t>Budget</w:t>
            </w:r>
          </w:p>
        </w:tc>
        <w:tc>
          <w:tcPr>
            <w:tcW w:w="1291" w:type="dxa"/>
            <w:vMerge w:val="restart"/>
            <w:tcBorders>
              <w:top w:val="single" w:sz="4" w:space="0" w:color="auto"/>
              <w:left w:val="nil"/>
              <w:bottom w:val="single" w:sz="4" w:space="0" w:color="000000"/>
              <w:right w:val="nil"/>
            </w:tcBorders>
            <w:vAlign w:val="center"/>
            <w:hideMark/>
          </w:tcPr>
          <w:p w14:paraId="4E9C2C86"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Forecast</w:t>
            </w:r>
          </w:p>
        </w:tc>
        <w:tc>
          <w:tcPr>
            <w:tcW w:w="1279" w:type="dxa"/>
            <w:vMerge w:val="restart"/>
            <w:tcBorders>
              <w:top w:val="single" w:sz="4" w:space="0" w:color="auto"/>
              <w:left w:val="nil"/>
              <w:bottom w:val="single" w:sz="4" w:space="0" w:color="000000"/>
              <w:right w:val="single" w:sz="4" w:space="0" w:color="auto"/>
            </w:tcBorders>
            <w:vAlign w:val="center"/>
            <w:hideMark/>
          </w:tcPr>
          <w:p w14:paraId="5864DF21"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Annual Variance</w:t>
            </w:r>
          </w:p>
        </w:tc>
      </w:tr>
      <w:tr w:rsidR="002C4B93" w:rsidRPr="004370C6" w14:paraId="57924E54" w14:textId="77777777" w:rsidTr="002C4B93">
        <w:trPr>
          <w:trHeight w:val="255"/>
        </w:trPr>
        <w:tc>
          <w:tcPr>
            <w:tcW w:w="4279" w:type="dxa"/>
            <w:vMerge/>
            <w:tcBorders>
              <w:top w:val="single" w:sz="4" w:space="0" w:color="000000"/>
              <w:left w:val="single" w:sz="4" w:space="0" w:color="auto"/>
              <w:bottom w:val="single" w:sz="4" w:space="0" w:color="auto"/>
              <w:right w:val="nil"/>
            </w:tcBorders>
            <w:vAlign w:val="center"/>
            <w:hideMark/>
          </w:tcPr>
          <w:p w14:paraId="56A100EB"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222" w:type="dxa"/>
            <w:vMerge/>
            <w:tcBorders>
              <w:top w:val="single" w:sz="4" w:space="0" w:color="000000"/>
              <w:left w:val="nil"/>
              <w:bottom w:val="single" w:sz="4" w:space="0" w:color="auto"/>
              <w:right w:val="nil"/>
            </w:tcBorders>
            <w:vAlign w:val="center"/>
            <w:hideMark/>
          </w:tcPr>
          <w:p w14:paraId="79AD1960"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vMerge/>
            <w:tcBorders>
              <w:top w:val="single" w:sz="4" w:space="0" w:color="000000"/>
              <w:left w:val="nil"/>
              <w:bottom w:val="single" w:sz="4" w:space="0" w:color="auto"/>
              <w:right w:val="nil"/>
            </w:tcBorders>
            <w:vAlign w:val="center"/>
            <w:hideMark/>
          </w:tcPr>
          <w:p w14:paraId="00B36832"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034" w:type="dxa"/>
            <w:vMerge/>
            <w:tcBorders>
              <w:top w:val="single" w:sz="4" w:space="0" w:color="000000"/>
              <w:left w:val="nil"/>
              <w:bottom w:val="single" w:sz="4" w:space="0" w:color="auto"/>
              <w:right w:val="nil"/>
            </w:tcBorders>
            <w:vAlign w:val="center"/>
            <w:hideMark/>
          </w:tcPr>
          <w:p w14:paraId="7DB1046D"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940" w:type="dxa"/>
            <w:vMerge/>
            <w:tcBorders>
              <w:top w:val="single" w:sz="4" w:space="0" w:color="000000"/>
              <w:left w:val="nil"/>
              <w:bottom w:val="single" w:sz="4" w:space="0" w:color="auto"/>
              <w:right w:val="nil"/>
            </w:tcBorders>
            <w:vAlign w:val="center"/>
            <w:hideMark/>
          </w:tcPr>
          <w:p w14:paraId="0B03C7A2"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292" w:type="dxa"/>
            <w:vMerge/>
            <w:tcBorders>
              <w:top w:val="single" w:sz="4" w:space="0" w:color="000000"/>
              <w:left w:val="single" w:sz="4" w:space="0" w:color="auto"/>
              <w:bottom w:val="single" w:sz="4" w:space="0" w:color="auto"/>
              <w:right w:val="single" w:sz="4" w:space="0" w:color="auto"/>
            </w:tcBorders>
            <w:vAlign w:val="center"/>
            <w:hideMark/>
          </w:tcPr>
          <w:p w14:paraId="2B0E3E6F"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291" w:type="dxa"/>
            <w:vMerge/>
            <w:tcBorders>
              <w:top w:val="single" w:sz="4" w:space="0" w:color="000000"/>
              <w:left w:val="nil"/>
              <w:bottom w:val="single" w:sz="4" w:space="0" w:color="auto"/>
              <w:right w:val="nil"/>
            </w:tcBorders>
            <w:vAlign w:val="center"/>
            <w:hideMark/>
          </w:tcPr>
          <w:p w14:paraId="5C7E0516"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279" w:type="dxa"/>
            <w:vMerge/>
            <w:tcBorders>
              <w:top w:val="single" w:sz="4" w:space="0" w:color="000000"/>
              <w:left w:val="nil"/>
              <w:bottom w:val="single" w:sz="4" w:space="0" w:color="auto"/>
              <w:right w:val="nil"/>
            </w:tcBorders>
            <w:vAlign w:val="center"/>
            <w:hideMark/>
          </w:tcPr>
          <w:p w14:paraId="6995F1E2"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236" w:type="dxa"/>
            <w:tcBorders>
              <w:top w:val="single" w:sz="4" w:space="0" w:color="000000"/>
              <w:left w:val="nil"/>
              <w:bottom w:val="single" w:sz="4" w:space="0" w:color="auto"/>
              <w:right w:val="single" w:sz="4" w:space="0" w:color="auto"/>
            </w:tcBorders>
            <w:noWrap/>
            <w:vAlign w:val="bottom"/>
            <w:hideMark/>
          </w:tcPr>
          <w:p w14:paraId="386D6396"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p>
        </w:tc>
      </w:tr>
      <w:tr w:rsidR="002C4B93" w:rsidRPr="004370C6" w14:paraId="11A2AB43" w14:textId="77777777" w:rsidTr="002C4B93">
        <w:trPr>
          <w:trHeight w:val="255"/>
        </w:trPr>
        <w:tc>
          <w:tcPr>
            <w:tcW w:w="4279" w:type="dxa"/>
            <w:vMerge/>
            <w:tcBorders>
              <w:top w:val="single" w:sz="4" w:space="0" w:color="auto"/>
              <w:left w:val="single" w:sz="4" w:space="0" w:color="auto"/>
              <w:bottom w:val="nil"/>
              <w:right w:val="nil"/>
            </w:tcBorders>
            <w:vAlign w:val="center"/>
            <w:hideMark/>
          </w:tcPr>
          <w:p w14:paraId="22D3C861"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222" w:type="dxa"/>
            <w:vMerge/>
            <w:tcBorders>
              <w:top w:val="single" w:sz="4" w:space="0" w:color="auto"/>
              <w:left w:val="nil"/>
              <w:bottom w:val="nil"/>
              <w:right w:val="nil"/>
            </w:tcBorders>
            <w:vAlign w:val="center"/>
            <w:hideMark/>
          </w:tcPr>
          <w:p w14:paraId="31BAFF3D"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single" w:sz="4" w:space="0" w:color="auto"/>
              <w:left w:val="nil"/>
              <w:bottom w:val="single" w:sz="4" w:space="0" w:color="auto"/>
              <w:right w:val="nil"/>
            </w:tcBorders>
            <w:vAlign w:val="center"/>
            <w:hideMark/>
          </w:tcPr>
          <w:p w14:paraId="6DDEA45E"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1034" w:type="dxa"/>
            <w:tcBorders>
              <w:top w:val="single" w:sz="4" w:space="0" w:color="auto"/>
              <w:left w:val="nil"/>
              <w:bottom w:val="single" w:sz="4" w:space="0" w:color="auto"/>
              <w:right w:val="nil"/>
            </w:tcBorders>
            <w:vAlign w:val="center"/>
            <w:hideMark/>
          </w:tcPr>
          <w:p w14:paraId="1154A8DB"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940" w:type="dxa"/>
            <w:tcBorders>
              <w:top w:val="single" w:sz="4" w:space="0" w:color="auto"/>
              <w:left w:val="nil"/>
              <w:bottom w:val="single" w:sz="4" w:space="0" w:color="auto"/>
              <w:right w:val="nil"/>
            </w:tcBorders>
            <w:vAlign w:val="center"/>
            <w:hideMark/>
          </w:tcPr>
          <w:p w14:paraId="77DE9307"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0BB5999"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1291" w:type="dxa"/>
            <w:tcBorders>
              <w:top w:val="single" w:sz="4" w:space="0" w:color="auto"/>
              <w:left w:val="nil"/>
              <w:bottom w:val="single" w:sz="4" w:space="0" w:color="auto"/>
              <w:right w:val="nil"/>
            </w:tcBorders>
            <w:vAlign w:val="center"/>
            <w:hideMark/>
          </w:tcPr>
          <w:p w14:paraId="1E690558"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1279" w:type="dxa"/>
            <w:tcBorders>
              <w:top w:val="single" w:sz="4" w:space="0" w:color="auto"/>
              <w:left w:val="nil"/>
              <w:bottom w:val="single" w:sz="4" w:space="0" w:color="auto"/>
              <w:right w:val="nil"/>
            </w:tcBorders>
            <w:vAlign w:val="center"/>
            <w:hideMark/>
          </w:tcPr>
          <w:p w14:paraId="3DFED4BD"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$’000</w:t>
            </w:r>
          </w:p>
        </w:tc>
        <w:tc>
          <w:tcPr>
            <w:tcW w:w="236" w:type="dxa"/>
            <w:tcBorders>
              <w:top w:val="single" w:sz="4" w:space="0" w:color="auto"/>
              <w:right w:val="single" w:sz="4" w:space="0" w:color="auto"/>
            </w:tcBorders>
            <w:vAlign w:val="center"/>
            <w:hideMark/>
          </w:tcPr>
          <w:p w14:paraId="74343358"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701BBF46" w14:textId="77777777" w:rsidTr="002C4B93">
        <w:trPr>
          <w:trHeight w:val="255"/>
        </w:trPr>
        <w:tc>
          <w:tcPr>
            <w:tcW w:w="4279" w:type="dxa"/>
            <w:tcBorders>
              <w:top w:val="nil"/>
              <w:left w:val="single" w:sz="4" w:space="0" w:color="auto"/>
              <w:bottom w:val="nil"/>
              <w:right w:val="nil"/>
            </w:tcBorders>
            <w:vAlign w:val="center"/>
            <w:hideMark/>
          </w:tcPr>
          <w:p w14:paraId="2890D939"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Property</w:t>
            </w:r>
          </w:p>
        </w:tc>
        <w:tc>
          <w:tcPr>
            <w:tcW w:w="222" w:type="dxa"/>
            <w:tcBorders>
              <w:top w:val="nil"/>
              <w:left w:val="nil"/>
              <w:bottom w:val="nil"/>
              <w:right w:val="nil"/>
            </w:tcBorders>
            <w:vAlign w:val="center"/>
            <w:hideMark/>
          </w:tcPr>
          <w:p w14:paraId="57EA15CE"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noWrap/>
            <w:vAlign w:val="center"/>
            <w:hideMark/>
          </w:tcPr>
          <w:p w14:paraId="4A535F38"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1034" w:type="dxa"/>
            <w:tcBorders>
              <w:top w:val="nil"/>
              <w:left w:val="nil"/>
              <w:bottom w:val="nil"/>
              <w:right w:val="nil"/>
            </w:tcBorders>
            <w:noWrap/>
            <w:vAlign w:val="center"/>
            <w:hideMark/>
          </w:tcPr>
          <w:p w14:paraId="7B78C9F2"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940" w:type="dxa"/>
            <w:tcBorders>
              <w:top w:val="single" w:sz="4" w:space="0" w:color="auto"/>
              <w:left w:val="nil"/>
              <w:bottom w:val="nil"/>
              <w:right w:val="nil"/>
            </w:tcBorders>
            <w:noWrap/>
            <w:vAlign w:val="center"/>
            <w:hideMark/>
          </w:tcPr>
          <w:p w14:paraId="63E84A9D"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1292" w:type="dxa"/>
            <w:tcBorders>
              <w:top w:val="single" w:sz="4" w:space="0" w:color="auto"/>
              <w:left w:val="single" w:sz="4" w:space="0" w:color="auto"/>
              <w:bottom w:val="nil"/>
              <w:right w:val="single" w:sz="4" w:space="0" w:color="auto"/>
            </w:tcBorders>
            <w:noWrap/>
            <w:vAlign w:val="center"/>
            <w:hideMark/>
          </w:tcPr>
          <w:p w14:paraId="6183530F" w14:textId="77777777" w:rsidR="00CC18AD" w:rsidRPr="004370C6" w:rsidRDefault="00CC18AD" w:rsidP="00CC18AD">
            <w:pPr>
              <w:spacing w:after="0" w:line="240" w:lineRule="auto"/>
              <w:jc w:val="center"/>
              <w:rPr>
                <w:rFonts w:ascii="Arial" w:eastAsia="Times New Roman" w:hAnsi="Arial" w:cs="Arial"/>
                <w:sz w:val="20"/>
                <w:szCs w:val="20"/>
                <w:lang w:val="en-AU" w:eastAsia="en-AU"/>
              </w:rPr>
            </w:pPr>
          </w:p>
        </w:tc>
        <w:tc>
          <w:tcPr>
            <w:tcW w:w="1291" w:type="dxa"/>
            <w:tcBorders>
              <w:top w:val="nil"/>
              <w:left w:val="nil"/>
              <w:bottom w:val="nil"/>
              <w:right w:val="nil"/>
            </w:tcBorders>
            <w:noWrap/>
            <w:vAlign w:val="center"/>
            <w:hideMark/>
          </w:tcPr>
          <w:p w14:paraId="0616411E"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1279" w:type="dxa"/>
            <w:tcBorders>
              <w:top w:val="single" w:sz="4" w:space="0" w:color="auto"/>
              <w:left w:val="nil"/>
              <w:bottom w:val="nil"/>
              <w:right w:val="nil"/>
            </w:tcBorders>
            <w:noWrap/>
            <w:vAlign w:val="center"/>
            <w:hideMark/>
          </w:tcPr>
          <w:p w14:paraId="1ECCC722"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236" w:type="dxa"/>
            <w:tcBorders>
              <w:right w:val="single" w:sz="4" w:space="0" w:color="auto"/>
            </w:tcBorders>
            <w:vAlign w:val="center"/>
            <w:hideMark/>
          </w:tcPr>
          <w:p w14:paraId="310035C6"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2A9CFC3B" w14:textId="77777777" w:rsidTr="002C4B93">
        <w:trPr>
          <w:trHeight w:val="255"/>
        </w:trPr>
        <w:tc>
          <w:tcPr>
            <w:tcW w:w="4279" w:type="dxa"/>
            <w:tcBorders>
              <w:top w:val="nil"/>
              <w:left w:val="single" w:sz="4" w:space="0" w:color="auto"/>
              <w:bottom w:val="nil"/>
              <w:right w:val="nil"/>
            </w:tcBorders>
            <w:vAlign w:val="center"/>
            <w:hideMark/>
          </w:tcPr>
          <w:p w14:paraId="7385D22B"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Buildings</w:t>
            </w:r>
          </w:p>
        </w:tc>
        <w:tc>
          <w:tcPr>
            <w:tcW w:w="222" w:type="dxa"/>
            <w:tcBorders>
              <w:top w:val="nil"/>
              <w:left w:val="nil"/>
              <w:bottom w:val="nil"/>
              <w:right w:val="nil"/>
            </w:tcBorders>
            <w:vAlign w:val="center"/>
            <w:hideMark/>
          </w:tcPr>
          <w:p w14:paraId="6FDCB1A1"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009770FE"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7,361 </w:t>
            </w:r>
          </w:p>
        </w:tc>
        <w:tc>
          <w:tcPr>
            <w:tcW w:w="1034" w:type="dxa"/>
            <w:tcBorders>
              <w:top w:val="nil"/>
              <w:left w:val="nil"/>
              <w:bottom w:val="nil"/>
              <w:right w:val="nil"/>
            </w:tcBorders>
            <w:vAlign w:val="center"/>
            <w:hideMark/>
          </w:tcPr>
          <w:p w14:paraId="4CD66B5B"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3,212 </w:t>
            </w:r>
          </w:p>
        </w:tc>
        <w:tc>
          <w:tcPr>
            <w:tcW w:w="940" w:type="dxa"/>
            <w:tcBorders>
              <w:top w:val="nil"/>
              <w:left w:val="nil"/>
              <w:bottom w:val="nil"/>
              <w:right w:val="nil"/>
            </w:tcBorders>
            <w:vAlign w:val="center"/>
            <w:hideMark/>
          </w:tcPr>
          <w:p w14:paraId="58E16CE8"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4,150 </w:t>
            </w:r>
          </w:p>
        </w:tc>
        <w:tc>
          <w:tcPr>
            <w:tcW w:w="1292" w:type="dxa"/>
            <w:tcBorders>
              <w:top w:val="nil"/>
              <w:left w:val="single" w:sz="4" w:space="0" w:color="auto"/>
              <w:bottom w:val="nil"/>
              <w:right w:val="single" w:sz="4" w:space="0" w:color="auto"/>
            </w:tcBorders>
            <w:vAlign w:val="center"/>
            <w:hideMark/>
          </w:tcPr>
          <w:p w14:paraId="5B1BE655"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13,489 </w:t>
            </w:r>
          </w:p>
        </w:tc>
        <w:tc>
          <w:tcPr>
            <w:tcW w:w="1291" w:type="dxa"/>
            <w:tcBorders>
              <w:top w:val="nil"/>
              <w:left w:val="nil"/>
              <w:bottom w:val="nil"/>
              <w:right w:val="nil"/>
            </w:tcBorders>
            <w:vAlign w:val="center"/>
            <w:hideMark/>
          </w:tcPr>
          <w:p w14:paraId="586033DA"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11,513 </w:t>
            </w:r>
          </w:p>
        </w:tc>
        <w:tc>
          <w:tcPr>
            <w:tcW w:w="1279" w:type="dxa"/>
            <w:tcBorders>
              <w:top w:val="nil"/>
              <w:left w:val="nil"/>
              <w:bottom w:val="nil"/>
              <w:right w:val="nil"/>
            </w:tcBorders>
            <w:vAlign w:val="center"/>
            <w:hideMark/>
          </w:tcPr>
          <w:p w14:paraId="7DB21E63"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1,976 </w:t>
            </w:r>
          </w:p>
        </w:tc>
        <w:tc>
          <w:tcPr>
            <w:tcW w:w="236" w:type="dxa"/>
            <w:tcBorders>
              <w:right w:val="single" w:sz="4" w:space="0" w:color="auto"/>
            </w:tcBorders>
            <w:vAlign w:val="center"/>
            <w:hideMark/>
          </w:tcPr>
          <w:p w14:paraId="3544C742"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4FD2C266" w14:textId="77777777" w:rsidTr="002C4B93">
        <w:trPr>
          <w:trHeight w:val="255"/>
        </w:trPr>
        <w:tc>
          <w:tcPr>
            <w:tcW w:w="4279" w:type="dxa"/>
            <w:tcBorders>
              <w:top w:val="single" w:sz="4" w:space="0" w:color="auto"/>
              <w:left w:val="single" w:sz="4" w:space="0" w:color="auto"/>
              <w:bottom w:val="single" w:sz="4" w:space="0" w:color="auto"/>
              <w:right w:val="nil"/>
            </w:tcBorders>
            <w:vAlign w:val="center"/>
            <w:hideMark/>
          </w:tcPr>
          <w:p w14:paraId="63852153"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Total property</w:t>
            </w:r>
          </w:p>
        </w:tc>
        <w:tc>
          <w:tcPr>
            <w:tcW w:w="222" w:type="dxa"/>
            <w:tcBorders>
              <w:top w:val="single" w:sz="4" w:space="0" w:color="auto"/>
              <w:left w:val="nil"/>
              <w:bottom w:val="single" w:sz="4" w:space="0" w:color="auto"/>
              <w:right w:val="nil"/>
            </w:tcBorders>
            <w:vAlign w:val="center"/>
            <w:hideMark/>
          </w:tcPr>
          <w:p w14:paraId="055C4858"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single" w:sz="4" w:space="0" w:color="auto"/>
              <w:left w:val="nil"/>
              <w:bottom w:val="single" w:sz="4" w:space="0" w:color="auto"/>
              <w:right w:val="nil"/>
            </w:tcBorders>
            <w:vAlign w:val="center"/>
            <w:hideMark/>
          </w:tcPr>
          <w:p w14:paraId="40500D9E"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7,361 </w:t>
            </w:r>
          </w:p>
        </w:tc>
        <w:tc>
          <w:tcPr>
            <w:tcW w:w="1034" w:type="dxa"/>
            <w:tcBorders>
              <w:top w:val="single" w:sz="4" w:space="0" w:color="auto"/>
              <w:left w:val="nil"/>
              <w:bottom w:val="single" w:sz="4" w:space="0" w:color="auto"/>
              <w:right w:val="nil"/>
            </w:tcBorders>
            <w:vAlign w:val="center"/>
            <w:hideMark/>
          </w:tcPr>
          <w:p w14:paraId="5A274256"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3,212 </w:t>
            </w:r>
          </w:p>
        </w:tc>
        <w:tc>
          <w:tcPr>
            <w:tcW w:w="940" w:type="dxa"/>
            <w:tcBorders>
              <w:top w:val="single" w:sz="4" w:space="0" w:color="auto"/>
              <w:left w:val="nil"/>
              <w:bottom w:val="single" w:sz="4" w:space="0" w:color="auto"/>
              <w:right w:val="nil"/>
            </w:tcBorders>
            <w:vAlign w:val="center"/>
            <w:hideMark/>
          </w:tcPr>
          <w:p w14:paraId="2F28B236"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4,150 </w:t>
            </w:r>
          </w:p>
        </w:tc>
        <w:tc>
          <w:tcPr>
            <w:tcW w:w="1292" w:type="dxa"/>
            <w:tcBorders>
              <w:top w:val="single" w:sz="4" w:space="0" w:color="auto"/>
              <w:left w:val="single" w:sz="4" w:space="0" w:color="auto"/>
              <w:bottom w:val="single" w:sz="4" w:space="0" w:color="auto"/>
              <w:right w:val="single" w:sz="4" w:space="0" w:color="auto"/>
            </w:tcBorders>
            <w:vAlign w:val="center"/>
            <w:hideMark/>
          </w:tcPr>
          <w:p w14:paraId="47499AB5"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13,489 </w:t>
            </w:r>
          </w:p>
        </w:tc>
        <w:tc>
          <w:tcPr>
            <w:tcW w:w="1291" w:type="dxa"/>
            <w:tcBorders>
              <w:top w:val="single" w:sz="4" w:space="0" w:color="auto"/>
              <w:left w:val="nil"/>
              <w:bottom w:val="single" w:sz="4" w:space="0" w:color="auto"/>
              <w:right w:val="nil"/>
            </w:tcBorders>
            <w:vAlign w:val="center"/>
            <w:hideMark/>
          </w:tcPr>
          <w:p w14:paraId="6DC0EA77"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11,513 </w:t>
            </w:r>
          </w:p>
        </w:tc>
        <w:tc>
          <w:tcPr>
            <w:tcW w:w="1279" w:type="dxa"/>
            <w:tcBorders>
              <w:top w:val="single" w:sz="4" w:space="0" w:color="auto"/>
              <w:left w:val="nil"/>
              <w:bottom w:val="single" w:sz="4" w:space="0" w:color="auto"/>
              <w:right w:val="nil"/>
            </w:tcBorders>
            <w:vAlign w:val="center"/>
            <w:hideMark/>
          </w:tcPr>
          <w:p w14:paraId="1CEFD9D5"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1,976 </w:t>
            </w:r>
          </w:p>
        </w:tc>
        <w:tc>
          <w:tcPr>
            <w:tcW w:w="236" w:type="dxa"/>
            <w:tcBorders>
              <w:right w:val="single" w:sz="4" w:space="0" w:color="auto"/>
            </w:tcBorders>
            <w:vAlign w:val="center"/>
            <w:hideMark/>
          </w:tcPr>
          <w:p w14:paraId="38848AEF"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53A07E89" w14:textId="77777777" w:rsidTr="002C4B93">
        <w:trPr>
          <w:trHeight w:val="255"/>
        </w:trPr>
        <w:tc>
          <w:tcPr>
            <w:tcW w:w="4279" w:type="dxa"/>
            <w:tcBorders>
              <w:top w:val="nil"/>
              <w:left w:val="single" w:sz="4" w:space="0" w:color="auto"/>
              <w:bottom w:val="nil"/>
              <w:right w:val="nil"/>
            </w:tcBorders>
            <w:vAlign w:val="center"/>
            <w:hideMark/>
          </w:tcPr>
          <w:p w14:paraId="63789925"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Plant and equipment</w:t>
            </w:r>
          </w:p>
        </w:tc>
        <w:tc>
          <w:tcPr>
            <w:tcW w:w="222" w:type="dxa"/>
            <w:tcBorders>
              <w:top w:val="nil"/>
              <w:left w:val="nil"/>
              <w:bottom w:val="nil"/>
              <w:right w:val="nil"/>
            </w:tcBorders>
            <w:vAlign w:val="center"/>
            <w:hideMark/>
          </w:tcPr>
          <w:p w14:paraId="24981555"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79771F23"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1034" w:type="dxa"/>
            <w:tcBorders>
              <w:top w:val="nil"/>
              <w:left w:val="nil"/>
              <w:bottom w:val="nil"/>
              <w:right w:val="nil"/>
            </w:tcBorders>
            <w:vAlign w:val="center"/>
            <w:hideMark/>
          </w:tcPr>
          <w:p w14:paraId="69F289EF"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940" w:type="dxa"/>
            <w:tcBorders>
              <w:top w:val="single" w:sz="4" w:space="0" w:color="auto"/>
              <w:left w:val="nil"/>
              <w:bottom w:val="nil"/>
              <w:right w:val="nil"/>
            </w:tcBorders>
            <w:noWrap/>
            <w:vAlign w:val="center"/>
            <w:hideMark/>
          </w:tcPr>
          <w:p w14:paraId="18A2785C"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1292" w:type="dxa"/>
            <w:tcBorders>
              <w:top w:val="nil"/>
              <w:left w:val="single" w:sz="4" w:space="0" w:color="auto"/>
              <w:bottom w:val="nil"/>
              <w:right w:val="single" w:sz="4" w:space="0" w:color="auto"/>
            </w:tcBorders>
            <w:vAlign w:val="center"/>
            <w:hideMark/>
          </w:tcPr>
          <w:p w14:paraId="2BF00F6E" w14:textId="77777777" w:rsidR="00CC18AD" w:rsidRPr="004370C6" w:rsidRDefault="00CC18AD" w:rsidP="00CC18AD">
            <w:pPr>
              <w:spacing w:after="0" w:line="240" w:lineRule="auto"/>
              <w:jc w:val="center"/>
              <w:rPr>
                <w:rFonts w:ascii="Arial" w:eastAsia="Times New Roman" w:hAnsi="Arial" w:cs="Arial"/>
                <w:sz w:val="20"/>
                <w:szCs w:val="20"/>
                <w:lang w:val="en-AU" w:eastAsia="en-AU"/>
              </w:rPr>
            </w:pPr>
          </w:p>
        </w:tc>
        <w:tc>
          <w:tcPr>
            <w:tcW w:w="1291" w:type="dxa"/>
            <w:tcBorders>
              <w:top w:val="nil"/>
              <w:left w:val="nil"/>
              <w:bottom w:val="nil"/>
              <w:right w:val="nil"/>
            </w:tcBorders>
            <w:vAlign w:val="center"/>
            <w:hideMark/>
          </w:tcPr>
          <w:p w14:paraId="338CB6AB"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1279" w:type="dxa"/>
            <w:tcBorders>
              <w:top w:val="single" w:sz="4" w:space="0" w:color="auto"/>
              <w:left w:val="nil"/>
              <w:bottom w:val="nil"/>
              <w:right w:val="nil"/>
            </w:tcBorders>
            <w:noWrap/>
            <w:vAlign w:val="center"/>
            <w:hideMark/>
          </w:tcPr>
          <w:p w14:paraId="38489171"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236" w:type="dxa"/>
            <w:tcBorders>
              <w:right w:val="single" w:sz="4" w:space="0" w:color="auto"/>
            </w:tcBorders>
            <w:vAlign w:val="center"/>
            <w:hideMark/>
          </w:tcPr>
          <w:p w14:paraId="5300754A"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689BEE78" w14:textId="77777777" w:rsidTr="002C4B93">
        <w:trPr>
          <w:trHeight w:val="495"/>
        </w:trPr>
        <w:tc>
          <w:tcPr>
            <w:tcW w:w="4279" w:type="dxa"/>
            <w:tcBorders>
              <w:top w:val="nil"/>
              <w:left w:val="single" w:sz="4" w:space="0" w:color="auto"/>
              <w:bottom w:val="nil"/>
              <w:right w:val="nil"/>
            </w:tcBorders>
            <w:vAlign w:val="center"/>
            <w:hideMark/>
          </w:tcPr>
          <w:p w14:paraId="4F2321C3"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Plant, machinery and equipment</w:t>
            </w:r>
          </w:p>
        </w:tc>
        <w:tc>
          <w:tcPr>
            <w:tcW w:w="222" w:type="dxa"/>
            <w:tcBorders>
              <w:top w:val="nil"/>
              <w:left w:val="nil"/>
              <w:bottom w:val="nil"/>
              <w:right w:val="nil"/>
            </w:tcBorders>
            <w:vAlign w:val="center"/>
            <w:hideMark/>
          </w:tcPr>
          <w:p w14:paraId="11D3276F"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6C9C8EE2"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50 </w:t>
            </w:r>
          </w:p>
        </w:tc>
        <w:tc>
          <w:tcPr>
            <w:tcW w:w="1034" w:type="dxa"/>
            <w:tcBorders>
              <w:top w:val="nil"/>
              <w:left w:val="nil"/>
              <w:bottom w:val="nil"/>
              <w:right w:val="nil"/>
            </w:tcBorders>
            <w:vAlign w:val="center"/>
            <w:hideMark/>
          </w:tcPr>
          <w:p w14:paraId="4D2271D5"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940" w:type="dxa"/>
            <w:tcBorders>
              <w:top w:val="nil"/>
              <w:left w:val="nil"/>
              <w:bottom w:val="nil"/>
              <w:right w:val="nil"/>
            </w:tcBorders>
            <w:vAlign w:val="center"/>
            <w:hideMark/>
          </w:tcPr>
          <w:p w14:paraId="3D75CA6D"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50 </w:t>
            </w:r>
          </w:p>
        </w:tc>
        <w:tc>
          <w:tcPr>
            <w:tcW w:w="1292" w:type="dxa"/>
            <w:tcBorders>
              <w:top w:val="nil"/>
              <w:left w:val="single" w:sz="4" w:space="0" w:color="auto"/>
              <w:bottom w:val="nil"/>
              <w:right w:val="single" w:sz="4" w:space="0" w:color="auto"/>
            </w:tcBorders>
            <w:vAlign w:val="center"/>
            <w:hideMark/>
          </w:tcPr>
          <w:p w14:paraId="6AE38D77"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50 </w:t>
            </w:r>
          </w:p>
        </w:tc>
        <w:tc>
          <w:tcPr>
            <w:tcW w:w="1291" w:type="dxa"/>
            <w:tcBorders>
              <w:top w:val="nil"/>
              <w:left w:val="nil"/>
              <w:bottom w:val="nil"/>
              <w:right w:val="nil"/>
            </w:tcBorders>
            <w:vAlign w:val="center"/>
            <w:hideMark/>
          </w:tcPr>
          <w:p w14:paraId="36B6EE37"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1279" w:type="dxa"/>
            <w:tcBorders>
              <w:top w:val="nil"/>
              <w:left w:val="nil"/>
              <w:bottom w:val="nil"/>
              <w:right w:val="nil"/>
            </w:tcBorders>
            <w:noWrap/>
            <w:vAlign w:val="center"/>
            <w:hideMark/>
          </w:tcPr>
          <w:p w14:paraId="22DD81AF"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50 </w:t>
            </w:r>
          </w:p>
        </w:tc>
        <w:tc>
          <w:tcPr>
            <w:tcW w:w="236" w:type="dxa"/>
            <w:tcBorders>
              <w:right w:val="single" w:sz="4" w:space="0" w:color="auto"/>
            </w:tcBorders>
            <w:vAlign w:val="center"/>
            <w:hideMark/>
          </w:tcPr>
          <w:p w14:paraId="26C4D7EA"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2F723213" w14:textId="77777777" w:rsidTr="002C4B93">
        <w:trPr>
          <w:trHeight w:val="255"/>
        </w:trPr>
        <w:tc>
          <w:tcPr>
            <w:tcW w:w="4279" w:type="dxa"/>
            <w:tcBorders>
              <w:top w:val="nil"/>
              <w:left w:val="single" w:sz="4" w:space="0" w:color="auto"/>
              <w:bottom w:val="nil"/>
              <w:right w:val="nil"/>
            </w:tcBorders>
            <w:noWrap/>
            <w:vAlign w:val="center"/>
            <w:hideMark/>
          </w:tcPr>
          <w:p w14:paraId="41184FDB"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Fixtures, Fittings and Furniture</w:t>
            </w:r>
          </w:p>
        </w:tc>
        <w:tc>
          <w:tcPr>
            <w:tcW w:w="222" w:type="dxa"/>
            <w:tcBorders>
              <w:top w:val="nil"/>
              <w:left w:val="nil"/>
              <w:bottom w:val="nil"/>
              <w:right w:val="nil"/>
            </w:tcBorders>
            <w:noWrap/>
            <w:vAlign w:val="center"/>
            <w:hideMark/>
          </w:tcPr>
          <w:p w14:paraId="5CBC4B5D"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3EA42193"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w:t>
            </w:r>
          </w:p>
        </w:tc>
        <w:tc>
          <w:tcPr>
            <w:tcW w:w="1034" w:type="dxa"/>
            <w:tcBorders>
              <w:top w:val="nil"/>
              <w:left w:val="nil"/>
              <w:bottom w:val="nil"/>
              <w:right w:val="nil"/>
            </w:tcBorders>
            <w:vAlign w:val="center"/>
            <w:hideMark/>
          </w:tcPr>
          <w:p w14:paraId="39A8E8BB"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940" w:type="dxa"/>
            <w:tcBorders>
              <w:top w:val="nil"/>
              <w:left w:val="nil"/>
              <w:bottom w:val="nil"/>
              <w:right w:val="nil"/>
            </w:tcBorders>
            <w:vAlign w:val="center"/>
            <w:hideMark/>
          </w:tcPr>
          <w:p w14:paraId="1FF53018"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1292" w:type="dxa"/>
            <w:tcBorders>
              <w:top w:val="nil"/>
              <w:left w:val="single" w:sz="4" w:space="0" w:color="auto"/>
              <w:bottom w:val="nil"/>
              <w:right w:val="single" w:sz="4" w:space="0" w:color="auto"/>
            </w:tcBorders>
            <w:vAlign w:val="center"/>
            <w:hideMark/>
          </w:tcPr>
          <w:p w14:paraId="1C42BA40"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1291" w:type="dxa"/>
            <w:tcBorders>
              <w:top w:val="nil"/>
              <w:left w:val="nil"/>
              <w:bottom w:val="nil"/>
              <w:right w:val="nil"/>
            </w:tcBorders>
            <w:vAlign w:val="center"/>
            <w:hideMark/>
          </w:tcPr>
          <w:p w14:paraId="46EFDF33"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1279" w:type="dxa"/>
            <w:tcBorders>
              <w:top w:val="nil"/>
              <w:left w:val="nil"/>
              <w:bottom w:val="nil"/>
              <w:right w:val="nil"/>
            </w:tcBorders>
            <w:noWrap/>
            <w:vAlign w:val="center"/>
            <w:hideMark/>
          </w:tcPr>
          <w:p w14:paraId="7B5278F9"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236" w:type="dxa"/>
            <w:tcBorders>
              <w:right w:val="single" w:sz="4" w:space="0" w:color="auto"/>
            </w:tcBorders>
            <w:vAlign w:val="center"/>
            <w:hideMark/>
          </w:tcPr>
          <w:p w14:paraId="25F7D34F"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6B47595D" w14:textId="77777777" w:rsidTr="002C4B93">
        <w:trPr>
          <w:trHeight w:val="255"/>
        </w:trPr>
        <w:tc>
          <w:tcPr>
            <w:tcW w:w="4279" w:type="dxa"/>
            <w:tcBorders>
              <w:top w:val="nil"/>
              <w:left w:val="single" w:sz="4" w:space="0" w:color="auto"/>
              <w:bottom w:val="nil"/>
              <w:right w:val="nil"/>
            </w:tcBorders>
            <w:noWrap/>
            <w:vAlign w:val="center"/>
            <w:hideMark/>
          </w:tcPr>
          <w:p w14:paraId="4AF7DB78"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Computers and telecommunications</w:t>
            </w:r>
          </w:p>
        </w:tc>
        <w:tc>
          <w:tcPr>
            <w:tcW w:w="222" w:type="dxa"/>
            <w:tcBorders>
              <w:top w:val="nil"/>
              <w:left w:val="nil"/>
              <w:bottom w:val="nil"/>
              <w:right w:val="nil"/>
            </w:tcBorders>
            <w:noWrap/>
            <w:vAlign w:val="center"/>
            <w:hideMark/>
          </w:tcPr>
          <w:p w14:paraId="21AB58E5"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457E1BEA"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820 </w:t>
            </w:r>
          </w:p>
        </w:tc>
        <w:tc>
          <w:tcPr>
            <w:tcW w:w="1034" w:type="dxa"/>
            <w:tcBorders>
              <w:top w:val="nil"/>
              <w:left w:val="nil"/>
              <w:bottom w:val="nil"/>
              <w:right w:val="nil"/>
            </w:tcBorders>
            <w:vAlign w:val="center"/>
            <w:hideMark/>
          </w:tcPr>
          <w:p w14:paraId="1201A7DE"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366 </w:t>
            </w:r>
          </w:p>
        </w:tc>
        <w:tc>
          <w:tcPr>
            <w:tcW w:w="940" w:type="dxa"/>
            <w:tcBorders>
              <w:top w:val="nil"/>
              <w:left w:val="nil"/>
              <w:bottom w:val="nil"/>
              <w:right w:val="nil"/>
            </w:tcBorders>
            <w:vAlign w:val="center"/>
            <w:hideMark/>
          </w:tcPr>
          <w:p w14:paraId="6491AA8A"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454 </w:t>
            </w:r>
          </w:p>
        </w:tc>
        <w:tc>
          <w:tcPr>
            <w:tcW w:w="1292" w:type="dxa"/>
            <w:tcBorders>
              <w:top w:val="nil"/>
              <w:left w:val="single" w:sz="4" w:space="0" w:color="auto"/>
              <w:bottom w:val="nil"/>
              <w:right w:val="single" w:sz="4" w:space="0" w:color="auto"/>
            </w:tcBorders>
            <w:vAlign w:val="center"/>
            <w:hideMark/>
          </w:tcPr>
          <w:p w14:paraId="4348677E"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850 </w:t>
            </w:r>
          </w:p>
        </w:tc>
        <w:tc>
          <w:tcPr>
            <w:tcW w:w="1291" w:type="dxa"/>
            <w:tcBorders>
              <w:top w:val="nil"/>
              <w:left w:val="nil"/>
              <w:bottom w:val="nil"/>
              <w:right w:val="nil"/>
            </w:tcBorders>
            <w:vAlign w:val="center"/>
            <w:hideMark/>
          </w:tcPr>
          <w:p w14:paraId="4BB7342D"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800 </w:t>
            </w:r>
          </w:p>
        </w:tc>
        <w:tc>
          <w:tcPr>
            <w:tcW w:w="1279" w:type="dxa"/>
            <w:tcBorders>
              <w:top w:val="nil"/>
              <w:left w:val="nil"/>
              <w:bottom w:val="nil"/>
              <w:right w:val="nil"/>
            </w:tcBorders>
            <w:noWrap/>
            <w:vAlign w:val="center"/>
            <w:hideMark/>
          </w:tcPr>
          <w:p w14:paraId="4E596F4C"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50 </w:t>
            </w:r>
          </w:p>
        </w:tc>
        <w:tc>
          <w:tcPr>
            <w:tcW w:w="236" w:type="dxa"/>
            <w:tcBorders>
              <w:right w:val="single" w:sz="4" w:space="0" w:color="auto"/>
            </w:tcBorders>
            <w:vAlign w:val="center"/>
            <w:hideMark/>
          </w:tcPr>
          <w:p w14:paraId="580FA55A"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5FDB6C7D" w14:textId="77777777" w:rsidTr="002C4B93">
        <w:trPr>
          <w:trHeight w:val="255"/>
        </w:trPr>
        <w:tc>
          <w:tcPr>
            <w:tcW w:w="4279" w:type="dxa"/>
            <w:tcBorders>
              <w:top w:val="nil"/>
              <w:left w:val="single" w:sz="4" w:space="0" w:color="auto"/>
              <w:bottom w:val="nil"/>
              <w:right w:val="nil"/>
            </w:tcBorders>
            <w:vAlign w:val="center"/>
            <w:hideMark/>
          </w:tcPr>
          <w:p w14:paraId="2B3C45AA"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Library books</w:t>
            </w:r>
          </w:p>
        </w:tc>
        <w:tc>
          <w:tcPr>
            <w:tcW w:w="222" w:type="dxa"/>
            <w:tcBorders>
              <w:top w:val="nil"/>
              <w:left w:val="nil"/>
              <w:bottom w:val="nil"/>
              <w:right w:val="nil"/>
            </w:tcBorders>
            <w:vAlign w:val="center"/>
            <w:hideMark/>
          </w:tcPr>
          <w:p w14:paraId="42494E6B"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1152398A"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326 </w:t>
            </w:r>
          </w:p>
        </w:tc>
        <w:tc>
          <w:tcPr>
            <w:tcW w:w="1034" w:type="dxa"/>
            <w:tcBorders>
              <w:top w:val="nil"/>
              <w:left w:val="nil"/>
              <w:bottom w:val="nil"/>
              <w:right w:val="nil"/>
            </w:tcBorders>
            <w:vAlign w:val="center"/>
            <w:hideMark/>
          </w:tcPr>
          <w:p w14:paraId="1A760E5E"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269 </w:t>
            </w:r>
          </w:p>
        </w:tc>
        <w:tc>
          <w:tcPr>
            <w:tcW w:w="940" w:type="dxa"/>
            <w:tcBorders>
              <w:top w:val="nil"/>
              <w:left w:val="nil"/>
              <w:bottom w:val="single" w:sz="4" w:space="0" w:color="auto"/>
              <w:right w:val="nil"/>
            </w:tcBorders>
            <w:vAlign w:val="center"/>
            <w:hideMark/>
          </w:tcPr>
          <w:p w14:paraId="3E11FE92"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57 </w:t>
            </w:r>
          </w:p>
        </w:tc>
        <w:tc>
          <w:tcPr>
            <w:tcW w:w="1292" w:type="dxa"/>
            <w:tcBorders>
              <w:top w:val="nil"/>
              <w:left w:val="single" w:sz="4" w:space="0" w:color="auto"/>
              <w:bottom w:val="nil"/>
              <w:right w:val="single" w:sz="4" w:space="0" w:color="auto"/>
            </w:tcBorders>
            <w:vAlign w:val="center"/>
            <w:hideMark/>
          </w:tcPr>
          <w:p w14:paraId="535FF962"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622 </w:t>
            </w:r>
          </w:p>
        </w:tc>
        <w:tc>
          <w:tcPr>
            <w:tcW w:w="1291" w:type="dxa"/>
            <w:tcBorders>
              <w:top w:val="nil"/>
              <w:left w:val="nil"/>
              <w:bottom w:val="nil"/>
              <w:right w:val="nil"/>
            </w:tcBorders>
            <w:vAlign w:val="center"/>
            <w:hideMark/>
          </w:tcPr>
          <w:p w14:paraId="23EF1658"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622 </w:t>
            </w:r>
          </w:p>
        </w:tc>
        <w:tc>
          <w:tcPr>
            <w:tcW w:w="1279" w:type="dxa"/>
            <w:tcBorders>
              <w:top w:val="nil"/>
              <w:left w:val="nil"/>
              <w:bottom w:val="single" w:sz="4" w:space="0" w:color="auto"/>
              <w:right w:val="nil"/>
            </w:tcBorders>
            <w:noWrap/>
            <w:vAlign w:val="center"/>
            <w:hideMark/>
          </w:tcPr>
          <w:p w14:paraId="2638FD78"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   </w:t>
            </w:r>
          </w:p>
        </w:tc>
        <w:tc>
          <w:tcPr>
            <w:tcW w:w="236" w:type="dxa"/>
            <w:tcBorders>
              <w:right w:val="single" w:sz="4" w:space="0" w:color="auto"/>
            </w:tcBorders>
            <w:vAlign w:val="center"/>
            <w:hideMark/>
          </w:tcPr>
          <w:p w14:paraId="7360B3B7"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472B6080" w14:textId="77777777" w:rsidTr="002C4B93">
        <w:trPr>
          <w:trHeight w:val="360"/>
        </w:trPr>
        <w:tc>
          <w:tcPr>
            <w:tcW w:w="4279" w:type="dxa"/>
            <w:tcBorders>
              <w:top w:val="single" w:sz="4" w:space="0" w:color="auto"/>
              <w:left w:val="single" w:sz="4" w:space="0" w:color="auto"/>
              <w:bottom w:val="single" w:sz="4" w:space="0" w:color="auto"/>
              <w:right w:val="nil"/>
            </w:tcBorders>
            <w:vAlign w:val="center"/>
            <w:hideMark/>
          </w:tcPr>
          <w:p w14:paraId="7FDDDEBC"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Total plant and equipment</w:t>
            </w:r>
          </w:p>
        </w:tc>
        <w:tc>
          <w:tcPr>
            <w:tcW w:w="222" w:type="dxa"/>
            <w:tcBorders>
              <w:top w:val="single" w:sz="4" w:space="0" w:color="auto"/>
              <w:left w:val="nil"/>
              <w:bottom w:val="single" w:sz="4" w:space="0" w:color="auto"/>
              <w:right w:val="nil"/>
            </w:tcBorders>
            <w:vAlign w:val="center"/>
            <w:hideMark/>
          </w:tcPr>
          <w:p w14:paraId="7DB6BEA4"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single" w:sz="4" w:space="0" w:color="auto"/>
              <w:left w:val="nil"/>
              <w:bottom w:val="single" w:sz="4" w:space="0" w:color="auto"/>
              <w:right w:val="nil"/>
            </w:tcBorders>
            <w:vAlign w:val="center"/>
            <w:hideMark/>
          </w:tcPr>
          <w:p w14:paraId="66BC8C97"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1,196 </w:t>
            </w:r>
          </w:p>
        </w:tc>
        <w:tc>
          <w:tcPr>
            <w:tcW w:w="1034" w:type="dxa"/>
            <w:tcBorders>
              <w:top w:val="single" w:sz="4" w:space="0" w:color="auto"/>
              <w:left w:val="nil"/>
              <w:bottom w:val="single" w:sz="4" w:space="0" w:color="auto"/>
              <w:right w:val="nil"/>
            </w:tcBorders>
            <w:vAlign w:val="center"/>
            <w:hideMark/>
          </w:tcPr>
          <w:p w14:paraId="6A6A7629"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635 </w:t>
            </w:r>
          </w:p>
        </w:tc>
        <w:tc>
          <w:tcPr>
            <w:tcW w:w="940" w:type="dxa"/>
            <w:tcBorders>
              <w:top w:val="single" w:sz="4" w:space="0" w:color="auto"/>
              <w:left w:val="nil"/>
              <w:bottom w:val="single" w:sz="4" w:space="0" w:color="auto"/>
              <w:right w:val="nil"/>
            </w:tcBorders>
            <w:vAlign w:val="center"/>
            <w:hideMark/>
          </w:tcPr>
          <w:p w14:paraId="11440606"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561 </w:t>
            </w:r>
          </w:p>
        </w:tc>
        <w:tc>
          <w:tcPr>
            <w:tcW w:w="1292" w:type="dxa"/>
            <w:tcBorders>
              <w:top w:val="single" w:sz="4" w:space="0" w:color="auto"/>
              <w:left w:val="single" w:sz="4" w:space="0" w:color="auto"/>
              <w:bottom w:val="single" w:sz="4" w:space="0" w:color="auto"/>
              <w:right w:val="single" w:sz="4" w:space="0" w:color="auto"/>
            </w:tcBorders>
            <w:vAlign w:val="center"/>
            <w:hideMark/>
          </w:tcPr>
          <w:p w14:paraId="79A7C2B5"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1,522 </w:t>
            </w:r>
          </w:p>
        </w:tc>
        <w:tc>
          <w:tcPr>
            <w:tcW w:w="1291" w:type="dxa"/>
            <w:tcBorders>
              <w:top w:val="single" w:sz="4" w:space="0" w:color="auto"/>
              <w:left w:val="nil"/>
              <w:bottom w:val="single" w:sz="4" w:space="0" w:color="auto"/>
              <w:right w:val="nil"/>
            </w:tcBorders>
            <w:vAlign w:val="center"/>
            <w:hideMark/>
          </w:tcPr>
          <w:p w14:paraId="33E5923D"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1,422 </w:t>
            </w:r>
          </w:p>
        </w:tc>
        <w:tc>
          <w:tcPr>
            <w:tcW w:w="1279" w:type="dxa"/>
            <w:tcBorders>
              <w:top w:val="single" w:sz="4" w:space="0" w:color="auto"/>
              <w:left w:val="nil"/>
              <w:bottom w:val="single" w:sz="4" w:space="0" w:color="auto"/>
              <w:right w:val="nil"/>
            </w:tcBorders>
            <w:vAlign w:val="center"/>
            <w:hideMark/>
          </w:tcPr>
          <w:p w14:paraId="09280B00"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100 </w:t>
            </w:r>
          </w:p>
        </w:tc>
        <w:tc>
          <w:tcPr>
            <w:tcW w:w="236" w:type="dxa"/>
            <w:tcBorders>
              <w:right w:val="single" w:sz="4" w:space="0" w:color="auto"/>
            </w:tcBorders>
            <w:vAlign w:val="center"/>
            <w:hideMark/>
          </w:tcPr>
          <w:p w14:paraId="603AB47F"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67477AF9" w14:textId="77777777" w:rsidTr="002C4B93">
        <w:trPr>
          <w:trHeight w:val="255"/>
        </w:trPr>
        <w:tc>
          <w:tcPr>
            <w:tcW w:w="4279" w:type="dxa"/>
            <w:tcBorders>
              <w:top w:val="nil"/>
              <w:left w:val="single" w:sz="4" w:space="0" w:color="auto"/>
              <w:bottom w:val="nil"/>
              <w:right w:val="nil"/>
            </w:tcBorders>
            <w:vAlign w:val="center"/>
            <w:hideMark/>
          </w:tcPr>
          <w:p w14:paraId="6621EBB5"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Infrastructure</w:t>
            </w:r>
          </w:p>
        </w:tc>
        <w:tc>
          <w:tcPr>
            <w:tcW w:w="222" w:type="dxa"/>
            <w:tcBorders>
              <w:top w:val="nil"/>
              <w:left w:val="nil"/>
              <w:bottom w:val="nil"/>
              <w:right w:val="nil"/>
            </w:tcBorders>
            <w:vAlign w:val="center"/>
            <w:hideMark/>
          </w:tcPr>
          <w:p w14:paraId="3E5C7D75"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7D45D142"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1034" w:type="dxa"/>
            <w:tcBorders>
              <w:top w:val="nil"/>
              <w:left w:val="nil"/>
              <w:bottom w:val="nil"/>
              <w:right w:val="nil"/>
            </w:tcBorders>
            <w:vAlign w:val="center"/>
            <w:hideMark/>
          </w:tcPr>
          <w:p w14:paraId="7A79D66C"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940" w:type="dxa"/>
            <w:tcBorders>
              <w:top w:val="single" w:sz="4" w:space="0" w:color="auto"/>
              <w:left w:val="nil"/>
              <w:bottom w:val="nil"/>
              <w:right w:val="nil"/>
            </w:tcBorders>
            <w:noWrap/>
            <w:vAlign w:val="center"/>
            <w:hideMark/>
          </w:tcPr>
          <w:p w14:paraId="2F23DA68"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1292" w:type="dxa"/>
            <w:tcBorders>
              <w:top w:val="nil"/>
              <w:left w:val="single" w:sz="4" w:space="0" w:color="auto"/>
              <w:bottom w:val="nil"/>
              <w:right w:val="single" w:sz="4" w:space="0" w:color="auto"/>
            </w:tcBorders>
            <w:vAlign w:val="center"/>
            <w:hideMark/>
          </w:tcPr>
          <w:p w14:paraId="0D7E9449" w14:textId="77777777" w:rsidR="00CC18AD" w:rsidRPr="004370C6" w:rsidRDefault="00CC18AD" w:rsidP="00CC18AD">
            <w:pPr>
              <w:spacing w:after="0" w:line="240" w:lineRule="auto"/>
              <w:jc w:val="right"/>
              <w:rPr>
                <w:rFonts w:ascii="Arial" w:eastAsia="Times New Roman" w:hAnsi="Arial" w:cs="Arial"/>
                <w:sz w:val="20"/>
                <w:szCs w:val="20"/>
                <w:lang w:val="en-AU" w:eastAsia="en-AU"/>
              </w:rPr>
            </w:pPr>
          </w:p>
        </w:tc>
        <w:tc>
          <w:tcPr>
            <w:tcW w:w="1291" w:type="dxa"/>
            <w:tcBorders>
              <w:top w:val="nil"/>
              <w:left w:val="nil"/>
              <w:bottom w:val="nil"/>
              <w:right w:val="nil"/>
            </w:tcBorders>
            <w:vAlign w:val="center"/>
            <w:hideMark/>
          </w:tcPr>
          <w:p w14:paraId="4C0B7974"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1279" w:type="dxa"/>
            <w:tcBorders>
              <w:top w:val="single" w:sz="4" w:space="0" w:color="auto"/>
              <w:left w:val="nil"/>
              <w:bottom w:val="nil"/>
              <w:right w:val="nil"/>
            </w:tcBorders>
            <w:noWrap/>
            <w:vAlign w:val="center"/>
            <w:hideMark/>
          </w:tcPr>
          <w:p w14:paraId="6F3F352C"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236" w:type="dxa"/>
            <w:tcBorders>
              <w:right w:val="single" w:sz="4" w:space="0" w:color="auto"/>
            </w:tcBorders>
            <w:vAlign w:val="center"/>
            <w:hideMark/>
          </w:tcPr>
          <w:p w14:paraId="66E7D79C"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6A228DA3" w14:textId="77777777" w:rsidTr="002C4B93">
        <w:trPr>
          <w:trHeight w:val="255"/>
        </w:trPr>
        <w:tc>
          <w:tcPr>
            <w:tcW w:w="4279" w:type="dxa"/>
            <w:tcBorders>
              <w:top w:val="nil"/>
              <w:left w:val="single" w:sz="4" w:space="0" w:color="auto"/>
              <w:bottom w:val="nil"/>
              <w:right w:val="nil"/>
            </w:tcBorders>
            <w:vAlign w:val="center"/>
            <w:hideMark/>
          </w:tcPr>
          <w:p w14:paraId="3C459399"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Roads</w:t>
            </w:r>
          </w:p>
        </w:tc>
        <w:tc>
          <w:tcPr>
            <w:tcW w:w="222" w:type="dxa"/>
            <w:tcBorders>
              <w:top w:val="nil"/>
              <w:left w:val="nil"/>
              <w:bottom w:val="nil"/>
              <w:right w:val="nil"/>
            </w:tcBorders>
            <w:vAlign w:val="center"/>
            <w:hideMark/>
          </w:tcPr>
          <w:p w14:paraId="543C390F"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2565E48B"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3,823 </w:t>
            </w:r>
          </w:p>
        </w:tc>
        <w:tc>
          <w:tcPr>
            <w:tcW w:w="1034" w:type="dxa"/>
            <w:tcBorders>
              <w:top w:val="nil"/>
              <w:left w:val="nil"/>
              <w:bottom w:val="nil"/>
              <w:right w:val="nil"/>
            </w:tcBorders>
            <w:vAlign w:val="center"/>
            <w:hideMark/>
          </w:tcPr>
          <w:p w14:paraId="50FD7825"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2,845 </w:t>
            </w:r>
          </w:p>
        </w:tc>
        <w:tc>
          <w:tcPr>
            <w:tcW w:w="940" w:type="dxa"/>
            <w:tcBorders>
              <w:top w:val="nil"/>
              <w:left w:val="nil"/>
              <w:bottom w:val="nil"/>
              <w:right w:val="nil"/>
            </w:tcBorders>
            <w:vAlign w:val="center"/>
            <w:hideMark/>
          </w:tcPr>
          <w:p w14:paraId="26F70081"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977 </w:t>
            </w:r>
          </w:p>
        </w:tc>
        <w:tc>
          <w:tcPr>
            <w:tcW w:w="1292" w:type="dxa"/>
            <w:tcBorders>
              <w:top w:val="nil"/>
              <w:left w:val="single" w:sz="4" w:space="0" w:color="auto"/>
              <w:bottom w:val="nil"/>
              <w:right w:val="single" w:sz="4" w:space="0" w:color="auto"/>
            </w:tcBorders>
            <w:vAlign w:val="center"/>
            <w:hideMark/>
          </w:tcPr>
          <w:p w14:paraId="6CDB1F44"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7,154 </w:t>
            </w:r>
          </w:p>
        </w:tc>
        <w:tc>
          <w:tcPr>
            <w:tcW w:w="1291" w:type="dxa"/>
            <w:tcBorders>
              <w:top w:val="nil"/>
              <w:left w:val="nil"/>
              <w:bottom w:val="nil"/>
              <w:right w:val="nil"/>
            </w:tcBorders>
            <w:vAlign w:val="center"/>
            <w:hideMark/>
          </w:tcPr>
          <w:p w14:paraId="2D4B5BB4" w14:textId="77777777" w:rsidR="00CC18AD" w:rsidRPr="004370C6" w:rsidRDefault="00CC18AD" w:rsidP="00CC18AD">
            <w:pPr>
              <w:spacing w:after="0" w:line="240" w:lineRule="auto"/>
              <w:jc w:val="right"/>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6,922 </w:t>
            </w:r>
          </w:p>
        </w:tc>
        <w:tc>
          <w:tcPr>
            <w:tcW w:w="1279" w:type="dxa"/>
            <w:tcBorders>
              <w:top w:val="nil"/>
              <w:left w:val="nil"/>
              <w:bottom w:val="nil"/>
              <w:right w:val="nil"/>
            </w:tcBorders>
            <w:noWrap/>
            <w:vAlign w:val="center"/>
            <w:hideMark/>
          </w:tcPr>
          <w:p w14:paraId="3F09E6BA"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 xml:space="preserve"> 231 </w:t>
            </w:r>
          </w:p>
        </w:tc>
        <w:tc>
          <w:tcPr>
            <w:tcW w:w="236" w:type="dxa"/>
            <w:tcBorders>
              <w:right w:val="single" w:sz="4" w:space="0" w:color="auto"/>
            </w:tcBorders>
            <w:vAlign w:val="center"/>
            <w:hideMark/>
          </w:tcPr>
          <w:p w14:paraId="79E53B58"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06F9C8ED" w14:textId="77777777" w:rsidTr="002C4B93">
        <w:trPr>
          <w:trHeight w:val="255"/>
        </w:trPr>
        <w:tc>
          <w:tcPr>
            <w:tcW w:w="4279" w:type="dxa"/>
            <w:tcBorders>
              <w:top w:val="nil"/>
              <w:left w:val="single" w:sz="4" w:space="0" w:color="auto"/>
              <w:bottom w:val="nil"/>
              <w:right w:val="nil"/>
            </w:tcBorders>
            <w:vAlign w:val="center"/>
            <w:hideMark/>
          </w:tcPr>
          <w:p w14:paraId="4AA08AFE" w14:textId="77777777" w:rsidR="00CC18AD" w:rsidRPr="004370C6" w:rsidRDefault="00CC18AD" w:rsidP="00CC18AD">
            <w:pPr>
              <w:spacing w:after="0" w:line="240" w:lineRule="auto"/>
              <w:outlineLvl w:val="0"/>
              <w:rPr>
                <w:rFonts w:ascii="Arial" w:eastAsia="Times New Roman" w:hAnsi="Arial" w:cs="Arial"/>
                <w:sz w:val="18"/>
                <w:szCs w:val="18"/>
                <w:lang w:val="en-AU" w:eastAsia="en-AU"/>
              </w:rPr>
            </w:pPr>
            <w:bookmarkStart w:id="84" w:name="_Toc224732214"/>
            <w:r w:rsidRPr="004370C6">
              <w:rPr>
                <w:rFonts w:ascii="Arial" w:eastAsia="Times New Roman" w:hAnsi="Arial" w:cs="Arial"/>
                <w:sz w:val="18"/>
                <w:szCs w:val="18"/>
                <w:lang w:val="en-AU" w:eastAsia="en-AU"/>
              </w:rPr>
              <w:t>Footpaths and cycleways</w:t>
            </w:r>
            <w:bookmarkEnd w:id="84"/>
          </w:p>
        </w:tc>
        <w:tc>
          <w:tcPr>
            <w:tcW w:w="222" w:type="dxa"/>
            <w:tcBorders>
              <w:top w:val="nil"/>
              <w:left w:val="nil"/>
              <w:bottom w:val="nil"/>
              <w:right w:val="nil"/>
            </w:tcBorders>
            <w:vAlign w:val="center"/>
            <w:hideMark/>
          </w:tcPr>
          <w:p w14:paraId="0C0117E1" w14:textId="77777777" w:rsidR="00CC18AD" w:rsidRPr="004370C6" w:rsidRDefault="00CC18AD" w:rsidP="00CC18AD">
            <w:pPr>
              <w:spacing w:after="0" w:line="240" w:lineRule="auto"/>
              <w:outlineLvl w:val="0"/>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20FDD1E8"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1,689 </w:t>
            </w:r>
          </w:p>
        </w:tc>
        <w:tc>
          <w:tcPr>
            <w:tcW w:w="1034" w:type="dxa"/>
            <w:tcBorders>
              <w:top w:val="nil"/>
              <w:left w:val="nil"/>
              <w:bottom w:val="nil"/>
              <w:right w:val="nil"/>
            </w:tcBorders>
            <w:vAlign w:val="center"/>
            <w:hideMark/>
          </w:tcPr>
          <w:p w14:paraId="446A697A"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1,997 </w:t>
            </w:r>
          </w:p>
        </w:tc>
        <w:tc>
          <w:tcPr>
            <w:tcW w:w="940" w:type="dxa"/>
            <w:tcBorders>
              <w:top w:val="nil"/>
              <w:left w:val="nil"/>
              <w:bottom w:val="nil"/>
              <w:right w:val="nil"/>
            </w:tcBorders>
            <w:vAlign w:val="center"/>
            <w:hideMark/>
          </w:tcPr>
          <w:p w14:paraId="415D5000"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(308)</w:t>
            </w:r>
          </w:p>
        </w:tc>
        <w:tc>
          <w:tcPr>
            <w:tcW w:w="1292" w:type="dxa"/>
            <w:tcBorders>
              <w:top w:val="nil"/>
              <w:left w:val="single" w:sz="4" w:space="0" w:color="auto"/>
              <w:bottom w:val="nil"/>
              <w:right w:val="single" w:sz="4" w:space="0" w:color="auto"/>
            </w:tcBorders>
            <w:vAlign w:val="center"/>
            <w:hideMark/>
          </w:tcPr>
          <w:p w14:paraId="33D2F24F"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3,701 </w:t>
            </w:r>
          </w:p>
        </w:tc>
        <w:tc>
          <w:tcPr>
            <w:tcW w:w="1291" w:type="dxa"/>
            <w:tcBorders>
              <w:top w:val="nil"/>
              <w:left w:val="nil"/>
              <w:bottom w:val="nil"/>
              <w:right w:val="nil"/>
            </w:tcBorders>
            <w:vAlign w:val="center"/>
            <w:hideMark/>
          </w:tcPr>
          <w:p w14:paraId="3EA6802A"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3,301 </w:t>
            </w:r>
          </w:p>
        </w:tc>
        <w:tc>
          <w:tcPr>
            <w:tcW w:w="1279" w:type="dxa"/>
            <w:tcBorders>
              <w:top w:val="nil"/>
              <w:left w:val="nil"/>
              <w:bottom w:val="nil"/>
              <w:right w:val="nil"/>
            </w:tcBorders>
            <w:noWrap/>
            <w:vAlign w:val="center"/>
            <w:hideMark/>
          </w:tcPr>
          <w:p w14:paraId="148F9F55"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400 </w:t>
            </w:r>
          </w:p>
        </w:tc>
        <w:tc>
          <w:tcPr>
            <w:tcW w:w="236" w:type="dxa"/>
            <w:tcBorders>
              <w:right w:val="single" w:sz="4" w:space="0" w:color="auto"/>
            </w:tcBorders>
            <w:vAlign w:val="center"/>
            <w:hideMark/>
          </w:tcPr>
          <w:p w14:paraId="64E02BB6"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2B7A6A25" w14:textId="77777777" w:rsidTr="002C4B93">
        <w:trPr>
          <w:trHeight w:val="255"/>
        </w:trPr>
        <w:tc>
          <w:tcPr>
            <w:tcW w:w="4279" w:type="dxa"/>
            <w:tcBorders>
              <w:top w:val="nil"/>
              <w:left w:val="single" w:sz="4" w:space="0" w:color="auto"/>
              <w:bottom w:val="nil"/>
              <w:right w:val="nil"/>
            </w:tcBorders>
            <w:vAlign w:val="center"/>
            <w:hideMark/>
          </w:tcPr>
          <w:p w14:paraId="379DDD7A"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Drainage</w:t>
            </w:r>
          </w:p>
        </w:tc>
        <w:tc>
          <w:tcPr>
            <w:tcW w:w="222" w:type="dxa"/>
            <w:tcBorders>
              <w:top w:val="nil"/>
              <w:left w:val="nil"/>
              <w:bottom w:val="nil"/>
              <w:right w:val="nil"/>
            </w:tcBorders>
            <w:vAlign w:val="center"/>
            <w:hideMark/>
          </w:tcPr>
          <w:p w14:paraId="3E465FB2"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2CD2095B"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1,820 </w:t>
            </w:r>
          </w:p>
        </w:tc>
        <w:tc>
          <w:tcPr>
            <w:tcW w:w="1034" w:type="dxa"/>
            <w:tcBorders>
              <w:top w:val="nil"/>
              <w:left w:val="nil"/>
              <w:bottom w:val="nil"/>
              <w:right w:val="nil"/>
            </w:tcBorders>
            <w:vAlign w:val="center"/>
            <w:hideMark/>
          </w:tcPr>
          <w:p w14:paraId="10BDABCC"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2,654 </w:t>
            </w:r>
          </w:p>
        </w:tc>
        <w:tc>
          <w:tcPr>
            <w:tcW w:w="940" w:type="dxa"/>
            <w:tcBorders>
              <w:top w:val="nil"/>
              <w:left w:val="nil"/>
              <w:bottom w:val="nil"/>
              <w:right w:val="nil"/>
            </w:tcBorders>
            <w:vAlign w:val="center"/>
            <w:hideMark/>
          </w:tcPr>
          <w:p w14:paraId="57746C60"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(834)</w:t>
            </w:r>
          </w:p>
        </w:tc>
        <w:tc>
          <w:tcPr>
            <w:tcW w:w="1292" w:type="dxa"/>
            <w:tcBorders>
              <w:top w:val="nil"/>
              <w:left w:val="single" w:sz="4" w:space="0" w:color="auto"/>
              <w:bottom w:val="nil"/>
              <w:right w:val="single" w:sz="4" w:space="0" w:color="auto"/>
            </w:tcBorders>
            <w:vAlign w:val="center"/>
            <w:hideMark/>
          </w:tcPr>
          <w:p w14:paraId="286E92B7"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4,265 </w:t>
            </w:r>
          </w:p>
        </w:tc>
        <w:tc>
          <w:tcPr>
            <w:tcW w:w="1291" w:type="dxa"/>
            <w:tcBorders>
              <w:top w:val="nil"/>
              <w:left w:val="nil"/>
              <w:bottom w:val="nil"/>
              <w:right w:val="nil"/>
            </w:tcBorders>
            <w:vAlign w:val="center"/>
            <w:hideMark/>
          </w:tcPr>
          <w:p w14:paraId="34FF4947"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4,115 </w:t>
            </w:r>
          </w:p>
        </w:tc>
        <w:tc>
          <w:tcPr>
            <w:tcW w:w="1279" w:type="dxa"/>
            <w:tcBorders>
              <w:top w:val="nil"/>
              <w:left w:val="nil"/>
              <w:bottom w:val="nil"/>
              <w:right w:val="nil"/>
            </w:tcBorders>
            <w:noWrap/>
            <w:vAlign w:val="center"/>
            <w:hideMark/>
          </w:tcPr>
          <w:p w14:paraId="40AAF79E"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150 </w:t>
            </w:r>
          </w:p>
        </w:tc>
        <w:tc>
          <w:tcPr>
            <w:tcW w:w="236" w:type="dxa"/>
            <w:tcBorders>
              <w:right w:val="single" w:sz="4" w:space="0" w:color="auto"/>
            </w:tcBorders>
            <w:vAlign w:val="center"/>
            <w:hideMark/>
          </w:tcPr>
          <w:p w14:paraId="79EA4588"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659A19F7" w14:textId="77777777" w:rsidTr="002C4B93">
        <w:trPr>
          <w:trHeight w:val="255"/>
        </w:trPr>
        <w:tc>
          <w:tcPr>
            <w:tcW w:w="4279" w:type="dxa"/>
            <w:tcBorders>
              <w:top w:val="nil"/>
              <w:left w:val="single" w:sz="4" w:space="0" w:color="auto"/>
              <w:bottom w:val="nil"/>
              <w:right w:val="nil"/>
            </w:tcBorders>
            <w:vAlign w:val="center"/>
            <w:hideMark/>
          </w:tcPr>
          <w:p w14:paraId="1246CB1C"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Waste management</w:t>
            </w:r>
          </w:p>
        </w:tc>
        <w:tc>
          <w:tcPr>
            <w:tcW w:w="222" w:type="dxa"/>
            <w:tcBorders>
              <w:top w:val="nil"/>
              <w:left w:val="nil"/>
              <w:bottom w:val="nil"/>
              <w:right w:val="nil"/>
            </w:tcBorders>
            <w:vAlign w:val="center"/>
            <w:hideMark/>
          </w:tcPr>
          <w:p w14:paraId="40EAB774"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078CC585"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25 </w:t>
            </w:r>
          </w:p>
        </w:tc>
        <w:tc>
          <w:tcPr>
            <w:tcW w:w="1034" w:type="dxa"/>
            <w:tcBorders>
              <w:top w:val="nil"/>
              <w:left w:val="nil"/>
              <w:bottom w:val="nil"/>
              <w:right w:val="nil"/>
            </w:tcBorders>
            <w:vAlign w:val="center"/>
            <w:hideMark/>
          </w:tcPr>
          <w:p w14:paraId="3E8233C4"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6 </w:t>
            </w:r>
          </w:p>
        </w:tc>
        <w:tc>
          <w:tcPr>
            <w:tcW w:w="940" w:type="dxa"/>
            <w:tcBorders>
              <w:top w:val="nil"/>
              <w:left w:val="nil"/>
              <w:bottom w:val="nil"/>
              <w:right w:val="nil"/>
            </w:tcBorders>
            <w:vAlign w:val="center"/>
            <w:hideMark/>
          </w:tcPr>
          <w:p w14:paraId="2408C5BD"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19 </w:t>
            </w:r>
          </w:p>
        </w:tc>
        <w:tc>
          <w:tcPr>
            <w:tcW w:w="1292" w:type="dxa"/>
            <w:tcBorders>
              <w:top w:val="nil"/>
              <w:left w:val="single" w:sz="4" w:space="0" w:color="auto"/>
              <w:bottom w:val="nil"/>
              <w:right w:val="single" w:sz="4" w:space="0" w:color="auto"/>
            </w:tcBorders>
            <w:vAlign w:val="center"/>
            <w:hideMark/>
          </w:tcPr>
          <w:p w14:paraId="7F96ADD6"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50 </w:t>
            </w:r>
          </w:p>
        </w:tc>
        <w:tc>
          <w:tcPr>
            <w:tcW w:w="1291" w:type="dxa"/>
            <w:tcBorders>
              <w:top w:val="nil"/>
              <w:left w:val="nil"/>
              <w:bottom w:val="nil"/>
              <w:right w:val="nil"/>
            </w:tcBorders>
            <w:vAlign w:val="center"/>
            <w:hideMark/>
          </w:tcPr>
          <w:p w14:paraId="5297E433"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50 </w:t>
            </w:r>
          </w:p>
        </w:tc>
        <w:tc>
          <w:tcPr>
            <w:tcW w:w="1279" w:type="dxa"/>
            <w:tcBorders>
              <w:top w:val="nil"/>
              <w:left w:val="nil"/>
              <w:bottom w:val="nil"/>
              <w:right w:val="nil"/>
            </w:tcBorders>
            <w:noWrap/>
            <w:vAlign w:val="center"/>
            <w:hideMark/>
          </w:tcPr>
          <w:p w14:paraId="281A634D"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   </w:t>
            </w:r>
          </w:p>
        </w:tc>
        <w:tc>
          <w:tcPr>
            <w:tcW w:w="236" w:type="dxa"/>
            <w:tcBorders>
              <w:right w:val="single" w:sz="4" w:space="0" w:color="auto"/>
            </w:tcBorders>
            <w:vAlign w:val="center"/>
            <w:hideMark/>
          </w:tcPr>
          <w:p w14:paraId="17605498"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6A424614" w14:textId="77777777" w:rsidTr="002C4B93">
        <w:trPr>
          <w:trHeight w:val="255"/>
        </w:trPr>
        <w:tc>
          <w:tcPr>
            <w:tcW w:w="4279" w:type="dxa"/>
            <w:tcBorders>
              <w:top w:val="nil"/>
              <w:left w:val="single" w:sz="4" w:space="0" w:color="auto"/>
              <w:bottom w:val="nil"/>
              <w:right w:val="nil"/>
            </w:tcBorders>
            <w:noWrap/>
            <w:vAlign w:val="center"/>
            <w:hideMark/>
          </w:tcPr>
          <w:p w14:paraId="63E31542"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Parks, open space and streetscapes</w:t>
            </w:r>
          </w:p>
        </w:tc>
        <w:tc>
          <w:tcPr>
            <w:tcW w:w="222" w:type="dxa"/>
            <w:tcBorders>
              <w:top w:val="nil"/>
              <w:left w:val="nil"/>
              <w:bottom w:val="nil"/>
              <w:right w:val="nil"/>
            </w:tcBorders>
            <w:vAlign w:val="center"/>
            <w:hideMark/>
          </w:tcPr>
          <w:p w14:paraId="19B380D6"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16624EE3"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3,341 </w:t>
            </w:r>
          </w:p>
        </w:tc>
        <w:tc>
          <w:tcPr>
            <w:tcW w:w="1034" w:type="dxa"/>
            <w:tcBorders>
              <w:top w:val="nil"/>
              <w:left w:val="nil"/>
              <w:bottom w:val="nil"/>
              <w:right w:val="nil"/>
            </w:tcBorders>
            <w:vAlign w:val="center"/>
            <w:hideMark/>
          </w:tcPr>
          <w:p w14:paraId="54791655"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2,062 </w:t>
            </w:r>
          </w:p>
        </w:tc>
        <w:tc>
          <w:tcPr>
            <w:tcW w:w="940" w:type="dxa"/>
            <w:tcBorders>
              <w:top w:val="nil"/>
              <w:left w:val="nil"/>
              <w:bottom w:val="nil"/>
              <w:right w:val="nil"/>
            </w:tcBorders>
            <w:vAlign w:val="center"/>
            <w:hideMark/>
          </w:tcPr>
          <w:p w14:paraId="445A99BD"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1,279 </w:t>
            </w:r>
          </w:p>
        </w:tc>
        <w:tc>
          <w:tcPr>
            <w:tcW w:w="1292" w:type="dxa"/>
            <w:tcBorders>
              <w:top w:val="nil"/>
              <w:left w:val="single" w:sz="4" w:space="0" w:color="auto"/>
              <w:bottom w:val="nil"/>
              <w:right w:val="single" w:sz="4" w:space="0" w:color="auto"/>
            </w:tcBorders>
            <w:vAlign w:val="center"/>
            <w:hideMark/>
          </w:tcPr>
          <w:p w14:paraId="62C8BFD9"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7,428 </w:t>
            </w:r>
          </w:p>
        </w:tc>
        <w:tc>
          <w:tcPr>
            <w:tcW w:w="1291" w:type="dxa"/>
            <w:tcBorders>
              <w:top w:val="nil"/>
              <w:left w:val="nil"/>
              <w:bottom w:val="nil"/>
              <w:right w:val="nil"/>
            </w:tcBorders>
            <w:vAlign w:val="center"/>
            <w:hideMark/>
          </w:tcPr>
          <w:p w14:paraId="4A74E004"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7,418 </w:t>
            </w:r>
          </w:p>
        </w:tc>
        <w:tc>
          <w:tcPr>
            <w:tcW w:w="1279" w:type="dxa"/>
            <w:tcBorders>
              <w:top w:val="nil"/>
              <w:left w:val="nil"/>
              <w:bottom w:val="nil"/>
              <w:right w:val="nil"/>
            </w:tcBorders>
            <w:noWrap/>
            <w:vAlign w:val="center"/>
            <w:hideMark/>
          </w:tcPr>
          <w:p w14:paraId="00C2E0C9"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10 </w:t>
            </w:r>
          </w:p>
        </w:tc>
        <w:tc>
          <w:tcPr>
            <w:tcW w:w="236" w:type="dxa"/>
            <w:tcBorders>
              <w:right w:val="single" w:sz="4" w:space="0" w:color="auto"/>
            </w:tcBorders>
            <w:vAlign w:val="center"/>
            <w:hideMark/>
          </w:tcPr>
          <w:p w14:paraId="4F361EA4"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1837645F" w14:textId="77777777" w:rsidTr="002C4B93">
        <w:trPr>
          <w:trHeight w:val="255"/>
        </w:trPr>
        <w:tc>
          <w:tcPr>
            <w:tcW w:w="4279" w:type="dxa"/>
            <w:tcBorders>
              <w:top w:val="nil"/>
              <w:left w:val="single" w:sz="4" w:space="0" w:color="auto"/>
              <w:bottom w:val="nil"/>
              <w:right w:val="nil"/>
            </w:tcBorders>
            <w:vAlign w:val="center"/>
            <w:hideMark/>
          </w:tcPr>
          <w:p w14:paraId="0B876408"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Other infrastructure</w:t>
            </w:r>
          </w:p>
        </w:tc>
        <w:tc>
          <w:tcPr>
            <w:tcW w:w="222" w:type="dxa"/>
            <w:tcBorders>
              <w:top w:val="nil"/>
              <w:left w:val="nil"/>
              <w:bottom w:val="nil"/>
              <w:right w:val="nil"/>
            </w:tcBorders>
            <w:vAlign w:val="center"/>
            <w:hideMark/>
          </w:tcPr>
          <w:p w14:paraId="6415368F"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1CDAF9DF"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290 </w:t>
            </w:r>
          </w:p>
        </w:tc>
        <w:tc>
          <w:tcPr>
            <w:tcW w:w="1034" w:type="dxa"/>
            <w:tcBorders>
              <w:top w:val="nil"/>
              <w:left w:val="nil"/>
              <w:bottom w:val="nil"/>
              <w:right w:val="nil"/>
            </w:tcBorders>
            <w:vAlign w:val="center"/>
            <w:hideMark/>
          </w:tcPr>
          <w:p w14:paraId="17B0A566"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97 </w:t>
            </w:r>
          </w:p>
        </w:tc>
        <w:tc>
          <w:tcPr>
            <w:tcW w:w="940" w:type="dxa"/>
            <w:tcBorders>
              <w:top w:val="nil"/>
              <w:left w:val="nil"/>
              <w:bottom w:val="single" w:sz="4" w:space="0" w:color="auto"/>
              <w:right w:val="nil"/>
            </w:tcBorders>
            <w:vAlign w:val="center"/>
            <w:hideMark/>
          </w:tcPr>
          <w:p w14:paraId="6EC5F52C"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193 </w:t>
            </w:r>
          </w:p>
        </w:tc>
        <w:tc>
          <w:tcPr>
            <w:tcW w:w="1292" w:type="dxa"/>
            <w:tcBorders>
              <w:top w:val="nil"/>
              <w:left w:val="single" w:sz="4" w:space="0" w:color="auto"/>
              <w:bottom w:val="nil"/>
              <w:right w:val="single" w:sz="4" w:space="0" w:color="auto"/>
            </w:tcBorders>
            <w:vAlign w:val="center"/>
            <w:hideMark/>
          </w:tcPr>
          <w:p w14:paraId="3B5B7EE3"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905 </w:t>
            </w:r>
          </w:p>
        </w:tc>
        <w:tc>
          <w:tcPr>
            <w:tcW w:w="1291" w:type="dxa"/>
            <w:tcBorders>
              <w:top w:val="nil"/>
              <w:left w:val="nil"/>
              <w:bottom w:val="nil"/>
              <w:right w:val="nil"/>
            </w:tcBorders>
            <w:vAlign w:val="center"/>
            <w:hideMark/>
          </w:tcPr>
          <w:p w14:paraId="401FA581"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1,065 </w:t>
            </w:r>
          </w:p>
        </w:tc>
        <w:tc>
          <w:tcPr>
            <w:tcW w:w="1279" w:type="dxa"/>
            <w:tcBorders>
              <w:top w:val="nil"/>
              <w:left w:val="nil"/>
              <w:bottom w:val="single" w:sz="4" w:space="0" w:color="auto"/>
              <w:right w:val="nil"/>
            </w:tcBorders>
            <w:noWrap/>
            <w:vAlign w:val="center"/>
            <w:hideMark/>
          </w:tcPr>
          <w:p w14:paraId="191D13F1"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(160)</w:t>
            </w:r>
          </w:p>
        </w:tc>
        <w:tc>
          <w:tcPr>
            <w:tcW w:w="236" w:type="dxa"/>
            <w:tcBorders>
              <w:right w:val="single" w:sz="4" w:space="0" w:color="auto"/>
            </w:tcBorders>
            <w:vAlign w:val="center"/>
            <w:hideMark/>
          </w:tcPr>
          <w:p w14:paraId="0B92C25F"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2D3D772C" w14:textId="77777777" w:rsidTr="002C4B93">
        <w:trPr>
          <w:trHeight w:val="255"/>
        </w:trPr>
        <w:tc>
          <w:tcPr>
            <w:tcW w:w="4279" w:type="dxa"/>
            <w:tcBorders>
              <w:top w:val="single" w:sz="4" w:space="0" w:color="auto"/>
              <w:left w:val="single" w:sz="4" w:space="0" w:color="auto"/>
              <w:bottom w:val="single" w:sz="4" w:space="0" w:color="auto"/>
              <w:right w:val="nil"/>
            </w:tcBorders>
            <w:vAlign w:val="center"/>
            <w:hideMark/>
          </w:tcPr>
          <w:p w14:paraId="20124A49"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Total infrastructure</w:t>
            </w:r>
          </w:p>
        </w:tc>
        <w:tc>
          <w:tcPr>
            <w:tcW w:w="222" w:type="dxa"/>
            <w:tcBorders>
              <w:top w:val="single" w:sz="4" w:space="0" w:color="auto"/>
              <w:left w:val="nil"/>
              <w:bottom w:val="single" w:sz="4" w:space="0" w:color="auto"/>
              <w:right w:val="nil"/>
            </w:tcBorders>
            <w:vAlign w:val="center"/>
            <w:hideMark/>
          </w:tcPr>
          <w:p w14:paraId="78B887B7"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single" w:sz="4" w:space="0" w:color="auto"/>
              <w:left w:val="nil"/>
              <w:bottom w:val="nil"/>
              <w:right w:val="nil"/>
            </w:tcBorders>
            <w:vAlign w:val="center"/>
            <w:hideMark/>
          </w:tcPr>
          <w:p w14:paraId="5A3B7655"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10,988 </w:t>
            </w:r>
          </w:p>
        </w:tc>
        <w:tc>
          <w:tcPr>
            <w:tcW w:w="1034" w:type="dxa"/>
            <w:tcBorders>
              <w:top w:val="single" w:sz="4" w:space="0" w:color="auto"/>
              <w:left w:val="nil"/>
              <w:bottom w:val="nil"/>
              <w:right w:val="nil"/>
            </w:tcBorders>
            <w:vAlign w:val="center"/>
            <w:hideMark/>
          </w:tcPr>
          <w:p w14:paraId="363788A6"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9,661 </w:t>
            </w:r>
          </w:p>
        </w:tc>
        <w:tc>
          <w:tcPr>
            <w:tcW w:w="940" w:type="dxa"/>
            <w:tcBorders>
              <w:top w:val="single" w:sz="4" w:space="0" w:color="auto"/>
              <w:left w:val="nil"/>
              <w:bottom w:val="single" w:sz="4" w:space="0" w:color="auto"/>
              <w:right w:val="nil"/>
            </w:tcBorders>
            <w:vAlign w:val="center"/>
            <w:hideMark/>
          </w:tcPr>
          <w:p w14:paraId="0B82261E"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1,327 </w:t>
            </w:r>
          </w:p>
        </w:tc>
        <w:tc>
          <w:tcPr>
            <w:tcW w:w="1292" w:type="dxa"/>
            <w:tcBorders>
              <w:top w:val="single" w:sz="4" w:space="0" w:color="auto"/>
              <w:left w:val="single" w:sz="4" w:space="0" w:color="auto"/>
              <w:bottom w:val="nil"/>
              <w:right w:val="single" w:sz="4" w:space="0" w:color="auto"/>
            </w:tcBorders>
            <w:vAlign w:val="center"/>
            <w:hideMark/>
          </w:tcPr>
          <w:p w14:paraId="1AFD1043"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23,503 </w:t>
            </w:r>
          </w:p>
        </w:tc>
        <w:tc>
          <w:tcPr>
            <w:tcW w:w="1291" w:type="dxa"/>
            <w:tcBorders>
              <w:top w:val="single" w:sz="4" w:space="0" w:color="auto"/>
              <w:left w:val="nil"/>
              <w:bottom w:val="nil"/>
              <w:right w:val="nil"/>
            </w:tcBorders>
            <w:vAlign w:val="center"/>
            <w:hideMark/>
          </w:tcPr>
          <w:p w14:paraId="79659920"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22,871 </w:t>
            </w:r>
          </w:p>
        </w:tc>
        <w:tc>
          <w:tcPr>
            <w:tcW w:w="1279" w:type="dxa"/>
            <w:tcBorders>
              <w:top w:val="single" w:sz="4" w:space="0" w:color="auto"/>
              <w:left w:val="nil"/>
              <w:bottom w:val="single" w:sz="4" w:space="0" w:color="auto"/>
              <w:right w:val="nil"/>
            </w:tcBorders>
            <w:vAlign w:val="center"/>
            <w:hideMark/>
          </w:tcPr>
          <w:p w14:paraId="49B06912"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632 </w:t>
            </w:r>
          </w:p>
        </w:tc>
        <w:tc>
          <w:tcPr>
            <w:tcW w:w="236" w:type="dxa"/>
            <w:tcBorders>
              <w:right w:val="single" w:sz="4" w:space="0" w:color="auto"/>
            </w:tcBorders>
            <w:vAlign w:val="center"/>
            <w:hideMark/>
          </w:tcPr>
          <w:p w14:paraId="0FBBA88A"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6E6AEAD2" w14:textId="77777777" w:rsidTr="002C4B93">
        <w:trPr>
          <w:trHeight w:val="570"/>
        </w:trPr>
        <w:tc>
          <w:tcPr>
            <w:tcW w:w="4279" w:type="dxa"/>
            <w:tcBorders>
              <w:top w:val="single" w:sz="4" w:space="0" w:color="auto"/>
              <w:left w:val="single" w:sz="4" w:space="0" w:color="auto"/>
              <w:bottom w:val="single" w:sz="8" w:space="0" w:color="auto"/>
              <w:right w:val="nil"/>
            </w:tcBorders>
            <w:vAlign w:val="center"/>
            <w:hideMark/>
          </w:tcPr>
          <w:p w14:paraId="2A119FF0"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Total capital works expenditure</w:t>
            </w:r>
          </w:p>
        </w:tc>
        <w:tc>
          <w:tcPr>
            <w:tcW w:w="222" w:type="dxa"/>
            <w:tcBorders>
              <w:top w:val="single" w:sz="4" w:space="0" w:color="auto"/>
              <w:left w:val="nil"/>
              <w:bottom w:val="single" w:sz="8" w:space="0" w:color="auto"/>
              <w:right w:val="nil"/>
            </w:tcBorders>
            <w:vAlign w:val="center"/>
            <w:hideMark/>
          </w:tcPr>
          <w:p w14:paraId="01318293"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single" w:sz="4" w:space="0" w:color="auto"/>
              <w:left w:val="nil"/>
              <w:bottom w:val="single" w:sz="8" w:space="0" w:color="auto"/>
              <w:right w:val="nil"/>
            </w:tcBorders>
            <w:vAlign w:val="center"/>
            <w:hideMark/>
          </w:tcPr>
          <w:p w14:paraId="636AE059"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19,546 </w:t>
            </w:r>
          </w:p>
        </w:tc>
        <w:tc>
          <w:tcPr>
            <w:tcW w:w="1034" w:type="dxa"/>
            <w:tcBorders>
              <w:top w:val="single" w:sz="4" w:space="0" w:color="auto"/>
              <w:left w:val="nil"/>
              <w:bottom w:val="single" w:sz="8" w:space="0" w:color="auto"/>
              <w:right w:val="nil"/>
            </w:tcBorders>
            <w:vAlign w:val="center"/>
            <w:hideMark/>
          </w:tcPr>
          <w:p w14:paraId="162D90D9"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13,508 </w:t>
            </w:r>
          </w:p>
        </w:tc>
        <w:tc>
          <w:tcPr>
            <w:tcW w:w="940" w:type="dxa"/>
            <w:tcBorders>
              <w:top w:val="single" w:sz="4" w:space="0" w:color="auto"/>
              <w:left w:val="nil"/>
              <w:bottom w:val="single" w:sz="8" w:space="0" w:color="auto"/>
              <w:right w:val="nil"/>
            </w:tcBorders>
            <w:vAlign w:val="center"/>
            <w:hideMark/>
          </w:tcPr>
          <w:p w14:paraId="6D1AA3F4"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6,038 </w:t>
            </w:r>
          </w:p>
        </w:tc>
        <w:tc>
          <w:tcPr>
            <w:tcW w:w="1292" w:type="dxa"/>
            <w:tcBorders>
              <w:top w:val="single" w:sz="4" w:space="0" w:color="auto"/>
              <w:left w:val="single" w:sz="4" w:space="0" w:color="auto"/>
              <w:bottom w:val="single" w:sz="8" w:space="0" w:color="auto"/>
              <w:right w:val="single" w:sz="4" w:space="0" w:color="auto"/>
            </w:tcBorders>
            <w:vAlign w:val="center"/>
            <w:hideMark/>
          </w:tcPr>
          <w:p w14:paraId="3210C0A7"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38,513 </w:t>
            </w:r>
          </w:p>
        </w:tc>
        <w:tc>
          <w:tcPr>
            <w:tcW w:w="1291" w:type="dxa"/>
            <w:tcBorders>
              <w:top w:val="single" w:sz="4" w:space="0" w:color="auto"/>
              <w:left w:val="nil"/>
              <w:bottom w:val="single" w:sz="8" w:space="0" w:color="auto"/>
              <w:right w:val="nil"/>
            </w:tcBorders>
            <w:vAlign w:val="center"/>
            <w:hideMark/>
          </w:tcPr>
          <w:p w14:paraId="47BB87A1"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35,806 </w:t>
            </w:r>
          </w:p>
        </w:tc>
        <w:tc>
          <w:tcPr>
            <w:tcW w:w="1279" w:type="dxa"/>
            <w:tcBorders>
              <w:top w:val="single" w:sz="4" w:space="0" w:color="auto"/>
              <w:left w:val="nil"/>
              <w:bottom w:val="single" w:sz="8" w:space="0" w:color="auto"/>
              <w:right w:val="nil"/>
            </w:tcBorders>
            <w:vAlign w:val="center"/>
            <w:hideMark/>
          </w:tcPr>
          <w:p w14:paraId="004F17D7"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2,707 </w:t>
            </w:r>
          </w:p>
        </w:tc>
        <w:tc>
          <w:tcPr>
            <w:tcW w:w="236" w:type="dxa"/>
            <w:tcBorders>
              <w:right w:val="single" w:sz="4" w:space="0" w:color="auto"/>
            </w:tcBorders>
            <w:vAlign w:val="center"/>
            <w:hideMark/>
          </w:tcPr>
          <w:p w14:paraId="7552393E"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47F3FC7D" w14:textId="77777777" w:rsidTr="002C4B93">
        <w:trPr>
          <w:trHeight w:val="255"/>
        </w:trPr>
        <w:tc>
          <w:tcPr>
            <w:tcW w:w="4279" w:type="dxa"/>
            <w:tcBorders>
              <w:top w:val="nil"/>
              <w:left w:val="single" w:sz="4" w:space="0" w:color="auto"/>
              <w:bottom w:val="nil"/>
              <w:right w:val="nil"/>
            </w:tcBorders>
            <w:vAlign w:val="center"/>
            <w:hideMark/>
          </w:tcPr>
          <w:p w14:paraId="16BF66B7" w14:textId="77777777" w:rsidR="00CC18AD" w:rsidRPr="004370C6" w:rsidRDefault="00CC18AD" w:rsidP="00CC18AD">
            <w:pPr>
              <w:spacing w:after="0" w:line="240" w:lineRule="auto"/>
              <w:jc w:val="center"/>
              <w:rPr>
                <w:rFonts w:ascii="Arial" w:eastAsia="Times New Roman" w:hAnsi="Arial" w:cs="Arial"/>
                <w:sz w:val="18"/>
                <w:szCs w:val="18"/>
                <w:lang w:val="en-AU" w:eastAsia="en-AU"/>
              </w:rPr>
            </w:pPr>
          </w:p>
        </w:tc>
        <w:tc>
          <w:tcPr>
            <w:tcW w:w="222" w:type="dxa"/>
            <w:tcBorders>
              <w:top w:val="nil"/>
              <w:left w:val="nil"/>
              <w:bottom w:val="nil"/>
              <w:right w:val="nil"/>
            </w:tcBorders>
            <w:vAlign w:val="center"/>
            <w:hideMark/>
          </w:tcPr>
          <w:p w14:paraId="47D427A9" w14:textId="77777777" w:rsidR="00CC18AD" w:rsidRPr="004370C6" w:rsidRDefault="00CC18AD" w:rsidP="00CC18AD">
            <w:pPr>
              <w:spacing w:after="0" w:line="240" w:lineRule="auto"/>
              <w:rPr>
                <w:rFonts w:ascii="Arial" w:eastAsia="Times New Roman" w:hAnsi="Arial" w:cs="Arial"/>
                <w:sz w:val="20"/>
                <w:szCs w:val="20"/>
                <w:lang w:val="en-AU" w:eastAsia="en-AU"/>
              </w:rPr>
            </w:pPr>
          </w:p>
        </w:tc>
        <w:tc>
          <w:tcPr>
            <w:tcW w:w="1151" w:type="dxa"/>
            <w:tcBorders>
              <w:top w:val="nil"/>
              <w:left w:val="nil"/>
              <w:bottom w:val="nil"/>
              <w:right w:val="nil"/>
            </w:tcBorders>
            <w:noWrap/>
            <w:vAlign w:val="center"/>
            <w:hideMark/>
          </w:tcPr>
          <w:p w14:paraId="31026C8A" w14:textId="77777777" w:rsidR="00CC18AD" w:rsidRPr="004370C6" w:rsidRDefault="00CC18AD" w:rsidP="004C064F">
            <w:pPr>
              <w:jc w:val="right"/>
              <w:rPr>
                <w:rFonts w:ascii="Arial" w:hAnsi="Arial" w:cs="Arial"/>
                <w:sz w:val="20"/>
                <w:szCs w:val="20"/>
                <w:lang w:val="en-AU" w:eastAsia="en-AU"/>
              </w:rPr>
            </w:pPr>
          </w:p>
        </w:tc>
        <w:tc>
          <w:tcPr>
            <w:tcW w:w="1034" w:type="dxa"/>
            <w:tcBorders>
              <w:top w:val="nil"/>
              <w:left w:val="nil"/>
              <w:bottom w:val="nil"/>
              <w:right w:val="nil"/>
            </w:tcBorders>
            <w:noWrap/>
            <w:vAlign w:val="center"/>
            <w:hideMark/>
          </w:tcPr>
          <w:p w14:paraId="450AC46C" w14:textId="77777777" w:rsidR="00CC18AD" w:rsidRPr="004370C6" w:rsidRDefault="00CC18AD" w:rsidP="004C064F">
            <w:pPr>
              <w:jc w:val="right"/>
              <w:rPr>
                <w:rFonts w:ascii="Arial" w:hAnsi="Arial" w:cs="Arial"/>
                <w:sz w:val="20"/>
                <w:szCs w:val="20"/>
                <w:lang w:val="en-AU" w:eastAsia="en-AU"/>
              </w:rPr>
            </w:pPr>
          </w:p>
        </w:tc>
        <w:tc>
          <w:tcPr>
            <w:tcW w:w="940" w:type="dxa"/>
            <w:tcBorders>
              <w:top w:val="single" w:sz="8" w:space="0" w:color="auto"/>
              <w:left w:val="nil"/>
              <w:bottom w:val="nil"/>
              <w:right w:val="nil"/>
            </w:tcBorders>
            <w:noWrap/>
            <w:vAlign w:val="center"/>
            <w:hideMark/>
          </w:tcPr>
          <w:p w14:paraId="491E385A" w14:textId="77777777" w:rsidR="00CC18AD" w:rsidRPr="004370C6" w:rsidRDefault="00CC18AD" w:rsidP="004C064F">
            <w:pPr>
              <w:jc w:val="right"/>
              <w:rPr>
                <w:rFonts w:ascii="Arial" w:hAnsi="Arial" w:cs="Arial"/>
                <w:sz w:val="20"/>
                <w:szCs w:val="20"/>
                <w:lang w:val="en-AU" w:eastAsia="en-AU"/>
              </w:rPr>
            </w:pPr>
          </w:p>
        </w:tc>
        <w:tc>
          <w:tcPr>
            <w:tcW w:w="1292" w:type="dxa"/>
            <w:tcBorders>
              <w:top w:val="nil"/>
              <w:left w:val="single" w:sz="4" w:space="0" w:color="auto"/>
              <w:bottom w:val="nil"/>
              <w:right w:val="single" w:sz="4" w:space="0" w:color="auto"/>
            </w:tcBorders>
            <w:noWrap/>
            <w:vAlign w:val="center"/>
            <w:hideMark/>
          </w:tcPr>
          <w:p w14:paraId="2764BBB9" w14:textId="77777777" w:rsidR="00CC18AD" w:rsidRPr="004370C6" w:rsidRDefault="00CC18AD" w:rsidP="004C064F">
            <w:pPr>
              <w:jc w:val="right"/>
              <w:rPr>
                <w:rFonts w:ascii="Arial" w:hAnsi="Arial" w:cs="Arial"/>
                <w:sz w:val="20"/>
                <w:szCs w:val="20"/>
                <w:lang w:val="en-AU" w:eastAsia="en-AU"/>
              </w:rPr>
            </w:pPr>
          </w:p>
        </w:tc>
        <w:tc>
          <w:tcPr>
            <w:tcW w:w="1291" w:type="dxa"/>
            <w:tcBorders>
              <w:top w:val="nil"/>
              <w:left w:val="nil"/>
              <w:bottom w:val="nil"/>
              <w:right w:val="nil"/>
            </w:tcBorders>
            <w:noWrap/>
            <w:vAlign w:val="center"/>
            <w:hideMark/>
          </w:tcPr>
          <w:p w14:paraId="5E8278AE" w14:textId="77777777" w:rsidR="00CC18AD" w:rsidRPr="004370C6" w:rsidRDefault="00CC18AD" w:rsidP="004C064F">
            <w:pPr>
              <w:jc w:val="right"/>
              <w:rPr>
                <w:rFonts w:ascii="Arial" w:hAnsi="Arial" w:cs="Arial"/>
                <w:sz w:val="20"/>
                <w:szCs w:val="20"/>
                <w:lang w:val="en-AU" w:eastAsia="en-AU"/>
              </w:rPr>
            </w:pPr>
          </w:p>
        </w:tc>
        <w:tc>
          <w:tcPr>
            <w:tcW w:w="1279" w:type="dxa"/>
            <w:tcBorders>
              <w:top w:val="single" w:sz="8" w:space="0" w:color="auto"/>
              <w:left w:val="nil"/>
              <w:bottom w:val="nil"/>
              <w:right w:val="nil"/>
            </w:tcBorders>
            <w:noWrap/>
            <w:vAlign w:val="center"/>
            <w:hideMark/>
          </w:tcPr>
          <w:p w14:paraId="4E5C8832" w14:textId="77777777" w:rsidR="00CC18AD" w:rsidRPr="004370C6" w:rsidRDefault="00CC18AD" w:rsidP="004C064F">
            <w:pPr>
              <w:jc w:val="right"/>
              <w:rPr>
                <w:rFonts w:ascii="Arial" w:hAnsi="Arial" w:cs="Arial"/>
                <w:sz w:val="20"/>
                <w:szCs w:val="20"/>
                <w:lang w:val="en-AU" w:eastAsia="en-AU"/>
              </w:rPr>
            </w:pPr>
          </w:p>
        </w:tc>
        <w:tc>
          <w:tcPr>
            <w:tcW w:w="236" w:type="dxa"/>
            <w:tcBorders>
              <w:right w:val="single" w:sz="4" w:space="0" w:color="auto"/>
            </w:tcBorders>
            <w:vAlign w:val="center"/>
            <w:hideMark/>
          </w:tcPr>
          <w:p w14:paraId="4EE1CFF6"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01772C00" w14:textId="77777777" w:rsidTr="002C4B93">
        <w:trPr>
          <w:trHeight w:val="255"/>
        </w:trPr>
        <w:tc>
          <w:tcPr>
            <w:tcW w:w="4279" w:type="dxa"/>
            <w:tcBorders>
              <w:top w:val="nil"/>
              <w:left w:val="single" w:sz="4" w:space="0" w:color="auto"/>
              <w:bottom w:val="nil"/>
              <w:right w:val="nil"/>
            </w:tcBorders>
            <w:vAlign w:val="center"/>
            <w:hideMark/>
          </w:tcPr>
          <w:p w14:paraId="762A255E"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Represented by:</w:t>
            </w:r>
          </w:p>
        </w:tc>
        <w:tc>
          <w:tcPr>
            <w:tcW w:w="222" w:type="dxa"/>
            <w:tcBorders>
              <w:top w:val="nil"/>
              <w:left w:val="nil"/>
              <w:bottom w:val="nil"/>
              <w:right w:val="nil"/>
            </w:tcBorders>
            <w:vAlign w:val="center"/>
            <w:hideMark/>
          </w:tcPr>
          <w:p w14:paraId="49E87ECF"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noWrap/>
            <w:vAlign w:val="center"/>
            <w:hideMark/>
          </w:tcPr>
          <w:p w14:paraId="7755A82F" w14:textId="77777777" w:rsidR="00CC18AD" w:rsidRPr="004370C6" w:rsidRDefault="00CC18AD" w:rsidP="004C064F">
            <w:pPr>
              <w:jc w:val="right"/>
              <w:rPr>
                <w:rFonts w:ascii="Arial" w:hAnsi="Arial" w:cs="Arial"/>
                <w:sz w:val="20"/>
                <w:szCs w:val="20"/>
                <w:lang w:val="en-AU" w:eastAsia="en-AU"/>
              </w:rPr>
            </w:pPr>
          </w:p>
        </w:tc>
        <w:tc>
          <w:tcPr>
            <w:tcW w:w="1034" w:type="dxa"/>
            <w:tcBorders>
              <w:top w:val="nil"/>
              <w:left w:val="nil"/>
              <w:bottom w:val="nil"/>
              <w:right w:val="nil"/>
            </w:tcBorders>
            <w:noWrap/>
            <w:vAlign w:val="center"/>
            <w:hideMark/>
          </w:tcPr>
          <w:p w14:paraId="2C21FCE0" w14:textId="77777777" w:rsidR="00CC18AD" w:rsidRPr="004370C6" w:rsidRDefault="00CC18AD" w:rsidP="004C064F">
            <w:pPr>
              <w:jc w:val="right"/>
              <w:rPr>
                <w:rFonts w:ascii="Arial" w:hAnsi="Arial" w:cs="Arial"/>
                <w:sz w:val="20"/>
                <w:szCs w:val="20"/>
                <w:lang w:val="en-AU" w:eastAsia="en-AU"/>
              </w:rPr>
            </w:pPr>
          </w:p>
        </w:tc>
        <w:tc>
          <w:tcPr>
            <w:tcW w:w="940" w:type="dxa"/>
            <w:tcBorders>
              <w:top w:val="nil"/>
              <w:left w:val="nil"/>
              <w:bottom w:val="nil"/>
              <w:right w:val="nil"/>
            </w:tcBorders>
            <w:noWrap/>
            <w:vAlign w:val="center"/>
            <w:hideMark/>
          </w:tcPr>
          <w:p w14:paraId="2EEEE322" w14:textId="77777777" w:rsidR="00CC18AD" w:rsidRPr="004370C6" w:rsidRDefault="00CC18AD" w:rsidP="004C064F">
            <w:pPr>
              <w:jc w:val="right"/>
              <w:rPr>
                <w:rFonts w:ascii="Arial" w:hAnsi="Arial" w:cs="Arial"/>
                <w:sz w:val="20"/>
                <w:szCs w:val="20"/>
                <w:lang w:val="en-AU" w:eastAsia="en-AU"/>
              </w:rPr>
            </w:pPr>
          </w:p>
        </w:tc>
        <w:tc>
          <w:tcPr>
            <w:tcW w:w="1292" w:type="dxa"/>
            <w:tcBorders>
              <w:top w:val="nil"/>
              <w:left w:val="single" w:sz="4" w:space="0" w:color="auto"/>
              <w:bottom w:val="nil"/>
              <w:right w:val="single" w:sz="4" w:space="0" w:color="auto"/>
            </w:tcBorders>
            <w:vAlign w:val="center"/>
            <w:hideMark/>
          </w:tcPr>
          <w:p w14:paraId="1D8C6D50" w14:textId="77777777" w:rsidR="00CC18AD" w:rsidRPr="004370C6" w:rsidRDefault="00CC18AD" w:rsidP="004C064F">
            <w:pPr>
              <w:jc w:val="right"/>
              <w:rPr>
                <w:rFonts w:ascii="Arial" w:hAnsi="Arial" w:cs="Arial"/>
                <w:sz w:val="20"/>
                <w:szCs w:val="20"/>
                <w:lang w:val="en-AU" w:eastAsia="en-AU"/>
              </w:rPr>
            </w:pPr>
          </w:p>
        </w:tc>
        <w:tc>
          <w:tcPr>
            <w:tcW w:w="1291" w:type="dxa"/>
            <w:tcBorders>
              <w:top w:val="nil"/>
              <w:left w:val="nil"/>
              <w:bottom w:val="nil"/>
              <w:right w:val="nil"/>
            </w:tcBorders>
            <w:noWrap/>
            <w:vAlign w:val="center"/>
            <w:hideMark/>
          </w:tcPr>
          <w:p w14:paraId="2F4A675C" w14:textId="77777777" w:rsidR="00CC18AD" w:rsidRPr="004370C6" w:rsidRDefault="00CC18AD" w:rsidP="004C064F">
            <w:pPr>
              <w:jc w:val="right"/>
              <w:rPr>
                <w:rFonts w:ascii="Arial" w:hAnsi="Arial" w:cs="Arial"/>
                <w:sz w:val="20"/>
                <w:szCs w:val="20"/>
                <w:lang w:val="en-AU" w:eastAsia="en-AU"/>
              </w:rPr>
            </w:pPr>
          </w:p>
        </w:tc>
        <w:tc>
          <w:tcPr>
            <w:tcW w:w="1279" w:type="dxa"/>
            <w:tcBorders>
              <w:top w:val="nil"/>
              <w:left w:val="nil"/>
              <w:bottom w:val="nil"/>
              <w:right w:val="nil"/>
            </w:tcBorders>
            <w:noWrap/>
            <w:vAlign w:val="center"/>
            <w:hideMark/>
          </w:tcPr>
          <w:p w14:paraId="546C1155" w14:textId="77777777" w:rsidR="00CC18AD" w:rsidRPr="004370C6" w:rsidRDefault="00CC18AD" w:rsidP="004C064F">
            <w:pPr>
              <w:jc w:val="right"/>
              <w:rPr>
                <w:rFonts w:ascii="Arial" w:hAnsi="Arial" w:cs="Arial"/>
                <w:sz w:val="20"/>
                <w:szCs w:val="20"/>
                <w:lang w:val="en-AU" w:eastAsia="en-AU"/>
              </w:rPr>
            </w:pPr>
          </w:p>
        </w:tc>
        <w:tc>
          <w:tcPr>
            <w:tcW w:w="236" w:type="dxa"/>
            <w:tcBorders>
              <w:right w:val="single" w:sz="4" w:space="0" w:color="auto"/>
            </w:tcBorders>
            <w:vAlign w:val="center"/>
            <w:hideMark/>
          </w:tcPr>
          <w:p w14:paraId="50E1CCB5"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1F949C33" w14:textId="77777777" w:rsidTr="002C4B93">
        <w:trPr>
          <w:trHeight w:val="255"/>
        </w:trPr>
        <w:tc>
          <w:tcPr>
            <w:tcW w:w="4279" w:type="dxa"/>
            <w:tcBorders>
              <w:top w:val="nil"/>
              <w:left w:val="single" w:sz="4" w:space="0" w:color="auto"/>
              <w:bottom w:val="nil"/>
              <w:right w:val="nil"/>
            </w:tcBorders>
            <w:vAlign w:val="center"/>
            <w:hideMark/>
          </w:tcPr>
          <w:p w14:paraId="53DFB339"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New asset expenditure</w:t>
            </w:r>
          </w:p>
        </w:tc>
        <w:tc>
          <w:tcPr>
            <w:tcW w:w="222" w:type="dxa"/>
            <w:tcBorders>
              <w:top w:val="nil"/>
              <w:left w:val="nil"/>
              <w:bottom w:val="nil"/>
              <w:right w:val="nil"/>
            </w:tcBorders>
            <w:vAlign w:val="center"/>
            <w:hideMark/>
          </w:tcPr>
          <w:p w14:paraId="47EB6687"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2CC91FA9"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2,833 </w:t>
            </w:r>
          </w:p>
        </w:tc>
        <w:tc>
          <w:tcPr>
            <w:tcW w:w="1034" w:type="dxa"/>
            <w:tcBorders>
              <w:top w:val="nil"/>
              <w:left w:val="nil"/>
              <w:bottom w:val="nil"/>
              <w:right w:val="nil"/>
            </w:tcBorders>
            <w:vAlign w:val="center"/>
            <w:hideMark/>
          </w:tcPr>
          <w:p w14:paraId="3AD06F56"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1,924 </w:t>
            </w:r>
          </w:p>
        </w:tc>
        <w:tc>
          <w:tcPr>
            <w:tcW w:w="940" w:type="dxa"/>
            <w:tcBorders>
              <w:top w:val="nil"/>
              <w:left w:val="nil"/>
              <w:bottom w:val="nil"/>
              <w:right w:val="nil"/>
            </w:tcBorders>
            <w:vAlign w:val="center"/>
            <w:hideMark/>
          </w:tcPr>
          <w:p w14:paraId="694C0105"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909 </w:t>
            </w:r>
          </w:p>
        </w:tc>
        <w:tc>
          <w:tcPr>
            <w:tcW w:w="1292" w:type="dxa"/>
            <w:tcBorders>
              <w:top w:val="nil"/>
              <w:left w:val="single" w:sz="4" w:space="0" w:color="auto"/>
              <w:bottom w:val="nil"/>
              <w:right w:val="single" w:sz="4" w:space="0" w:color="auto"/>
            </w:tcBorders>
            <w:vAlign w:val="center"/>
            <w:hideMark/>
          </w:tcPr>
          <w:p w14:paraId="23D0014C"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9,069 </w:t>
            </w:r>
          </w:p>
        </w:tc>
        <w:tc>
          <w:tcPr>
            <w:tcW w:w="1291" w:type="dxa"/>
            <w:tcBorders>
              <w:top w:val="nil"/>
              <w:left w:val="nil"/>
              <w:bottom w:val="nil"/>
              <w:right w:val="nil"/>
            </w:tcBorders>
            <w:vAlign w:val="center"/>
            <w:hideMark/>
          </w:tcPr>
          <w:p w14:paraId="7DCE8A56"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7,006 </w:t>
            </w:r>
          </w:p>
        </w:tc>
        <w:tc>
          <w:tcPr>
            <w:tcW w:w="1279" w:type="dxa"/>
            <w:tcBorders>
              <w:top w:val="nil"/>
              <w:left w:val="nil"/>
              <w:bottom w:val="nil"/>
              <w:right w:val="nil"/>
            </w:tcBorders>
            <w:noWrap/>
            <w:vAlign w:val="center"/>
            <w:hideMark/>
          </w:tcPr>
          <w:p w14:paraId="779DFB40"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2,063 </w:t>
            </w:r>
          </w:p>
        </w:tc>
        <w:tc>
          <w:tcPr>
            <w:tcW w:w="236" w:type="dxa"/>
            <w:tcBorders>
              <w:right w:val="single" w:sz="4" w:space="0" w:color="auto"/>
            </w:tcBorders>
            <w:vAlign w:val="center"/>
            <w:hideMark/>
          </w:tcPr>
          <w:p w14:paraId="02BCC9C1"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12B52EE9" w14:textId="77777777" w:rsidTr="002C4B93">
        <w:trPr>
          <w:trHeight w:val="255"/>
        </w:trPr>
        <w:tc>
          <w:tcPr>
            <w:tcW w:w="4279" w:type="dxa"/>
            <w:tcBorders>
              <w:top w:val="nil"/>
              <w:left w:val="single" w:sz="4" w:space="0" w:color="auto"/>
              <w:bottom w:val="nil"/>
              <w:right w:val="nil"/>
            </w:tcBorders>
            <w:vAlign w:val="center"/>
            <w:hideMark/>
          </w:tcPr>
          <w:p w14:paraId="23391504"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Asset renewal expenditure</w:t>
            </w:r>
          </w:p>
        </w:tc>
        <w:tc>
          <w:tcPr>
            <w:tcW w:w="222" w:type="dxa"/>
            <w:tcBorders>
              <w:top w:val="nil"/>
              <w:left w:val="nil"/>
              <w:bottom w:val="nil"/>
              <w:right w:val="nil"/>
            </w:tcBorders>
            <w:vAlign w:val="center"/>
            <w:hideMark/>
          </w:tcPr>
          <w:p w14:paraId="5FE805AE"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632ECC22"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9,028 </w:t>
            </w:r>
          </w:p>
        </w:tc>
        <w:tc>
          <w:tcPr>
            <w:tcW w:w="1034" w:type="dxa"/>
            <w:tcBorders>
              <w:top w:val="nil"/>
              <w:left w:val="nil"/>
              <w:bottom w:val="nil"/>
              <w:right w:val="nil"/>
            </w:tcBorders>
            <w:vAlign w:val="center"/>
            <w:hideMark/>
          </w:tcPr>
          <w:p w14:paraId="155A3216"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8,959 </w:t>
            </w:r>
          </w:p>
        </w:tc>
        <w:tc>
          <w:tcPr>
            <w:tcW w:w="940" w:type="dxa"/>
            <w:tcBorders>
              <w:top w:val="nil"/>
              <w:left w:val="nil"/>
              <w:bottom w:val="nil"/>
              <w:right w:val="nil"/>
            </w:tcBorders>
            <w:vAlign w:val="center"/>
            <w:hideMark/>
          </w:tcPr>
          <w:p w14:paraId="40402187"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69 </w:t>
            </w:r>
          </w:p>
        </w:tc>
        <w:tc>
          <w:tcPr>
            <w:tcW w:w="1292" w:type="dxa"/>
            <w:tcBorders>
              <w:top w:val="nil"/>
              <w:left w:val="single" w:sz="4" w:space="0" w:color="auto"/>
              <w:bottom w:val="nil"/>
              <w:right w:val="single" w:sz="4" w:space="0" w:color="auto"/>
            </w:tcBorders>
            <w:vAlign w:val="center"/>
            <w:hideMark/>
          </w:tcPr>
          <w:p w14:paraId="7752FFF9"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14,877 </w:t>
            </w:r>
          </w:p>
        </w:tc>
        <w:tc>
          <w:tcPr>
            <w:tcW w:w="1291" w:type="dxa"/>
            <w:tcBorders>
              <w:top w:val="nil"/>
              <w:left w:val="nil"/>
              <w:bottom w:val="nil"/>
              <w:right w:val="nil"/>
            </w:tcBorders>
            <w:vAlign w:val="center"/>
            <w:hideMark/>
          </w:tcPr>
          <w:p w14:paraId="4632DBAF"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15,031 </w:t>
            </w:r>
          </w:p>
        </w:tc>
        <w:tc>
          <w:tcPr>
            <w:tcW w:w="1279" w:type="dxa"/>
            <w:tcBorders>
              <w:top w:val="nil"/>
              <w:left w:val="nil"/>
              <w:bottom w:val="nil"/>
              <w:right w:val="nil"/>
            </w:tcBorders>
            <w:noWrap/>
            <w:vAlign w:val="center"/>
            <w:hideMark/>
          </w:tcPr>
          <w:p w14:paraId="28229587"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(154)</w:t>
            </w:r>
          </w:p>
        </w:tc>
        <w:tc>
          <w:tcPr>
            <w:tcW w:w="236" w:type="dxa"/>
            <w:tcBorders>
              <w:right w:val="single" w:sz="4" w:space="0" w:color="auto"/>
            </w:tcBorders>
            <w:vAlign w:val="center"/>
            <w:hideMark/>
          </w:tcPr>
          <w:p w14:paraId="51CF246C"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3D8A0017" w14:textId="77777777" w:rsidTr="002C4B93">
        <w:trPr>
          <w:trHeight w:val="240"/>
        </w:trPr>
        <w:tc>
          <w:tcPr>
            <w:tcW w:w="4279" w:type="dxa"/>
            <w:tcBorders>
              <w:top w:val="nil"/>
              <w:left w:val="single" w:sz="4" w:space="0" w:color="auto"/>
              <w:bottom w:val="nil"/>
              <w:right w:val="nil"/>
            </w:tcBorders>
            <w:vAlign w:val="center"/>
            <w:hideMark/>
          </w:tcPr>
          <w:p w14:paraId="4BD554CB"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Asset expansion expenditure</w:t>
            </w:r>
          </w:p>
        </w:tc>
        <w:tc>
          <w:tcPr>
            <w:tcW w:w="222" w:type="dxa"/>
            <w:tcBorders>
              <w:top w:val="nil"/>
              <w:left w:val="nil"/>
              <w:bottom w:val="nil"/>
              <w:right w:val="nil"/>
            </w:tcBorders>
            <w:vAlign w:val="center"/>
            <w:hideMark/>
          </w:tcPr>
          <w:p w14:paraId="5222D9C5"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1E09353B"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w:t>
            </w:r>
          </w:p>
        </w:tc>
        <w:tc>
          <w:tcPr>
            <w:tcW w:w="1034" w:type="dxa"/>
            <w:tcBorders>
              <w:top w:val="nil"/>
              <w:left w:val="nil"/>
              <w:bottom w:val="nil"/>
              <w:right w:val="nil"/>
            </w:tcBorders>
            <w:vAlign w:val="center"/>
            <w:hideMark/>
          </w:tcPr>
          <w:p w14:paraId="624BEA07"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   </w:t>
            </w:r>
          </w:p>
        </w:tc>
        <w:tc>
          <w:tcPr>
            <w:tcW w:w="940" w:type="dxa"/>
            <w:tcBorders>
              <w:top w:val="nil"/>
              <w:left w:val="nil"/>
              <w:bottom w:val="nil"/>
              <w:right w:val="nil"/>
            </w:tcBorders>
            <w:vAlign w:val="center"/>
            <w:hideMark/>
          </w:tcPr>
          <w:p w14:paraId="155E0755"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   </w:t>
            </w:r>
          </w:p>
        </w:tc>
        <w:tc>
          <w:tcPr>
            <w:tcW w:w="1292" w:type="dxa"/>
            <w:tcBorders>
              <w:top w:val="nil"/>
              <w:left w:val="single" w:sz="4" w:space="0" w:color="auto"/>
              <w:bottom w:val="nil"/>
              <w:right w:val="single" w:sz="4" w:space="0" w:color="auto"/>
            </w:tcBorders>
            <w:vAlign w:val="center"/>
            <w:hideMark/>
          </w:tcPr>
          <w:p w14:paraId="534BF3DC"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   </w:t>
            </w:r>
          </w:p>
        </w:tc>
        <w:tc>
          <w:tcPr>
            <w:tcW w:w="1291" w:type="dxa"/>
            <w:tcBorders>
              <w:top w:val="nil"/>
              <w:left w:val="nil"/>
              <w:bottom w:val="nil"/>
              <w:right w:val="nil"/>
            </w:tcBorders>
            <w:vAlign w:val="center"/>
            <w:hideMark/>
          </w:tcPr>
          <w:p w14:paraId="23D730AA"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   </w:t>
            </w:r>
          </w:p>
        </w:tc>
        <w:tc>
          <w:tcPr>
            <w:tcW w:w="1279" w:type="dxa"/>
            <w:tcBorders>
              <w:top w:val="nil"/>
              <w:left w:val="nil"/>
              <w:bottom w:val="nil"/>
              <w:right w:val="nil"/>
            </w:tcBorders>
            <w:noWrap/>
            <w:vAlign w:val="center"/>
            <w:hideMark/>
          </w:tcPr>
          <w:p w14:paraId="1172B943"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   </w:t>
            </w:r>
          </w:p>
        </w:tc>
        <w:tc>
          <w:tcPr>
            <w:tcW w:w="236" w:type="dxa"/>
            <w:tcBorders>
              <w:right w:val="single" w:sz="4" w:space="0" w:color="auto"/>
            </w:tcBorders>
            <w:vAlign w:val="center"/>
            <w:hideMark/>
          </w:tcPr>
          <w:p w14:paraId="7939E819"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2DE7E89F" w14:textId="77777777" w:rsidTr="002C4B93">
        <w:trPr>
          <w:trHeight w:val="240"/>
        </w:trPr>
        <w:tc>
          <w:tcPr>
            <w:tcW w:w="4279" w:type="dxa"/>
            <w:tcBorders>
              <w:top w:val="nil"/>
              <w:left w:val="single" w:sz="4" w:space="0" w:color="auto"/>
              <w:bottom w:val="nil"/>
              <w:right w:val="nil"/>
            </w:tcBorders>
            <w:vAlign w:val="center"/>
            <w:hideMark/>
          </w:tcPr>
          <w:p w14:paraId="723259AE"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Asset upgrade expenditure</w:t>
            </w:r>
          </w:p>
        </w:tc>
        <w:tc>
          <w:tcPr>
            <w:tcW w:w="222" w:type="dxa"/>
            <w:tcBorders>
              <w:top w:val="nil"/>
              <w:left w:val="nil"/>
              <w:bottom w:val="nil"/>
              <w:right w:val="nil"/>
            </w:tcBorders>
            <w:vAlign w:val="center"/>
            <w:hideMark/>
          </w:tcPr>
          <w:p w14:paraId="10A7548F"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nil"/>
              <w:left w:val="nil"/>
              <w:bottom w:val="nil"/>
              <w:right w:val="nil"/>
            </w:tcBorders>
            <w:vAlign w:val="center"/>
            <w:hideMark/>
          </w:tcPr>
          <w:p w14:paraId="7E63BE99"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7,684 </w:t>
            </w:r>
          </w:p>
        </w:tc>
        <w:tc>
          <w:tcPr>
            <w:tcW w:w="1034" w:type="dxa"/>
            <w:tcBorders>
              <w:top w:val="nil"/>
              <w:left w:val="nil"/>
              <w:bottom w:val="nil"/>
              <w:right w:val="nil"/>
            </w:tcBorders>
            <w:vAlign w:val="center"/>
            <w:hideMark/>
          </w:tcPr>
          <w:p w14:paraId="5393ECD1"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2,625 </w:t>
            </w:r>
          </w:p>
        </w:tc>
        <w:tc>
          <w:tcPr>
            <w:tcW w:w="940" w:type="dxa"/>
            <w:tcBorders>
              <w:top w:val="nil"/>
              <w:left w:val="nil"/>
              <w:bottom w:val="single" w:sz="4" w:space="0" w:color="auto"/>
              <w:right w:val="nil"/>
            </w:tcBorders>
            <w:vAlign w:val="center"/>
            <w:hideMark/>
          </w:tcPr>
          <w:p w14:paraId="6CF0E3DE"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5,060 </w:t>
            </w:r>
          </w:p>
        </w:tc>
        <w:tc>
          <w:tcPr>
            <w:tcW w:w="1292" w:type="dxa"/>
            <w:tcBorders>
              <w:top w:val="nil"/>
              <w:left w:val="single" w:sz="4" w:space="0" w:color="auto"/>
              <w:bottom w:val="nil"/>
              <w:right w:val="single" w:sz="4" w:space="0" w:color="auto"/>
            </w:tcBorders>
            <w:vAlign w:val="center"/>
            <w:hideMark/>
          </w:tcPr>
          <w:p w14:paraId="7062A299"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14,567 </w:t>
            </w:r>
          </w:p>
        </w:tc>
        <w:tc>
          <w:tcPr>
            <w:tcW w:w="1291" w:type="dxa"/>
            <w:tcBorders>
              <w:top w:val="nil"/>
              <w:left w:val="nil"/>
              <w:bottom w:val="nil"/>
              <w:right w:val="nil"/>
            </w:tcBorders>
            <w:vAlign w:val="center"/>
            <w:hideMark/>
          </w:tcPr>
          <w:p w14:paraId="1304B79A"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13,768 </w:t>
            </w:r>
          </w:p>
        </w:tc>
        <w:tc>
          <w:tcPr>
            <w:tcW w:w="1279" w:type="dxa"/>
            <w:tcBorders>
              <w:top w:val="nil"/>
              <w:left w:val="nil"/>
              <w:bottom w:val="single" w:sz="4" w:space="0" w:color="auto"/>
              <w:right w:val="nil"/>
            </w:tcBorders>
            <w:noWrap/>
            <w:vAlign w:val="center"/>
            <w:hideMark/>
          </w:tcPr>
          <w:p w14:paraId="370457B4"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799 </w:t>
            </w:r>
          </w:p>
        </w:tc>
        <w:tc>
          <w:tcPr>
            <w:tcW w:w="236" w:type="dxa"/>
            <w:tcBorders>
              <w:right w:val="single" w:sz="4" w:space="0" w:color="auto"/>
            </w:tcBorders>
            <w:vAlign w:val="center"/>
            <w:hideMark/>
          </w:tcPr>
          <w:p w14:paraId="3CA5562E"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r w:rsidR="002C4B93" w:rsidRPr="004370C6" w14:paraId="6C2D8C3C" w14:textId="77777777" w:rsidTr="002C4B93">
        <w:trPr>
          <w:trHeight w:val="270"/>
        </w:trPr>
        <w:tc>
          <w:tcPr>
            <w:tcW w:w="4279" w:type="dxa"/>
            <w:tcBorders>
              <w:top w:val="single" w:sz="4" w:space="0" w:color="auto"/>
              <w:left w:val="single" w:sz="4" w:space="0" w:color="auto"/>
              <w:bottom w:val="single" w:sz="4" w:space="0" w:color="auto"/>
              <w:right w:val="nil"/>
            </w:tcBorders>
            <w:noWrap/>
            <w:vAlign w:val="center"/>
            <w:hideMark/>
          </w:tcPr>
          <w:p w14:paraId="34D3E14C" w14:textId="77777777" w:rsidR="00CC18AD" w:rsidRPr="004370C6" w:rsidRDefault="00CC18AD" w:rsidP="00CC18AD">
            <w:pPr>
              <w:spacing w:after="0" w:line="240" w:lineRule="auto"/>
              <w:rPr>
                <w:rFonts w:ascii="Arial" w:eastAsia="Times New Roman" w:hAnsi="Arial" w:cs="Arial"/>
                <w:sz w:val="18"/>
                <w:szCs w:val="18"/>
                <w:lang w:val="en-AU" w:eastAsia="en-AU"/>
              </w:rPr>
            </w:pPr>
            <w:r w:rsidRPr="004370C6">
              <w:rPr>
                <w:rFonts w:ascii="Arial" w:eastAsia="Times New Roman" w:hAnsi="Arial" w:cs="Arial"/>
                <w:sz w:val="18"/>
                <w:szCs w:val="18"/>
                <w:lang w:val="en-AU" w:eastAsia="en-AU"/>
              </w:rPr>
              <w:t>Total capital works expenditure</w:t>
            </w:r>
          </w:p>
        </w:tc>
        <w:tc>
          <w:tcPr>
            <w:tcW w:w="222" w:type="dxa"/>
            <w:tcBorders>
              <w:top w:val="single" w:sz="4" w:space="0" w:color="auto"/>
              <w:left w:val="nil"/>
              <w:bottom w:val="single" w:sz="4" w:space="0" w:color="auto"/>
              <w:right w:val="nil"/>
            </w:tcBorders>
            <w:noWrap/>
            <w:vAlign w:val="center"/>
            <w:hideMark/>
          </w:tcPr>
          <w:p w14:paraId="3F76E9AA" w14:textId="77777777" w:rsidR="00CC18AD" w:rsidRPr="004370C6" w:rsidRDefault="00CC18AD" w:rsidP="00CC18AD">
            <w:pPr>
              <w:spacing w:after="0" w:line="240" w:lineRule="auto"/>
              <w:rPr>
                <w:rFonts w:ascii="Arial" w:eastAsia="Times New Roman" w:hAnsi="Arial" w:cs="Arial"/>
                <w:sz w:val="18"/>
                <w:szCs w:val="18"/>
                <w:lang w:val="en-AU" w:eastAsia="en-AU"/>
              </w:rPr>
            </w:pPr>
          </w:p>
        </w:tc>
        <w:tc>
          <w:tcPr>
            <w:tcW w:w="1151" w:type="dxa"/>
            <w:tcBorders>
              <w:top w:val="single" w:sz="4" w:space="0" w:color="auto"/>
              <w:left w:val="nil"/>
              <w:bottom w:val="single" w:sz="4" w:space="0" w:color="auto"/>
              <w:right w:val="nil"/>
            </w:tcBorders>
            <w:vAlign w:val="center"/>
            <w:hideMark/>
          </w:tcPr>
          <w:p w14:paraId="4FEEFC6B"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19,546 </w:t>
            </w:r>
          </w:p>
        </w:tc>
        <w:tc>
          <w:tcPr>
            <w:tcW w:w="1034" w:type="dxa"/>
            <w:tcBorders>
              <w:top w:val="single" w:sz="4" w:space="0" w:color="auto"/>
              <w:left w:val="nil"/>
              <w:bottom w:val="single" w:sz="4" w:space="0" w:color="auto"/>
              <w:right w:val="nil"/>
            </w:tcBorders>
            <w:vAlign w:val="center"/>
            <w:hideMark/>
          </w:tcPr>
          <w:p w14:paraId="1E5670A9"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13,508 </w:t>
            </w:r>
          </w:p>
        </w:tc>
        <w:tc>
          <w:tcPr>
            <w:tcW w:w="940" w:type="dxa"/>
            <w:tcBorders>
              <w:top w:val="single" w:sz="4" w:space="0" w:color="auto"/>
              <w:left w:val="nil"/>
              <w:bottom w:val="single" w:sz="4" w:space="0" w:color="auto"/>
              <w:right w:val="nil"/>
            </w:tcBorders>
            <w:vAlign w:val="center"/>
            <w:hideMark/>
          </w:tcPr>
          <w:p w14:paraId="752CCA6C"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6,038 </w:t>
            </w:r>
          </w:p>
        </w:tc>
        <w:tc>
          <w:tcPr>
            <w:tcW w:w="1292" w:type="dxa"/>
            <w:tcBorders>
              <w:top w:val="single" w:sz="4" w:space="0" w:color="auto"/>
              <w:left w:val="single" w:sz="4" w:space="0" w:color="auto"/>
              <w:bottom w:val="single" w:sz="4" w:space="0" w:color="auto"/>
              <w:right w:val="single" w:sz="4" w:space="0" w:color="auto"/>
            </w:tcBorders>
            <w:vAlign w:val="center"/>
            <w:hideMark/>
          </w:tcPr>
          <w:p w14:paraId="525E98EE"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38,513 </w:t>
            </w:r>
          </w:p>
        </w:tc>
        <w:tc>
          <w:tcPr>
            <w:tcW w:w="1291" w:type="dxa"/>
            <w:tcBorders>
              <w:top w:val="single" w:sz="4" w:space="0" w:color="auto"/>
              <w:left w:val="nil"/>
              <w:bottom w:val="single" w:sz="4" w:space="0" w:color="auto"/>
              <w:right w:val="nil"/>
            </w:tcBorders>
            <w:vAlign w:val="center"/>
            <w:hideMark/>
          </w:tcPr>
          <w:p w14:paraId="121DBA81"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35,806 </w:t>
            </w:r>
          </w:p>
        </w:tc>
        <w:tc>
          <w:tcPr>
            <w:tcW w:w="1279" w:type="dxa"/>
            <w:tcBorders>
              <w:top w:val="single" w:sz="4" w:space="0" w:color="auto"/>
              <w:left w:val="nil"/>
              <w:bottom w:val="single" w:sz="4" w:space="0" w:color="auto"/>
              <w:right w:val="nil"/>
            </w:tcBorders>
            <w:vAlign w:val="center"/>
            <w:hideMark/>
          </w:tcPr>
          <w:p w14:paraId="1988AAC0" w14:textId="77777777" w:rsidR="00CC18AD" w:rsidRPr="004370C6" w:rsidRDefault="00CC18AD" w:rsidP="004C064F">
            <w:pPr>
              <w:jc w:val="right"/>
              <w:rPr>
                <w:rFonts w:ascii="Arial" w:hAnsi="Arial" w:cs="Arial"/>
                <w:sz w:val="20"/>
                <w:szCs w:val="20"/>
                <w:lang w:val="en-AU" w:eastAsia="en-AU"/>
              </w:rPr>
            </w:pPr>
            <w:r w:rsidRPr="004370C6">
              <w:rPr>
                <w:rFonts w:ascii="Arial" w:hAnsi="Arial" w:cs="Arial"/>
                <w:sz w:val="20"/>
                <w:szCs w:val="20"/>
                <w:lang w:val="en-AU" w:eastAsia="en-AU"/>
              </w:rPr>
              <w:t xml:space="preserve"> 2,707 </w:t>
            </w:r>
          </w:p>
        </w:tc>
        <w:tc>
          <w:tcPr>
            <w:tcW w:w="236" w:type="dxa"/>
            <w:tcBorders>
              <w:bottom w:val="single" w:sz="4" w:space="0" w:color="auto"/>
              <w:right w:val="single" w:sz="4" w:space="0" w:color="auto"/>
            </w:tcBorders>
            <w:vAlign w:val="center"/>
            <w:hideMark/>
          </w:tcPr>
          <w:p w14:paraId="2B0B50F5" w14:textId="77777777" w:rsidR="00CC18AD" w:rsidRPr="004370C6" w:rsidRDefault="00CC18AD" w:rsidP="00CC18AD">
            <w:pPr>
              <w:spacing w:after="0" w:line="240" w:lineRule="auto"/>
              <w:rPr>
                <w:rFonts w:ascii="Arial" w:eastAsia="Times New Roman" w:hAnsi="Arial" w:cs="Arial"/>
                <w:sz w:val="20"/>
                <w:szCs w:val="20"/>
                <w:lang w:val="en-AU" w:eastAsia="en-AU"/>
              </w:rPr>
            </w:pPr>
          </w:p>
        </w:tc>
      </w:tr>
    </w:tbl>
    <w:p w14:paraId="264AA93D" w14:textId="7D0E91E2" w:rsidR="002124C8" w:rsidRPr="004370C6" w:rsidRDefault="002124C8" w:rsidP="002124C8">
      <w:pPr>
        <w:rPr>
          <w:rFonts w:ascii="Arial" w:hAnsi="Arial" w:cs="Arial"/>
        </w:rPr>
      </w:pPr>
      <w:r w:rsidRPr="004370C6">
        <w:rPr>
          <w:rFonts w:ascii="Arial" w:hAnsi="Arial" w:cs="Arial"/>
        </w:rPr>
        <w:br w:type="page"/>
      </w:r>
    </w:p>
    <w:p w14:paraId="7B868FA7" w14:textId="77777777" w:rsidR="002124C8" w:rsidRPr="004370C6" w:rsidRDefault="002124C8" w:rsidP="00B64127">
      <w:pPr>
        <w:pStyle w:val="Heading4"/>
        <w:rPr>
          <w:rFonts w:ascii="Arial" w:hAnsi="Arial" w:cs="Arial"/>
          <w:color w:val="auto"/>
          <w:lang w:val="en-AU"/>
        </w:rPr>
      </w:pPr>
      <w:bookmarkStart w:id="85" w:name="_Toc224732215"/>
      <w:r w:rsidRPr="004370C6">
        <w:rPr>
          <w:rFonts w:ascii="Arial" w:hAnsi="Arial" w:cs="Arial"/>
          <w:color w:val="auto"/>
        </w:rPr>
        <w:lastRenderedPageBreak/>
        <w:t>Quarter Two - Operating performance</w:t>
      </w:r>
      <w:bookmarkEnd w:id="85"/>
      <w:r w:rsidRPr="004370C6">
        <w:rPr>
          <w:rFonts w:ascii="Arial" w:hAnsi="Arial" w:cs="Arial"/>
          <w:color w:val="auto"/>
          <w:lang w:val="en-AU"/>
        </w:rPr>
        <w:t> </w:t>
      </w:r>
    </w:p>
    <w:p w14:paraId="7441F1C6" w14:textId="77777777" w:rsidR="002124C8" w:rsidRPr="004370C6" w:rsidRDefault="002124C8" w:rsidP="00B64127">
      <w:pPr>
        <w:pStyle w:val="Heading5"/>
        <w:rPr>
          <w:rFonts w:ascii="Arial" w:hAnsi="Arial" w:cs="Arial"/>
          <w:noProof/>
          <w:color w:val="auto"/>
        </w:rPr>
      </w:pPr>
      <w:bookmarkStart w:id="86" w:name="_Toc224732216"/>
      <w:r w:rsidRPr="004370C6">
        <w:rPr>
          <w:rFonts w:ascii="Arial" w:hAnsi="Arial" w:cs="Arial"/>
          <w:noProof/>
          <w:color w:val="auto"/>
        </w:rPr>
        <w:t>Statutory fees</w:t>
      </w:r>
      <w:bookmarkEnd w:id="86"/>
      <w:r w:rsidRPr="004370C6">
        <w:rPr>
          <w:rFonts w:ascii="Arial" w:hAnsi="Arial" w:cs="Arial"/>
          <w:noProof/>
          <w:color w:val="auto"/>
        </w:rPr>
        <w:t>  </w:t>
      </w:r>
    </w:p>
    <w:p w14:paraId="20E53FBA" w14:textId="77777777" w:rsidR="002124C8" w:rsidRPr="004370C6" w:rsidRDefault="002124C8" w:rsidP="002C4B93">
      <w:pPr>
        <w:rPr>
          <w:rFonts w:ascii="Arial" w:hAnsi="Arial" w:cs="Arial"/>
          <w:noProof/>
        </w:rPr>
      </w:pPr>
      <w:r w:rsidRPr="004370C6">
        <w:rPr>
          <w:rFonts w:ascii="Arial" w:hAnsi="Arial" w:cs="Arial"/>
          <w:noProof/>
        </w:rPr>
        <w:t>Statutory fees and fines include infringement notices, parking permits and parking meter income.  Current results are ahead of budget mainly attributed to improved management of operational environments.   </w:t>
      </w:r>
    </w:p>
    <w:p w14:paraId="15CA93B8" w14:textId="77777777" w:rsidR="002124C8" w:rsidRPr="004370C6" w:rsidRDefault="002124C8" w:rsidP="002124C8">
      <w:pPr>
        <w:rPr>
          <w:rFonts w:ascii="Arial" w:hAnsi="Arial" w:cs="Arial"/>
          <w:noProof/>
        </w:rPr>
      </w:pPr>
    </w:p>
    <w:p w14:paraId="1791C8D2" w14:textId="77777777" w:rsidR="002124C8" w:rsidRPr="004370C6" w:rsidRDefault="002124C8" w:rsidP="002124C8">
      <w:pPr>
        <w:rPr>
          <w:rFonts w:ascii="Arial" w:hAnsi="Arial" w:cs="Arial"/>
          <w:noProof/>
          <w:lang w:val="en-AU"/>
        </w:rPr>
      </w:pPr>
      <w:r w:rsidRPr="004370C6">
        <w:rPr>
          <w:rFonts w:ascii="Arial" w:hAnsi="Arial" w:cs="Arial"/>
          <w:noProof/>
          <w:lang w:val="en-AU"/>
        </w:rPr>
        <w:drawing>
          <wp:inline distT="0" distB="0" distL="0" distR="0" wp14:anchorId="4E986301" wp14:editId="571AB7AA">
            <wp:extent cx="5734050" cy="2260600"/>
            <wp:effectExtent l="0" t="0" r="0" b="6350"/>
            <wp:docPr id="2019719516" name="Picture 5" descr="Bar chart comparing parking fees and infringements over twelve months from July to June, with data categories including PY Budget, Actuals, PY Actual, Budget, and Forecast represented by orange, gray, blue bars, and yellow and red dashed lines respectively. The chart shows a general decline in fees and infringements from July to January, followed by a steady increase peaking in June, with forecast values closely aligning with budget tre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19516" name="Picture 5" descr="Bar chart comparing parking fees and infringements over twelve months from July to June, with data categories including PY Budget, Actuals, PY Actual, Budget, and Forecast represented by orange, gray, blue bars, and yellow and red dashed lines respectively. The chart shows a general decline in fees and infringements from July to January, followed by a steady increase peaking in June, with forecast values closely aligning with budget trends.&#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260600"/>
                    </a:xfrm>
                    <a:prstGeom prst="rect">
                      <a:avLst/>
                    </a:prstGeom>
                    <a:noFill/>
                    <a:ln>
                      <a:noFill/>
                    </a:ln>
                  </pic:spPr>
                </pic:pic>
              </a:graphicData>
            </a:graphic>
          </wp:inline>
        </w:drawing>
      </w:r>
    </w:p>
    <w:p w14:paraId="4ED1E4FF" w14:textId="77777777" w:rsidR="002124C8" w:rsidRPr="004370C6" w:rsidRDefault="002124C8" w:rsidP="002124C8">
      <w:pPr>
        <w:rPr>
          <w:rFonts w:ascii="Arial" w:hAnsi="Arial" w:cs="Arial"/>
          <w:noProof/>
        </w:rPr>
      </w:pPr>
    </w:p>
    <w:p w14:paraId="654AFA21" w14:textId="77777777" w:rsidR="002124C8" w:rsidRPr="004370C6" w:rsidRDefault="002124C8" w:rsidP="00B64127">
      <w:pPr>
        <w:pStyle w:val="Heading5"/>
        <w:rPr>
          <w:rFonts w:ascii="Arial" w:hAnsi="Arial" w:cs="Arial"/>
          <w:noProof/>
          <w:color w:val="auto"/>
        </w:rPr>
      </w:pPr>
      <w:bookmarkStart w:id="87" w:name="_Toc224732217"/>
      <w:r w:rsidRPr="004370C6">
        <w:rPr>
          <w:rFonts w:ascii="Arial" w:hAnsi="Arial" w:cs="Arial"/>
          <w:noProof/>
          <w:color w:val="auto"/>
        </w:rPr>
        <w:t>Recreation and Leisure Income</w:t>
      </w:r>
      <w:bookmarkEnd w:id="87"/>
      <w:r w:rsidRPr="004370C6">
        <w:rPr>
          <w:rFonts w:ascii="Arial" w:hAnsi="Arial" w:cs="Arial"/>
          <w:noProof/>
          <w:color w:val="auto"/>
        </w:rPr>
        <w:t xml:space="preserve"> </w:t>
      </w:r>
    </w:p>
    <w:p w14:paraId="086AA89F" w14:textId="77777777" w:rsidR="002124C8" w:rsidRPr="004370C6" w:rsidRDefault="002124C8" w:rsidP="002C4B93">
      <w:pPr>
        <w:rPr>
          <w:rFonts w:ascii="Arial" w:hAnsi="Arial" w:cs="Arial"/>
          <w:noProof/>
        </w:rPr>
      </w:pPr>
      <w:r w:rsidRPr="004370C6">
        <w:rPr>
          <w:rFonts w:ascii="Arial" w:hAnsi="Arial" w:cs="Arial"/>
          <w:noProof/>
        </w:rPr>
        <w:t>Recreation and leisure income is currently tracking ahead of last year's actuals and is on par with this years budget, forecast is to come in (-$0.200M) below budget, driven by reduced Learn to Swim class uptake and reduced Pavillion and Facility Hire.</w:t>
      </w:r>
    </w:p>
    <w:p w14:paraId="7ED38D10" w14:textId="77777777" w:rsidR="002124C8" w:rsidRPr="004370C6" w:rsidRDefault="002124C8" w:rsidP="002124C8">
      <w:pPr>
        <w:rPr>
          <w:rFonts w:ascii="Arial" w:hAnsi="Arial" w:cs="Arial"/>
          <w:lang w:val="en-AU"/>
        </w:rPr>
      </w:pPr>
      <w:r w:rsidRPr="004370C6">
        <w:rPr>
          <w:rFonts w:ascii="Arial" w:hAnsi="Arial" w:cs="Arial"/>
          <w:noProof/>
          <w:lang w:val="en-AU"/>
        </w:rPr>
        <w:drawing>
          <wp:inline distT="0" distB="0" distL="0" distR="0" wp14:anchorId="6F2E8735" wp14:editId="3D3AE811">
            <wp:extent cx="5727700" cy="2247900"/>
            <wp:effectExtent l="0" t="0" r="6350" b="0"/>
            <wp:docPr id="927358055" name="Picture 7" descr="Bar chart comparing recreation and leisure income across months from July to June, showing PY Budget, Actuals, PY Actual, Budget, and Forecast values. Key elements include blue bars for PY Actual, orange bars for Actuals, gray bars for PY Budget, a solid orange line for Budget, and a dashed orange line for Forecast, highlighting income fluctuations and trends with peaks in October and December and forecast to come in below bu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58055" name="Picture 7" descr="Bar chart comparing recreation and leisure income across months from July to June, showing PY Budget, Actuals, PY Actual, Budget, and Forecast values. Key elements include blue bars for PY Actual, orange bars for Actuals, gray bars for PY Budget, a solid orange line for Budget, and a dashed orange line for Forecast, highlighting income fluctuations and trends with peaks in October and December and forecast to come in below budge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2247900"/>
                    </a:xfrm>
                    <a:prstGeom prst="rect">
                      <a:avLst/>
                    </a:prstGeom>
                    <a:noFill/>
                    <a:ln>
                      <a:noFill/>
                    </a:ln>
                  </pic:spPr>
                </pic:pic>
              </a:graphicData>
            </a:graphic>
          </wp:inline>
        </w:drawing>
      </w:r>
    </w:p>
    <w:p w14:paraId="14D78C96" w14:textId="77777777" w:rsidR="002124C8" w:rsidRPr="004370C6" w:rsidRDefault="002124C8" w:rsidP="002124C8">
      <w:pPr>
        <w:rPr>
          <w:rFonts w:ascii="Arial" w:hAnsi="Arial" w:cs="Arial"/>
          <w:noProof/>
        </w:rPr>
      </w:pPr>
    </w:p>
    <w:p w14:paraId="2C390E04" w14:textId="77777777" w:rsidR="002124C8" w:rsidRPr="004370C6" w:rsidRDefault="002124C8" w:rsidP="00B64127">
      <w:pPr>
        <w:pStyle w:val="Heading4"/>
        <w:rPr>
          <w:rFonts w:ascii="Arial" w:hAnsi="Arial" w:cs="Arial"/>
          <w:noProof/>
          <w:color w:val="auto"/>
        </w:rPr>
      </w:pPr>
      <w:bookmarkStart w:id="88" w:name="_Toc224732218"/>
      <w:r w:rsidRPr="004370C6">
        <w:rPr>
          <w:rFonts w:ascii="Arial" w:hAnsi="Arial" w:cs="Arial"/>
          <w:noProof/>
          <w:color w:val="auto"/>
        </w:rPr>
        <w:lastRenderedPageBreak/>
        <w:t>Rates Collection</w:t>
      </w:r>
      <w:bookmarkEnd w:id="88"/>
      <w:r w:rsidRPr="004370C6">
        <w:rPr>
          <w:rFonts w:ascii="Arial" w:hAnsi="Arial" w:cs="Arial"/>
          <w:noProof/>
          <w:color w:val="auto"/>
        </w:rPr>
        <w:t xml:space="preserve">  </w:t>
      </w:r>
    </w:p>
    <w:p w14:paraId="23DB79C9" w14:textId="274B0B6D" w:rsidR="002124C8" w:rsidRPr="004370C6" w:rsidRDefault="002124C8" w:rsidP="002C4B93">
      <w:pPr>
        <w:rPr>
          <w:rFonts w:ascii="Arial" w:hAnsi="Arial" w:cs="Arial"/>
          <w:lang w:val="en-AU"/>
        </w:rPr>
      </w:pPr>
      <w:r w:rsidRPr="004370C6">
        <w:rPr>
          <w:rFonts w:ascii="Arial" w:hAnsi="Arial" w:cs="Arial"/>
          <w:lang w:val="en-AU"/>
        </w:rPr>
        <w:t>The cash collections from rates is currently ahead of the average collections achieved in the last three years.</w:t>
      </w:r>
    </w:p>
    <w:p w14:paraId="35DBCEB0" w14:textId="77777777" w:rsidR="002124C8" w:rsidRPr="004370C6" w:rsidRDefault="002124C8" w:rsidP="002124C8">
      <w:pPr>
        <w:rPr>
          <w:rFonts w:ascii="Arial" w:hAnsi="Arial" w:cs="Arial"/>
          <w:lang w:val="en-AU"/>
        </w:rPr>
      </w:pPr>
    </w:p>
    <w:p w14:paraId="4C951865" w14:textId="77777777" w:rsidR="002124C8" w:rsidRPr="004370C6" w:rsidRDefault="002124C8" w:rsidP="002124C8">
      <w:pPr>
        <w:rPr>
          <w:rFonts w:ascii="Arial" w:hAnsi="Arial" w:cs="Arial"/>
          <w:lang w:val="en-AU"/>
        </w:rPr>
      </w:pPr>
      <w:r w:rsidRPr="004370C6">
        <w:rPr>
          <w:rFonts w:ascii="Arial" w:hAnsi="Arial" w:cs="Arial"/>
          <w:noProof/>
          <w:lang w:val="en-AU"/>
        </w:rPr>
        <w:drawing>
          <wp:inline distT="0" distB="0" distL="0" distR="0" wp14:anchorId="6B9EC714" wp14:editId="2EA26AFA">
            <wp:extent cx="5772150" cy="3600450"/>
            <wp:effectExtent l="0" t="0" r="0" b="0"/>
            <wp:docPr id="969941831" name="Picture 9" descr="Bar chart showing rates collection in millions from July to June, comparing actuals, 2024/25 actual recovery, and 2023/24 actual recovery with a line for average actual recovery. The chart highlights a steady increase in collections over months, with 2024/25 actual recovery generally higher than 2023/24, and average recovery rising from near zero in July to around 130 million by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41831" name="Picture 9" descr="Bar chart showing rates collection in millions from July to June, comparing actuals, 2024/25 actual recovery, and 2023/24 actual recovery with a line for average actual recovery. The chart highlights a steady increase in collections over months, with 2024/25 actual recovery generally higher than 2023/24, and average recovery rising from near zero in July to around 130 million by Ju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3600450"/>
                    </a:xfrm>
                    <a:prstGeom prst="rect">
                      <a:avLst/>
                    </a:prstGeom>
                    <a:noFill/>
                    <a:ln>
                      <a:noFill/>
                    </a:ln>
                  </pic:spPr>
                </pic:pic>
              </a:graphicData>
            </a:graphic>
          </wp:inline>
        </w:drawing>
      </w:r>
    </w:p>
    <w:p w14:paraId="0ED5A818" w14:textId="77777777" w:rsidR="002124C8" w:rsidRPr="004370C6" w:rsidRDefault="002124C8" w:rsidP="002124C8">
      <w:pPr>
        <w:rPr>
          <w:rFonts w:ascii="Arial" w:hAnsi="Arial" w:cs="Arial"/>
          <w:lang w:val="en-AU"/>
        </w:rPr>
      </w:pPr>
    </w:p>
    <w:p w14:paraId="6451F6BE" w14:textId="1D4AD418" w:rsidR="302C0EA8" w:rsidRPr="004370C6" w:rsidRDefault="302C0EA8" w:rsidP="00B64127">
      <w:pPr>
        <w:pStyle w:val="Heading3"/>
        <w:rPr>
          <w:rFonts w:ascii="Arial" w:hAnsi="Arial" w:cs="Arial"/>
          <w:color w:val="auto"/>
        </w:rPr>
      </w:pPr>
      <w:bookmarkStart w:id="89" w:name="_Toc224732219"/>
      <w:r w:rsidRPr="004370C6">
        <w:rPr>
          <w:rFonts w:ascii="Arial" w:hAnsi="Arial" w:cs="Arial"/>
          <w:color w:val="auto"/>
        </w:rPr>
        <w:t>Parking Revenue</w:t>
      </w:r>
      <w:bookmarkEnd w:id="89"/>
    </w:p>
    <w:p w14:paraId="3E934C5D" w14:textId="3C0432C3" w:rsidR="3D124D39" w:rsidRPr="004370C6" w:rsidRDefault="00DD1330" w:rsidP="002C4B93">
      <w:pPr>
        <w:rPr>
          <w:rFonts w:ascii="Arial" w:hAnsi="Arial" w:cs="Arial"/>
          <w:lang w:val="en-GB"/>
        </w:rPr>
      </w:pPr>
      <w:r w:rsidRPr="004370C6">
        <w:rPr>
          <w:rFonts w:ascii="Arial" w:hAnsi="Arial" w:cs="Arial"/>
        </w:rPr>
        <w:t>P</w:t>
      </w:r>
      <w:r w:rsidR="3D124D39" w:rsidRPr="004370C6">
        <w:rPr>
          <w:rFonts w:ascii="Arial" w:hAnsi="Arial" w:cs="Arial"/>
        </w:rPr>
        <w:t xml:space="preserve">arking revenue data for quarter 2 </w:t>
      </w:r>
      <w:r w:rsidRPr="004370C6">
        <w:rPr>
          <w:rFonts w:ascii="Arial" w:hAnsi="Arial" w:cs="Arial"/>
        </w:rPr>
        <w:t xml:space="preserve">provides </w:t>
      </w:r>
      <w:r w:rsidR="3D124D39" w:rsidRPr="004370C6">
        <w:rPr>
          <w:rFonts w:ascii="Arial" w:hAnsi="Arial" w:cs="Arial"/>
        </w:rPr>
        <w:t xml:space="preserve">the community with an overview of parking revenue and </w:t>
      </w:r>
      <w:r w:rsidR="003E569A" w:rsidRPr="004370C6">
        <w:rPr>
          <w:rFonts w:ascii="Arial" w:hAnsi="Arial" w:cs="Arial"/>
        </w:rPr>
        <w:t>identifies</w:t>
      </w:r>
      <w:r w:rsidR="3D124D39" w:rsidRPr="004370C6">
        <w:rPr>
          <w:rFonts w:ascii="Arial" w:hAnsi="Arial" w:cs="Arial"/>
        </w:rPr>
        <w:t xml:space="preserve"> any trends or patterns.</w:t>
      </w:r>
    </w:p>
    <w:p w14:paraId="78B39532" w14:textId="698D294F" w:rsidR="3D124D39" w:rsidRPr="004370C6" w:rsidRDefault="3D124D39" w:rsidP="002C4B93">
      <w:pPr>
        <w:rPr>
          <w:rFonts w:ascii="Arial" w:hAnsi="Arial" w:cs="Arial"/>
          <w:lang w:val="en-GB"/>
        </w:rPr>
      </w:pPr>
      <w:r w:rsidRPr="004370C6">
        <w:rPr>
          <w:rFonts w:ascii="Arial" w:hAnsi="Arial" w:cs="Arial"/>
        </w:rPr>
        <w:t xml:space="preserve"> </w:t>
      </w:r>
    </w:p>
    <w:p w14:paraId="36B7B840" w14:textId="7B037040" w:rsidR="3D124D39" w:rsidRPr="004370C6" w:rsidRDefault="3D124D39" w:rsidP="002C4B93">
      <w:pPr>
        <w:rPr>
          <w:rFonts w:ascii="Arial" w:hAnsi="Arial" w:cs="Arial"/>
          <w:lang w:val="en-GB"/>
        </w:rPr>
      </w:pPr>
      <w:r w:rsidRPr="004370C6">
        <w:rPr>
          <w:rFonts w:ascii="Arial" w:hAnsi="Arial" w:cs="Arial"/>
        </w:rPr>
        <w:t xml:space="preserve">Parking revenue is broken down into two categories: </w:t>
      </w:r>
    </w:p>
    <w:p w14:paraId="0B01CE09" w14:textId="72BC0A0D" w:rsidR="3D124D39" w:rsidRPr="004370C6" w:rsidRDefault="3D124D39" w:rsidP="00E4643C">
      <w:pPr>
        <w:pStyle w:val="ListParagraph"/>
        <w:numPr>
          <w:ilvl w:val="0"/>
          <w:numId w:val="18"/>
        </w:numPr>
        <w:rPr>
          <w:rFonts w:ascii="Arial" w:hAnsi="Arial" w:cs="Arial"/>
          <w:lang w:val="en-GB"/>
        </w:rPr>
      </w:pPr>
      <w:r w:rsidRPr="004370C6">
        <w:rPr>
          <w:rFonts w:ascii="Arial" w:hAnsi="Arial" w:cs="Arial"/>
        </w:rPr>
        <w:t>paid parking</w:t>
      </w:r>
    </w:p>
    <w:p w14:paraId="7E64261B" w14:textId="00B55882" w:rsidR="3D124D39" w:rsidRPr="004370C6" w:rsidRDefault="3D124D39" w:rsidP="00E4643C">
      <w:pPr>
        <w:pStyle w:val="ListParagraph"/>
        <w:numPr>
          <w:ilvl w:val="0"/>
          <w:numId w:val="18"/>
        </w:numPr>
        <w:rPr>
          <w:rFonts w:ascii="Arial" w:hAnsi="Arial" w:cs="Arial"/>
          <w:lang w:val="en-GB"/>
        </w:rPr>
      </w:pPr>
      <w:r w:rsidRPr="004370C6">
        <w:rPr>
          <w:rFonts w:ascii="Arial" w:hAnsi="Arial" w:cs="Arial"/>
        </w:rPr>
        <w:t xml:space="preserve">parking infringements. </w:t>
      </w:r>
    </w:p>
    <w:p w14:paraId="33EFA93B" w14:textId="7780B045" w:rsidR="3D124D39" w:rsidRPr="004370C6" w:rsidRDefault="3D124D39" w:rsidP="002C4B93">
      <w:pPr>
        <w:rPr>
          <w:rFonts w:ascii="Arial" w:hAnsi="Arial" w:cs="Arial"/>
          <w:lang w:val="en-GB"/>
        </w:rPr>
      </w:pPr>
      <w:r w:rsidRPr="004370C6">
        <w:rPr>
          <w:rFonts w:ascii="Arial" w:hAnsi="Arial" w:cs="Arial"/>
        </w:rPr>
        <w:t xml:space="preserve"> </w:t>
      </w:r>
    </w:p>
    <w:p w14:paraId="35195378" w14:textId="07D703AA" w:rsidR="3D124D39" w:rsidRPr="004370C6" w:rsidRDefault="3D124D39" w:rsidP="002C4B93">
      <w:pPr>
        <w:rPr>
          <w:rFonts w:ascii="Arial" w:hAnsi="Arial" w:cs="Arial"/>
          <w:lang w:val="en-GB"/>
        </w:rPr>
      </w:pPr>
      <w:r w:rsidRPr="004370C6">
        <w:rPr>
          <w:rFonts w:ascii="Arial" w:hAnsi="Arial" w:cs="Arial"/>
        </w:rPr>
        <w:t>Paid parking revenue includes income generated from both pay-by-phone (PayStay) and meter payments made by drivers.</w:t>
      </w:r>
    </w:p>
    <w:p w14:paraId="75AD3D03" w14:textId="3531FC44" w:rsidR="3D124D39" w:rsidRPr="004370C6" w:rsidRDefault="3D124D39" w:rsidP="002C4B93">
      <w:pPr>
        <w:rPr>
          <w:rFonts w:ascii="Arial" w:hAnsi="Arial" w:cs="Arial"/>
          <w:lang w:val="en-GB"/>
        </w:rPr>
      </w:pPr>
      <w:r w:rsidRPr="004370C6">
        <w:rPr>
          <w:rFonts w:ascii="Arial" w:hAnsi="Arial" w:cs="Arial"/>
        </w:rPr>
        <w:t xml:space="preserve"> </w:t>
      </w:r>
    </w:p>
    <w:p w14:paraId="28E67204" w14:textId="37ECAA5B" w:rsidR="3D124D39" w:rsidRPr="004370C6" w:rsidRDefault="3D124D39" w:rsidP="00B64127">
      <w:pPr>
        <w:pStyle w:val="Heading4"/>
        <w:rPr>
          <w:rFonts w:ascii="Arial" w:hAnsi="Arial" w:cs="Arial"/>
          <w:color w:val="auto"/>
          <w:lang w:val="en-GB"/>
        </w:rPr>
      </w:pPr>
      <w:bookmarkStart w:id="90" w:name="_Toc224732220"/>
      <w:r w:rsidRPr="004370C6">
        <w:rPr>
          <w:rFonts w:ascii="Arial" w:hAnsi="Arial" w:cs="Arial"/>
          <w:color w:val="auto"/>
        </w:rPr>
        <w:lastRenderedPageBreak/>
        <w:t>Q2 Overall paid parking revenue</w:t>
      </w:r>
      <w:bookmarkEnd w:id="90"/>
    </w:p>
    <w:p w14:paraId="4C1B35D1" w14:textId="23EA4405" w:rsidR="3D124D39" w:rsidRPr="004370C6" w:rsidRDefault="3D124D39" w:rsidP="6DAD6152">
      <w:pPr>
        <w:pStyle w:val="NoSpacing"/>
        <w:spacing w:line="240" w:lineRule="auto"/>
        <w:ind w:left="284"/>
        <w:rPr>
          <w:rFonts w:ascii="Arial" w:hAnsi="Arial" w:cs="Arial"/>
          <w:lang w:val="en-GB"/>
        </w:rPr>
      </w:pPr>
      <w:r w:rsidRPr="004370C6">
        <w:rPr>
          <w:rFonts w:ascii="Arial" w:hAnsi="Arial" w:cs="Arial"/>
        </w:rPr>
        <w:t xml:space="preserve"> </w:t>
      </w:r>
    </w:p>
    <w:p w14:paraId="7D4B2D51" w14:textId="2F1C6AC0" w:rsidR="3D124D39" w:rsidRPr="004370C6" w:rsidRDefault="3D124D39" w:rsidP="00F81037">
      <w:pPr>
        <w:rPr>
          <w:rFonts w:ascii="Arial" w:hAnsi="Arial" w:cs="Arial"/>
          <w:lang w:val="en-GB"/>
        </w:rPr>
      </w:pPr>
      <w:r w:rsidRPr="004370C6">
        <w:rPr>
          <w:rFonts w:ascii="Arial" w:hAnsi="Arial" w:cs="Arial"/>
        </w:rPr>
        <w:t>Total revenue for quarter 2 increased by 0.04% compared to quarter 2 2024/25. The graph below shows that the forecast for quarter 2 was exceeded by 13.19%. Comparison of quarter 2 figures for 24/25 and 25/26 are shown below detailing total paid parking revenue for this quarter, which increased by $1,817.93:</w:t>
      </w:r>
    </w:p>
    <w:p w14:paraId="7CD08BD5" w14:textId="53BE5B38" w:rsidR="3D124D39" w:rsidRPr="004370C6" w:rsidRDefault="3D124D39" w:rsidP="00F81037">
      <w:pPr>
        <w:rPr>
          <w:rFonts w:ascii="Arial" w:hAnsi="Arial" w:cs="Arial"/>
          <w:lang w:val="en-GB"/>
        </w:rPr>
      </w:pPr>
      <w:r w:rsidRPr="004370C6">
        <w:rPr>
          <w:rFonts w:ascii="Arial" w:hAnsi="Arial" w:cs="Arial"/>
        </w:rPr>
        <w:t xml:space="preserve"> Quarter 2 2024/2025: $4,165,343.33</w:t>
      </w:r>
    </w:p>
    <w:p w14:paraId="6DB4EBE6" w14:textId="10EBE665" w:rsidR="3D124D39" w:rsidRPr="004370C6" w:rsidRDefault="3D124D39" w:rsidP="00E4643C">
      <w:pPr>
        <w:pStyle w:val="ListParagraph"/>
        <w:numPr>
          <w:ilvl w:val="0"/>
          <w:numId w:val="19"/>
        </w:numPr>
        <w:rPr>
          <w:rFonts w:ascii="Arial" w:hAnsi="Arial" w:cs="Arial"/>
          <w:lang w:val="en-GB"/>
        </w:rPr>
      </w:pPr>
      <w:r w:rsidRPr="004370C6">
        <w:rPr>
          <w:rFonts w:ascii="Arial" w:hAnsi="Arial" w:cs="Arial"/>
        </w:rPr>
        <w:t>Quarter 2 2025/2026: $4,167,161.26</w:t>
      </w:r>
    </w:p>
    <w:p w14:paraId="24B741C8" w14:textId="1C1A782C" w:rsidR="3D124D39" w:rsidRPr="004370C6" w:rsidRDefault="3D124D39" w:rsidP="00B64127">
      <w:pPr>
        <w:pStyle w:val="Heading4"/>
        <w:rPr>
          <w:rFonts w:ascii="Arial" w:hAnsi="Arial" w:cs="Arial"/>
          <w:color w:val="auto"/>
          <w:lang w:val="en-GB"/>
        </w:rPr>
      </w:pPr>
      <w:bookmarkStart w:id="91" w:name="_Toc224732221"/>
      <w:r w:rsidRPr="004370C6">
        <w:rPr>
          <w:rFonts w:ascii="Arial" w:hAnsi="Arial" w:cs="Arial"/>
          <w:color w:val="auto"/>
        </w:rPr>
        <w:t>Quarter 2 Paid parking meters</w:t>
      </w:r>
      <w:bookmarkEnd w:id="91"/>
    </w:p>
    <w:p w14:paraId="4EE0F1BB" w14:textId="4294BF15" w:rsidR="3D124D39" w:rsidRPr="004370C6" w:rsidRDefault="3D124D39" w:rsidP="00F81037">
      <w:pPr>
        <w:rPr>
          <w:rFonts w:ascii="Arial" w:hAnsi="Arial" w:cs="Arial"/>
          <w:lang w:val="en-GB"/>
        </w:rPr>
      </w:pPr>
      <w:r w:rsidRPr="004370C6">
        <w:rPr>
          <w:rFonts w:ascii="Arial" w:hAnsi="Arial" w:cs="Arial"/>
        </w:rPr>
        <w:t xml:space="preserve"> The table below shows the parking meter data including revenue and time paid (or length of stay). A total of 315,080 transactions occurred during quarter 2:</w:t>
      </w:r>
    </w:p>
    <w:p w14:paraId="7365712C" w14:textId="15438CCC" w:rsidR="3D124D39" w:rsidRPr="004370C6" w:rsidRDefault="3D124D39" w:rsidP="00E4643C">
      <w:pPr>
        <w:pStyle w:val="ListParagraph"/>
        <w:numPr>
          <w:ilvl w:val="0"/>
          <w:numId w:val="20"/>
        </w:numPr>
        <w:rPr>
          <w:rFonts w:ascii="Arial" w:hAnsi="Arial" w:cs="Arial"/>
          <w:lang w:val="en-GB"/>
        </w:rPr>
      </w:pPr>
      <w:r w:rsidRPr="004370C6">
        <w:rPr>
          <w:rFonts w:ascii="Arial" w:hAnsi="Arial" w:cs="Arial"/>
        </w:rPr>
        <w:t>Quarter 2 2024/25 Meter Revenue: $2,172,291.00</w:t>
      </w:r>
    </w:p>
    <w:p w14:paraId="61F4EDE4" w14:textId="21958CBB" w:rsidR="3D124D39" w:rsidRPr="004370C6" w:rsidRDefault="3D124D39" w:rsidP="00E4643C">
      <w:pPr>
        <w:pStyle w:val="ListParagraph"/>
        <w:numPr>
          <w:ilvl w:val="0"/>
          <w:numId w:val="20"/>
        </w:numPr>
        <w:rPr>
          <w:rFonts w:ascii="Arial" w:hAnsi="Arial" w:cs="Arial"/>
          <w:lang w:val="en-GB"/>
        </w:rPr>
      </w:pPr>
      <w:r w:rsidRPr="004370C6">
        <w:rPr>
          <w:rFonts w:ascii="Arial" w:hAnsi="Arial" w:cs="Arial"/>
        </w:rPr>
        <w:t>Quarter 2 2025/26 Meter Revenue: $2,122,297.00</w:t>
      </w:r>
    </w:p>
    <w:p w14:paraId="4627278E" w14:textId="1F5369F3" w:rsidR="3D124D39" w:rsidRPr="004370C6" w:rsidRDefault="3D124D39" w:rsidP="00F81037">
      <w:pPr>
        <w:rPr>
          <w:rFonts w:ascii="Arial" w:hAnsi="Arial" w:cs="Arial"/>
          <w:lang w:val="en-GB"/>
        </w:rPr>
      </w:pPr>
      <w:r w:rsidRPr="004370C6">
        <w:rPr>
          <w:rFonts w:ascii="Arial" w:hAnsi="Arial" w:cs="Arial"/>
        </w:rPr>
        <w:t xml:space="preserve"> Quarter 2 Paid parking pay by phone</w:t>
      </w:r>
    </w:p>
    <w:p w14:paraId="31BB8762" w14:textId="720F47FE" w:rsidR="3D124D39" w:rsidRPr="004370C6" w:rsidRDefault="3D124D39" w:rsidP="00F81037">
      <w:pPr>
        <w:rPr>
          <w:rFonts w:ascii="Arial" w:hAnsi="Arial" w:cs="Arial"/>
          <w:lang w:val="en-GB"/>
        </w:rPr>
      </w:pPr>
      <w:r w:rsidRPr="004370C6">
        <w:rPr>
          <w:rFonts w:ascii="Arial" w:hAnsi="Arial" w:cs="Arial"/>
        </w:rPr>
        <w:t>Pay by phone remains an active option for customers, and the data continues to show an increase in the number of transactions when comparing year on year quarter 2 data (2024/25 to 2025/26):</w:t>
      </w:r>
    </w:p>
    <w:p w14:paraId="3CABFD09" w14:textId="791CD461" w:rsidR="3D124D39" w:rsidRPr="004370C6" w:rsidRDefault="3D124D39" w:rsidP="00F81037">
      <w:pPr>
        <w:rPr>
          <w:rFonts w:ascii="Arial" w:hAnsi="Arial" w:cs="Arial"/>
          <w:lang w:val="en-GB"/>
        </w:rPr>
      </w:pPr>
      <w:r w:rsidRPr="004370C6">
        <w:rPr>
          <w:rFonts w:ascii="Arial" w:hAnsi="Arial" w:cs="Arial"/>
        </w:rPr>
        <w:t>Quarter 2 2024/25 Pay by Phone Transactions: 398,697</w:t>
      </w:r>
    </w:p>
    <w:p w14:paraId="2850776C" w14:textId="54E13374" w:rsidR="3D124D39" w:rsidRPr="004370C6" w:rsidRDefault="3D124D39" w:rsidP="00E4643C">
      <w:pPr>
        <w:pStyle w:val="ListParagraph"/>
        <w:numPr>
          <w:ilvl w:val="0"/>
          <w:numId w:val="21"/>
        </w:numPr>
        <w:rPr>
          <w:rFonts w:ascii="Arial" w:hAnsi="Arial" w:cs="Arial"/>
          <w:lang w:val="en-GB"/>
        </w:rPr>
      </w:pPr>
      <w:r w:rsidRPr="004370C6">
        <w:rPr>
          <w:rFonts w:ascii="Arial" w:hAnsi="Arial" w:cs="Arial"/>
        </w:rPr>
        <w:t>Quarter 2 2025/26 Pay by Phone Transactions: 450,214</w:t>
      </w:r>
    </w:p>
    <w:p w14:paraId="309B14DB" w14:textId="4E187769" w:rsidR="3D124D39" w:rsidRPr="004370C6" w:rsidRDefault="3D124D39" w:rsidP="00F81037">
      <w:pPr>
        <w:rPr>
          <w:rFonts w:ascii="Arial" w:hAnsi="Arial" w:cs="Arial"/>
          <w:lang w:val="en-GB"/>
        </w:rPr>
      </w:pPr>
      <w:r w:rsidRPr="004370C6">
        <w:rPr>
          <w:rFonts w:ascii="Arial" w:hAnsi="Arial" w:cs="Arial"/>
        </w:rPr>
        <w:t>Revenue generated by pay by phone also shows an increase when comparing year on year quarter 2 data (2024/25 to 2025/26):</w:t>
      </w:r>
    </w:p>
    <w:p w14:paraId="241CFBD0" w14:textId="180D7BE1" w:rsidR="3D124D39" w:rsidRPr="004370C6" w:rsidRDefault="3D124D39" w:rsidP="00E4643C">
      <w:pPr>
        <w:pStyle w:val="ListParagraph"/>
        <w:numPr>
          <w:ilvl w:val="0"/>
          <w:numId w:val="21"/>
        </w:numPr>
        <w:rPr>
          <w:rFonts w:ascii="Arial" w:hAnsi="Arial" w:cs="Arial"/>
          <w:lang w:val="en-GB"/>
        </w:rPr>
      </w:pPr>
      <w:r w:rsidRPr="004370C6">
        <w:rPr>
          <w:rFonts w:ascii="Arial" w:hAnsi="Arial" w:cs="Arial"/>
        </w:rPr>
        <w:t>Q2 2024/25 Pay by Phone Revenue: $1,993,052.33</w:t>
      </w:r>
    </w:p>
    <w:p w14:paraId="51F45335" w14:textId="23FCE375" w:rsidR="3D124D39" w:rsidRPr="004370C6" w:rsidRDefault="3D124D39" w:rsidP="00E4643C">
      <w:pPr>
        <w:pStyle w:val="ListParagraph"/>
        <w:numPr>
          <w:ilvl w:val="0"/>
          <w:numId w:val="21"/>
        </w:numPr>
        <w:rPr>
          <w:rFonts w:ascii="Arial" w:hAnsi="Arial" w:cs="Arial"/>
          <w:lang w:val="en-GB"/>
        </w:rPr>
      </w:pPr>
      <w:r w:rsidRPr="004370C6">
        <w:rPr>
          <w:rFonts w:ascii="Arial" w:hAnsi="Arial" w:cs="Arial"/>
        </w:rPr>
        <w:t>Q2 2025/26 Pay by Phone Revenue: $2,044,864.26</w:t>
      </w:r>
    </w:p>
    <w:p w14:paraId="157C1043" w14:textId="620C8BCA" w:rsidR="3D124D39" w:rsidRPr="004370C6" w:rsidRDefault="3D124D39" w:rsidP="00B64127">
      <w:pPr>
        <w:pStyle w:val="Heading4"/>
        <w:rPr>
          <w:rFonts w:ascii="Arial" w:hAnsi="Arial" w:cs="Arial"/>
          <w:color w:val="auto"/>
          <w:lang w:val="en-GB"/>
        </w:rPr>
      </w:pPr>
      <w:bookmarkStart w:id="92" w:name="_Toc224732222"/>
      <w:r w:rsidRPr="004370C6">
        <w:rPr>
          <w:rFonts w:ascii="Arial" w:hAnsi="Arial" w:cs="Arial"/>
          <w:color w:val="auto"/>
        </w:rPr>
        <w:t>Quarter 2 Parking infringement revenue</w:t>
      </w:r>
      <w:bookmarkEnd w:id="92"/>
    </w:p>
    <w:p w14:paraId="28F8240D" w14:textId="2E6FA952" w:rsidR="3D124D39" w:rsidRPr="004370C6" w:rsidRDefault="3D124D39" w:rsidP="00F81037">
      <w:pPr>
        <w:rPr>
          <w:rFonts w:ascii="Arial" w:hAnsi="Arial" w:cs="Arial"/>
          <w:lang w:val="en-GB"/>
        </w:rPr>
      </w:pPr>
      <w:r w:rsidRPr="004370C6">
        <w:rPr>
          <w:rFonts w:ascii="Arial" w:hAnsi="Arial" w:cs="Arial"/>
        </w:rPr>
        <w:t xml:space="preserve">Revenue from infringements issued during quarter 2 shows an increase when comparing </w:t>
      </w:r>
      <w:r w:rsidR="003E569A" w:rsidRPr="004370C6">
        <w:rPr>
          <w:rFonts w:ascii="Arial" w:hAnsi="Arial" w:cs="Arial"/>
        </w:rPr>
        <w:t>year-on-year</w:t>
      </w:r>
      <w:r w:rsidRPr="004370C6">
        <w:rPr>
          <w:rFonts w:ascii="Arial" w:hAnsi="Arial" w:cs="Arial"/>
        </w:rPr>
        <w:t xml:space="preserve"> data over 2024/25 and 2025/26:</w:t>
      </w:r>
    </w:p>
    <w:p w14:paraId="5196C970" w14:textId="43B4A2F7" w:rsidR="3D124D39" w:rsidRPr="004370C6" w:rsidRDefault="3D124D39" w:rsidP="00E4643C">
      <w:pPr>
        <w:pStyle w:val="ListParagraph"/>
        <w:numPr>
          <w:ilvl w:val="0"/>
          <w:numId w:val="22"/>
        </w:numPr>
        <w:rPr>
          <w:rFonts w:ascii="Arial" w:hAnsi="Arial" w:cs="Arial"/>
          <w:lang w:val="en-GB"/>
        </w:rPr>
      </w:pPr>
      <w:r w:rsidRPr="004370C6">
        <w:rPr>
          <w:rFonts w:ascii="Arial" w:hAnsi="Arial" w:cs="Arial"/>
        </w:rPr>
        <w:t>Quarter 2 Infringement Revenue 2024/2025: $3,987,123.00</w:t>
      </w:r>
    </w:p>
    <w:p w14:paraId="4112AD08" w14:textId="44ABAEF9" w:rsidR="3D124D39" w:rsidRPr="004370C6" w:rsidRDefault="3D124D39" w:rsidP="00E4643C">
      <w:pPr>
        <w:pStyle w:val="ListParagraph"/>
        <w:numPr>
          <w:ilvl w:val="0"/>
          <w:numId w:val="22"/>
        </w:numPr>
        <w:rPr>
          <w:rFonts w:ascii="Arial" w:hAnsi="Arial" w:cs="Arial"/>
          <w:lang w:val="en-GB"/>
        </w:rPr>
      </w:pPr>
      <w:r w:rsidRPr="004370C6">
        <w:rPr>
          <w:rFonts w:ascii="Arial" w:hAnsi="Arial" w:cs="Arial"/>
        </w:rPr>
        <w:t>Quarter 2 Infringement Revenue 2025/2026: $4,732,110.00</w:t>
      </w:r>
    </w:p>
    <w:p w14:paraId="5889570A" w14:textId="688A1C87" w:rsidR="3D124D39" w:rsidRPr="004370C6" w:rsidRDefault="3D124D39" w:rsidP="00B33085">
      <w:pPr>
        <w:rPr>
          <w:rFonts w:ascii="Arial" w:hAnsi="Arial" w:cs="Arial"/>
          <w:lang w:val="en-GB"/>
        </w:rPr>
      </w:pPr>
      <w:r w:rsidRPr="004370C6">
        <w:rPr>
          <w:rFonts w:ascii="Arial" w:hAnsi="Arial" w:cs="Arial"/>
        </w:rPr>
        <w:t>Activity Centre paid parking</w:t>
      </w:r>
    </w:p>
    <w:p w14:paraId="130CE9AF" w14:textId="4DAD415F" w:rsidR="3D124D39" w:rsidRPr="004370C6" w:rsidRDefault="3D124D39" w:rsidP="00B33085">
      <w:pPr>
        <w:rPr>
          <w:rFonts w:ascii="Arial" w:hAnsi="Arial" w:cs="Arial"/>
          <w:lang w:val="en-GB"/>
        </w:rPr>
      </w:pPr>
      <w:r w:rsidRPr="004370C6">
        <w:rPr>
          <w:rFonts w:ascii="Arial" w:hAnsi="Arial" w:cs="Arial"/>
        </w:rPr>
        <w:t>Each shopping strip in Yarra is unique, influenced by a variety of factors such as the types of attractions and businesses located on the street. As a result, it is not possible to directly compare paid parking revenue across the business centres.</w:t>
      </w:r>
    </w:p>
    <w:p w14:paraId="10AC841B" w14:textId="72D5BEAD" w:rsidR="3D124D39" w:rsidRPr="004370C6" w:rsidRDefault="3D124D39" w:rsidP="00B33085">
      <w:pPr>
        <w:rPr>
          <w:rFonts w:ascii="Arial" w:hAnsi="Arial" w:cs="Arial"/>
          <w:lang w:val="en-GB"/>
        </w:rPr>
      </w:pPr>
      <w:r w:rsidRPr="004370C6">
        <w:rPr>
          <w:rFonts w:ascii="Arial" w:hAnsi="Arial" w:cs="Arial"/>
        </w:rPr>
        <w:lastRenderedPageBreak/>
        <w:t xml:space="preserve"> Several important variables to consider when looking at the various centres include different tariffs (hourly fee) applied across the centres, amount paid for on-street parking, and breadth of hours that paid parking is in effect.</w:t>
      </w:r>
    </w:p>
    <w:p w14:paraId="324EF7E7" w14:textId="59917F88" w:rsidR="3D124D39" w:rsidRPr="004370C6" w:rsidRDefault="3D124D39" w:rsidP="00B33085">
      <w:pPr>
        <w:rPr>
          <w:rFonts w:ascii="Arial" w:hAnsi="Arial" w:cs="Arial"/>
        </w:rPr>
      </w:pPr>
      <w:r w:rsidRPr="004370C6">
        <w:rPr>
          <w:rFonts w:ascii="Arial" w:hAnsi="Arial" w:cs="Arial"/>
        </w:rPr>
        <w:t>A twelve-month trial of free one-hour parking in Richmond commenced on 1 July 2025. This trial is occurring on Bridge Road, Swan Street, and Victoria Street. A detailed analysis of the impact of this trial will be reported to Council in the new year.</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551"/>
        <w:gridCol w:w="1551"/>
        <w:gridCol w:w="1551"/>
        <w:gridCol w:w="1551"/>
        <w:gridCol w:w="1551"/>
        <w:gridCol w:w="1418"/>
      </w:tblGrid>
      <w:tr w:rsidR="003C1AB7" w:rsidRPr="004370C6" w14:paraId="7BB51A97" w14:textId="77777777" w:rsidTr="002D3643">
        <w:trPr>
          <w:trHeight w:val="288"/>
        </w:trPr>
        <w:tc>
          <w:tcPr>
            <w:tcW w:w="1423" w:type="dxa"/>
            <w:noWrap/>
            <w:vAlign w:val="bottom"/>
            <w:hideMark/>
          </w:tcPr>
          <w:p w14:paraId="1A116D4D" w14:textId="23D39F5E" w:rsidR="005D0639" w:rsidRPr="004370C6" w:rsidRDefault="00330E74" w:rsidP="007012D5">
            <w:pPr>
              <w:rPr>
                <w:rFonts w:ascii="Arial" w:hAnsi="Arial" w:cs="Arial"/>
                <w:lang w:val="en-AU" w:eastAsia="en-AU"/>
              </w:rPr>
            </w:pPr>
            <w:r w:rsidRPr="004370C6">
              <w:rPr>
                <w:rFonts w:ascii="Arial" w:hAnsi="Arial" w:cs="Arial"/>
                <w:lang w:val="en-AU" w:eastAsia="en-AU"/>
              </w:rPr>
              <w:t xml:space="preserve">Q2 Activity Centres </w:t>
            </w:r>
          </w:p>
        </w:tc>
        <w:tc>
          <w:tcPr>
            <w:tcW w:w="1451" w:type="dxa"/>
            <w:noWrap/>
            <w:vAlign w:val="bottom"/>
            <w:hideMark/>
          </w:tcPr>
          <w:p w14:paraId="299AEE47"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Brunswick Street</w:t>
            </w:r>
          </w:p>
        </w:tc>
        <w:tc>
          <w:tcPr>
            <w:tcW w:w="1422" w:type="dxa"/>
            <w:noWrap/>
            <w:vAlign w:val="bottom"/>
            <w:hideMark/>
          </w:tcPr>
          <w:p w14:paraId="37B3E253"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Smith Street</w:t>
            </w:r>
          </w:p>
        </w:tc>
        <w:tc>
          <w:tcPr>
            <w:tcW w:w="1387" w:type="dxa"/>
            <w:noWrap/>
            <w:vAlign w:val="bottom"/>
            <w:hideMark/>
          </w:tcPr>
          <w:p w14:paraId="0AFE5D67"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Gertrude Street</w:t>
            </w:r>
          </w:p>
        </w:tc>
        <w:tc>
          <w:tcPr>
            <w:tcW w:w="1462" w:type="dxa"/>
            <w:noWrap/>
            <w:vAlign w:val="bottom"/>
            <w:hideMark/>
          </w:tcPr>
          <w:p w14:paraId="5B51E453"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Swan Street</w:t>
            </w:r>
          </w:p>
        </w:tc>
        <w:tc>
          <w:tcPr>
            <w:tcW w:w="1422" w:type="dxa"/>
            <w:noWrap/>
            <w:vAlign w:val="bottom"/>
            <w:hideMark/>
          </w:tcPr>
          <w:p w14:paraId="6FB12EEC"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Bridge Road</w:t>
            </w:r>
          </w:p>
        </w:tc>
        <w:tc>
          <w:tcPr>
            <w:tcW w:w="1357" w:type="dxa"/>
            <w:noWrap/>
            <w:vAlign w:val="bottom"/>
            <w:hideMark/>
          </w:tcPr>
          <w:p w14:paraId="7B620DB7"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Victoria Street</w:t>
            </w:r>
          </w:p>
        </w:tc>
      </w:tr>
      <w:tr w:rsidR="003C1AB7" w:rsidRPr="004370C6" w14:paraId="5D10CCC1" w14:textId="77777777" w:rsidTr="002D3643">
        <w:trPr>
          <w:trHeight w:val="288"/>
        </w:trPr>
        <w:tc>
          <w:tcPr>
            <w:tcW w:w="1423" w:type="dxa"/>
            <w:noWrap/>
            <w:vAlign w:val="bottom"/>
            <w:hideMark/>
          </w:tcPr>
          <w:p w14:paraId="6DCA0F75"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Meter Revenue Q2</w:t>
            </w:r>
          </w:p>
        </w:tc>
        <w:tc>
          <w:tcPr>
            <w:tcW w:w="1451" w:type="dxa"/>
            <w:noWrap/>
            <w:vAlign w:val="bottom"/>
            <w:hideMark/>
          </w:tcPr>
          <w:p w14:paraId="7BBFFE66"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323,901.00 </w:t>
            </w:r>
          </w:p>
        </w:tc>
        <w:tc>
          <w:tcPr>
            <w:tcW w:w="1422" w:type="dxa"/>
            <w:noWrap/>
            <w:vAlign w:val="bottom"/>
            <w:hideMark/>
          </w:tcPr>
          <w:p w14:paraId="0F8F9BD9"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348,221.00 </w:t>
            </w:r>
          </w:p>
        </w:tc>
        <w:tc>
          <w:tcPr>
            <w:tcW w:w="1387" w:type="dxa"/>
            <w:noWrap/>
            <w:vAlign w:val="bottom"/>
            <w:hideMark/>
          </w:tcPr>
          <w:p w14:paraId="135A9300"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174,152.00 </w:t>
            </w:r>
          </w:p>
        </w:tc>
        <w:tc>
          <w:tcPr>
            <w:tcW w:w="1462" w:type="dxa"/>
            <w:noWrap/>
            <w:vAlign w:val="bottom"/>
            <w:hideMark/>
          </w:tcPr>
          <w:p w14:paraId="14C61F33"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58,222.00 </w:t>
            </w:r>
          </w:p>
        </w:tc>
        <w:tc>
          <w:tcPr>
            <w:tcW w:w="1422" w:type="dxa"/>
            <w:noWrap/>
            <w:vAlign w:val="bottom"/>
            <w:hideMark/>
          </w:tcPr>
          <w:p w14:paraId="0FA7A3D9"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56,694.00 </w:t>
            </w:r>
          </w:p>
        </w:tc>
        <w:tc>
          <w:tcPr>
            <w:tcW w:w="1357" w:type="dxa"/>
            <w:noWrap/>
            <w:vAlign w:val="bottom"/>
            <w:hideMark/>
          </w:tcPr>
          <w:p w14:paraId="2D4577C7"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15,510.00 </w:t>
            </w:r>
          </w:p>
        </w:tc>
      </w:tr>
      <w:tr w:rsidR="003C1AB7" w:rsidRPr="004370C6" w14:paraId="23599237" w14:textId="77777777" w:rsidTr="002D3643">
        <w:trPr>
          <w:trHeight w:val="288"/>
        </w:trPr>
        <w:tc>
          <w:tcPr>
            <w:tcW w:w="1423" w:type="dxa"/>
            <w:noWrap/>
            <w:vAlign w:val="bottom"/>
            <w:hideMark/>
          </w:tcPr>
          <w:p w14:paraId="688C028B"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PayStay revenue Q2</w:t>
            </w:r>
          </w:p>
        </w:tc>
        <w:tc>
          <w:tcPr>
            <w:tcW w:w="1451" w:type="dxa"/>
            <w:noWrap/>
            <w:vAlign w:val="bottom"/>
            <w:hideMark/>
          </w:tcPr>
          <w:p w14:paraId="5E4A870E"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247,831.92 </w:t>
            </w:r>
          </w:p>
        </w:tc>
        <w:tc>
          <w:tcPr>
            <w:tcW w:w="1422" w:type="dxa"/>
            <w:noWrap/>
            <w:vAlign w:val="bottom"/>
            <w:hideMark/>
          </w:tcPr>
          <w:p w14:paraId="6C2C07E3"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360,760.38 </w:t>
            </w:r>
          </w:p>
        </w:tc>
        <w:tc>
          <w:tcPr>
            <w:tcW w:w="1387" w:type="dxa"/>
            <w:noWrap/>
            <w:vAlign w:val="bottom"/>
            <w:hideMark/>
          </w:tcPr>
          <w:p w14:paraId="70378D91"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138,314.17 </w:t>
            </w:r>
          </w:p>
        </w:tc>
        <w:tc>
          <w:tcPr>
            <w:tcW w:w="1462" w:type="dxa"/>
            <w:noWrap/>
            <w:vAlign w:val="bottom"/>
            <w:hideMark/>
          </w:tcPr>
          <w:p w14:paraId="1E3EE87E"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42,759.44 </w:t>
            </w:r>
          </w:p>
        </w:tc>
        <w:tc>
          <w:tcPr>
            <w:tcW w:w="1422" w:type="dxa"/>
            <w:noWrap/>
            <w:vAlign w:val="bottom"/>
            <w:hideMark/>
          </w:tcPr>
          <w:p w14:paraId="6E69E424"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48,921.68 </w:t>
            </w:r>
          </w:p>
        </w:tc>
        <w:tc>
          <w:tcPr>
            <w:tcW w:w="1357" w:type="dxa"/>
            <w:noWrap/>
            <w:vAlign w:val="bottom"/>
            <w:hideMark/>
          </w:tcPr>
          <w:p w14:paraId="6F622605" w14:textId="061BDDD3" w:rsidR="005D0639" w:rsidRPr="004370C6" w:rsidRDefault="005D0639" w:rsidP="007012D5">
            <w:pPr>
              <w:rPr>
                <w:rFonts w:ascii="Arial" w:hAnsi="Arial" w:cs="Arial"/>
                <w:lang w:val="en-AU" w:eastAsia="en-AU"/>
              </w:rPr>
            </w:pPr>
            <w:r w:rsidRPr="004370C6">
              <w:rPr>
                <w:rFonts w:ascii="Arial" w:hAnsi="Arial" w:cs="Arial"/>
                <w:lang w:val="en-AU" w:eastAsia="en-AU"/>
              </w:rPr>
              <w:t xml:space="preserve"> $        12,772.82 </w:t>
            </w:r>
          </w:p>
        </w:tc>
      </w:tr>
      <w:tr w:rsidR="003C1AB7" w:rsidRPr="004370C6" w14:paraId="53503F2B" w14:textId="77777777" w:rsidTr="002D3643">
        <w:trPr>
          <w:trHeight w:val="288"/>
        </w:trPr>
        <w:tc>
          <w:tcPr>
            <w:tcW w:w="1423" w:type="dxa"/>
            <w:noWrap/>
            <w:vAlign w:val="bottom"/>
            <w:hideMark/>
          </w:tcPr>
          <w:p w14:paraId="3E4B2052"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Total</w:t>
            </w:r>
          </w:p>
        </w:tc>
        <w:tc>
          <w:tcPr>
            <w:tcW w:w="1451" w:type="dxa"/>
            <w:noWrap/>
            <w:vAlign w:val="bottom"/>
            <w:hideMark/>
          </w:tcPr>
          <w:p w14:paraId="6323C98C"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$571,732.92</w:t>
            </w:r>
          </w:p>
        </w:tc>
        <w:tc>
          <w:tcPr>
            <w:tcW w:w="1422" w:type="dxa"/>
            <w:noWrap/>
            <w:vAlign w:val="bottom"/>
            <w:hideMark/>
          </w:tcPr>
          <w:p w14:paraId="6EF7DEF1"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$708,981.38</w:t>
            </w:r>
          </w:p>
        </w:tc>
        <w:tc>
          <w:tcPr>
            <w:tcW w:w="1387" w:type="dxa"/>
            <w:noWrap/>
            <w:vAlign w:val="bottom"/>
            <w:hideMark/>
          </w:tcPr>
          <w:p w14:paraId="3630B0A6"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$312,466.17</w:t>
            </w:r>
          </w:p>
        </w:tc>
        <w:tc>
          <w:tcPr>
            <w:tcW w:w="1462" w:type="dxa"/>
            <w:noWrap/>
            <w:vAlign w:val="bottom"/>
            <w:hideMark/>
          </w:tcPr>
          <w:p w14:paraId="04F595C4"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$100,981.44</w:t>
            </w:r>
          </w:p>
        </w:tc>
        <w:tc>
          <w:tcPr>
            <w:tcW w:w="1422" w:type="dxa"/>
            <w:noWrap/>
            <w:vAlign w:val="bottom"/>
            <w:hideMark/>
          </w:tcPr>
          <w:p w14:paraId="5C7F424A"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$105,615.68</w:t>
            </w:r>
          </w:p>
        </w:tc>
        <w:tc>
          <w:tcPr>
            <w:tcW w:w="1357" w:type="dxa"/>
            <w:noWrap/>
            <w:vAlign w:val="bottom"/>
            <w:hideMark/>
          </w:tcPr>
          <w:p w14:paraId="191EF2AB" w14:textId="77777777" w:rsidR="005D0639" w:rsidRPr="004370C6" w:rsidRDefault="005D0639" w:rsidP="007012D5">
            <w:pPr>
              <w:rPr>
                <w:rFonts w:ascii="Arial" w:hAnsi="Arial" w:cs="Arial"/>
                <w:lang w:val="en-AU" w:eastAsia="en-AU"/>
              </w:rPr>
            </w:pPr>
            <w:r w:rsidRPr="004370C6">
              <w:rPr>
                <w:rFonts w:ascii="Arial" w:hAnsi="Arial" w:cs="Arial"/>
                <w:lang w:val="en-AU" w:eastAsia="en-AU"/>
              </w:rPr>
              <w:t>$28,282.82</w:t>
            </w:r>
          </w:p>
        </w:tc>
      </w:tr>
    </w:tbl>
    <w:p w14:paraId="6F0A34D3" w14:textId="4C8DAA8D" w:rsidR="47B49E73" w:rsidRPr="004370C6" w:rsidRDefault="47B49E73" w:rsidP="00B64127">
      <w:pPr>
        <w:pStyle w:val="Heading3"/>
        <w:rPr>
          <w:rFonts w:ascii="Arial" w:hAnsi="Arial" w:cs="Arial"/>
          <w:color w:val="auto"/>
        </w:rPr>
      </w:pPr>
      <w:bookmarkStart w:id="93" w:name="_Toc224732223"/>
      <w:r w:rsidRPr="004370C6">
        <w:rPr>
          <w:rFonts w:ascii="Arial" w:hAnsi="Arial" w:cs="Arial"/>
          <w:color w:val="auto"/>
        </w:rPr>
        <w:t>Financial Sustainability Strategy</w:t>
      </w:r>
      <w:bookmarkEnd w:id="93"/>
      <w:r w:rsidRPr="004370C6">
        <w:rPr>
          <w:rFonts w:ascii="Arial" w:hAnsi="Arial" w:cs="Arial"/>
          <w:color w:val="auto"/>
        </w:rPr>
        <w:t xml:space="preserve"> </w:t>
      </w:r>
    </w:p>
    <w:p w14:paraId="62107D14" w14:textId="005F7756" w:rsidR="00242851" w:rsidRPr="004370C6" w:rsidRDefault="00242851" w:rsidP="007012D5">
      <w:pPr>
        <w:rPr>
          <w:rFonts w:ascii="Arial" w:hAnsi="Arial" w:cs="Arial"/>
        </w:rPr>
      </w:pPr>
      <w:r w:rsidRPr="004370C6">
        <w:rPr>
          <w:rFonts w:ascii="Arial" w:hAnsi="Arial" w:cs="Arial"/>
        </w:rPr>
        <w:t xml:space="preserve">The Financial Sustainability Strategy (FSS) has been implemented and continues to guide Council’s decision making and enable Council to transparently, proactively and prudently plan to be financially sustainable. A borrowings policy is a key action of this plan, providing clear guidelines for borrowing within a sound financial management framework. The Borrowings Policy was adopted by Council at the October 2025 Council Meeting. Council is also undertaking a major systems upgrade (Enterprise Resource Project), that commenced in late 2025 and will continue for the next three years. A fulsome review of the FSS will be undertaken in the next 12 months to </w:t>
      </w:r>
      <w:r w:rsidR="009D0D4A" w:rsidRPr="004370C6">
        <w:rPr>
          <w:rFonts w:ascii="Arial" w:hAnsi="Arial" w:cs="Arial"/>
        </w:rPr>
        <w:t>consider</w:t>
      </w:r>
      <w:r w:rsidRPr="004370C6">
        <w:rPr>
          <w:rFonts w:ascii="Arial" w:hAnsi="Arial" w:cs="Arial"/>
        </w:rPr>
        <w:t xml:space="preserve"> actions already delivered, actions that may no longer be relevant, and any emerging risks or challenges that require new actions.</w:t>
      </w:r>
    </w:p>
    <w:p w14:paraId="6BEEECA6" w14:textId="3622C9CB" w:rsidR="131C9040" w:rsidRPr="004370C6" w:rsidRDefault="4F1BBA11" w:rsidP="00B64127">
      <w:pPr>
        <w:pStyle w:val="Heading3"/>
        <w:rPr>
          <w:rFonts w:ascii="Arial" w:hAnsi="Arial" w:cs="Arial"/>
          <w:color w:val="auto"/>
        </w:rPr>
      </w:pPr>
      <w:bookmarkStart w:id="94" w:name="_Toc224732224"/>
      <w:r w:rsidRPr="004370C6">
        <w:rPr>
          <w:rFonts w:ascii="Arial" w:hAnsi="Arial" w:cs="Arial"/>
          <w:color w:val="auto"/>
        </w:rPr>
        <w:t>Governance Update</w:t>
      </w:r>
      <w:bookmarkEnd w:id="94"/>
    </w:p>
    <w:p w14:paraId="68C3C845" w14:textId="1646BF16" w:rsidR="47B49E73" w:rsidRPr="004370C6" w:rsidRDefault="76852C16" w:rsidP="007012D5">
      <w:pPr>
        <w:rPr>
          <w:rFonts w:ascii="Arial" w:hAnsi="Arial" w:cs="Arial"/>
        </w:rPr>
      </w:pPr>
      <w:r w:rsidRPr="004370C6">
        <w:rPr>
          <w:rFonts w:ascii="Arial" w:hAnsi="Arial" w:cs="Arial"/>
        </w:rPr>
        <w:t xml:space="preserve">In 2025, a comprehensive review of Council’s advisory committee structure was undertaken to ensure that the advisory committees are an integral part of Council decision-making and that they reflected the strategic objectives of the Council Plan. The review resulted in Council establishing four new advisory committees with a focus on financial sustainability, heritage and planning, families and children's services and public housing. The 13 established advisory committees will all serve as integral consultative mechanisms for Council across the next four years. </w:t>
      </w:r>
    </w:p>
    <w:p w14:paraId="0701CFB2" w14:textId="4BB28859" w:rsidR="0063660F" w:rsidRPr="004370C6" w:rsidRDefault="00CA5B6A">
      <w:pPr>
        <w:rPr>
          <w:rFonts w:ascii="Arial" w:hAnsi="Arial" w:cs="Arial"/>
        </w:rPr>
      </w:pPr>
      <w:r w:rsidRPr="004370C6">
        <w:rPr>
          <w:rFonts w:ascii="Arial" w:hAnsi="Arial" w:cs="Arial"/>
        </w:rPr>
        <w:lastRenderedPageBreak/>
        <w:t>A</w:t>
      </w:r>
      <w:r w:rsidR="76852C16" w:rsidRPr="004370C6">
        <w:rPr>
          <w:rFonts w:ascii="Arial" w:hAnsi="Arial" w:cs="Arial"/>
        </w:rPr>
        <w:t>fter the establishment of the advisory committees, Council conducted an expression of interest process to attract people of the Yarra community to participate as members to these advisory committees. Targeted communication was undertaken to attract Yarra’s diverse community to be representative voices on the committees. The expression of interest process resulted in Council receiving over 300 applications from the community and organisations who each wanted to make a difference across the 13 committees. At the August and September Council meetings, Council formally endorsed the membership of all committees. The first meetings of the Committees have proven to be a success, with the Committees contributing to key strategies including the Waste Strategy, Retail Activation Levy and the Local Laws review.</w:t>
      </w:r>
      <w:r w:rsidR="0063660F" w:rsidRPr="004370C6">
        <w:rPr>
          <w:rFonts w:ascii="Arial" w:hAnsi="Arial" w:cs="Arial"/>
        </w:rPr>
        <w:br w:type="page"/>
      </w:r>
    </w:p>
    <w:p w14:paraId="5463D3F3" w14:textId="3F1C1D89" w:rsidR="3818BA61" w:rsidRPr="004370C6" w:rsidRDefault="3818BA61" w:rsidP="0674D22F">
      <w:pPr>
        <w:pStyle w:val="Heading2"/>
        <w:rPr>
          <w:rFonts w:ascii="Arial" w:hAnsi="Arial" w:cs="Arial"/>
          <w:color w:val="auto"/>
        </w:rPr>
      </w:pPr>
      <w:bookmarkStart w:id="95" w:name="_Toc224732225"/>
      <w:r w:rsidRPr="004370C6">
        <w:rPr>
          <w:rFonts w:ascii="Arial" w:hAnsi="Arial" w:cs="Arial"/>
          <w:color w:val="auto"/>
        </w:rPr>
        <w:lastRenderedPageBreak/>
        <w:t>Action Plan performance</w:t>
      </w:r>
      <w:bookmarkEnd w:id="95"/>
      <w:r w:rsidRPr="004370C6">
        <w:rPr>
          <w:rFonts w:ascii="Arial" w:hAnsi="Arial" w:cs="Arial"/>
          <w:color w:val="auto"/>
        </w:rPr>
        <w:t xml:space="preserve"> </w:t>
      </w:r>
    </w:p>
    <w:p w14:paraId="081AE1E7" w14:textId="5A418DDC" w:rsidR="3818BA61" w:rsidRPr="004370C6" w:rsidRDefault="3818BA61" w:rsidP="008E7ABF">
      <w:pPr>
        <w:rPr>
          <w:rFonts w:ascii="Arial" w:hAnsi="Arial" w:cs="Arial"/>
        </w:rPr>
      </w:pPr>
      <w:r w:rsidRPr="004370C6">
        <w:rPr>
          <w:rFonts w:ascii="Arial" w:hAnsi="Arial" w:cs="Arial"/>
          <w:lang w:val="en-AU"/>
        </w:rPr>
        <w:t xml:space="preserve">Council adopted its </w:t>
      </w:r>
      <w:r w:rsidR="00BB601A" w:rsidRPr="004370C6">
        <w:rPr>
          <w:rFonts w:ascii="Arial" w:hAnsi="Arial" w:cs="Arial"/>
          <w:lang w:val="en-AU"/>
        </w:rPr>
        <w:t xml:space="preserve">2025–2029 </w:t>
      </w:r>
      <w:r w:rsidRPr="004370C6">
        <w:rPr>
          <w:rFonts w:ascii="Arial" w:hAnsi="Arial" w:cs="Arial"/>
          <w:lang w:val="en-AU"/>
        </w:rPr>
        <w:t>Council Plan on 17 June 2025. The Council Plan articulates the medium-term strategic direction of Council and outlines the key outcomes that Councillors aim to achieve during their four-year term. This financial year 2025/26, is the first year of the Council Plan 2025-29.</w:t>
      </w:r>
    </w:p>
    <w:p w14:paraId="10CEA345" w14:textId="61F676E3" w:rsidR="3818BA61" w:rsidRPr="004370C6" w:rsidRDefault="3818BA61" w:rsidP="008E7ABF">
      <w:pPr>
        <w:rPr>
          <w:rFonts w:ascii="Arial" w:hAnsi="Arial" w:cs="Arial"/>
        </w:rPr>
      </w:pPr>
      <w:r w:rsidRPr="004370C6">
        <w:rPr>
          <w:rFonts w:ascii="Arial" w:hAnsi="Arial" w:cs="Arial"/>
          <w:lang w:val="en-AU"/>
        </w:rPr>
        <w:t xml:space="preserve">The </w:t>
      </w:r>
      <w:bookmarkStart w:id="96" w:name="_Hlk219215807"/>
      <w:r w:rsidR="00BB601A" w:rsidRPr="004370C6">
        <w:rPr>
          <w:rFonts w:ascii="Arial" w:hAnsi="Arial" w:cs="Arial"/>
          <w:lang w:val="en-AU"/>
        </w:rPr>
        <w:t xml:space="preserve">2025–2029 </w:t>
      </w:r>
      <w:bookmarkEnd w:id="96"/>
      <w:r w:rsidRPr="004370C6">
        <w:rPr>
          <w:rFonts w:ascii="Arial" w:hAnsi="Arial" w:cs="Arial"/>
          <w:lang w:val="en-AU"/>
        </w:rPr>
        <w:t xml:space="preserve">Council Plan has four Strategic Objectives that align with the Community Vision and define the strategic direction of Council. At the June 2025 Council Meeting, Council also adopted the 2025/26 Council Plan Action Plan and 2025/26 Budget. Together, the Action Plan and Budget operationalise the Council Plan by turning medium term goals into achievable </w:t>
      </w:r>
      <w:r w:rsidR="00E27B3D" w:rsidRPr="004370C6">
        <w:rPr>
          <w:rFonts w:ascii="Arial" w:hAnsi="Arial" w:cs="Arial"/>
          <w:lang w:val="en-AU"/>
        </w:rPr>
        <w:t>shorter-term</w:t>
      </w:r>
      <w:r w:rsidRPr="004370C6">
        <w:rPr>
          <w:rFonts w:ascii="Arial" w:hAnsi="Arial" w:cs="Arial"/>
          <w:lang w:val="en-AU"/>
        </w:rPr>
        <w:t xml:space="preserve"> work of the Council.</w:t>
      </w:r>
    </w:p>
    <w:p w14:paraId="75380211" w14:textId="3F49BAEA" w:rsidR="3818BA61" w:rsidRPr="004370C6" w:rsidRDefault="3818BA61" w:rsidP="008E7ABF">
      <w:pPr>
        <w:rPr>
          <w:rFonts w:ascii="Arial" w:hAnsi="Arial" w:cs="Arial"/>
        </w:rPr>
      </w:pPr>
      <w:r w:rsidRPr="004370C6">
        <w:rPr>
          <w:rFonts w:ascii="Arial" w:hAnsi="Arial" w:cs="Arial"/>
          <w:lang w:val="en-AU"/>
        </w:rPr>
        <w:t>The 2025/26 Action Plan identifies initiatives under each Strategic Objective which are significant projects that Council will undertake towards achieving the Strategic Objectives in the Council Plan. This financial year, the Action Plan includes 26 actions and related milestones that demonstrate Council’s commitment to delivering meaningful outcomes for the community.</w:t>
      </w:r>
    </w:p>
    <w:p w14:paraId="2D4379C1" w14:textId="60770F20" w:rsidR="3818BA61" w:rsidRPr="004370C6" w:rsidRDefault="3818BA61" w:rsidP="008E7ABF">
      <w:pPr>
        <w:rPr>
          <w:rFonts w:ascii="Arial" w:hAnsi="Arial" w:cs="Arial"/>
        </w:rPr>
      </w:pPr>
      <w:r w:rsidRPr="004370C6">
        <w:rPr>
          <w:rFonts w:ascii="Arial" w:hAnsi="Arial" w:cs="Arial"/>
          <w:lang w:val="en-AU"/>
        </w:rPr>
        <w:t xml:space="preserve">At the end of December 2025, overall performance reached </w:t>
      </w:r>
      <w:r w:rsidR="5B419377" w:rsidRPr="004370C6">
        <w:rPr>
          <w:rFonts w:ascii="Arial" w:hAnsi="Arial" w:cs="Arial"/>
          <w:lang w:val="en-AU"/>
        </w:rPr>
        <w:t>92</w:t>
      </w:r>
      <w:r w:rsidRPr="004370C6">
        <w:rPr>
          <w:rFonts w:ascii="Arial" w:hAnsi="Arial" w:cs="Arial"/>
          <w:lang w:val="en-AU"/>
        </w:rPr>
        <w:t xml:space="preserve">%, exceeding the performance target of 75%. To meet the performance target, actions must achieve 75% or higher of their target. </w:t>
      </w:r>
    </w:p>
    <w:p w14:paraId="55429EDE" w14:textId="22645CA6" w:rsidR="3818BA61" w:rsidRPr="004370C6" w:rsidRDefault="3818BA61" w:rsidP="008E7ABF">
      <w:pPr>
        <w:rPr>
          <w:rFonts w:ascii="Arial" w:eastAsia="Muli" w:hAnsi="Arial" w:cs="Arial"/>
          <w:lang w:val="en-AU"/>
        </w:rPr>
      </w:pPr>
      <w:r w:rsidRPr="004370C6">
        <w:rPr>
          <w:rFonts w:ascii="Arial" w:hAnsi="Arial" w:cs="Arial"/>
          <w:lang w:val="en-AU"/>
        </w:rPr>
        <w:t>Action summary by performance:</w:t>
      </w:r>
    </w:p>
    <w:p w14:paraId="7476E9E0" w14:textId="4120F852" w:rsidR="3818BA61" w:rsidRPr="004370C6" w:rsidRDefault="3EE7C2CA" w:rsidP="00E4643C">
      <w:pPr>
        <w:pStyle w:val="ListParagraph"/>
        <w:numPr>
          <w:ilvl w:val="0"/>
          <w:numId w:val="23"/>
        </w:numPr>
        <w:rPr>
          <w:rFonts w:ascii="Arial" w:eastAsia="Muli" w:hAnsi="Arial" w:cs="Arial"/>
        </w:rPr>
      </w:pPr>
      <w:r w:rsidRPr="004370C6">
        <w:rPr>
          <w:rFonts w:ascii="Arial" w:eastAsia="Muli" w:hAnsi="Arial" w:cs="Arial"/>
          <w:lang w:val="en-AU"/>
        </w:rPr>
        <w:t>23</w:t>
      </w:r>
      <w:r w:rsidR="3818BA61" w:rsidRPr="004370C6">
        <w:rPr>
          <w:rFonts w:ascii="Arial" w:eastAsia="Muli" w:hAnsi="Arial" w:cs="Arial"/>
          <w:lang w:val="en-AU"/>
        </w:rPr>
        <w:t xml:space="preserve"> Actions (</w:t>
      </w:r>
      <w:r w:rsidR="0FAEECE6" w:rsidRPr="004370C6">
        <w:rPr>
          <w:rFonts w:ascii="Arial" w:eastAsia="Muli" w:hAnsi="Arial" w:cs="Arial"/>
          <w:lang w:val="en-AU"/>
        </w:rPr>
        <w:t>88</w:t>
      </w:r>
      <w:r w:rsidR="00CB63B5" w:rsidRPr="004370C6">
        <w:rPr>
          <w:rFonts w:ascii="Arial" w:eastAsia="Muli" w:hAnsi="Arial" w:cs="Arial"/>
          <w:lang w:val="en-AU"/>
        </w:rPr>
        <w:t>%</w:t>
      </w:r>
      <w:r w:rsidR="3818BA61" w:rsidRPr="004370C6">
        <w:rPr>
          <w:rFonts w:ascii="Arial" w:eastAsia="Muli" w:hAnsi="Arial" w:cs="Arial"/>
          <w:lang w:val="en-AU"/>
        </w:rPr>
        <w:t xml:space="preserve">) </w:t>
      </w:r>
      <w:r w:rsidR="3818BA61" w:rsidRPr="004370C6">
        <w:rPr>
          <w:rFonts w:ascii="Arial" w:eastAsia="Muli" w:hAnsi="Arial" w:cs="Arial"/>
          <w:i/>
          <w:lang w:val="en-AU"/>
        </w:rPr>
        <w:t>On track</w:t>
      </w:r>
      <w:r w:rsidR="3818BA61" w:rsidRPr="004370C6">
        <w:rPr>
          <w:rFonts w:ascii="Arial" w:eastAsia="Muli" w:hAnsi="Arial" w:cs="Arial"/>
          <w:lang w:val="en-AU"/>
        </w:rPr>
        <w:t xml:space="preserve"> - </w:t>
      </w:r>
      <w:r w:rsidR="3818BA61" w:rsidRPr="004370C6">
        <w:rPr>
          <w:rFonts w:ascii="Arial" w:eastAsia="Muli" w:hAnsi="Arial" w:cs="Arial"/>
        </w:rPr>
        <w:t>At least 90% of target achieved</w:t>
      </w:r>
    </w:p>
    <w:p w14:paraId="7013474F" w14:textId="3E0601AD" w:rsidR="3818BA61" w:rsidRPr="004370C6" w:rsidRDefault="13DDFFBC" w:rsidP="00E4643C">
      <w:pPr>
        <w:pStyle w:val="ListParagraph"/>
        <w:numPr>
          <w:ilvl w:val="0"/>
          <w:numId w:val="23"/>
        </w:numPr>
        <w:rPr>
          <w:rFonts w:ascii="Arial" w:eastAsia="Muli" w:hAnsi="Arial" w:cs="Arial"/>
        </w:rPr>
      </w:pPr>
      <w:r w:rsidRPr="004370C6">
        <w:rPr>
          <w:rFonts w:ascii="Arial" w:eastAsia="Muli" w:hAnsi="Arial" w:cs="Arial"/>
          <w:i/>
          <w:iCs/>
          <w:lang w:val="en-AU"/>
        </w:rPr>
        <w:t>1</w:t>
      </w:r>
      <w:r w:rsidR="3818BA61" w:rsidRPr="004370C6">
        <w:rPr>
          <w:rFonts w:ascii="Arial" w:eastAsia="Muli" w:hAnsi="Arial" w:cs="Arial"/>
          <w:i/>
          <w:lang w:val="en-AU"/>
        </w:rPr>
        <w:t xml:space="preserve"> Actions (</w:t>
      </w:r>
      <w:r w:rsidR="240E38C5" w:rsidRPr="004370C6">
        <w:rPr>
          <w:rFonts w:ascii="Arial" w:eastAsia="Muli" w:hAnsi="Arial" w:cs="Arial"/>
          <w:i/>
          <w:iCs/>
          <w:lang w:val="en-AU"/>
        </w:rPr>
        <w:t>4</w:t>
      </w:r>
      <w:r w:rsidR="00CB63B5" w:rsidRPr="004370C6">
        <w:rPr>
          <w:rFonts w:ascii="Arial" w:eastAsia="Muli" w:hAnsi="Arial" w:cs="Arial"/>
          <w:i/>
          <w:lang w:val="en-AU"/>
        </w:rPr>
        <w:t>%</w:t>
      </w:r>
      <w:r w:rsidR="3818BA61" w:rsidRPr="004370C6">
        <w:rPr>
          <w:rFonts w:ascii="Arial" w:eastAsia="Muli" w:hAnsi="Arial" w:cs="Arial"/>
          <w:i/>
          <w:lang w:val="en-AU"/>
        </w:rPr>
        <w:t>) Monitor</w:t>
      </w:r>
      <w:r w:rsidR="3818BA61" w:rsidRPr="004370C6">
        <w:rPr>
          <w:rFonts w:ascii="Arial" w:eastAsia="Muli" w:hAnsi="Arial" w:cs="Arial"/>
          <w:lang w:val="en-AU"/>
        </w:rPr>
        <w:t xml:space="preserve"> - </w:t>
      </w:r>
      <w:r w:rsidR="3818BA61" w:rsidRPr="004370C6">
        <w:rPr>
          <w:rFonts w:ascii="Arial" w:eastAsia="Muli" w:hAnsi="Arial" w:cs="Arial"/>
        </w:rPr>
        <w:t>Between 75% and 90% of target achieved</w:t>
      </w:r>
    </w:p>
    <w:p w14:paraId="69AB4894" w14:textId="613146AA" w:rsidR="00F406F0" w:rsidRPr="004370C6" w:rsidRDefault="0DA1DF82" w:rsidP="00E4643C">
      <w:pPr>
        <w:pStyle w:val="ListParagraph"/>
        <w:numPr>
          <w:ilvl w:val="0"/>
          <w:numId w:val="23"/>
        </w:numPr>
        <w:rPr>
          <w:rFonts w:ascii="Arial" w:eastAsia="Muli" w:hAnsi="Arial" w:cs="Arial"/>
        </w:rPr>
      </w:pPr>
      <w:r w:rsidRPr="004370C6">
        <w:rPr>
          <w:rFonts w:ascii="Arial" w:eastAsia="Muli" w:hAnsi="Arial" w:cs="Arial"/>
          <w:lang w:val="en-AU"/>
        </w:rPr>
        <w:t>2</w:t>
      </w:r>
      <w:r w:rsidR="3818BA61" w:rsidRPr="004370C6">
        <w:rPr>
          <w:rFonts w:ascii="Arial" w:eastAsia="Muli" w:hAnsi="Arial" w:cs="Arial"/>
          <w:lang w:val="en-AU"/>
        </w:rPr>
        <w:t xml:space="preserve"> Actions (</w:t>
      </w:r>
      <w:r w:rsidR="459E95B5" w:rsidRPr="004370C6">
        <w:rPr>
          <w:rFonts w:ascii="Arial" w:eastAsia="Muli" w:hAnsi="Arial" w:cs="Arial"/>
          <w:lang w:val="en-AU"/>
        </w:rPr>
        <w:t>8</w:t>
      </w:r>
      <w:r w:rsidR="00CB63B5" w:rsidRPr="004370C6">
        <w:rPr>
          <w:rFonts w:ascii="Arial" w:eastAsia="Muli" w:hAnsi="Arial" w:cs="Arial"/>
          <w:lang w:val="en-AU"/>
        </w:rPr>
        <w:t>%</w:t>
      </w:r>
      <w:r w:rsidR="3818BA61" w:rsidRPr="004370C6">
        <w:rPr>
          <w:rFonts w:ascii="Arial" w:eastAsia="Muli" w:hAnsi="Arial" w:cs="Arial"/>
          <w:lang w:val="en-AU"/>
        </w:rPr>
        <w:t xml:space="preserve">) </w:t>
      </w:r>
      <w:r w:rsidR="3818BA61" w:rsidRPr="004370C6">
        <w:rPr>
          <w:rFonts w:ascii="Arial" w:eastAsia="Muli" w:hAnsi="Arial" w:cs="Arial"/>
          <w:i/>
          <w:lang w:val="en-AU"/>
        </w:rPr>
        <w:t>Off track</w:t>
      </w:r>
      <w:r w:rsidR="3818BA61" w:rsidRPr="004370C6">
        <w:rPr>
          <w:rFonts w:ascii="Arial" w:eastAsia="Muli" w:hAnsi="Arial" w:cs="Arial"/>
          <w:lang w:val="en-AU"/>
        </w:rPr>
        <w:t xml:space="preserve"> - </w:t>
      </w:r>
      <w:r w:rsidR="3818BA61" w:rsidRPr="004370C6">
        <w:rPr>
          <w:rFonts w:ascii="Arial" w:eastAsia="Muli" w:hAnsi="Arial" w:cs="Arial"/>
        </w:rPr>
        <w:t>Less than 75% of target achieved.</w:t>
      </w:r>
    </w:p>
    <w:p w14:paraId="3A70CB6A" w14:textId="77777777" w:rsidR="00F406F0" w:rsidRPr="004370C6" w:rsidRDefault="00F406F0">
      <w:pPr>
        <w:rPr>
          <w:rFonts w:ascii="Arial" w:eastAsia="Muli" w:hAnsi="Arial" w:cs="Arial"/>
        </w:rPr>
      </w:pPr>
      <w:r w:rsidRPr="004370C6">
        <w:rPr>
          <w:rFonts w:ascii="Arial" w:eastAsia="Muli" w:hAnsi="Arial" w:cs="Arial"/>
        </w:rPr>
        <w:br w:type="page"/>
      </w:r>
    </w:p>
    <w:p w14:paraId="00735725" w14:textId="77777777" w:rsidR="00F75CE1" w:rsidRPr="004370C6" w:rsidRDefault="00F75CE1" w:rsidP="00B76F74">
      <w:pPr>
        <w:pStyle w:val="Heading3"/>
        <w:rPr>
          <w:rFonts w:ascii="Arial" w:hAnsi="Arial" w:cs="Arial"/>
          <w:color w:val="auto"/>
        </w:rPr>
      </w:pPr>
      <w:bookmarkStart w:id="97" w:name="_Toc224732226"/>
      <w:r w:rsidRPr="004370C6">
        <w:rPr>
          <w:rFonts w:ascii="Arial" w:hAnsi="Arial" w:cs="Arial"/>
          <w:color w:val="auto"/>
        </w:rPr>
        <w:lastRenderedPageBreak/>
        <w:t>Living in the City</w:t>
      </w:r>
      <w:bookmarkEnd w:id="97"/>
      <w:r w:rsidRPr="004370C6">
        <w:rPr>
          <w:rFonts w:ascii="Arial" w:hAnsi="Arial" w:cs="Arial"/>
          <w:color w:val="auto"/>
        </w:rPr>
        <w:t xml:space="preserve"> </w:t>
      </w:r>
    </w:p>
    <w:p w14:paraId="63E2E83A" w14:textId="77777777" w:rsidR="00F75CE1" w:rsidRPr="004370C6" w:rsidRDefault="00F75CE1" w:rsidP="00B76F74">
      <w:pPr>
        <w:pStyle w:val="Heading4"/>
        <w:rPr>
          <w:rFonts w:ascii="Arial" w:hAnsi="Arial" w:cs="Arial"/>
          <w:color w:val="auto"/>
        </w:rPr>
      </w:pPr>
      <w:bookmarkStart w:id="98" w:name="_Toc224732227"/>
      <w:r w:rsidRPr="004370C6">
        <w:rPr>
          <w:rFonts w:ascii="Arial" w:hAnsi="Arial" w:cs="Arial"/>
          <w:color w:val="auto"/>
        </w:rPr>
        <w:t>Action Title: 1.1.2.1 Year 2 Climate Emergency Plan Implementation</w:t>
      </w:r>
      <w:bookmarkEnd w:id="98"/>
      <w:r w:rsidRPr="004370C6">
        <w:rPr>
          <w:rFonts w:ascii="Arial" w:hAnsi="Arial" w:cs="Arial"/>
          <w:color w:val="auto"/>
        </w:rPr>
        <w:t xml:space="preserve"> </w:t>
      </w:r>
    </w:p>
    <w:p w14:paraId="12F3E559" w14:textId="77777777" w:rsidR="00F75CE1" w:rsidRPr="004370C6" w:rsidRDefault="00F75CE1" w:rsidP="006F285F">
      <w:pPr>
        <w:rPr>
          <w:rFonts w:ascii="Arial" w:hAnsi="Arial" w:cs="Arial"/>
        </w:rPr>
      </w:pPr>
      <w:r w:rsidRPr="004370C6">
        <w:rPr>
          <w:rFonts w:ascii="Arial" w:hAnsi="Arial" w:cs="Arial"/>
        </w:rPr>
        <w:t xml:space="preserve">Status: In Progress – Green </w:t>
      </w:r>
    </w:p>
    <w:p w14:paraId="31B231F8" w14:textId="77777777" w:rsidR="00F75CE1" w:rsidRPr="004370C6" w:rsidRDefault="00F75CE1" w:rsidP="006F285F">
      <w:pPr>
        <w:rPr>
          <w:rFonts w:ascii="Arial" w:hAnsi="Arial" w:cs="Arial"/>
        </w:rPr>
      </w:pPr>
      <w:r w:rsidRPr="004370C6">
        <w:rPr>
          <w:rFonts w:ascii="Arial" w:hAnsi="Arial" w:cs="Arial"/>
        </w:rPr>
        <w:t>Completion Percentage: 60%</w:t>
      </w:r>
    </w:p>
    <w:p w14:paraId="1C33B822" w14:textId="77777777" w:rsidR="00F75CE1" w:rsidRPr="004370C6" w:rsidRDefault="00F75CE1" w:rsidP="006F285F">
      <w:pPr>
        <w:rPr>
          <w:rFonts w:ascii="Arial" w:hAnsi="Arial" w:cs="Arial"/>
        </w:rPr>
      </w:pPr>
      <w:r w:rsidRPr="004370C6">
        <w:rPr>
          <w:rFonts w:ascii="Arial" w:hAnsi="Arial" w:cs="Arial"/>
        </w:rPr>
        <w:t>Target Percentage: 50%</w:t>
      </w:r>
    </w:p>
    <w:p w14:paraId="072BBD4F" w14:textId="77777777" w:rsidR="00F75CE1" w:rsidRPr="004370C6" w:rsidRDefault="00F75CE1" w:rsidP="006F285F">
      <w:pPr>
        <w:rPr>
          <w:rFonts w:ascii="Arial" w:hAnsi="Arial" w:cs="Arial"/>
        </w:rPr>
      </w:pPr>
      <w:r w:rsidRPr="004370C6">
        <w:rPr>
          <w:rFonts w:ascii="Arial" w:hAnsi="Arial" w:cs="Arial"/>
        </w:rPr>
        <w:t xml:space="preserve">Action Progress Comments: </w:t>
      </w:r>
    </w:p>
    <w:p w14:paraId="340A21B8" w14:textId="77777777" w:rsidR="00F75CE1" w:rsidRPr="004370C6" w:rsidRDefault="00F75CE1" w:rsidP="006F285F">
      <w:pPr>
        <w:rPr>
          <w:rFonts w:ascii="Arial" w:hAnsi="Arial" w:cs="Arial"/>
        </w:rPr>
      </w:pPr>
      <w:r w:rsidRPr="004370C6">
        <w:rPr>
          <w:rFonts w:ascii="Arial" w:hAnsi="Arial" w:cs="Arial"/>
        </w:rPr>
        <w:t>Cool Spaces program update: The Cool Spaces program for the 2025–26 heatwave season will activate two libraries (Bargoonga Nganjin North Fitzroy Library and Richmond Library) and two leisure centres (Collingwood Leisure Centre and Richmond Recreation Centre) as safe, accessible spaces for community members during heatwaves. The sites will operate during severe and extreme heatwaves, as defined and declared by the Bureau of Meteorology, provided there is sufficient warning. Promotional materials are being rolled out across Yarra, and 550 ‘cool kits’ - including water bottles, sunscreen and cooling towels - have been delivered to sites to distribute to community members who may be struggling in the heat</w:t>
      </w:r>
    </w:p>
    <w:p w14:paraId="03BC5528" w14:textId="77777777" w:rsidR="00F75CE1" w:rsidRPr="004370C6" w:rsidRDefault="00F75CE1" w:rsidP="006F285F">
      <w:pPr>
        <w:rPr>
          <w:rFonts w:ascii="Arial" w:hAnsi="Arial" w:cs="Arial"/>
        </w:rPr>
      </w:pPr>
      <w:r w:rsidRPr="004370C6">
        <w:rPr>
          <w:rFonts w:ascii="Arial" w:hAnsi="Arial" w:cs="Arial"/>
        </w:rPr>
        <w:t>Update on the Climate Emergency Plan progression: The Climate Emergency Plan mid-year update will be included in the quarterly community report for October-December 2025. Installation of expanded/new solar systems (160 kW) and new behind-the-meter batteries (360 kWh) at four council-owned community buildings is now complete as part of Yarra’s innovative Community Charge project. Project sites include:</w:t>
      </w:r>
    </w:p>
    <w:p w14:paraId="6B1B93AE" w14:textId="77777777" w:rsidR="00F75CE1" w:rsidRPr="004370C6" w:rsidRDefault="00F75CE1" w:rsidP="006F285F">
      <w:pPr>
        <w:rPr>
          <w:rFonts w:ascii="Arial" w:hAnsi="Arial" w:cs="Arial"/>
        </w:rPr>
      </w:pPr>
      <w:r w:rsidRPr="004370C6">
        <w:rPr>
          <w:rFonts w:ascii="Arial" w:hAnsi="Arial" w:cs="Arial"/>
        </w:rPr>
        <w:t>• Alphington Park Pavilion</w:t>
      </w:r>
    </w:p>
    <w:p w14:paraId="1BFD643D" w14:textId="77777777" w:rsidR="00F75CE1" w:rsidRPr="004370C6" w:rsidRDefault="00F75CE1" w:rsidP="006F285F">
      <w:pPr>
        <w:rPr>
          <w:rFonts w:ascii="Arial" w:hAnsi="Arial" w:cs="Arial"/>
        </w:rPr>
      </w:pPr>
      <w:r w:rsidRPr="004370C6">
        <w:rPr>
          <w:rFonts w:ascii="Arial" w:hAnsi="Arial" w:cs="Arial"/>
        </w:rPr>
        <w:t>• Fairlea Reserve Netball Complex</w:t>
      </w:r>
    </w:p>
    <w:p w14:paraId="62FB2C89" w14:textId="77777777" w:rsidR="00F75CE1" w:rsidRPr="004370C6" w:rsidRDefault="00F75CE1" w:rsidP="006F285F">
      <w:pPr>
        <w:rPr>
          <w:rFonts w:ascii="Arial" w:hAnsi="Arial" w:cs="Arial"/>
        </w:rPr>
      </w:pPr>
      <w:r w:rsidRPr="004370C6">
        <w:rPr>
          <w:rFonts w:ascii="Arial" w:hAnsi="Arial" w:cs="Arial"/>
        </w:rPr>
        <w:t>• Maxwell Sutherland Pavilion</w:t>
      </w:r>
    </w:p>
    <w:p w14:paraId="58E85C55" w14:textId="77777777" w:rsidR="00F75CE1" w:rsidRPr="004370C6" w:rsidRDefault="00F75CE1" w:rsidP="006F285F">
      <w:pPr>
        <w:rPr>
          <w:rFonts w:ascii="Arial" w:hAnsi="Arial" w:cs="Arial"/>
        </w:rPr>
      </w:pPr>
      <w:r w:rsidRPr="004370C6">
        <w:rPr>
          <w:rFonts w:ascii="Arial" w:hAnsi="Arial" w:cs="Arial"/>
        </w:rPr>
        <w:t>• Mark Street Hall</w:t>
      </w:r>
    </w:p>
    <w:p w14:paraId="652B1D8A" w14:textId="77777777" w:rsidR="00F75CE1" w:rsidRPr="004370C6" w:rsidRDefault="00F75CE1" w:rsidP="006F285F">
      <w:pPr>
        <w:rPr>
          <w:rFonts w:ascii="Arial" w:hAnsi="Arial" w:cs="Arial"/>
        </w:rPr>
      </w:pPr>
      <w:r w:rsidRPr="004370C6">
        <w:rPr>
          <w:rFonts w:ascii="Arial" w:hAnsi="Arial" w:cs="Arial"/>
        </w:rPr>
        <w:t>By combining extensive solar arrays, large scale battery systems and a smart energy control system, excess energy will be stored for later use, such as field lighting or space heating, and exported into the local grid in the evenings when demand for electricity is high. This cutting-edge project was supported through a grant of $398,000 from the Victorian Government’s 100 Neighbourhood Batteries program.</w:t>
      </w:r>
    </w:p>
    <w:p w14:paraId="42193038" w14:textId="77777777" w:rsidR="00F75CE1" w:rsidRPr="004370C6" w:rsidRDefault="00F75CE1" w:rsidP="006F285F">
      <w:pPr>
        <w:rPr>
          <w:rFonts w:ascii="Arial" w:hAnsi="Arial" w:cs="Arial"/>
        </w:rPr>
      </w:pPr>
    </w:p>
    <w:p w14:paraId="5B5B9C33" w14:textId="77777777" w:rsidR="00F75CE1" w:rsidRPr="004370C6" w:rsidRDefault="00F75CE1" w:rsidP="006F285F">
      <w:pPr>
        <w:rPr>
          <w:rFonts w:ascii="Arial" w:hAnsi="Arial" w:cs="Arial"/>
        </w:rPr>
      </w:pPr>
    </w:p>
    <w:p w14:paraId="648431C8" w14:textId="77777777" w:rsidR="00F75CE1" w:rsidRPr="004370C6" w:rsidRDefault="00F75CE1" w:rsidP="006F285F">
      <w:pPr>
        <w:rPr>
          <w:rFonts w:ascii="Arial" w:hAnsi="Arial" w:cs="Arial"/>
        </w:rPr>
      </w:pPr>
    </w:p>
    <w:p w14:paraId="3E76BD04" w14:textId="77777777" w:rsidR="00F75CE1" w:rsidRPr="004370C6" w:rsidRDefault="00F75CE1" w:rsidP="006F285F">
      <w:pPr>
        <w:pStyle w:val="Heading4"/>
        <w:rPr>
          <w:rFonts w:ascii="Arial" w:hAnsi="Arial" w:cs="Arial"/>
          <w:color w:val="auto"/>
        </w:rPr>
      </w:pPr>
      <w:bookmarkStart w:id="99" w:name="_Toc224732228"/>
      <w:r w:rsidRPr="004370C6">
        <w:rPr>
          <w:rFonts w:ascii="Arial" w:hAnsi="Arial" w:cs="Arial"/>
          <w:color w:val="auto"/>
        </w:rPr>
        <w:lastRenderedPageBreak/>
        <w:t>Action Title: 1.1.3.1 Conduct a localised Community Safety Audit</w:t>
      </w:r>
      <w:bookmarkEnd w:id="99"/>
    </w:p>
    <w:p w14:paraId="6C3E29DA" w14:textId="77777777" w:rsidR="00F75CE1" w:rsidRPr="004370C6" w:rsidRDefault="00F75CE1" w:rsidP="006F285F">
      <w:pPr>
        <w:rPr>
          <w:rFonts w:ascii="Arial" w:hAnsi="Arial" w:cs="Arial"/>
        </w:rPr>
      </w:pPr>
      <w:r w:rsidRPr="004370C6">
        <w:rPr>
          <w:rFonts w:ascii="Arial" w:hAnsi="Arial" w:cs="Arial"/>
        </w:rPr>
        <w:t xml:space="preserve">Status: In Progress – Green </w:t>
      </w:r>
    </w:p>
    <w:p w14:paraId="27D88383" w14:textId="77777777" w:rsidR="00F75CE1" w:rsidRPr="004370C6" w:rsidRDefault="00F75CE1" w:rsidP="006F285F">
      <w:pPr>
        <w:rPr>
          <w:rFonts w:ascii="Arial" w:hAnsi="Arial" w:cs="Arial"/>
        </w:rPr>
      </w:pPr>
      <w:r w:rsidRPr="004370C6">
        <w:rPr>
          <w:rFonts w:ascii="Arial" w:hAnsi="Arial" w:cs="Arial"/>
        </w:rPr>
        <w:t>Completion Percentage: 50%</w:t>
      </w:r>
    </w:p>
    <w:p w14:paraId="383A010C" w14:textId="77777777" w:rsidR="00F75CE1" w:rsidRPr="004370C6" w:rsidRDefault="00F75CE1" w:rsidP="006F285F">
      <w:pPr>
        <w:rPr>
          <w:rFonts w:ascii="Arial" w:hAnsi="Arial" w:cs="Arial"/>
        </w:rPr>
      </w:pPr>
      <w:r w:rsidRPr="004370C6">
        <w:rPr>
          <w:rFonts w:ascii="Arial" w:hAnsi="Arial" w:cs="Arial"/>
        </w:rPr>
        <w:t>Target Percentage: 50%</w:t>
      </w:r>
    </w:p>
    <w:p w14:paraId="2446F5A3" w14:textId="77777777" w:rsidR="00F75CE1" w:rsidRPr="004370C6" w:rsidRDefault="00F75CE1" w:rsidP="006F285F">
      <w:pPr>
        <w:rPr>
          <w:rFonts w:ascii="Arial" w:hAnsi="Arial" w:cs="Arial"/>
        </w:rPr>
      </w:pPr>
      <w:r w:rsidRPr="004370C6">
        <w:rPr>
          <w:rFonts w:ascii="Arial" w:hAnsi="Arial" w:cs="Arial"/>
        </w:rPr>
        <w:t>Action Progress Comments: A Crime Prevention Through Environmental Design (CPTED) safety audit of the Brunswick Street Fitzroy precinct was completed, including site assessment and consultation with Victoria Police and local traders. The audit identified priority improvements relating to laneway lighting, targeted surveillance, graffiti and façade maintenance, pedestrian movement at the Brunswick/Johnston Street intersection, and seating near public amenities. Capital works options have been scoped for consideration in the capital program for the 2027 Financial Year.</w:t>
      </w:r>
    </w:p>
    <w:p w14:paraId="514A449B" w14:textId="77777777" w:rsidR="00F75CE1" w:rsidRPr="004370C6" w:rsidRDefault="00F75CE1" w:rsidP="006F285F">
      <w:pPr>
        <w:pStyle w:val="Heading4"/>
        <w:rPr>
          <w:rFonts w:ascii="Arial" w:hAnsi="Arial" w:cs="Arial"/>
          <w:color w:val="auto"/>
        </w:rPr>
      </w:pPr>
      <w:bookmarkStart w:id="100" w:name="_Toc224732229"/>
      <w:r w:rsidRPr="004370C6">
        <w:rPr>
          <w:rFonts w:ascii="Arial" w:hAnsi="Arial" w:cs="Arial"/>
          <w:color w:val="auto"/>
        </w:rPr>
        <w:t>Action Title: 1.2.1.1 Minor Richmond Library renewal works with business case for major redevelopment of the Library</w:t>
      </w:r>
      <w:bookmarkEnd w:id="100"/>
      <w:r w:rsidRPr="004370C6">
        <w:rPr>
          <w:rFonts w:ascii="Arial" w:hAnsi="Arial" w:cs="Arial"/>
          <w:color w:val="auto"/>
        </w:rPr>
        <w:t xml:space="preserve"> </w:t>
      </w:r>
    </w:p>
    <w:p w14:paraId="2936D8B5" w14:textId="77777777" w:rsidR="00F75CE1" w:rsidRPr="004370C6" w:rsidRDefault="00F75CE1" w:rsidP="006F285F">
      <w:pPr>
        <w:rPr>
          <w:rFonts w:ascii="Arial" w:hAnsi="Arial" w:cs="Arial"/>
        </w:rPr>
      </w:pPr>
      <w:r w:rsidRPr="004370C6">
        <w:rPr>
          <w:rFonts w:ascii="Arial" w:hAnsi="Arial" w:cs="Arial"/>
        </w:rPr>
        <w:t xml:space="preserve">Status: In Progress – Green </w:t>
      </w:r>
    </w:p>
    <w:p w14:paraId="38246EE5" w14:textId="77777777" w:rsidR="00F75CE1" w:rsidRPr="004370C6" w:rsidRDefault="00F75CE1" w:rsidP="006F285F">
      <w:pPr>
        <w:rPr>
          <w:rFonts w:ascii="Arial" w:hAnsi="Arial" w:cs="Arial"/>
        </w:rPr>
      </w:pPr>
      <w:r w:rsidRPr="004370C6">
        <w:rPr>
          <w:rFonts w:ascii="Arial" w:hAnsi="Arial" w:cs="Arial"/>
        </w:rPr>
        <w:t>Completion Percentage: 60%</w:t>
      </w:r>
    </w:p>
    <w:p w14:paraId="68BF2A8B" w14:textId="77777777" w:rsidR="00F75CE1" w:rsidRPr="004370C6" w:rsidRDefault="00F75CE1" w:rsidP="006F285F">
      <w:pPr>
        <w:rPr>
          <w:rFonts w:ascii="Arial" w:hAnsi="Arial" w:cs="Arial"/>
        </w:rPr>
      </w:pPr>
      <w:r w:rsidRPr="004370C6">
        <w:rPr>
          <w:rFonts w:ascii="Arial" w:hAnsi="Arial" w:cs="Arial"/>
        </w:rPr>
        <w:t>Target Percentage: 60%</w:t>
      </w:r>
    </w:p>
    <w:p w14:paraId="08D01128" w14:textId="77777777" w:rsidR="00F75CE1" w:rsidRPr="004370C6" w:rsidRDefault="00F75CE1" w:rsidP="006F285F">
      <w:pPr>
        <w:rPr>
          <w:rFonts w:ascii="Arial" w:hAnsi="Arial" w:cs="Arial"/>
        </w:rPr>
      </w:pPr>
      <w:r w:rsidRPr="004370C6">
        <w:rPr>
          <w:rFonts w:ascii="Arial" w:hAnsi="Arial" w:cs="Arial"/>
        </w:rPr>
        <w:t>Action Progress Comments: Minor renewal works at the Richmond Library are progressing steadily, with the project now 60% complete. The program is focused on modernising facilities to enhance staff and community use, while ensuring the library remains welcoming and functional. Works delivered so far include lighting upgrade to improve efficiency and ambience, construction of new wall to support workplace arrangements, new security measures, and furniture. Remaining upgrades to be delivered this year include new reception and kitchen facilities, signage and lighting upgrades.</w:t>
      </w:r>
    </w:p>
    <w:p w14:paraId="312EEC45" w14:textId="77777777" w:rsidR="00F75CE1" w:rsidRPr="004370C6" w:rsidRDefault="00F75CE1" w:rsidP="006F285F">
      <w:pPr>
        <w:pStyle w:val="Heading4"/>
        <w:rPr>
          <w:rFonts w:ascii="Arial" w:hAnsi="Arial" w:cs="Arial"/>
          <w:color w:val="auto"/>
        </w:rPr>
      </w:pPr>
      <w:bookmarkStart w:id="101" w:name="_Toc224732230"/>
      <w:r w:rsidRPr="004370C6">
        <w:rPr>
          <w:rFonts w:ascii="Arial" w:hAnsi="Arial" w:cs="Arial"/>
          <w:color w:val="auto"/>
        </w:rPr>
        <w:t>Action Title: 1.2.3.1 Kindergarten Infrastructure and Services Plan for Yarra</w:t>
      </w:r>
      <w:bookmarkEnd w:id="101"/>
    </w:p>
    <w:p w14:paraId="702AEA81" w14:textId="77777777" w:rsidR="00F75CE1" w:rsidRPr="004370C6" w:rsidRDefault="00F75CE1" w:rsidP="006F285F">
      <w:pPr>
        <w:rPr>
          <w:rFonts w:ascii="Arial" w:hAnsi="Arial" w:cs="Arial"/>
        </w:rPr>
      </w:pPr>
      <w:r w:rsidRPr="004370C6">
        <w:rPr>
          <w:rFonts w:ascii="Arial" w:hAnsi="Arial" w:cs="Arial"/>
        </w:rPr>
        <w:t xml:space="preserve">Status: In Progress – Green </w:t>
      </w:r>
    </w:p>
    <w:p w14:paraId="39735618" w14:textId="77777777" w:rsidR="00F75CE1" w:rsidRPr="004370C6" w:rsidRDefault="00F75CE1" w:rsidP="006F285F">
      <w:pPr>
        <w:rPr>
          <w:rFonts w:ascii="Arial" w:hAnsi="Arial" w:cs="Arial"/>
        </w:rPr>
      </w:pPr>
      <w:r w:rsidRPr="004370C6">
        <w:rPr>
          <w:rFonts w:ascii="Arial" w:hAnsi="Arial" w:cs="Arial"/>
        </w:rPr>
        <w:t>Completion Percentage: 75%</w:t>
      </w:r>
    </w:p>
    <w:p w14:paraId="18BA9AAE" w14:textId="77777777" w:rsidR="00F75CE1" w:rsidRPr="004370C6" w:rsidRDefault="00F75CE1" w:rsidP="006F285F">
      <w:pPr>
        <w:rPr>
          <w:rFonts w:ascii="Arial" w:hAnsi="Arial" w:cs="Arial"/>
        </w:rPr>
      </w:pPr>
      <w:r w:rsidRPr="004370C6">
        <w:rPr>
          <w:rFonts w:ascii="Arial" w:hAnsi="Arial" w:cs="Arial"/>
        </w:rPr>
        <w:t>Target Percentage: 50%</w:t>
      </w:r>
    </w:p>
    <w:p w14:paraId="49CCD562" w14:textId="77777777" w:rsidR="00F75CE1" w:rsidRPr="004370C6" w:rsidRDefault="00F75CE1" w:rsidP="006F285F">
      <w:pPr>
        <w:rPr>
          <w:rFonts w:ascii="Arial" w:hAnsi="Arial" w:cs="Arial"/>
        </w:rPr>
      </w:pPr>
      <w:r w:rsidRPr="004370C6">
        <w:rPr>
          <w:rFonts w:ascii="Arial" w:hAnsi="Arial" w:cs="Arial"/>
        </w:rPr>
        <w:t>Action Progress Comments: The draft Kindergarten Infrastructure and Services Plan for Yarra has been completed and is being reviewed by the Victorian Department of Education prior to sign off by the Victorian Government and Council.</w:t>
      </w:r>
    </w:p>
    <w:p w14:paraId="5222F814" w14:textId="77777777" w:rsidR="00F75CE1" w:rsidRPr="004370C6" w:rsidRDefault="00F75CE1" w:rsidP="006F285F">
      <w:pPr>
        <w:rPr>
          <w:rFonts w:ascii="Arial" w:hAnsi="Arial" w:cs="Arial"/>
        </w:rPr>
      </w:pPr>
    </w:p>
    <w:p w14:paraId="2293EB30" w14:textId="77777777" w:rsidR="00F75CE1" w:rsidRPr="004370C6" w:rsidRDefault="00F75CE1" w:rsidP="006F285F">
      <w:pPr>
        <w:pStyle w:val="Heading4"/>
        <w:rPr>
          <w:rFonts w:ascii="Arial" w:hAnsi="Arial" w:cs="Arial"/>
          <w:color w:val="auto"/>
        </w:rPr>
      </w:pPr>
      <w:bookmarkStart w:id="102" w:name="_Toc224732231"/>
      <w:r w:rsidRPr="004370C6">
        <w:rPr>
          <w:rFonts w:ascii="Arial" w:hAnsi="Arial" w:cs="Arial"/>
          <w:color w:val="auto"/>
        </w:rPr>
        <w:lastRenderedPageBreak/>
        <w:t>Action Title: 1.2.4.1 Design and delivery of programs arising from the New Municipal Public Health and Wellbeing Plan</w:t>
      </w:r>
      <w:bookmarkEnd w:id="102"/>
    </w:p>
    <w:p w14:paraId="1FB254B3" w14:textId="77777777" w:rsidR="00F75CE1" w:rsidRPr="004370C6" w:rsidRDefault="00F75CE1" w:rsidP="006F285F">
      <w:pPr>
        <w:rPr>
          <w:rFonts w:ascii="Arial" w:hAnsi="Arial" w:cs="Arial"/>
        </w:rPr>
      </w:pPr>
      <w:r w:rsidRPr="004370C6">
        <w:rPr>
          <w:rFonts w:ascii="Arial" w:hAnsi="Arial" w:cs="Arial"/>
        </w:rPr>
        <w:t xml:space="preserve">Status: In Progress – Green </w:t>
      </w:r>
    </w:p>
    <w:p w14:paraId="17681CB7" w14:textId="77777777" w:rsidR="00F75CE1" w:rsidRPr="004370C6" w:rsidRDefault="00F75CE1" w:rsidP="006F285F">
      <w:pPr>
        <w:rPr>
          <w:rFonts w:ascii="Arial" w:hAnsi="Arial" w:cs="Arial"/>
        </w:rPr>
      </w:pPr>
      <w:r w:rsidRPr="004370C6">
        <w:rPr>
          <w:rFonts w:ascii="Arial" w:hAnsi="Arial" w:cs="Arial"/>
        </w:rPr>
        <w:t>Completion Percentage: 55%</w:t>
      </w:r>
    </w:p>
    <w:p w14:paraId="1022491D" w14:textId="77777777" w:rsidR="00F75CE1" w:rsidRPr="004370C6" w:rsidRDefault="00F75CE1" w:rsidP="006F285F">
      <w:pPr>
        <w:rPr>
          <w:rFonts w:ascii="Arial" w:hAnsi="Arial" w:cs="Arial"/>
        </w:rPr>
      </w:pPr>
      <w:r w:rsidRPr="004370C6">
        <w:rPr>
          <w:rFonts w:ascii="Arial" w:hAnsi="Arial" w:cs="Arial"/>
        </w:rPr>
        <w:t>Target Percentage: 50%</w:t>
      </w:r>
    </w:p>
    <w:p w14:paraId="0E5B8C98" w14:textId="77777777" w:rsidR="00F75CE1" w:rsidRPr="004370C6" w:rsidRDefault="00F75CE1" w:rsidP="006F285F">
      <w:pPr>
        <w:rPr>
          <w:rFonts w:ascii="Arial" w:hAnsi="Arial" w:cs="Arial"/>
        </w:rPr>
      </w:pPr>
      <w:r w:rsidRPr="004370C6">
        <w:rPr>
          <w:rFonts w:ascii="Arial" w:hAnsi="Arial" w:cs="Arial"/>
        </w:rPr>
        <w:t xml:space="preserve">Action Progress Comments: Social connection mapping commenced to identify and document external programs addressing loneliness and social isolation. This quarter focused on taking the project to market to engage specialist expertise, including issuing an Invitation to Quote for a comprehensive loneliness research and mapping project to undertake evidence-based research, lived-experience engagement and mapping of primary prevention interventions, with a focus on language, stigma and shame and the reach and effectiveness of existing programs. Early meetings were also held with recognised external experts to inform the project approach and ensure alignment with contemporary best practice. </w:t>
      </w:r>
    </w:p>
    <w:p w14:paraId="692D5964" w14:textId="77777777" w:rsidR="00F75CE1" w:rsidRPr="004370C6" w:rsidRDefault="00F75CE1" w:rsidP="006F285F">
      <w:pPr>
        <w:rPr>
          <w:rFonts w:ascii="Arial" w:hAnsi="Arial" w:cs="Arial"/>
        </w:rPr>
      </w:pPr>
      <w:r w:rsidRPr="004370C6">
        <w:rPr>
          <w:rFonts w:ascii="Arial" w:hAnsi="Arial" w:cs="Arial"/>
        </w:rPr>
        <w:t xml:space="preserve">Work progressed on the expanded Community Food Guide, including checking and updating information directly with local food providers. Alongside updating the printed version, Council also began setting up an interactive online version of the guide, so people can more easily find free and low-cost food options that are close to them and up to date. This approach will make information easier to access, keep it current over time, and support timely promotion of food support options across the community, consistent with the milestone scope and timeframe. </w:t>
      </w:r>
    </w:p>
    <w:p w14:paraId="7EC8C3A0" w14:textId="77777777" w:rsidR="004370C6" w:rsidRPr="004370C6" w:rsidRDefault="004370C6">
      <w:pPr>
        <w:rPr>
          <w:rFonts w:ascii="Arial" w:eastAsiaTheme="majorEastAsia" w:hAnsi="Arial" w:cs="Arial"/>
          <w:sz w:val="28"/>
          <w:szCs w:val="28"/>
        </w:rPr>
      </w:pPr>
      <w:r w:rsidRPr="004370C6">
        <w:rPr>
          <w:rFonts w:ascii="Arial" w:hAnsi="Arial" w:cs="Arial"/>
        </w:rPr>
        <w:br w:type="page"/>
      </w:r>
    </w:p>
    <w:p w14:paraId="0BCB37AF" w14:textId="3D9B02D7" w:rsidR="00F75CE1" w:rsidRPr="004370C6" w:rsidRDefault="00F75CE1" w:rsidP="006F285F">
      <w:pPr>
        <w:pStyle w:val="Heading3"/>
        <w:rPr>
          <w:rFonts w:ascii="Arial" w:hAnsi="Arial" w:cs="Arial"/>
          <w:color w:val="auto"/>
        </w:rPr>
      </w:pPr>
      <w:bookmarkStart w:id="103" w:name="_Toc224732232"/>
      <w:r w:rsidRPr="004370C6">
        <w:rPr>
          <w:rFonts w:ascii="Arial" w:hAnsi="Arial" w:cs="Arial"/>
          <w:color w:val="auto"/>
        </w:rPr>
        <w:lastRenderedPageBreak/>
        <w:t>Building the City</w:t>
      </w:r>
      <w:bookmarkEnd w:id="103"/>
      <w:r w:rsidRPr="004370C6">
        <w:rPr>
          <w:rFonts w:ascii="Arial" w:hAnsi="Arial" w:cs="Arial"/>
          <w:color w:val="auto"/>
        </w:rPr>
        <w:t xml:space="preserve"> </w:t>
      </w:r>
    </w:p>
    <w:p w14:paraId="0E23ECB3" w14:textId="77777777" w:rsidR="00F75CE1" w:rsidRPr="004370C6" w:rsidRDefault="00F75CE1" w:rsidP="006F285F">
      <w:pPr>
        <w:pStyle w:val="Heading4"/>
        <w:rPr>
          <w:rFonts w:ascii="Arial" w:hAnsi="Arial" w:cs="Arial"/>
          <w:color w:val="auto"/>
        </w:rPr>
      </w:pPr>
      <w:bookmarkStart w:id="104" w:name="_Toc224732233"/>
      <w:r w:rsidRPr="004370C6">
        <w:rPr>
          <w:rFonts w:ascii="Arial" w:hAnsi="Arial" w:cs="Arial"/>
          <w:color w:val="auto"/>
        </w:rPr>
        <w:t>Action Title: 2.1.1.1 Progress New Deal for Cycling corridor projects</w:t>
      </w:r>
      <w:bookmarkEnd w:id="104"/>
    </w:p>
    <w:p w14:paraId="133C4461" w14:textId="77777777" w:rsidR="00F75CE1" w:rsidRPr="004370C6" w:rsidRDefault="00F75CE1" w:rsidP="006F285F">
      <w:pPr>
        <w:rPr>
          <w:rFonts w:ascii="Arial" w:hAnsi="Arial" w:cs="Arial"/>
        </w:rPr>
      </w:pPr>
      <w:r w:rsidRPr="004370C6">
        <w:rPr>
          <w:rFonts w:ascii="Arial" w:hAnsi="Arial" w:cs="Arial"/>
        </w:rPr>
        <w:t>Status: In Progress – Red</w:t>
      </w:r>
    </w:p>
    <w:p w14:paraId="0A17FD4E" w14:textId="77777777" w:rsidR="00F75CE1" w:rsidRPr="004370C6" w:rsidRDefault="00F75CE1" w:rsidP="006F285F">
      <w:pPr>
        <w:rPr>
          <w:rFonts w:ascii="Arial" w:hAnsi="Arial" w:cs="Arial"/>
        </w:rPr>
      </w:pPr>
      <w:r w:rsidRPr="004370C6">
        <w:rPr>
          <w:rFonts w:ascii="Arial" w:hAnsi="Arial" w:cs="Arial"/>
        </w:rPr>
        <w:t>Completion Percentage: 35%</w:t>
      </w:r>
    </w:p>
    <w:p w14:paraId="555D586D" w14:textId="77777777" w:rsidR="00F75CE1" w:rsidRPr="004370C6" w:rsidRDefault="00F75CE1" w:rsidP="006F285F">
      <w:pPr>
        <w:rPr>
          <w:rFonts w:ascii="Arial" w:hAnsi="Arial" w:cs="Arial"/>
        </w:rPr>
      </w:pPr>
      <w:r w:rsidRPr="004370C6">
        <w:rPr>
          <w:rFonts w:ascii="Arial" w:hAnsi="Arial" w:cs="Arial"/>
        </w:rPr>
        <w:t>Target Percentage: 50%</w:t>
      </w:r>
    </w:p>
    <w:p w14:paraId="79162530" w14:textId="77777777" w:rsidR="00F75CE1" w:rsidRPr="004370C6" w:rsidRDefault="00F75CE1" w:rsidP="006F285F">
      <w:pPr>
        <w:rPr>
          <w:rFonts w:ascii="Arial" w:hAnsi="Arial" w:cs="Arial"/>
        </w:rPr>
      </w:pPr>
      <w:r w:rsidRPr="004370C6">
        <w:rPr>
          <w:rFonts w:ascii="Arial" w:hAnsi="Arial" w:cs="Arial"/>
        </w:rPr>
        <w:t>Action Progress Comments:</w:t>
      </w:r>
    </w:p>
    <w:p w14:paraId="619D893D" w14:textId="77777777" w:rsidR="00F75CE1" w:rsidRPr="004370C6" w:rsidRDefault="00F75CE1" w:rsidP="006F285F">
      <w:pPr>
        <w:rPr>
          <w:rFonts w:ascii="Arial" w:hAnsi="Arial" w:cs="Arial"/>
        </w:rPr>
      </w:pPr>
      <w:r w:rsidRPr="004370C6">
        <w:rPr>
          <w:rFonts w:ascii="Arial" w:hAnsi="Arial" w:cs="Arial"/>
        </w:rPr>
        <w:t>Elizabeth Street Corridor Update:</w:t>
      </w:r>
    </w:p>
    <w:p w14:paraId="73A6CB17" w14:textId="77777777" w:rsidR="00F75CE1" w:rsidRPr="004370C6" w:rsidRDefault="00F75CE1" w:rsidP="006F285F">
      <w:pPr>
        <w:rPr>
          <w:rFonts w:ascii="Arial" w:hAnsi="Arial" w:cs="Arial"/>
        </w:rPr>
      </w:pPr>
      <w:r w:rsidRPr="004370C6">
        <w:rPr>
          <w:rFonts w:ascii="Arial" w:hAnsi="Arial" w:cs="Arial"/>
        </w:rPr>
        <w:t>Concept plans for the Elizabeth Street cycling corridor have been finalised by officers in accordance with the resolution of Council. These have been submitted to State Government for approval. Once approved, the project will move into delivery phase.</w:t>
      </w:r>
    </w:p>
    <w:p w14:paraId="60CA1AB4" w14:textId="77777777" w:rsidR="00F75CE1" w:rsidRPr="004370C6" w:rsidRDefault="00F75CE1" w:rsidP="006F285F">
      <w:pPr>
        <w:rPr>
          <w:rFonts w:ascii="Arial" w:hAnsi="Arial" w:cs="Arial"/>
        </w:rPr>
      </w:pPr>
      <w:r w:rsidRPr="004370C6">
        <w:rPr>
          <w:rFonts w:ascii="Arial" w:hAnsi="Arial" w:cs="Arial"/>
        </w:rPr>
        <w:t>Langridge Street &amp; Gipps Street update:</w:t>
      </w:r>
    </w:p>
    <w:p w14:paraId="446F5437" w14:textId="77777777" w:rsidR="00F75CE1" w:rsidRPr="004370C6" w:rsidRDefault="00F75CE1" w:rsidP="006F285F">
      <w:pPr>
        <w:rPr>
          <w:rFonts w:ascii="Arial" w:hAnsi="Arial" w:cs="Arial"/>
        </w:rPr>
      </w:pPr>
      <w:r w:rsidRPr="004370C6">
        <w:rPr>
          <w:rFonts w:ascii="Arial" w:hAnsi="Arial" w:cs="Arial"/>
        </w:rPr>
        <w:t>Consultation materials are being prepared and will be ready for consultation in Q4. Outcomes of the consultation will be presented to Council to inform the development of concept plans.</w:t>
      </w:r>
    </w:p>
    <w:p w14:paraId="7DFEA03D" w14:textId="77777777" w:rsidR="00F75CE1" w:rsidRPr="004370C6" w:rsidRDefault="00F75CE1" w:rsidP="006F285F">
      <w:pPr>
        <w:rPr>
          <w:rFonts w:ascii="Arial" w:hAnsi="Arial" w:cs="Arial"/>
        </w:rPr>
      </w:pPr>
      <w:r w:rsidRPr="004370C6">
        <w:rPr>
          <w:rFonts w:ascii="Arial" w:hAnsi="Arial" w:cs="Arial"/>
        </w:rPr>
        <w:t>Coppin Street Engagement:</w:t>
      </w:r>
    </w:p>
    <w:p w14:paraId="2C563155" w14:textId="77777777" w:rsidR="00F75CE1" w:rsidRPr="004370C6" w:rsidRDefault="00F75CE1" w:rsidP="006F285F">
      <w:pPr>
        <w:rPr>
          <w:rFonts w:ascii="Arial" w:hAnsi="Arial" w:cs="Arial"/>
        </w:rPr>
      </w:pPr>
      <w:r w:rsidRPr="004370C6">
        <w:rPr>
          <w:rFonts w:ascii="Arial" w:hAnsi="Arial" w:cs="Arial"/>
        </w:rPr>
        <w:t>Design work is being finalised, and Stage 2 engagement is now scheduled to occur in Q3. This stage of consultation seeks feedback on options developed for the precinct. This second round of consultation builds on the feedback received from residents, businesses, and stakeholders who shared their views during the earlier stage 1 consultation.</w:t>
      </w:r>
    </w:p>
    <w:p w14:paraId="01AF5663" w14:textId="77777777" w:rsidR="00F75CE1" w:rsidRPr="004370C6" w:rsidRDefault="00F75CE1" w:rsidP="006F285F">
      <w:pPr>
        <w:rPr>
          <w:rFonts w:ascii="Arial" w:hAnsi="Arial" w:cs="Arial"/>
        </w:rPr>
      </w:pPr>
      <w:r w:rsidRPr="004370C6">
        <w:rPr>
          <w:rFonts w:ascii="Arial" w:hAnsi="Arial" w:cs="Arial"/>
        </w:rPr>
        <w:t>Wellington Street Engagement:</w:t>
      </w:r>
    </w:p>
    <w:p w14:paraId="3E91B289" w14:textId="77777777" w:rsidR="00F75CE1" w:rsidRPr="004370C6" w:rsidRDefault="00F75CE1" w:rsidP="006F285F">
      <w:pPr>
        <w:rPr>
          <w:rFonts w:ascii="Arial" w:hAnsi="Arial" w:cs="Arial"/>
        </w:rPr>
      </w:pPr>
      <w:r w:rsidRPr="004370C6">
        <w:rPr>
          <w:rFonts w:ascii="Arial" w:hAnsi="Arial" w:cs="Arial"/>
        </w:rPr>
        <w:t>Stage 2 community engagement for the Wellington Street corridor has been completed. The consultant has prepared a report on the engagement results. This will be presented to Council for consideration in Q3. Detailed design plans will then be produced to reflect the Council decision and advocacy will be undertaken to secure funding.</w:t>
      </w:r>
    </w:p>
    <w:p w14:paraId="767B0FCE" w14:textId="77777777" w:rsidR="00F75CE1" w:rsidRPr="004370C6" w:rsidRDefault="00F75CE1" w:rsidP="006F285F">
      <w:pPr>
        <w:pStyle w:val="Heading4"/>
        <w:rPr>
          <w:rFonts w:ascii="Arial" w:hAnsi="Arial" w:cs="Arial"/>
          <w:color w:val="auto"/>
        </w:rPr>
      </w:pPr>
      <w:bookmarkStart w:id="105" w:name="_Toc224732234"/>
      <w:r w:rsidRPr="004370C6">
        <w:rPr>
          <w:rFonts w:ascii="Arial" w:hAnsi="Arial" w:cs="Arial"/>
          <w:color w:val="auto"/>
        </w:rPr>
        <w:t>Action Title: 2.1.2.1 Progress the preparation of a Kerbside and Parking Strategy</w:t>
      </w:r>
      <w:bookmarkEnd w:id="105"/>
    </w:p>
    <w:p w14:paraId="6A1A411A" w14:textId="77777777" w:rsidR="00F75CE1" w:rsidRPr="004370C6" w:rsidRDefault="00F75CE1" w:rsidP="006F285F">
      <w:pPr>
        <w:rPr>
          <w:rFonts w:ascii="Arial" w:hAnsi="Arial" w:cs="Arial"/>
        </w:rPr>
      </w:pPr>
      <w:r w:rsidRPr="004370C6">
        <w:rPr>
          <w:rFonts w:ascii="Arial" w:hAnsi="Arial" w:cs="Arial"/>
        </w:rPr>
        <w:t>Status: In Progress – Amber</w:t>
      </w:r>
    </w:p>
    <w:p w14:paraId="0C40789C" w14:textId="77777777" w:rsidR="00F75CE1" w:rsidRPr="004370C6" w:rsidRDefault="00F75CE1" w:rsidP="006F285F">
      <w:pPr>
        <w:rPr>
          <w:rFonts w:ascii="Arial" w:hAnsi="Arial" w:cs="Arial"/>
        </w:rPr>
      </w:pPr>
      <w:r w:rsidRPr="004370C6">
        <w:rPr>
          <w:rFonts w:ascii="Arial" w:hAnsi="Arial" w:cs="Arial"/>
        </w:rPr>
        <w:t>Completion Percentage: 39%</w:t>
      </w:r>
    </w:p>
    <w:p w14:paraId="205FBD4F" w14:textId="77777777" w:rsidR="00F75CE1" w:rsidRPr="004370C6" w:rsidRDefault="00F75CE1" w:rsidP="006F285F">
      <w:pPr>
        <w:rPr>
          <w:rFonts w:ascii="Arial" w:hAnsi="Arial" w:cs="Arial"/>
        </w:rPr>
      </w:pPr>
      <w:r w:rsidRPr="004370C6">
        <w:rPr>
          <w:rFonts w:ascii="Arial" w:hAnsi="Arial" w:cs="Arial"/>
        </w:rPr>
        <w:t>Target Percentage: 50%</w:t>
      </w:r>
    </w:p>
    <w:p w14:paraId="13EE41DD" w14:textId="77777777" w:rsidR="00F75CE1" w:rsidRPr="004370C6" w:rsidRDefault="00F75CE1" w:rsidP="006F285F">
      <w:pPr>
        <w:rPr>
          <w:rFonts w:ascii="Arial" w:hAnsi="Arial" w:cs="Arial"/>
        </w:rPr>
      </w:pPr>
      <w:r w:rsidRPr="004370C6">
        <w:rPr>
          <w:rFonts w:ascii="Arial" w:hAnsi="Arial" w:cs="Arial"/>
        </w:rPr>
        <w:t xml:space="preserve">Action Progress Comments: Work is progressing on the development of Yarra’s Kerbside and Parking Strategy. Data has been collated, and a draft strategy is being </w:t>
      </w:r>
      <w:r w:rsidRPr="004370C6">
        <w:rPr>
          <w:rFonts w:ascii="Arial" w:hAnsi="Arial" w:cs="Arial"/>
        </w:rPr>
        <w:lastRenderedPageBreak/>
        <w:t>prepared based on key principles. The draft strategy will be presented to Council in the coming months, before proceeding to community engagement.</w:t>
      </w:r>
    </w:p>
    <w:p w14:paraId="36617DAC" w14:textId="77777777" w:rsidR="00F75CE1" w:rsidRPr="004370C6" w:rsidRDefault="00F75CE1" w:rsidP="006F285F">
      <w:pPr>
        <w:pStyle w:val="Heading4"/>
        <w:rPr>
          <w:rFonts w:ascii="Arial" w:hAnsi="Arial" w:cs="Arial"/>
          <w:color w:val="auto"/>
        </w:rPr>
      </w:pPr>
      <w:bookmarkStart w:id="106" w:name="_Toc224732235"/>
      <w:r w:rsidRPr="004370C6">
        <w:rPr>
          <w:rFonts w:ascii="Arial" w:hAnsi="Arial" w:cs="Arial"/>
          <w:color w:val="auto"/>
        </w:rPr>
        <w:t>Action Title: 2.1.3.1 Update the Transport Action Plan and implement</w:t>
      </w:r>
      <w:bookmarkEnd w:id="106"/>
      <w:r w:rsidRPr="004370C6">
        <w:rPr>
          <w:rFonts w:ascii="Arial" w:hAnsi="Arial" w:cs="Arial"/>
          <w:color w:val="auto"/>
        </w:rPr>
        <w:t xml:space="preserve"> </w:t>
      </w:r>
    </w:p>
    <w:p w14:paraId="551F06C6" w14:textId="77777777" w:rsidR="00F75CE1" w:rsidRPr="004370C6" w:rsidRDefault="00F75CE1" w:rsidP="006F285F">
      <w:pPr>
        <w:rPr>
          <w:rFonts w:ascii="Arial" w:hAnsi="Arial" w:cs="Arial"/>
        </w:rPr>
      </w:pPr>
      <w:r w:rsidRPr="004370C6">
        <w:rPr>
          <w:rFonts w:ascii="Arial" w:hAnsi="Arial" w:cs="Arial"/>
        </w:rPr>
        <w:t>Status: In Progress – Green</w:t>
      </w:r>
    </w:p>
    <w:p w14:paraId="2253CB39" w14:textId="77777777" w:rsidR="00F75CE1" w:rsidRPr="004370C6" w:rsidRDefault="00F75CE1" w:rsidP="006F285F">
      <w:pPr>
        <w:rPr>
          <w:rFonts w:ascii="Arial" w:hAnsi="Arial" w:cs="Arial"/>
        </w:rPr>
      </w:pPr>
      <w:r w:rsidRPr="004370C6">
        <w:rPr>
          <w:rFonts w:ascii="Arial" w:hAnsi="Arial" w:cs="Arial"/>
        </w:rPr>
        <w:t>Completion Percentage: 47%</w:t>
      </w:r>
    </w:p>
    <w:p w14:paraId="03A815C3" w14:textId="77777777" w:rsidR="00F75CE1" w:rsidRPr="004370C6" w:rsidRDefault="00F75CE1" w:rsidP="006F285F">
      <w:pPr>
        <w:rPr>
          <w:rFonts w:ascii="Arial" w:hAnsi="Arial" w:cs="Arial"/>
        </w:rPr>
      </w:pPr>
      <w:r w:rsidRPr="004370C6">
        <w:rPr>
          <w:rFonts w:ascii="Arial" w:hAnsi="Arial" w:cs="Arial"/>
        </w:rPr>
        <w:t>Target Percentage: 50%</w:t>
      </w:r>
    </w:p>
    <w:p w14:paraId="62579B53" w14:textId="77777777" w:rsidR="00F75CE1" w:rsidRPr="004370C6" w:rsidRDefault="00F75CE1" w:rsidP="006F285F">
      <w:pPr>
        <w:rPr>
          <w:rFonts w:ascii="Arial" w:hAnsi="Arial" w:cs="Arial"/>
        </w:rPr>
      </w:pPr>
      <w:r w:rsidRPr="004370C6">
        <w:rPr>
          <w:rFonts w:ascii="Arial" w:hAnsi="Arial" w:cs="Arial"/>
        </w:rPr>
        <w:t xml:space="preserve">Action Progress Comments: Work is underway to refresh Yarra’s Transport Action Plan. Initial internal engagement has been completed, and a revised draft is currently being prepared to ensure the plan reflects community needs and priorities. The revised draft TAP will be subject to community consultation. Following an assessment of community feedback and further liaison with Councillors on any proposed changes, a revised draft TAP for adoption will be presented at a future Council meeting. </w:t>
      </w:r>
    </w:p>
    <w:p w14:paraId="55EEB5EA" w14:textId="77777777" w:rsidR="00F75CE1" w:rsidRPr="004370C6" w:rsidRDefault="00F75CE1" w:rsidP="006F285F">
      <w:pPr>
        <w:rPr>
          <w:rFonts w:ascii="Arial" w:hAnsi="Arial" w:cs="Arial"/>
        </w:rPr>
      </w:pPr>
    </w:p>
    <w:p w14:paraId="41C5A807" w14:textId="77777777" w:rsidR="00F75CE1" w:rsidRPr="004370C6" w:rsidRDefault="00F75CE1" w:rsidP="006F285F">
      <w:pPr>
        <w:pStyle w:val="Heading4"/>
        <w:rPr>
          <w:rFonts w:ascii="Arial" w:hAnsi="Arial" w:cs="Arial"/>
          <w:color w:val="auto"/>
        </w:rPr>
      </w:pPr>
      <w:bookmarkStart w:id="107" w:name="_Toc224732236"/>
      <w:r w:rsidRPr="004370C6">
        <w:rPr>
          <w:rFonts w:ascii="Arial" w:hAnsi="Arial" w:cs="Arial"/>
          <w:color w:val="auto"/>
        </w:rPr>
        <w:t>Action Title: 2.2.1.1 Strategic Planning Agility: Implementing the State Government’s housing target and activity centre program</w:t>
      </w:r>
      <w:bookmarkEnd w:id="107"/>
      <w:r w:rsidRPr="004370C6">
        <w:rPr>
          <w:rFonts w:ascii="Arial" w:hAnsi="Arial" w:cs="Arial"/>
          <w:color w:val="auto"/>
        </w:rPr>
        <w:t xml:space="preserve"> </w:t>
      </w:r>
    </w:p>
    <w:p w14:paraId="56CBDC19" w14:textId="77777777" w:rsidR="00F75CE1" w:rsidRPr="004370C6" w:rsidRDefault="00F75CE1" w:rsidP="006F285F">
      <w:pPr>
        <w:rPr>
          <w:rFonts w:ascii="Arial" w:hAnsi="Arial" w:cs="Arial"/>
        </w:rPr>
      </w:pPr>
      <w:r w:rsidRPr="004370C6">
        <w:rPr>
          <w:rFonts w:ascii="Arial" w:hAnsi="Arial" w:cs="Arial"/>
        </w:rPr>
        <w:t>Status: In Progress – Red</w:t>
      </w:r>
    </w:p>
    <w:p w14:paraId="65C796D4" w14:textId="77777777" w:rsidR="00F75CE1" w:rsidRPr="004370C6" w:rsidRDefault="00F75CE1" w:rsidP="006F285F">
      <w:pPr>
        <w:rPr>
          <w:rFonts w:ascii="Arial" w:hAnsi="Arial" w:cs="Arial"/>
        </w:rPr>
      </w:pPr>
      <w:r w:rsidRPr="004370C6">
        <w:rPr>
          <w:rFonts w:ascii="Arial" w:hAnsi="Arial" w:cs="Arial"/>
        </w:rPr>
        <w:t>Completion Percentage: 37%</w:t>
      </w:r>
    </w:p>
    <w:p w14:paraId="34F22480" w14:textId="77777777" w:rsidR="00F75CE1" w:rsidRPr="004370C6" w:rsidRDefault="00F75CE1" w:rsidP="006F285F">
      <w:pPr>
        <w:rPr>
          <w:rFonts w:ascii="Arial" w:hAnsi="Arial" w:cs="Arial"/>
        </w:rPr>
      </w:pPr>
      <w:r w:rsidRPr="004370C6">
        <w:rPr>
          <w:rFonts w:ascii="Arial" w:hAnsi="Arial" w:cs="Arial"/>
        </w:rPr>
        <w:t>Target Percentage: 50%</w:t>
      </w:r>
    </w:p>
    <w:p w14:paraId="486F020A" w14:textId="77777777" w:rsidR="00F75CE1" w:rsidRPr="004370C6" w:rsidRDefault="00F75CE1" w:rsidP="006F285F">
      <w:pPr>
        <w:rPr>
          <w:rFonts w:ascii="Arial" w:hAnsi="Arial" w:cs="Arial"/>
        </w:rPr>
      </w:pPr>
      <w:r w:rsidRPr="004370C6">
        <w:rPr>
          <w:rFonts w:ascii="Arial" w:hAnsi="Arial" w:cs="Arial"/>
        </w:rPr>
        <w:t xml:space="preserve">Action Progress Comments: Council officers have continuously liaised with State Government and advocated for clarity and decisions so that the scope and timing of planning for strategic redevelopment sites can commence. The State Government has not made progress. At the time of writing this, the State had not released the housing capacity model to inform the housing target gap in Yarra. </w:t>
      </w:r>
    </w:p>
    <w:p w14:paraId="65AE14AB" w14:textId="77777777" w:rsidR="00F75CE1" w:rsidRPr="004370C6" w:rsidRDefault="00F75CE1" w:rsidP="006F285F">
      <w:pPr>
        <w:pStyle w:val="Heading4"/>
        <w:rPr>
          <w:rFonts w:ascii="Arial" w:hAnsi="Arial" w:cs="Arial"/>
          <w:color w:val="auto"/>
        </w:rPr>
      </w:pPr>
      <w:bookmarkStart w:id="108" w:name="_Toc224732237"/>
      <w:r w:rsidRPr="004370C6">
        <w:rPr>
          <w:rFonts w:ascii="Arial" w:hAnsi="Arial" w:cs="Arial"/>
          <w:color w:val="auto"/>
        </w:rPr>
        <w:t>Action Title: 2.2.4.1 Reactivate the Collingwood Town Hall precinct housing proposal</w:t>
      </w:r>
      <w:bookmarkEnd w:id="108"/>
      <w:r w:rsidRPr="004370C6">
        <w:rPr>
          <w:rFonts w:ascii="Arial" w:hAnsi="Arial" w:cs="Arial"/>
          <w:color w:val="auto"/>
        </w:rPr>
        <w:t xml:space="preserve"> </w:t>
      </w:r>
    </w:p>
    <w:p w14:paraId="625BD88F" w14:textId="77777777" w:rsidR="00F75CE1" w:rsidRPr="004370C6" w:rsidRDefault="00F75CE1" w:rsidP="006F285F">
      <w:pPr>
        <w:rPr>
          <w:rFonts w:ascii="Arial" w:hAnsi="Arial" w:cs="Arial"/>
        </w:rPr>
      </w:pPr>
      <w:r w:rsidRPr="004370C6">
        <w:rPr>
          <w:rFonts w:ascii="Arial" w:hAnsi="Arial" w:cs="Arial"/>
        </w:rPr>
        <w:t>Status: In Progress – Green</w:t>
      </w:r>
    </w:p>
    <w:p w14:paraId="788FCA20" w14:textId="77777777" w:rsidR="00F75CE1" w:rsidRPr="004370C6" w:rsidRDefault="00F75CE1" w:rsidP="006F285F">
      <w:pPr>
        <w:rPr>
          <w:rFonts w:ascii="Arial" w:hAnsi="Arial" w:cs="Arial"/>
        </w:rPr>
      </w:pPr>
      <w:r w:rsidRPr="004370C6">
        <w:rPr>
          <w:rFonts w:ascii="Arial" w:hAnsi="Arial" w:cs="Arial"/>
        </w:rPr>
        <w:t>Completion Percentage: 60%</w:t>
      </w:r>
    </w:p>
    <w:p w14:paraId="3F4A2835" w14:textId="77777777" w:rsidR="00F75CE1" w:rsidRPr="004370C6" w:rsidRDefault="00F75CE1" w:rsidP="006F285F">
      <w:pPr>
        <w:rPr>
          <w:rFonts w:ascii="Arial" w:hAnsi="Arial" w:cs="Arial"/>
        </w:rPr>
      </w:pPr>
      <w:r w:rsidRPr="004370C6">
        <w:rPr>
          <w:rFonts w:ascii="Arial" w:hAnsi="Arial" w:cs="Arial"/>
        </w:rPr>
        <w:t>Target Percentage: 50%</w:t>
      </w:r>
    </w:p>
    <w:p w14:paraId="1AF55964" w14:textId="77777777" w:rsidR="00F75CE1" w:rsidRPr="004370C6" w:rsidRDefault="00F75CE1" w:rsidP="006F285F">
      <w:pPr>
        <w:rPr>
          <w:rFonts w:ascii="Arial" w:hAnsi="Arial" w:cs="Arial"/>
        </w:rPr>
      </w:pPr>
      <w:r w:rsidRPr="004370C6">
        <w:rPr>
          <w:rFonts w:ascii="Arial" w:hAnsi="Arial" w:cs="Arial"/>
        </w:rPr>
        <w:t>Action Progress Comments: Planning for the future of the Collingwood Town Hall precinct is progressing well. Community consultation is underway, and a consultant is being appointed to support the development of an Expressions of Interest process. At the same time, early market testing with community housing organisations and developers is taking place to ensure the project is viable and delivers strong benefits for the community.</w:t>
      </w:r>
    </w:p>
    <w:p w14:paraId="51730687" w14:textId="77777777" w:rsidR="00F75CE1" w:rsidRPr="004370C6" w:rsidRDefault="00F75CE1" w:rsidP="006F285F">
      <w:pPr>
        <w:pStyle w:val="Heading4"/>
        <w:rPr>
          <w:rFonts w:ascii="Arial" w:hAnsi="Arial" w:cs="Arial"/>
          <w:color w:val="auto"/>
        </w:rPr>
      </w:pPr>
      <w:bookmarkStart w:id="109" w:name="_Toc224732238"/>
      <w:r w:rsidRPr="004370C6">
        <w:rPr>
          <w:rFonts w:ascii="Arial" w:hAnsi="Arial" w:cs="Arial"/>
          <w:color w:val="auto"/>
        </w:rPr>
        <w:lastRenderedPageBreak/>
        <w:t>Action Title: 2.3.3.1 Finalise the Community Infrastructure Plan</w:t>
      </w:r>
      <w:bookmarkEnd w:id="109"/>
    </w:p>
    <w:p w14:paraId="44CE4189" w14:textId="77777777" w:rsidR="00F75CE1" w:rsidRPr="004370C6" w:rsidRDefault="00F75CE1" w:rsidP="006F285F">
      <w:pPr>
        <w:rPr>
          <w:rFonts w:ascii="Arial" w:hAnsi="Arial" w:cs="Arial"/>
        </w:rPr>
      </w:pPr>
      <w:r w:rsidRPr="004370C6">
        <w:rPr>
          <w:rFonts w:ascii="Arial" w:hAnsi="Arial" w:cs="Arial"/>
        </w:rPr>
        <w:t>Status: In Progress – Green</w:t>
      </w:r>
    </w:p>
    <w:p w14:paraId="37B4EC1A" w14:textId="77777777" w:rsidR="00F75CE1" w:rsidRPr="004370C6" w:rsidRDefault="00F75CE1" w:rsidP="006F285F">
      <w:pPr>
        <w:rPr>
          <w:rFonts w:ascii="Arial" w:hAnsi="Arial" w:cs="Arial"/>
        </w:rPr>
      </w:pPr>
      <w:r w:rsidRPr="004370C6">
        <w:rPr>
          <w:rFonts w:ascii="Arial" w:hAnsi="Arial" w:cs="Arial"/>
        </w:rPr>
        <w:t>Completion Percentage: 50%</w:t>
      </w:r>
    </w:p>
    <w:p w14:paraId="32D2784A" w14:textId="77777777" w:rsidR="00F75CE1" w:rsidRPr="004370C6" w:rsidRDefault="00F75CE1" w:rsidP="006F285F">
      <w:pPr>
        <w:rPr>
          <w:rFonts w:ascii="Arial" w:hAnsi="Arial" w:cs="Arial"/>
        </w:rPr>
      </w:pPr>
      <w:r w:rsidRPr="004370C6">
        <w:rPr>
          <w:rFonts w:ascii="Arial" w:hAnsi="Arial" w:cs="Arial"/>
        </w:rPr>
        <w:t>Target Percentage: 50%</w:t>
      </w:r>
    </w:p>
    <w:p w14:paraId="4F5D765D" w14:textId="77777777" w:rsidR="00F75CE1" w:rsidRPr="004370C6" w:rsidRDefault="00F75CE1" w:rsidP="006F285F">
      <w:pPr>
        <w:rPr>
          <w:rFonts w:ascii="Arial" w:hAnsi="Arial" w:cs="Arial"/>
        </w:rPr>
      </w:pPr>
      <w:r w:rsidRPr="004370C6">
        <w:rPr>
          <w:rFonts w:ascii="Arial" w:hAnsi="Arial" w:cs="Arial"/>
        </w:rPr>
        <w:t>Action Progress Comments: Council adopted the Community Infrastructure Plan at its meeting on 14 October 2025. Capital projects outlined in the plan are currently under review as part of the 2026–27 budget development process and integration into the long-term financial plan.</w:t>
      </w:r>
    </w:p>
    <w:p w14:paraId="4F92B290" w14:textId="77777777" w:rsidR="00F75CE1" w:rsidRPr="004370C6" w:rsidRDefault="00F75CE1" w:rsidP="006F285F">
      <w:pPr>
        <w:rPr>
          <w:rFonts w:ascii="Arial" w:hAnsi="Arial" w:cs="Arial"/>
        </w:rPr>
      </w:pPr>
      <w:r w:rsidRPr="004370C6">
        <w:rPr>
          <w:rFonts w:ascii="Arial" w:hAnsi="Arial" w:cs="Arial"/>
        </w:rPr>
        <w:t>Council officers have initiated preliminary scoping for the review of the Development Contributions Plan (DCP) and are closely monitoring potential impacts associated with the State Government’s Train and Tram Zone Activity Centre Program.</w:t>
      </w:r>
    </w:p>
    <w:p w14:paraId="49D923EA" w14:textId="77777777" w:rsidR="00F75CE1" w:rsidRPr="004370C6" w:rsidRDefault="00F75CE1" w:rsidP="006F285F">
      <w:pPr>
        <w:rPr>
          <w:rFonts w:ascii="Arial" w:hAnsi="Arial" w:cs="Arial"/>
        </w:rPr>
      </w:pPr>
    </w:p>
    <w:p w14:paraId="2A43AD8A" w14:textId="77777777" w:rsidR="00F75CE1" w:rsidRPr="004370C6" w:rsidRDefault="00F75CE1" w:rsidP="006F285F">
      <w:pPr>
        <w:rPr>
          <w:rFonts w:ascii="Arial" w:hAnsi="Arial" w:cs="Arial"/>
        </w:rPr>
      </w:pPr>
    </w:p>
    <w:p w14:paraId="01653F55" w14:textId="77777777" w:rsidR="00F75CE1" w:rsidRPr="004370C6" w:rsidRDefault="00F75CE1" w:rsidP="006F285F">
      <w:pPr>
        <w:pStyle w:val="Heading4"/>
        <w:rPr>
          <w:rFonts w:ascii="Arial" w:hAnsi="Arial" w:cs="Arial"/>
          <w:color w:val="auto"/>
        </w:rPr>
      </w:pPr>
      <w:bookmarkStart w:id="110" w:name="_Toc224732239"/>
      <w:r w:rsidRPr="004370C6">
        <w:rPr>
          <w:rFonts w:ascii="Arial" w:hAnsi="Arial" w:cs="Arial"/>
          <w:color w:val="auto"/>
        </w:rPr>
        <w:t>Action Title: 2.3.4.1 Strategic rollout of electric vehicle charging stations across Yarra</w:t>
      </w:r>
      <w:bookmarkEnd w:id="110"/>
    </w:p>
    <w:p w14:paraId="243B5C33" w14:textId="77777777" w:rsidR="00F75CE1" w:rsidRPr="004370C6" w:rsidRDefault="00F75CE1" w:rsidP="006F285F">
      <w:pPr>
        <w:rPr>
          <w:rFonts w:ascii="Arial" w:hAnsi="Arial" w:cs="Arial"/>
        </w:rPr>
      </w:pPr>
      <w:r w:rsidRPr="004370C6">
        <w:rPr>
          <w:rFonts w:ascii="Arial" w:hAnsi="Arial" w:cs="Arial"/>
        </w:rPr>
        <w:t>Status: In Progress – Green</w:t>
      </w:r>
    </w:p>
    <w:p w14:paraId="144CCC79" w14:textId="77777777" w:rsidR="00F75CE1" w:rsidRPr="004370C6" w:rsidRDefault="00F75CE1" w:rsidP="006F285F">
      <w:pPr>
        <w:rPr>
          <w:rFonts w:ascii="Arial" w:hAnsi="Arial" w:cs="Arial"/>
        </w:rPr>
      </w:pPr>
      <w:r w:rsidRPr="004370C6">
        <w:rPr>
          <w:rFonts w:ascii="Arial" w:hAnsi="Arial" w:cs="Arial"/>
        </w:rPr>
        <w:t>Completion Percentage: 50%</w:t>
      </w:r>
    </w:p>
    <w:p w14:paraId="614D08EC" w14:textId="77777777" w:rsidR="00F75CE1" w:rsidRPr="004370C6" w:rsidRDefault="00F75CE1" w:rsidP="006F285F">
      <w:pPr>
        <w:rPr>
          <w:rFonts w:ascii="Arial" w:hAnsi="Arial" w:cs="Arial"/>
        </w:rPr>
      </w:pPr>
      <w:r w:rsidRPr="004370C6">
        <w:rPr>
          <w:rFonts w:ascii="Arial" w:hAnsi="Arial" w:cs="Arial"/>
        </w:rPr>
        <w:t>Target Percentage: 50%</w:t>
      </w:r>
    </w:p>
    <w:p w14:paraId="635C2873" w14:textId="77777777" w:rsidR="00F75CE1" w:rsidRPr="004370C6" w:rsidRDefault="00F75CE1" w:rsidP="006F285F">
      <w:pPr>
        <w:rPr>
          <w:rFonts w:ascii="Arial" w:hAnsi="Arial" w:cs="Arial"/>
        </w:rPr>
      </w:pPr>
      <w:r w:rsidRPr="004370C6">
        <w:rPr>
          <w:rFonts w:ascii="Arial" w:hAnsi="Arial" w:cs="Arial"/>
        </w:rPr>
        <w:t>Action Progress Comments: Finalisation of Electric Vehicle (EV) Charging Strategy Report: Council engaged the Institute of Sensible Transport to develop an Implementation Plan for EV Charging in Yarra. The plan includes strategic mapping of areas with high charging demand and an assessment of Council’s future role in supporting EV charging infrastructure.</w:t>
      </w:r>
    </w:p>
    <w:p w14:paraId="6188BCB6" w14:textId="77777777" w:rsidR="00F75CE1" w:rsidRPr="004370C6" w:rsidRDefault="00F75CE1" w:rsidP="006F285F">
      <w:pPr>
        <w:rPr>
          <w:rFonts w:ascii="Arial" w:hAnsi="Arial" w:cs="Arial"/>
        </w:rPr>
      </w:pPr>
      <w:r w:rsidRPr="004370C6">
        <w:rPr>
          <w:rFonts w:ascii="Arial" w:hAnsi="Arial" w:cs="Arial"/>
        </w:rPr>
        <w:t>Council has partnered with local businesses to promote and support the use of customer car parking spaces for EV charging. To assist businesses, Council has developed an EV Charging for Business Factsheet and hosted a webinar to encourage uptake.</w:t>
      </w:r>
    </w:p>
    <w:p w14:paraId="55BC7266" w14:textId="77777777" w:rsidR="00F75CE1" w:rsidRPr="004370C6" w:rsidRDefault="00F75CE1" w:rsidP="006F285F">
      <w:pPr>
        <w:pStyle w:val="Heading4"/>
        <w:rPr>
          <w:rFonts w:ascii="Arial" w:hAnsi="Arial" w:cs="Arial"/>
          <w:color w:val="auto"/>
        </w:rPr>
      </w:pPr>
      <w:bookmarkStart w:id="111" w:name="_Toc224732240"/>
      <w:r w:rsidRPr="004370C6">
        <w:rPr>
          <w:rFonts w:ascii="Arial" w:hAnsi="Arial" w:cs="Arial"/>
          <w:color w:val="auto"/>
        </w:rPr>
        <w:t>Action Title: 2.4.1.1 Continuation of the Brunswick Street Oval Project</w:t>
      </w:r>
      <w:bookmarkEnd w:id="111"/>
    </w:p>
    <w:p w14:paraId="397D9C8E" w14:textId="77777777" w:rsidR="00F75CE1" w:rsidRPr="004370C6" w:rsidRDefault="00F75CE1" w:rsidP="006F285F">
      <w:pPr>
        <w:rPr>
          <w:rFonts w:ascii="Arial" w:hAnsi="Arial" w:cs="Arial"/>
        </w:rPr>
      </w:pPr>
      <w:r w:rsidRPr="004370C6">
        <w:rPr>
          <w:rFonts w:ascii="Arial" w:hAnsi="Arial" w:cs="Arial"/>
        </w:rPr>
        <w:t>Status: In Progress – Green</w:t>
      </w:r>
    </w:p>
    <w:p w14:paraId="22EBC3D6" w14:textId="77777777" w:rsidR="00F75CE1" w:rsidRPr="004370C6" w:rsidRDefault="00F75CE1" w:rsidP="006F285F">
      <w:pPr>
        <w:rPr>
          <w:rFonts w:ascii="Arial" w:hAnsi="Arial" w:cs="Arial"/>
        </w:rPr>
      </w:pPr>
      <w:r w:rsidRPr="004370C6">
        <w:rPr>
          <w:rFonts w:ascii="Arial" w:hAnsi="Arial" w:cs="Arial"/>
        </w:rPr>
        <w:t>Completion Percentage: 50%</w:t>
      </w:r>
    </w:p>
    <w:p w14:paraId="49C4B0D3" w14:textId="77777777" w:rsidR="00F75CE1" w:rsidRPr="004370C6" w:rsidRDefault="00F75CE1" w:rsidP="006F285F">
      <w:pPr>
        <w:rPr>
          <w:rFonts w:ascii="Arial" w:hAnsi="Arial" w:cs="Arial"/>
        </w:rPr>
      </w:pPr>
      <w:r w:rsidRPr="004370C6">
        <w:rPr>
          <w:rFonts w:ascii="Arial" w:hAnsi="Arial" w:cs="Arial"/>
        </w:rPr>
        <w:t>Target Percentage: 50%</w:t>
      </w:r>
    </w:p>
    <w:p w14:paraId="19C05E74" w14:textId="77777777" w:rsidR="00F75CE1" w:rsidRPr="004370C6" w:rsidRDefault="00F75CE1" w:rsidP="006F285F">
      <w:pPr>
        <w:rPr>
          <w:rFonts w:ascii="Arial" w:hAnsi="Arial" w:cs="Arial"/>
        </w:rPr>
      </w:pPr>
      <w:r w:rsidRPr="004370C6">
        <w:rPr>
          <w:rFonts w:ascii="Arial" w:hAnsi="Arial" w:cs="Arial"/>
        </w:rPr>
        <w:t xml:space="preserve">Action Progress Comments: Significant progress is being made on the Brunswick Street Oval redevelopment, bringing us closer to the construction phase of this important </w:t>
      </w:r>
      <w:r w:rsidRPr="004370C6">
        <w:rPr>
          <w:rFonts w:ascii="Arial" w:hAnsi="Arial" w:cs="Arial"/>
        </w:rPr>
        <w:lastRenderedPageBreak/>
        <w:t>community project commencing 2026. The upgrade will enhance sporting facilities, preserve heritage features, and improve public spaces for everyone to enjoy. Tendering for modernising and expanding the tennis courts is complete and Council awarded a contract to construct the courts in December 2025, with works, expected to commence on-ground in early months of 2026. The detailed design documentation for the Sports Pavilion is complete, with the tender process anticipated to commence in February 2026, with on-site works expected to begin mid-2026.</w:t>
      </w:r>
    </w:p>
    <w:p w14:paraId="03F44CC7" w14:textId="77777777" w:rsidR="00F75CE1" w:rsidRPr="004370C6" w:rsidRDefault="00F75CE1" w:rsidP="006F285F">
      <w:pPr>
        <w:pStyle w:val="Heading4"/>
        <w:rPr>
          <w:rFonts w:ascii="Arial" w:hAnsi="Arial" w:cs="Arial"/>
          <w:color w:val="auto"/>
        </w:rPr>
      </w:pPr>
      <w:bookmarkStart w:id="112" w:name="_Toc224732241"/>
      <w:r w:rsidRPr="004370C6">
        <w:rPr>
          <w:rFonts w:ascii="Arial" w:hAnsi="Arial" w:cs="Arial"/>
          <w:color w:val="auto"/>
        </w:rPr>
        <w:t>Action Title: 2.4.1.1 New Open Space</w:t>
      </w:r>
      <w:bookmarkEnd w:id="112"/>
      <w:r w:rsidRPr="004370C6">
        <w:rPr>
          <w:rFonts w:ascii="Arial" w:hAnsi="Arial" w:cs="Arial"/>
          <w:color w:val="auto"/>
        </w:rPr>
        <w:t xml:space="preserve"> </w:t>
      </w:r>
    </w:p>
    <w:p w14:paraId="4E323074" w14:textId="77777777" w:rsidR="00F75CE1" w:rsidRPr="004370C6" w:rsidRDefault="00F75CE1" w:rsidP="006F285F">
      <w:pPr>
        <w:rPr>
          <w:rFonts w:ascii="Arial" w:hAnsi="Arial" w:cs="Arial"/>
        </w:rPr>
      </w:pPr>
      <w:r w:rsidRPr="004370C6">
        <w:rPr>
          <w:rFonts w:ascii="Arial" w:hAnsi="Arial" w:cs="Arial"/>
        </w:rPr>
        <w:t>Status: In Progress – Green</w:t>
      </w:r>
    </w:p>
    <w:p w14:paraId="7679BAE3" w14:textId="77777777" w:rsidR="00F75CE1" w:rsidRPr="004370C6" w:rsidRDefault="00F75CE1" w:rsidP="006F285F">
      <w:pPr>
        <w:rPr>
          <w:rFonts w:ascii="Arial" w:hAnsi="Arial" w:cs="Arial"/>
        </w:rPr>
      </w:pPr>
      <w:r w:rsidRPr="004370C6">
        <w:rPr>
          <w:rFonts w:ascii="Arial" w:hAnsi="Arial" w:cs="Arial"/>
        </w:rPr>
        <w:t>Completion Percentage: 62%</w:t>
      </w:r>
    </w:p>
    <w:p w14:paraId="3703941F" w14:textId="77777777" w:rsidR="00F75CE1" w:rsidRPr="004370C6" w:rsidRDefault="00F75CE1" w:rsidP="006F285F">
      <w:pPr>
        <w:rPr>
          <w:rFonts w:ascii="Arial" w:hAnsi="Arial" w:cs="Arial"/>
        </w:rPr>
      </w:pPr>
      <w:r w:rsidRPr="004370C6">
        <w:rPr>
          <w:rFonts w:ascii="Arial" w:hAnsi="Arial" w:cs="Arial"/>
        </w:rPr>
        <w:t>Target Percentage: 50%</w:t>
      </w:r>
    </w:p>
    <w:p w14:paraId="1F563444" w14:textId="77777777" w:rsidR="00F75CE1" w:rsidRPr="004370C6" w:rsidRDefault="00F75CE1" w:rsidP="006F285F">
      <w:pPr>
        <w:rPr>
          <w:rFonts w:ascii="Arial" w:hAnsi="Arial" w:cs="Arial"/>
        </w:rPr>
      </w:pPr>
      <w:r w:rsidRPr="004370C6">
        <w:rPr>
          <w:rFonts w:ascii="Arial" w:hAnsi="Arial" w:cs="Arial"/>
        </w:rPr>
        <w:t>Action Progress Comments:</w:t>
      </w:r>
    </w:p>
    <w:p w14:paraId="491FE7B9" w14:textId="77777777" w:rsidR="00F75CE1" w:rsidRPr="004370C6" w:rsidRDefault="00F75CE1" w:rsidP="006F285F">
      <w:pPr>
        <w:rPr>
          <w:rFonts w:ascii="Arial" w:hAnsi="Arial" w:cs="Arial"/>
        </w:rPr>
      </w:pPr>
      <w:r w:rsidRPr="004370C6">
        <w:rPr>
          <w:rFonts w:ascii="Arial" w:hAnsi="Arial" w:cs="Arial"/>
        </w:rPr>
        <w:t>Mater Street Collingwood:</w:t>
      </w:r>
    </w:p>
    <w:p w14:paraId="680987EF" w14:textId="77777777" w:rsidR="00F75CE1" w:rsidRPr="004370C6" w:rsidRDefault="00F75CE1" w:rsidP="006F285F">
      <w:pPr>
        <w:rPr>
          <w:rFonts w:ascii="Arial" w:hAnsi="Arial" w:cs="Arial"/>
        </w:rPr>
      </w:pPr>
      <w:r w:rsidRPr="004370C6">
        <w:rPr>
          <w:rFonts w:ascii="Arial" w:hAnsi="Arial" w:cs="Arial"/>
        </w:rPr>
        <w:t>The contract of sale has been executed, and officers are progressing with the subdivision process. Upon finalisation of the subdivision plan, settlement will occur and the land will be transferred to Council. Concurrently, officers are progressing the road discontinuance consultation process to determine whether this open space can be extended into the current road way.</w:t>
      </w:r>
    </w:p>
    <w:p w14:paraId="50B0D2F6" w14:textId="77777777" w:rsidR="00F75CE1" w:rsidRPr="004370C6" w:rsidRDefault="00F75CE1" w:rsidP="006F285F">
      <w:pPr>
        <w:rPr>
          <w:rFonts w:ascii="Arial" w:hAnsi="Arial" w:cs="Arial"/>
        </w:rPr>
      </w:pPr>
      <w:r w:rsidRPr="004370C6">
        <w:rPr>
          <w:rFonts w:ascii="Arial" w:hAnsi="Arial" w:cs="Arial"/>
        </w:rPr>
        <w:t>Wangaratta Street Richmond:</w:t>
      </w:r>
    </w:p>
    <w:p w14:paraId="2A99F9DD" w14:textId="77777777" w:rsidR="00F75CE1" w:rsidRPr="004370C6" w:rsidRDefault="00F75CE1" w:rsidP="006F285F">
      <w:pPr>
        <w:rPr>
          <w:rFonts w:ascii="Arial" w:hAnsi="Arial" w:cs="Arial"/>
        </w:rPr>
      </w:pPr>
      <w:r w:rsidRPr="004370C6">
        <w:rPr>
          <w:rFonts w:ascii="Arial" w:hAnsi="Arial" w:cs="Arial"/>
        </w:rPr>
        <w:t>The contract of sale is nearing completion, pending final comments from the vendor (VicTrack). Once executed, the subdivision process will commence followed by any road discontinuance process that might be necessary. The Budd St Collingwood Road discontinuance process is also underway with community consultation to shortly begin. This may create another parcel of open space for locals in Collingwood.</w:t>
      </w:r>
    </w:p>
    <w:p w14:paraId="70136C99" w14:textId="77777777" w:rsidR="00F75CE1" w:rsidRPr="004370C6" w:rsidRDefault="00F75CE1" w:rsidP="006F285F">
      <w:pPr>
        <w:pStyle w:val="Heading4"/>
        <w:rPr>
          <w:rFonts w:ascii="Arial" w:hAnsi="Arial" w:cs="Arial"/>
          <w:color w:val="auto"/>
        </w:rPr>
      </w:pPr>
      <w:bookmarkStart w:id="113" w:name="_Toc224732242"/>
      <w:r w:rsidRPr="004370C6">
        <w:rPr>
          <w:rFonts w:ascii="Arial" w:hAnsi="Arial" w:cs="Arial"/>
          <w:color w:val="auto"/>
        </w:rPr>
        <w:t>Action Title: 2.4.1.2 Deliver Capital Works Projects</w:t>
      </w:r>
      <w:bookmarkEnd w:id="113"/>
    </w:p>
    <w:p w14:paraId="343A1734" w14:textId="77777777" w:rsidR="00F75CE1" w:rsidRPr="004370C6" w:rsidRDefault="00F75CE1" w:rsidP="006F285F">
      <w:pPr>
        <w:rPr>
          <w:rFonts w:ascii="Arial" w:hAnsi="Arial" w:cs="Arial"/>
        </w:rPr>
      </w:pPr>
      <w:r w:rsidRPr="004370C6">
        <w:rPr>
          <w:rFonts w:ascii="Arial" w:hAnsi="Arial" w:cs="Arial"/>
        </w:rPr>
        <w:t>Status: In Progress – Green</w:t>
      </w:r>
    </w:p>
    <w:p w14:paraId="3398F5D7" w14:textId="77777777" w:rsidR="00F75CE1" w:rsidRPr="004370C6" w:rsidRDefault="00F75CE1" w:rsidP="006F285F">
      <w:pPr>
        <w:rPr>
          <w:rFonts w:ascii="Arial" w:hAnsi="Arial" w:cs="Arial"/>
        </w:rPr>
      </w:pPr>
      <w:r w:rsidRPr="004370C6">
        <w:rPr>
          <w:rFonts w:ascii="Arial" w:hAnsi="Arial" w:cs="Arial"/>
        </w:rPr>
        <w:t>Completion Percentage: 50%</w:t>
      </w:r>
    </w:p>
    <w:p w14:paraId="0E1C0BAE" w14:textId="77777777" w:rsidR="00F75CE1" w:rsidRPr="004370C6" w:rsidRDefault="00F75CE1" w:rsidP="006F285F">
      <w:pPr>
        <w:rPr>
          <w:rFonts w:ascii="Arial" w:hAnsi="Arial" w:cs="Arial"/>
        </w:rPr>
      </w:pPr>
      <w:r w:rsidRPr="004370C6">
        <w:rPr>
          <w:rFonts w:ascii="Arial" w:hAnsi="Arial" w:cs="Arial"/>
        </w:rPr>
        <w:t>Target Percentage: 50%</w:t>
      </w:r>
    </w:p>
    <w:p w14:paraId="64F8CC21" w14:textId="77777777" w:rsidR="00F75CE1" w:rsidRPr="004370C6" w:rsidRDefault="00F75CE1" w:rsidP="006F285F">
      <w:pPr>
        <w:rPr>
          <w:rFonts w:ascii="Arial" w:hAnsi="Arial" w:cs="Arial"/>
        </w:rPr>
      </w:pPr>
      <w:r w:rsidRPr="004370C6">
        <w:rPr>
          <w:rFonts w:ascii="Arial" w:hAnsi="Arial" w:cs="Arial"/>
        </w:rPr>
        <w:t xml:space="preserve">Action Progress Comments: The annual capital works program remains on track, with projects at various stages of delivery. These works aim to improve public infrastructure and community facilities across the municipality. Q2 has seen community consultation on some significant initiatives including Roads to Parks projects and Cycling infrastructure. The smaller but key projects to keep our city running including road, stormwater and footpath renewals are continuing well across the municipality. In the </w:t>
      </w:r>
      <w:r w:rsidRPr="004370C6">
        <w:rPr>
          <w:rFonts w:ascii="Arial" w:hAnsi="Arial" w:cs="Arial"/>
        </w:rPr>
        <w:lastRenderedPageBreak/>
        <w:t>second half of the year some key open space upgrades will be constructed including Charles Evans Reserve, Fairfield Park and Golden Reserve after going through procurement processes in Q2.</w:t>
      </w:r>
    </w:p>
    <w:p w14:paraId="33146E18" w14:textId="77777777" w:rsidR="004370C6" w:rsidRPr="004370C6" w:rsidRDefault="004370C6">
      <w:pPr>
        <w:rPr>
          <w:rFonts w:ascii="Arial" w:eastAsiaTheme="majorEastAsia" w:hAnsi="Arial" w:cs="Arial"/>
          <w:sz w:val="28"/>
          <w:szCs w:val="28"/>
        </w:rPr>
      </w:pPr>
      <w:r w:rsidRPr="004370C6">
        <w:rPr>
          <w:rFonts w:ascii="Arial" w:hAnsi="Arial" w:cs="Arial"/>
        </w:rPr>
        <w:br w:type="page"/>
      </w:r>
    </w:p>
    <w:p w14:paraId="37BBF77D" w14:textId="7705C2F0" w:rsidR="00F75CE1" w:rsidRPr="004370C6" w:rsidRDefault="00F75CE1" w:rsidP="004370C6">
      <w:pPr>
        <w:pStyle w:val="Heading3"/>
        <w:rPr>
          <w:rFonts w:ascii="Arial" w:hAnsi="Arial" w:cs="Arial"/>
          <w:color w:val="auto"/>
        </w:rPr>
      </w:pPr>
      <w:bookmarkStart w:id="114" w:name="_Toc224732243"/>
      <w:r w:rsidRPr="004370C6">
        <w:rPr>
          <w:rFonts w:ascii="Arial" w:hAnsi="Arial" w:cs="Arial"/>
          <w:color w:val="auto"/>
        </w:rPr>
        <w:lastRenderedPageBreak/>
        <w:t>Working and Playing in the City</w:t>
      </w:r>
      <w:bookmarkEnd w:id="114"/>
      <w:r w:rsidRPr="004370C6">
        <w:rPr>
          <w:rFonts w:ascii="Arial" w:hAnsi="Arial" w:cs="Arial"/>
          <w:color w:val="auto"/>
        </w:rPr>
        <w:t xml:space="preserve"> </w:t>
      </w:r>
    </w:p>
    <w:p w14:paraId="411246A9" w14:textId="77777777" w:rsidR="00F75CE1" w:rsidRPr="004370C6" w:rsidRDefault="00F75CE1" w:rsidP="006F285F">
      <w:pPr>
        <w:pStyle w:val="Heading4"/>
        <w:rPr>
          <w:rFonts w:ascii="Arial" w:hAnsi="Arial" w:cs="Arial"/>
          <w:color w:val="auto"/>
        </w:rPr>
      </w:pPr>
      <w:bookmarkStart w:id="115" w:name="_Toc224732244"/>
      <w:r w:rsidRPr="004370C6">
        <w:rPr>
          <w:rFonts w:ascii="Arial" w:hAnsi="Arial" w:cs="Arial"/>
          <w:color w:val="auto"/>
        </w:rPr>
        <w:t>Action Title: 3.1.2.1 Activate our local economy by working with local trader group and associations</w:t>
      </w:r>
      <w:bookmarkEnd w:id="115"/>
    </w:p>
    <w:p w14:paraId="752D8979" w14:textId="77777777" w:rsidR="00F75CE1" w:rsidRPr="004370C6" w:rsidRDefault="00F75CE1" w:rsidP="006F285F">
      <w:pPr>
        <w:rPr>
          <w:rFonts w:ascii="Arial" w:hAnsi="Arial" w:cs="Arial"/>
        </w:rPr>
      </w:pPr>
      <w:r w:rsidRPr="004370C6">
        <w:rPr>
          <w:rFonts w:ascii="Arial" w:hAnsi="Arial" w:cs="Arial"/>
        </w:rPr>
        <w:t>Status: In Progress – Green</w:t>
      </w:r>
    </w:p>
    <w:p w14:paraId="6EFFDD1E" w14:textId="77777777" w:rsidR="00F75CE1" w:rsidRPr="004370C6" w:rsidRDefault="00F75CE1" w:rsidP="006F285F">
      <w:pPr>
        <w:rPr>
          <w:rFonts w:ascii="Arial" w:hAnsi="Arial" w:cs="Arial"/>
        </w:rPr>
      </w:pPr>
      <w:r w:rsidRPr="004370C6">
        <w:rPr>
          <w:rFonts w:ascii="Arial" w:hAnsi="Arial" w:cs="Arial"/>
        </w:rPr>
        <w:t>Completion Percentage: 60%</w:t>
      </w:r>
    </w:p>
    <w:p w14:paraId="68D2B2F8" w14:textId="77777777" w:rsidR="00F75CE1" w:rsidRPr="004370C6" w:rsidRDefault="00F75CE1" w:rsidP="006F285F">
      <w:pPr>
        <w:rPr>
          <w:rFonts w:ascii="Arial" w:hAnsi="Arial" w:cs="Arial"/>
        </w:rPr>
      </w:pPr>
      <w:r w:rsidRPr="004370C6">
        <w:rPr>
          <w:rFonts w:ascii="Arial" w:hAnsi="Arial" w:cs="Arial"/>
        </w:rPr>
        <w:t>Target Percentage: 50%</w:t>
      </w:r>
    </w:p>
    <w:p w14:paraId="7628C3A9" w14:textId="77777777" w:rsidR="00F75CE1" w:rsidRPr="004370C6" w:rsidRDefault="00F75CE1" w:rsidP="006F285F">
      <w:pPr>
        <w:rPr>
          <w:rFonts w:ascii="Arial" w:hAnsi="Arial" w:cs="Arial"/>
        </w:rPr>
      </w:pPr>
      <w:r w:rsidRPr="004370C6">
        <w:rPr>
          <w:rFonts w:ascii="Arial" w:hAnsi="Arial" w:cs="Arial"/>
        </w:rPr>
        <w:t>Action Progress Comments: Council officers have supported a trader-led activation in the Nicholson Street Village for Halloween where 35 traders took part and the event had over 3000 people attending, contributing to a 31% spend growth on prior year.</w:t>
      </w:r>
    </w:p>
    <w:p w14:paraId="14E715FF" w14:textId="77777777" w:rsidR="00F75CE1" w:rsidRPr="004370C6" w:rsidRDefault="00F75CE1" w:rsidP="006F285F">
      <w:pPr>
        <w:rPr>
          <w:rFonts w:ascii="Arial" w:hAnsi="Arial" w:cs="Arial"/>
        </w:rPr>
      </w:pPr>
      <w:r w:rsidRPr="004370C6">
        <w:rPr>
          <w:rFonts w:ascii="Arial" w:hAnsi="Arial" w:cs="Arial"/>
        </w:rPr>
        <w:t>Council officers have completed an audit of vacant properties in the precincts for the one-hour free parking pilot program and an additional precinct as a benchmark whilst also continuing to promote the pilot program with businesses, residents and the wider community.</w:t>
      </w:r>
    </w:p>
    <w:p w14:paraId="004384D3" w14:textId="77777777" w:rsidR="00F75CE1" w:rsidRPr="004370C6" w:rsidRDefault="00F75CE1" w:rsidP="006F285F">
      <w:pPr>
        <w:pStyle w:val="Heading4"/>
        <w:rPr>
          <w:rFonts w:ascii="Arial" w:hAnsi="Arial" w:cs="Arial"/>
          <w:color w:val="auto"/>
        </w:rPr>
      </w:pPr>
      <w:bookmarkStart w:id="116" w:name="_Toc224732245"/>
      <w:r w:rsidRPr="004370C6">
        <w:rPr>
          <w:rFonts w:ascii="Arial" w:hAnsi="Arial" w:cs="Arial"/>
          <w:color w:val="auto"/>
        </w:rPr>
        <w:t>Action Title: 3.2.2.1 Implement planning service review outcomes</w:t>
      </w:r>
      <w:bookmarkEnd w:id="116"/>
    </w:p>
    <w:p w14:paraId="394B3412" w14:textId="77777777" w:rsidR="00F75CE1" w:rsidRPr="004370C6" w:rsidRDefault="00F75CE1" w:rsidP="006F285F">
      <w:pPr>
        <w:rPr>
          <w:rFonts w:ascii="Arial" w:hAnsi="Arial" w:cs="Arial"/>
        </w:rPr>
      </w:pPr>
      <w:r w:rsidRPr="004370C6">
        <w:rPr>
          <w:rFonts w:ascii="Arial" w:hAnsi="Arial" w:cs="Arial"/>
        </w:rPr>
        <w:t>Status: In Progress – Green</w:t>
      </w:r>
    </w:p>
    <w:p w14:paraId="151970D5" w14:textId="77777777" w:rsidR="00F75CE1" w:rsidRPr="004370C6" w:rsidRDefault="00F75CE1" w:rsidP="006F285F">
      <w:pPr>
        <w:rPr>
          <w:rFonts w:ascii="Arial" w:hAnsi="Arial" w:cs="Arial"/>
        </w:rPr>
      </w:pPr>
      <w:r w:rsidRPr="004370C6">
        <w:rPr>
          <w:rFonts w:ascii="Arial" w:hAnsi="Arial" w:cs="Arial"/>
        </w:rPr>
        <w:t>Completion Percentage: 50%</w:t>
      </w:r>
    </w:p>
    <w:p w14:paraId="0C0A5886" w14:textId="77777777" w:rsidR="00F75CE1" w:rsidRPr="004370C6" w:rsidRDefault="00F75CE1" w:rsidP="006F285F">
      <w:pPr>
        <w:rPr>
          <w:rFonts w:ascii="Arial" w:hAnsi="Arial" w:cs="Arial"/>
        </w:rPr>
      </w:pPr>
      <w:r w:rsidRPr="004370C6">
        <w:rPr>
          <w:rFonts w:ascii="Arial" w:hAnsi="Arial" w:cs="Arial"/>
        </w:rPr>
        <w:t>Target Percentage: 50%</w:t>
      </w:r>
    </w:p>
    <w:p w14:paraId="03F2C88D" w14:textId="77777777" w:rsidR="00F75CE1" w:rsidRPr="004370C6" w:rsidRDefault="00F75CE1" w:rsidP="006F285F">
      <w:pPr>
        <w:rPr>
          <w:rFonts w:ascii="Arial" w:hAnsi="Arial" w:cs="Arial"/>
        </w:rPr>
      </w:pPr>
      <w:r w:rsidRPr="004370C6">
        <w:rPr>
          <w:rFonts w:ascii="Arial" w:hAnsi="Arial" w:cs="Arial"/>
        </w:rPr>
        <w:t>Action Progress Comments: Council officers investigated paid pre-application meetings, with new fees proposed for inclusion in the 2026/27 budget to support major pre-application discussions (projects valued above $5 million).</w:t>
      </w:r>
    </w:p>
    <w:p w14:paraId="140481B9" w14:textId="77777777" w:rsidR="00F75CE1" w:rsidRPr="004370C6" w:rsidRDefault="00F75CE1" w:rsidP="006F285F">
      <w:pPr>
        <w:rPr>
          <w:rFonts w:ascii="Arial" w:hAnsi="Arial" w:cs="Arial"/>
        </w:rPr>
      </w:pPr>
      <w:r w:rsidRPr="004370C6">
        <w:rPr>
          <w:rFonts w:ascii="Arial" w:hAnsi="Arial" w:cs="Arial"/>
        </w:rPr>
        <w:t>Council officers have continued to simplify the navigation of the Strategic Planning webpages on the Council's website and increasing access to background documents.</w:t>
      </w:r>
    </w:p>
    <w:p w14:paraId="0BF1480A" w14:textId="77777777" w:rsidR="00F75CE1" w:rsidRPr="004370C6" w:rsidRDefault="00F75CE1" w:rsidP="006F285F">
      <w:pPr>
        <w:pStyle w:val="Heading4"/>
        <w:rPr>
          <w:rFonts w:ascii="Arial" w:hAnsi="Arial" w:cs="Arial"/>
          <w:color w:val="auto"/>
        </w:rPr>
      </w:pPr>
      <w:bookmarkStart w:id="117" w:name="_Toc224732246"/>
      <w:r w:rsidRPr="004370C6">
        <w:rPr>
          <w:rFonts w:ascii="Arial" w:hAnsi="Arial" w:cs="Arial"/>
          <w:color w:val="auto"/>
        </w:rPr>
        <w:t>Action Title: 3.2.3.1 New Economic Development Strategy</w:t>
      </w:r>
      <w:bookmarkEnd w:id="117"/>
    </w:p>
    <w:p w14:paraId="42655317" w14:textId="77777777" w:rsidR="00F75CE1" w:rsidRPr="004370C6" w:rsidRDefault="00F75CE1" w:rsidP="006F285F">
      <w:pPr>
        <w:rPr>
          <w:rFonts w:ascii="Arial" w:hAnsi="Arial" w:cs="Arial"/>
        </w:rPr>
      </w:pPr>
      <w:r w:rsidRPr="004370C6">
        <w:rPr>
          <w:rFonts w:ascii="Arial" w:hAnsi="Arial" w:cs="Arial"/>
        </w:rPr>
        <w:t>Status: In Progress – Green</w:t>
      </w:r>
    </w:p>
    <w:p w14:paraId="443180AF" w14:textId="77777777" w:rsidR="00F75CE1" w:rsidRPr="004370C6" w:rsidRDefault="00F75CE1" w:rsidP="006F285F">
      <w:pPr>
        <w:rPr>
          <w:rFonts w:ascii="Arial" w:hAnsi="Arial" w:cs="Arial"/>
        </w:rPr>
      </w:pPr>
      <w:r w:rsidRPr="004370C6">
        <w:rPr>
          <w:rFonts w:ascii="Arial" w:hAnsi="Arial" w:cs="Arial"/>
        </w:rPr>
        <w:t>Completion Percentage: 50%</w:t>
      </w:r>
    </w:p>
    <w:p w14:paraId="3A227F8F" w14:textId="77777777" w:rsidR="00F75CE1" w:rsidRPr="004370C6" w:rsidRDefault="00F75CE1" w:rsidP="006F285F">
      <w:pPr>
        <w:rPr>
          <w:rFonts w:ascii="Arial" w:hAnsi="Arial" w:cs="Arial"/>
        </w:rPr>
      </w:pPr>
      <w:r w:rsidRPr="004370C6">
        <w:rPr>
          <w:rFonts w:ascii="Arial" w:hAnsi="Arial" w:cs="Arial"/>
        </w:rPr>
        <w:t>Target Percentage: 50%</w:t>
      </w:r>
    </w:p>
    <w:p w14:paraId="58845D73" w14:textId="77777777" w:rsidR="00F75CE1" w:rsidRPr="004370C6" w:rsidRDefault="00F75CE1" w:rsidP="006F285F">
      <w:pPr>
        <w:rPr>
          <w:rFonts w:ascii="Arial" w:hAnsi="Arial" w:cs="Arial"/>
          <w:sz w:val="22"/>
          <w:szCs w:val="22"/>
        </w:rPr>
      </w:pPr>
      <w:r w:rsidRPr="004370C6">
        <w:rPr>
          <w:rFonts w:ascii="Arial" w:hAnsi="Arial" w:cs="Arial"/>
          <w:sz w:val="22"/>
          <w:szCs w:val="22"/>
        </w:rPr>
        <w:t xml:space="preserve">Action Progress Comments: Council officers have completed first stage of stakeholder consultation on key focus areas, engaging businesses, key partners, and the wider community to gather insights that will inform the strategic pillars and subsequent actions. Preparation is underway for Stage two consultation for the next quarter. </w:t>
      </w:r>
    </w:p>
    <w:p w14:paraId="6901F013" w14:textId="77777777" w:rsidR="00F75CE1" w:rsidRPr="004370C6" w:rsidRDefault="00F75CE1" w:rsidP="006F285F">
      <w:pPr>
        <w:rPr>
          <w:rFonts w:ascii="Arial" w:hAnsi="Arial" w:cs="Arial"/>
          <w:sz w:val="22"/>
          <w:szCs w:val="22"/>
        </w:rPr>
      </w:pPr>
      <w:r w:rsidRPr="004370C6">
        <w:rPr>
          <w:rFonts w:ascii="Arial" w:hAnsi="Arial" w:cs="Arial"/>
          <w:sz w:val="22"/>
          <w:szCs w:val="22"/>
        </w:rPr>
        <w:t xml:space="preserve">Action Title: 3.2.3.2 Urban Renewal Strategy for Victoria Street </w:t>
      </w:r>
    </w:p>
    <w:p w14:paraId="0A63E6F1" w14:textId="77777777" w:rsidR="00F75CE1" w:rsidRPr="004370C6" w:rsidRDefault="00F75CE1" w:rsidP="006F285F">
      <w:pPr>
        <w:rPr>
          <w:rFonts w:ascii="Arial" w:hAnsi="Arial" w:cs="Arial"/>
        </w:rPr>
      </w:pPr>
      <w:r w:rsidRPr="004370C6">
        <w:rPr>
          <w:rFonts w:ascii="Arial" w:hAnsi="Arial" w:cs="Arial"/>
        </w:rPr>
        <w:t>Status: In Progress – Green</w:t>
      </w:r>
    </w:p>
    <w:p w14:paraId="359F5D74" w14:textId="77777777" w:rsidR="00F75CE1" w:rsidRPr="004370C6" w:rsidRDefault="00F75CE1" w:rsidP="006F285F">
      <w:pPr>
        <w:rPr>
          <w:rFonts w:ascii="Arial" w:hAnsi="Arial" w:cs="Arial"/>
        </w:rPr>
      </w:pPr>
      <w:r w:rsidRPr="004370C6">
        <w:rPr>
          <w:rFonts w:ascii="Arial" w:hAnsi="Arial" w:cs="Arial"/>
        </w:rPr>
        <w:lastRenderedPageBreak/>
        <w:t>Completion Percentage: 48%</w:t>
      </w:r>
    </w:p>
    <w:p w14:paraId="3DD103EE" w14:textId="77777777" w:rsidR="00F75CE1" w:rsidRPr="004370C6" w:rsidRDefault="00F75CE1" w:rsidP="006F285F">
      <w:pPr>
        <w:rPr>
          <w:rFonts w:ascii="Arial" w:hAnsi="Arial" w:cs="Arial"/>
        </w:rPr>
      </w:pPr>
      <w:r w:rsidRPr="004370C6">
        <w:rPr>
          <w:rFonts w:ascii="Arial" w:hAnsi="Arial" w:cs="Arial"/>
        </w:rPr>
        <w:t>Target Percentage: 50%</w:t>
      </w:r>
    </w:p>
    <w:p w14:paraId="1690A4AB" w14:textId="77777777" w:rsidR="00F75CE1" w:rsidRPr="004370C6" w:rsidRDefault="00F75CE1" w:rsidP="006F285F">
      <w:pPr>
        <w:rPr>
          <w:rFonts w:ascii="Arial" w:hAnsi="Arial" w:cs="Arial"/>
        </w:rPr>
      </w:pPr>
      <w:r w:rsidRPr="004370C6">
        <w:rPr>
          <w:rFonts w:ascii="Arial" w:hAnsi="Arial" w:cs="Arial"/>
        </w:rPr>
        <w:t>Action Progress Comments: In this quarter, the Victoria Street Revitalisation Project included the continuation of expert analysis to inform a draft Revitalisation Plan. Quick wins and physical improvements continued to be delivered including the upgrading of public lighting in Lennox Street; an audit was undertaken to assess streetlight improvements; a graffiti removal program continued with a focus on roller doors; further improvement works to Butler Park were undertaken and the planning for planter boxes in partnership with the Victoria Street Business Association is underway.</w:t>
      </w:r>
    </w:p>
    <w:p w14:paraId="4609FA7B" w14:textId="77777777" w:rsidR="00F75CE1" w:rsidRPr="004370C6" w:rsidRDefault="00F75CE1" w:rsidP="006F285F">
      <w:pPr>
        <w:rPr>
          <w:rFonts w:ascii="Arial" w:hAnsi="Arial" w:cs="Arial"/>
        </w:rPr>
      </w:pPr>
      <w:r w:rsidRPr="004370C6">
        <w:rPr>
          <w:rFonts w:ascii="Arial" w:hAnsi="Arial" w:cs="Arial"/>
        </w:rPr>
        <w:t>A forum was held on 18 November 2025 with 40 community members in attendance. The Community Reference Group of a diverse range of community and businesses held its first meeting on 26 November. A draft revitalisation plan is in development with key pieces of work to be incorporated over the next three months.</w:t>
      </w:r>
    </w:p>
    <w:p w14:paraId="221D1513" w14:textId="77777777" w:rsidR="004370C6" w:rsidRPr="004370C6" w:rsidRDefault="004370C6">
      <w:pPr>
        <w:rPr>
          <w:rFonts w:ascii="Arial" w:eastAsiaTheme="majorEastAsia" w:hAnsi="Arial" w:cs="Arial"/>
          <w:sz w:val="28"/>
          <w:szCs w:val="28"/>
        </w:rPr>
      </w:pPr>
      <w:r w:rsidRPr="004370C6">
        <w:rPr>
          <w:rFonts w:ascii="Arial" w:hAnsi="Arial" w:cs="Arial"/>
        </w:rPr>
        <w:br w:type="page"/>
      </w:r>
    </w:p>
    <w:p w14:paraId="07DB09AB" w14:textId="31D060C4" w:rsidR="00F75CE1" w:rsidRPr="004370C6" w:rsidRDefault="00F75CE1" w:rsidP="006F285F">
      <w:pPr>
        <w:pStyle w:val="Heading3"/>
        <w:rPr>
          <w:rFonts w:ascii="Arial" w:hAnsi="Arial" w:cs="Arial"/>
          <w:color w:val="auto"/>
        </w:rPr>
      </w:pPr>
      <w:bookmarkStart w:id="118" w:name="_Toc224732247"/>
      <w:r w:rsidRPr="004370C6">
        <w:rPr>
          <w:rFonts w:ascii="Arial" w:hAnsi="Arial" w:cs="Arial"/>
          <w:color w:val="auto"/>
        </w:rPr>
        <w:lastRenderedPageBreak/>
        <w:t>Running the City</w:t>
      </w:r>
      <w:bookmarkEnd w:id="118"/>
      <w:r w:rsidRPr="004370C6">
        <w:rPr>
          <w:rFonts w:ascii="Arial" w:hAnsi="Arial" w:cs="Arial"/>
          <w:color w:val="auto"/>
        </w:rPr>
        <w:t xml:space="preserve"> </w:t>
      </w:r>
    </w:p>
    <w:p w14:paraId="790E9572" w14:textId="77777777" w:rsidR="00F75CE1" w:rsidRPr="004370C6" w:rsidRDefault="00F75CE1" w:rsidP="006F285F">
      <w:pPr>
        <w:pStyle w:val="Heading4"/>
        <w:rPr>
          <w:rFonts w:ascii="Arial" w:hAnsi="Arial" w:cs="Arial"/>
          <w:color w:val="auto"/>
        </w:rPr>
      </w:pPr>
      <w:bookmarkStart w:id="119" w:name="_Toc224732248"/>
      <w:r w:rsidRPr="004370C6">
        <w:rPr>
          <w:rFonts w:ascii="Arial" w:hAnsi="Arial" w:cs="Arial"/>
          <w:color w:val="auto"/>
        </w:rPr>
        <w:t>Action Title: 4.1.1.1 Implement recommendations from the Financial Sustainability Strategy</w:t>
      </w:r>
      <w:bookmarkEnd w:id="119"/>
    </w:p>
    <w:p w14:paraId="3F883CB0" w14:textId="77777777" w:rsidR="00F75CE1" w:rsidRPr="004370C6" w:rsidRDefault="00F75CE1" w:rsidP="006F285F">
      <w:pPr>
        <w:rPr>
          <w:rFonts w:ascii="Arial" w:hAnsi="Arial" w:cs="Arial"/>
        </w:rPr>
      </w:pPr>
      <w:r w:rsidRPr="004370C6">
        <w:rPr>
          <w:rFonts w:ascii="Arial" w:hAnsi="Arial" w:cs="Arial"/>
        </w:rPr>
        <w:t>Status: In Progress – Green</w:t>
      </w:r>
    </w:p>
    <w:p w14:paraId="688CF298" w14:textId="77777777" w:rsidR="00F75CE1" w:rsidRPr="004370C6" w:rsidRDefault="00F75CE1" w:rsidP="006F285F">
      <w:pPr>
        <w:rPr>
          <w:rFonts w:ascii="Arial" w:hAnsi="Arial" w:cs="Arial"/>
        </w:rPr>
      </w:pPr>
      <w:r w:rsidRPr="004370C6">
        <w:rPr>
          <w:rFonts w:ascii="Arial" w:hAnsi="Arial" w:cs="Arial"/>
        </w:rPr>
        <w:t>Completion Percentage: 45%</w:t>
      </w:r>
    </w:p>
    <w:p w14:paraId="02439614" w14:textId="77777777" w:rsidR="00F75CE1" w:rsidRPr="004370C6" w:rsidRDefault="00F75CE1" w:rsidP="006F285F">
      <w:pPr>
        <w:rPr>
          <w:rFonts w:ascii="Arial" w:hAnsi="Arial" w:cs="Arial"/>
        </w:rPr>
      </w:pPr>
      <w:r w:rsidRPr="004370C6">
        <w:rPr>
          <w:rFonts w:ascii="Arial" w:hAnsi="Arial" w:cs="Arial"/>
        </w:rPr>
        <w:t>Target Percentage: 50%</w:t>
      </w:r>
    </w:p>
    <w:p w14:paraId="75E11D1B" w14:textId="77777777" w:rsidR="00F75CE1" w:rsidRPr="004370C6" w:rsidRDefault="00F75CE1" w:rsidP="006F285F">
      <w:pPr>
        <w:rPr>
          <w:rFonts w:ascii="Arial" w:hAnsi="Arial" w:cs="Arial"/>
        </w:rPr>
      </w:pPr>
      <w:r w:rsidRPr="004370C6">
        <w:rPr>
          <w:rFonts w:ascii="Arial" w:hAnsi="Arial" w:cs="Arial"/>
        </w:rPr>
        <w:t>Action Progress Comments: The Financial Sustainability Strategy (FSS) has been implemented and continues to guide Council’s decision making and enable Council to transparently, proactively and prudently plan to be financially sustainable. A borrowings policy is a key action of this plan, providing clear guiderails for borrowing within a sound financial management framework. The Borrowings Policy was adopted at the October 2025 Council Meeting. A fulsome review the FSS is also being undertaken to take into account actions already delivered, actions that may no longer be relevant, and any emerging risks or challenges that require new actions.</w:t>
      </w:r>
    </w:p>
    <w:p w14:paraId="58269C94" w14:textId="77777777" w:rsidR="00F75CE1" w:rsidRPr="004370C6" w:rsidRDefault="00F75CE1" w:rsidP="006F285F">
      <w:pPr>
        <w:pStyle w:val="Heading4"/>
        <w:rPr>
          <w:rFonts w:ascii="Arial" w:hAnsi="Arial" w:cs="Arial"/>
          <w:color w:val="auto"/>
        </w:rPr>
      </w:pPr>
      <w:bookmarkStart w:id="120" w:name="_Toc224732249"/>
      <w:r w:rsidRPr="004370C6">
        <w:rPr>
          <w:rFonts w:ascii="Arial" w:hAnsi="Arial" w:cs="Arial"/>
          <w:color w:val="auto"/>
        </w:rPr>
        <w:t>Action Title: 4.1.2.1 Local Law Review</w:t>
      </w:r>
      <w:bookmarkEnd w:id="120"/>
    </w:p>
    <w:p w14:paraId="5C51CFC7" w14:textId="77777777" w:rsidR="00F75CE1" w:rsidRPr="004370C6" w:rsidRDefault="00F75CE1" w:rsidP="006F285F">
      <w:pPr>
        <w:rPr>
          <w:rFonts w:ascii="Arial" w:hAnsi="Arial" w:cs="Arial"/>
        </w:rPr>
      </w:pPr>
      <w:r w:rsidRPr="004370C6">
        <w:rPr>
          <w:rFonts w:ascii="Arial" w:hAnsi="Arial" w:cs="Arial"/>
        </w:rPr>
        <w:t>Status: In Progress – Green</w:t>
      </w:r>
    </w:p>
    <w:p w14:paraId="499CE25B" w14:textId="77777777" w:rsidR="00F75CE1" w:rsidRPr="004370C6" w:rsidRDefault="00F75CE1" w:rsidP="006F285F">
      <w:pPr>
        <w:rPr>
          <w:rFonts w:ascii="Arial" w:hAnsi="Arial" w:cs="Arial"/>
        </w:rPr>
      </w:pPr>
      <w:r w:rsidRPr="004370C6">
        <w:rPr>
          <w:rFonts w:ascii="Arial" w:hAnsi="Arial" w:cs="Arial"/>
        </w:rPr>
        <w:t>Completion Percentage: 55%</w:t>
      </w:r>
    </w:p>
    <w:p w14:paraId="22A48777" w14:textId="77777777" w:rsidR="00F75CE1" w:rsidRPr="004370C6" w:rsidRDefault="00F75CE1" w:rsidP="006F285F">
      <w:pPr>
        <w:rPr>
          <w:rFonts w:ascii="Arial" w:hAnsi="Arial" w:cs="Arial"/>
        </w:rPr>
      </w:pPr>
      <w:r w:rsidRPr="004370C6">
        <w:rPr>
          <w:rFonts w:ascii="Arial" w:hAnsi="Arial" w:cs="Arial"/>
        </w:rPr>
        <w:t>Target Percentage: 50%</w:t>
      </w:r>
    </w:p>
    <w:p w14:paraId="1CEDA1DF" w14:textId="77777777" w:rsidR="00F75CE1" w:rsidRPr="004370C6" w:rsidRDefault="00F75CE1" w:rsidP="006F285F">
      <w:pPr>
        <w:rPr>
          <w:rFonts w:ascii="Arial" w:hAnsi="Arial" w:cs="Arial"/>
        </w:rPr>
      </w:pPr>
      <w:r w:rsidRPr="004370C6">
        <w:rPr>
          <w:rFonts w:ascii="Arial" w:hAnsi="Arial" w:cs="Arial"/>
        </w:rPr>
        <w:t>Action Progress Comments: A report on Stage 1 Engagement was put to Council in December 2025, along with draft documentation for Stage 2 Engagement. Preparation has occurred for Stage 2 Engagement in February 2026.</w:t>
      </w:r>
    </w:p>
    <w:p w14:paraId="63679FFB" w14:textId="77777777" w:rsidR="00F75CE1" w:rsidRPr="004370C6" w:rsidRDefault="00F75CE1" w:rsidP="006F285F">
      <w:pPr>
        <w:pStyle w:val="Heading4"/>
        <w:rPr>
          <w:rFonts w:ascii="Arial" w:hAnsi="Arial" w:cs="Arial"/>
          <w:color w:val="auto"/>
        </w:rPr>
      </w:pPr>
      <w:bookmarkStart w:id="121" w:name="_Toc224732250"/>
      <w:r w:rsidRPr="004370C6">
        <w:rPr>
          <w:rFonts w:ascii="Arial" w:hAnsi="Arial" w:cs="Arial"/>
          <w:color w:val="auto"/>
        </w:rPr>
        <w:t>Action Title: 4.1.3.1 Develop the Benefits Management Framework</w:t>
      </w:r>
      <w:bookmarkEnd w:id="121"/>
    </w:p>
    <w:p w14:paraId="19715453" w14:textId="77777777" w:rsidR="00F75CE1" w:rsidRPr="004370C6" w:rsidRDefault="00F75CE1" w:rsidP="006F285F">
      <w:pPr>
        <w:rPr>
          <w:rFonts w:ascii="Arial" w:hAnsi="Arial" w:cs="Arial"/>
        </w:rPr>
      </w:pPr>
      <w:r w:rsidRPr="004370C6">
        <w:rPr>
          <w:rFonts w:ascii="Arial" w:hAnsi="Arial" w:cs="Arial"/>
        </w:rPr>
        <w:t>Status: In Progress – Green</w:t>
      </w:r>
    </w:p>
    <w:p w14:paraId="2BBCBC76" w14:textId="77777777" w:rsidR="00F75CE1" w:rsidRPr="004370C6" w:rsidRDefault="00F75CE1" w:rsidP="006F285F">
      <w:pPr>
        <w:rPr>
          <w:rFonts w:ascii="Arial" w:hAnsi="Arial" w:cs="Arial"/>
        </w:rPr>
      </w:pPr>
      <w:r w:rsidRPr="004370C6">
        <w:rPr>
          <w:rFonts w:ascii="Arial" w:hAnsi="Arial" w:cs="Arial"/>
        </w:rPr>
        <w:t>Completion Percentage: 57%</w:t>
      </w:r>
    </w:p>
    <w:p w14:paraId="0296B936" w14:textId="77777777" w:rsidR="00F75CE1" w:rsidRPr="004370C6" w:rsidRDefault="00F75CE1" w:rsidP="006F285F">
      <w:pPr>
        <w:rPr>
          <w:rFonts w:ascii="Arial" w:hAnsi="Arial" w:cs="Arial"/>
        </w:rPr>
      </w:pPr>
      <w:r w:rsidRPr="004370C6">
        <w:rPr>
          <w:rFonts w:ascii="Arial" w:hAnsi="Arial" w:cs="Arial"/>
        </w:rPr>
        <w:t>Target Percentage: 50%</w:t>
      </w:r>
    </w:p>
    <w:p w14:paraId="6B4C04E3" w14:textId="77777777" w:rsidR="00F75CE1" w:rsidRPr="004370C6" w:rsidRDefault="00F75CE1" w:rsidP="006F285F">
      <w:pPr>
        <w:rPr>
          <w:rFonts w:ascii="Arial" w:hAnsi="Arial" w:cs="Arial"/>
        </w:rPr>
      </w:pPr>
      <w:r w:rsidRPr="004370C6">
        <w:rPr>
          <w:rFonts w:ascii="Arial" w:hAnsi="Arial" w:cs="Arial"/>
        </w:rPr>
        <w:t>Action Progress Comments: There are no scheduled milestones to report for this quarter. Significant progress has been made through extensive stakeholder engagement to identify users and other stakeholders of the Benefits Management Framework. The next milestone update will be provided in the Quarter 3 report.</w:t>
      </w:r>
    </w:p>
    <w:p w14:paraId="5E64621D" w14:textId="77777777" w:rsidR="00F75CE1" w:rsidRPr="004370C6" w:rsidRDefault="00F75CE1" w:rsidP="006F285F">
      <w:pPr>
        <w:rPr>
          <w:rFonts w:ascii="Arial" w:hAnsi="Arial" w:cs="Arial"/>
        </w:rPr>
      </w:pPr>
    </w:p>
    <w:p w14:paraId="4C14E7CC" w14:textId="77777777" w:rsidR="00F75CE1" w:rsidRPr="004370C6" w:rsidRDefault="00F75CE1" w:rsidP="006F285F">
      <w:pPr>
        <w:pStyle w:val="Heading4"/>
        <w:rPr>
          <w:rFonts w:ascii="Arial" w:hAnsi="Arial" w:cs="Arial"/>
          <w:color w:val="auto"/>
        </w:rPr>
      </w:pPr>
      <w:bookmarkStart w:id="122" w:name="_Toc224732251"/>
      <w:r w:rsidRPr="004370C6">
        <w:rPr>
          <w:rFonts w:ascii="Arial" w:hAnsi="Arial" w:cs="Arial"/>
          <w:color w:val="auto"/>
        </w:rPr>
        <w:t>Action Title: 4.2.1.1 Development of a Waste and Recycling Strategy</w:t>
      </w:r>
      <w:bookmarkEnd w:id="122"/>
      <w:r w:rsidRPr="004370C6">
        <w:rPr>
          <w:rFonts w:ascii="Arial" w:hAnsi="Arial" w:cs="Arial"/>
          <w:color w:val="auto"/>
        </w:rPr>
        <w:t xml:space="preserve"> </w:t>
      </w:r>
    </w:p>
    <w:p w14:paraId="590D6136" w14:textId="77777777" w:rsidR="00F75CE1" w:rsidRPr="004370C6" w:rsidRDefault="00F75CE1" w:rsidP="006F285F">
      <w:pPr>
        <w:rPr>
          <w:rFonts w:ascii="Arial" w:hAnsi="Arial" w:cs="Arial"/>
        </w:rPr>
      </w:pPr>
      <w:r w:rsidRPr="004370C6">
        <w:rPr>
          <w:rFonts w:ascii="Arial" w:hAnsi="Arial" w:cs="Arial"/>
        </w:rPr>
        <w:t>Status: In Progress – Green</w:t>
      </w:r>
    </w:p>
    <w:p w14:paraId="7157483B" w14:textId="77777777" w:rsidR="00F75CE1" w:rsidRPr="004370C6" w:rsidRDefault="00F75CE1" w:rsidP="006F285F">
      <w:pPr>
        <w:rPr>
          <w:rFonts w:ascii="Arial" w:hAnsi="Arial" w:cs="Arial"/>
        </w:rPr>
      </w:pPr>
      <w:r w:rsidRPr="004370C6">
        <w:rPr>
          <w:rFonts w:ascii="Arial" w:hAnsi="Arial" w:cs="Arial"/>
        </w:rPr>
        <w:lastRenderedPageBreak/>
        <w:t>Completion Percentage: 50%</w:t>
      </w:r>
    </w:p>
    <w:p w14:paraId="3C7AE3B0" w14:textId="77777777" w:rsidR="00F75CE1" w:rsidRPr="004370C6" w:rsidRDefault="00F75CE1" w:rsidP="006F285F">
      <w:pPr>
        <w:rPr>
          <w:rFonts w:ascii="Arial" w:hAnsi="Arial" w:cs="Arial"/>
        </w:rPr>
      </w:pPr>
      <w:r w:rsidRPr="004370C6">
        <w:rPr>
          <w:rFonts w:ascii="Arial" w:hAnsi="Arial" w:cs="Arial"/>
        </w:rPr>
        <w:t>Target Percentage: 50%</w:t>
      </w:r>
    </w:p>
    <w:p w14:paraId="517DB246" w14:textId="77777777" w:rsidR="00F75CE1" w:rsidRPr="004370C6" w:rsidRDefault="00F75CE1" w:rsidP="006F285F">
      <w:pPr>
        <w:rPr>
          <w:rFonts w:ascii="Arial" w:hAnsi="Arial" w:cs="Arial"/>
        </w:rPr>
      </w:pPr>
      <w:r w:rsidRPr="004370C6">
        <w:rPr>
          <w:rFonts w:ascii="Arial" w:hAnsi="Arial" w:cs="Arial"/>
        </w:rPr>
        <w:t>Action Progress Comments: Engagement for the development of the Waste and Recycling Strategy commenced in October 2025 and concluded in early December 2025.We delivered six community pop-up sessions, along with a series of targeted stakeholder engagement activities across the municipality. Attendance at the pop-up sessions was strong, and we received more than 500 online survey responses. Works is now underway to analyse the data. A consultant has been engaged to assist Council to draft a strategy for consideration in the first part of 2026.</w:t>
      </w:r>
    </w:p>
    <w:p w14:paraId="5E2D1160" w14:textId="77777777" w:rsidR="00F75CE1" w:rsidRPr="004370C6" w:rsidRDefault="00F75CE1" w:rsidP="006F285F">
      <w:pPr>
        <w:pStyle w:val="Heading4"/>
        <w:rPr>
          <w:rFonts w:ascii="Arial" w:hAnsi="Arial" w:cs="Arial"/>
          <w:color w:val="auto"/>
        </w:rPr>
      </w:pPr>
      <w:bookmarkStart w:id="123" w:name="_Toc224732252"/>
      <w:r w:rsidRPr="004370C6">
        <w:rPr>
          <w:rFonts w:ascii="Arial" w:hAnsi="Arial" w:cs="Arial"/>
          <w:color w:val="auto"/>
        </w:rPr>
        <w:t>Action Title: 4.3.1.1 Implement the Yana Ngargna Policy and increase and strengthen partnerships with Aboriginal Controlled organisations</w:t>
      </w:r>
      <w:bookmarkEnd w:id="123"/>
    </w:p>
    <w:p w14:paraId="020089F0" w14:textId="77777777" w:rsidR="00F75CE1" w:rsidRPr="004370C6" w:rsidRDefault="00F75CE1" w:rsidP="006F285F">
      <w:pPr>
        <w:rPr>
          <w:rFonts w:ascii="Arial" w:hAnsi="Arial" w:cs="Arial"/>
        </w:rPr>
      </w:pPr>
      <w:r w:rsidRPr="004370C6">
        <w:rPr>
          <w:rFonts w:ascii="Arial" w:hAnsi="Arial" w:cs="Arial"/>
        </w:rPr>
        <w:t>Status: In Progress – Green</w:t>
      </w:r>
    </w:p>
    <w:p w14:paraId="69B86B8A" w14:textId="77777777" w:rsidR="00F75CE1" w:rsidRPr="004370C6" w:rsidRDefault="00F75CE1" w:rsidP="006F285F">
      <w:pPr>
        <w:rPr>
          <w:rFonts w:ascii="Arial" w:hAnsi="Arial" w:cs="Arial"/>
        </w:rPr>
      </w:pPr>
      <w:r w:rsidRPr="004370C6">
        <w:rPr>
          <w:rFonts w:ascii="Arial" w:hAnsi="Arial" w:cs="Arial"/>
        </w:rPr>
        <w:t>Completion Percentage: 45%</w:t>
      </w:r>
    </w:p>
    <w:p w14:paraId="6302858B" w14:textId="77777777" w:rsidR="00F75CE1" w:rsidRPr="004370C6" w:rsidRDefault="00F75CE1" w:rsidP="006F285F">
      <w:pPr>
        <w:rPr>
          <w:rFonts w:ascii="Arial" w:hAnsi="Arial" w:cs="Arial"/>
        </w:rPr>
      </w:pPr>
      <w:r w:rsidRPr="004370C6">
        <w:rPr>
          <w:rFonts w:ascii="Arial" w:hAnsi="Arial" w:cs="Arial"/>
        </w:rPr>
        <w:t>Target Percentage: 50%</w:t>
      </w:r>
    </w:p>
    <w:p w14:paraId="72CA125D" w14:textId="77777777" w:rsidR="00F75CE1" w:rsidRPr="004370C6" w:rsidRDefault="00F75CE1" w:rsidP="006F285F">
      <w:pPr>
        <w:rPr>
          <w:rFonts w:ascii="Arial" w:hAnsi="Arial" w:cs="Arial"/>
        </w:rPr>
      </w:pPr>
      <w:r w:rsidRPr="004370C6">
        <w:rPr>
          <w:rFonts w:ascii="Arial" w:hAnsi="Arial" w:cs="Arial"/>
        </w:rPr>
        <w:t>Action Progress Comments: Completed key engagement activities this quarter, including the first meeting of the Yana Ngargna Advisory Group to share and receive feedback on the draft Yana Ngargna Policy Framework, amongst other emerging issues. Briefings with Councillors supported shared understanding and collaboration on the draft Framework. Stakeholders were also mapped for the Marnelong Network to support structured sector engagement and identification of shared priorities, service gaps and partnership pathways aligned with Closing the Gap priorities.</w:t>
      </w:r>
    </w:p>
    <w:p w14:paraId="4D2F7711" w14:textId="77777777" w:rsidR="00F75CE1" w:rsidRPr="004370C6" w:rsidRDefault="00F75CE1" w:rsidP="006F285F">
      <w:pPr>
        <w:pStyle w:val="Heading4"/>
        <w:rPr>
          <w:rFonts w:ascii="Arial" w:hAnsi="Arial" w:cs="Arial"/>
          <w:color w:val="auto"/>
        </w:rPr>
      </w:pPr>
      <w:bookmarkStart w:id="124" w:name="_Toc224732253"/>
      <w:r w:rsidRPr="004370C6">
        <w:rPr>
          <w:rFonts w:ascii="Arial" w:hAnsi="Arial" w:cs="Arial"/>
          <w:color w:val="auto"/>
        </w:rPr>
        <w:t>Action Title: 4.5.1.1 Commence implementation of an Enterprise Resource Planning technology system</w:t>
      </w:r>
      <w:bookmarkEnd w:id="124"/>
    </w:p>
    <w:p w14:paraId="30F795A0" w14:textId="77777777" w:rsidR="00F75CE1" w:rsidRPr="004370C6" w:rsidRDefault="00F75CE1" w:rsidP="006F285F">
      <w:pPr>
        <w:rPr>
          <w:rFonts w:ascii="Arial" w:hAnsi="Arial" w:cs="Arial"/>
        </w:rPr>
      </w:pPr>
      <w:r w:rsidRPr="004370C6">
        <w:rPr>
          <w:rFonts w:ascii="Arial" w:hAnsi="Arial" w:cs="Arial"/>
        </w:rPr>
        <w:t>Status: In Progress – Green</w:t>
      </w:r>
    </w:p>
    <w:p w14:paraId="2533FBC9" w14:textId="77777777" w:rsidR="00F75CE1" w:rsidRPr="004370C6" w:rsidRDefault="00F75CE1" w:rsidP="006F285F">
      <w:pPr>
        <w:rPr>
          <w:rFonts w:ascii="Arial" w:hAnsi="Arial" w:cs="Arial"/>
        </w:rPr>
      </w:pPr>
      <w:r w:rsidRPr="004370C6">
        <w:rPr>
          <w:rFonts w:ascii="Arial" w:hAnsi="Arial" w:cs="Arial"/>
        </w:rPr>
        <w:t>Completion Percentage: 46%</w:t>
      </w:r>
    </w:p>
    <w:p w14:paraId="564F0DA2" w14:textId="77777777" w:rsidR="00F75CE1" w:rsidRPr="004370C6" w:rsidRDefault="00F75CE1" w:rsidP="006F285F">
      <w:pPr>
        <w:rPr>
          <w:rFonts w:ascii="Arial" w:hAnsi="Arial" w:cs="Arial"/>
        </w:rPr>
      </w:pPr>
      <w:r w:rsidRPr="004370C6">
        <w:rPr>
          <w:rFonts w:ascii="Arial" w:hAnsi="Arial" w:cs="Arial"/>
        </w:rPr>
        <w:t>Target Percentage: 50%</w:t>
      </w:r>
    </w:p>
    <w:p w14:paraId="31CAE1DC" w14:textId="77777777" w:rsidR="00F75CE1" w:rsidRPr="004370C6" w:rsidRDefault="00F75CE1" w:rsidP="006F285F">
      <w:pPr>
        <w:rPr>
          <w:rFonts w:ascii="Arial" w:hAnsi="Arial" w:cs="Arial"/>
        </w:rPr>
      </w:pPr>
      <w:r w:rsidRPr="004370C6">
        <w:rPr>
          <w:rFonts w:ascii="Arial" w:hAnsi="Arial" w:cs="Arial"/>
        </w:rPr>
        <w:t>Action Progress Comments: The tendering process for the selection of an ERP technology solution and implementation partner has been finalised. The ERP program completed a 13-week discovery phase to define the system architecture and business processes for a three-year initiative designed to enhance and streamline the customer experience.</w:t>
      </w:r>
    </w:p>
    <w:p w14:paraId="4F477EE0" w14:textId="77777777" w:rsidR="00F75CE1" w:rsidRPr="004370C6" w:rsidRDefault="00F75CE1" w:rsidP="006F285F">
      <w:pPr>
        <w:rPr>
          <w:rFonts w:ascii="Arial" w:hAnsi="Arial" w:cs="Arial"/>
        </w:rPr>
      </w:pPr>
      <w:r w:rsidRPr="004370C6">
        <w:rPr>
          <w:rFonts w:ascii="Arial" w:hAnsi="Arial" w:cs="Arial"/>
        </w:rPr>
        <w:t>The discovery phase of the ERP was successfully completed. Implementation is scheduled to commence in February 2025.</w:t>
      </w:r>
    </w:p>
    <w:p w14:paraId="04DB3BEF" w14:textId="77777777" w:rsidR="00F75CE1" w:rsidRPr="004370C6" w:rsidRDefault="00F75CE1" w:rsidP="006F285F">
      <w:pPr>
        <w:pStyle w:val="Heading4"/>
        <w:rPr>
          <w:rFonts w:ascii="Arial" w:hAnsi="Arial" w:cs="Arial"/>
          <w:color w:val="auto"/>
        </w:rPr>
      </w:pPr>
      <w:bookmarkStart w:id="125" w:name="_Toc224732254"/>
      <w:r w:rsidRPr="004370C6">
        <w:rPr>
          <w:rFonts w:ascii="Arial" w:hAnsi="Arial" w:cs="Arial"/>
          <w:color w:val="auto"/>
        </w:rPr>
        <w:lastRenderedPageBreak/>
        <w:t>Action Title: 4.5.1.2 Improve Customer Experience</w:t>
      </w:r>
      <w:bookmarkEnd w:id="125"/>
    </w:p>
    <w:p w14:paraId="6996EA28" w14:textId="77777777" w:rsidR="00F75CE1" w:rsidRPr="004370C6" w:rsidRDefault="00F75CE1" w:rsidP="006F285F">
      <w:pPr>
        <w:rPr>
          <w:rFonts w:ascii="Arial" w:hAnsi="Arial" w:cs="Arial"/>
        </w:rPr>
      </w:pPr>
      <w:r w:rsidRPr="004370C6">
        <w:rPr>
          <w:rFonts w:ascii="Arial" w:hAnsi="Arial" w:cs="Arial"/>
        </w:rPr>
        <w:t>Status: In Progress – Green</w:t>
      </w:r>
    </w:p>
    <w:p w14:paraId="5DA1F26C" w14:textId="77777777" w:rsidR="00F75CE1" w:rsidRPr="004370C6" w:rsidRDefault="00F75CE1" w:rsidP="006F285F">
      <w:pPr>
        <w:rPr>
          <w:rFonts w:ascii="Arial" w:hAnsi="Arial" w:cs="Arial"/>
        </w:rPr>
      </w:pPr>
      <w:r w:rsidRPr="004370C6">
        <w:rPr>
          <w:rFonts w:ascii="Arial" w:hAnsi="Arial" w:cs="Arial"/>
        </w:rPr>
        <w:t>Completion Percentage: 25%</w:t>
      </w:r>
    </w:p>
    <w:p w14:paraId="28DDF6AC" w14:textId="77777777" w:rsidR="00F75CE1" w:rsidRPr="004370C6" w:rsidRDefault="00F75CE1" w:rsidP="006F285F">
      <w:pPr>
        <w:rPr>
          <w:rFonts w:ascii="Arial" w:hAnsi="Arial" w:cs="Arial"/>
        </w:rPr>
      </w:pPr>
      <w:r w:rsidRPr="004370C6">
        <w:rPr>
          <w:rFonts w:ascii="Arial" w:hAnsi="Arial" w:cs="Arial"/>
        </w:rPr>
        <w:t>Target Percentage: 25%</w:t>
      </w:r>
    </w:p>
    <w:p w14:paraId="664CEB5D" w14:textId="77777777" w:rsidR="00F75CE1" w:rsidRPr="004370C6" w:rsidRDefault="00F75CE1" w:rsidP="006F285F">
      <w:pPr>
        <w:rPr>
          <w:rFonts w:ascii="Arial" w:hAnsi="Arial" w:cs="Arial"/>
        </w:rPr>
      </w:pPr>
      <w:r w:rsidRPr="004370C6">
        <w:rPr>
          <w:rFonts w:ascii="Arial" w:hAnsi="Arial" w:cs="Arial"/>
        </w:rPr>
        <w:t>Action Progress Comments: There are no scheduled milestones to report for this quarter. The development of the Voice of Customer project remains a key area of focus. The next milestone update will be included in the Quarter 3 report.</w:t>
      </w:r>
    </w:p>
    <w:p w14:paraId="18932CFB" w14:textId="77777777" w:rsidR="3818BA61" w:rsidRPr="004370C6" w:rsidRDefault="3818BA61" w:rsidP="006F285F">
      <w:pPr>
        <w:rPr>
          <w:rFonts w:ascii="Arial" w:eastAsia="Muli" w:hAnsi="Arial" w:cs="Arial"/>
        </w:rPr>
      </w:pPr>
    </w:p>
    <w:sectPr w:rsidR="3818BA61" w:rsidRPr="004370C6">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FCB75" w14:textId="77777777" w:rsidR="006D6482" w:rsidRDefault="006D6482" w:rsidP="00A6486B">
      <w:pPr>
        <w:spacing w:after="0" w:line="240" w:lineRule="auto"/>
      </w:pPr>
      <w:r>
        <w:separator/>
      </w:r>
    </w:p>
  </w:endnote>
  <w:endnote w:type="continuationSeparator" w:id="0">
    <w:p w14:paraId="682F494D" w14:textId="77777777" w:rsidR="006D6482" w:rsidRDefault="006D6482" w:rsidP="00A64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uli">
    <w:panose1 w:val="00000500000000000000"/>
    <w:charset w:val="00"/>
    <w:family w:val="auto"/>
    <w:pitch w:val="variable"/>
    <w:sig w:usb0="20000007" w:usb1="00000001"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320"/>
      <w:gridCol w:w="4320"/>
      <w:gridCol w:w="4320"/>
    </w:tblGrid>
    <w:tr w:rsidR="0EB3AF29" w14:paraId="2AD56183" w14:textId="77777777" w:rsidTr="0EB3AF29">
      <w:trPr>
        <w:trHeight w:val="300"/>
      </w:trPr>
      <w:tc>
        <w:tcPr>
          <w:tcW w:w="4320" w:type="dxa"/>
        </w:tcPr>
        <w:p w14:paraId="2A5CB70D" w14:textId="5397B3A6" w:rsidR="0EB3AF29" w:rsidRDefault="0EB3AF29" w:rsidP="0EB3AF29">
          <w:pPr>
            <w:ind w:left="-115"/>
          </w:pPr>
        </w:p>
      </w:tc>
      <w:tc>
        <w:tcPr>
          <w:tcW w:w="4320" w:type="dxa"/>
        </w:tcPr>
        <w:p w14:paraId="3DC04BC2" w14:textId="177F1C48" w:rsidR="0EB3AF29" w:rsidRDefault="0EB3AF29" w:rsidP="0EB3AF29">
          <w:pPr>
            <w:jc w:val="center"/>
          </w:pPr>
        </w:p>
      </w:tc>
      <w:tc>
        <w:tcPr>
          <w:tcW w:w="4320" w:type="dxa"/>
        </w:tcPr>
        <w:p w14:paraId="2F35BE5E" w14:textId="002F8CE7" w:rsidR="0EB3AF29" w:rsidRDefault="0EB3AF29" w:rsidP="0EB3AF29">
          <w:pPr>
            <w:ind w:right="-115"/>
            <w:jc w:val="right"/>
          </w:pPr>
          <w:r>
            <w:fldChar w:fldCharType="begin"/>
          </w:r>
          <w:r>
            <w:instrText>PAGE</w:instrText>
          </w:r>
          <w:r>
            <w:fldChar w:fldCharType="separate"/>
          </w:r>
          <w:r w:rsidR="00C664B1">
            <w:rPr>
              <w:noProof/>
            </w:rPr>
            <w:t>16</w:t>
          </w:r>
          <w:r>
            <w:fldChar w:fldCharType="end"/>
          </w:r>
        </w:p>
      </w:tc>
    </w:tr>
  </w:tbl>
  <w:p w14:paraId="196F8DD8" w14:textId="4D8FE8D1" w:rsidR="00A6486B" w:rsidRDefault="00A648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3E06A" w14:textId="0C3DE63D" w:rsidR="00A6486B" w:rsidRDefault="00A648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387A3" w14:textId="77777777" w:rsidR="006D6482" w:rsidRDefault="006D6482" w:rsidP="00A6486B">
      <w:pPr>
        <w:spacing w:after="0" w:line="240" w:lineRule="auto"/>
      </w:pPr>
      <w:r>
        <w:separator/>
      </w:r>
    </w:p>
  </w:footnote>
  <w:footnote w:type="continuationSeparator" w:id="0">
    <w:p w14:paraId="34A4C439" w14:textId="77777777" w:rsidR="006D6482" w:rsidRDefault="006D6482" w:rsidP="00A64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EB3AF29" w14:paraId="3AB6C1A2" w14:textId="77777777" w:rsidTr="0EB3AF29">
      <w:trPr>
        <w:trHeight w:val="300"/>
      </w:trPr>
      <w:tc>
        <w:tcPr>
          <w:tcW w:w="4320" w:type="dxa"/>
        </w:tcPr>
        <w:p w14:paraId="41059F75" w14:textId="179481D9" w:rsidR="0EB3AF29" w:rsidRDefault="0EB3AF29" w:rsidP="0EB3AF29">
          <w:pPr>
            <w:ind w:left="-115"/>
          </w:pPr>
        </w:p>
      </w:tc>
      <w:tc>
        <w:tcPr>
          <w:tcW w:w="4320" w:type="dxa"/>
        </w:tcPr>
        <w:p w14:paraId="546218CD" w14:textId="379E228D" w:rsidR="0EB3AF29" w:rsidRDefault="0EB3AF29" w:rsidP="0EB3AF29">
          <w:pPr>
            <w:jc w:val="center"/>
          </w:pPr>
        </w:p>
      </w:tc>
      <w:tc>
        <w:tcPr>
          <w:tcW w:w="4320" w:type="dxa"/>
        </w:tcPr>
        <w:p w14:paraId="5746F0AA" w14:textId="38D233B5" w:rsidR="0EB3AF29" w:rsidRDefault="0EB3AF29" w:rsidP="0EB3AF29">
          <w:pPr>
            <w:ind w:right="-115"/>
            <w:jc w:val="right"/>
          </w:pPr>
        </w:p>
      </w:tc>
    </w:tr>
  </w:tbl>
  <w:p w14:paraId="056875F2" w14:textId="6DAD575B" w:rsidR="00A6486B" w:rsidRDefault="00A648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7C081" w14:textId="4B6CD330" w:rsidR="00A6486B" w:rsidRDefault="00A64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F4F"/>
    <w:multiLevelType w:val="hybridMultilevel"/>
    <w:tmpl w:val="AC803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C20FC"/>
    <w:multiLevelType w:val="hybridMultilevel"/>
    <w:tmpl w:val="28968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FD4EFB"/>
    <w:multiLevelType w:val="hybridMultilevel"/>
    <w:tmpl w:val="8EFE1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D32732"/>
    <w:multiLevelType w:val="hybridMultilevel"/>
    <w:tmpl w:val="A44A4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3208B"/>
    <w:multiLevelType w:val="hybridMultilevel"/>
    <w:tmpl w:val="76CA9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707EF5"/>
    <w:multiLevelType w:val="hybridMultilevel"/>
    <w:tmpl w:val="AB66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0B31A5"/>
    <w:multiLevelType w:val="hybridMultilevel"/>
    <w:tmpl w:val="9EC8F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170F94"/>
    <w:multiLevelType w:val="hybridMultilevel"/>
    <w:tmpl w:val="C1BE4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573E84"/>
    <w:multiLevelType w:val="hybridMultilevel"/>
    <w:tmpl w:val="21809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287E27"/>
    <w:multiLevelType w:val="multilevel"/>
    <w:tmpl w:val="E258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D7876"/>
    <w:multiLevelType w:val="hybridMultilevel"/>
    <w:tmpl w:val="4038F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8F5C97"/>
    <w:multiLevelType w:val="hybridMultilevel"/>
    <w:tmpl w:val="C2167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51546F"/>
    <w:multiLevelType w:val="hybridMultilevel"/>
    <w:tmpl w:val="BE52D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7176E5"/>
    <w:multiLevelType w:val="hybridMultilevel"/>
    <w:tmpl w:val="F0B04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B83332"/>
    <w:multiLevelType w:val="hybridMultilevel"/>
    <w:tmpl w:val="25D230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A60850"/>
    <w:multiLevelType w:val="hybridMultilevel"/>
    <w:tmpl w:val="324CD93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3A0104B3"/>
    <w:multiLevelType w:val="hybridMultilevel"/>
    <w:tmpl w:val="0B588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8A65B8"/>
    <w:multiLevelType w:val="hybridMultilevel"/>
    <w:tmpl w:val="2C3A0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9C1997"/>
    <w:multiLevelType w:val="hybridMultilevel"/>
    <w:tmpl w:val="EA8E1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EC5BAC"/>
    <w:multiLevelType w:val="hybridMultilevel"/>
    <w:tmpl w:val="56240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6E3770"/>
    <w:multiLevelType w:val="hybridMultilevel"/>
    <w:tmpl w:val="E35AA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E31CBE"/>
    <w:multiLevelType w:val="hybridMultilevel"/>
    <w:tmpl w:val="BFE654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E54B07"/>
    <w:multiLevelType w:val="hybridMultilevel"/>
    <w:tmpl w:val="31D2C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F05EC7"/>
    <w:multiLevelType w:val="hybridMultilevel"/>
    <w:tmpl w:val="818C5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C54C3F"/>
    <w:multiLevelType w:val="hybridMultilevel"/>
    <w:tmpl w:val="96E0A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9334475">
    <w:abstractNumId w:val="12"/>
  </w:num>
  <w:num w:numId="2" w16cid:durableId="1265653128">
    <w:abstractNumId w:val="1"/>
  </w:num>
  <w:num w:numId="3" w16cid:durableId="1713654770">
    <w:abstractNumId w:val="18"/>
  </w:num>
  <w:num w:numId="4" w16cid:durableId="1325014163">
    <w:abstractNumId w:val="22"/>
  </w:num>
  <w:num w:numId="5" w16cid:durableId="1039206161">
    <w:abstractNumId w:val="19"/>
  </w:num>
  <w:num w:numId="6" w16cid:durableId="1277760509">
    <w:abstractNumId w:val="8"/>
  </w:num>
  <w:num w:numId="7" w16cid:durableId="1215890688">
    <w:abstractNumId w:val="5"/>
  </w:num>
  <w:num w:numId="8" w16cid:durableId="1838114749">
    <w:abstractNumId w:val="3"/>
  </w:num>
  <w:num w:numId="9" w16cid:durableId="1426919861">
    <w:abstractNumId w:val="2"/>
  </w:num>
  <w:num w:numId="10" w16cid:durableId="882400189">
    <w:abstractNumId w:val="16"/>
  </w:num>
  <w:num w:numId="11" w16cid:durableId="484012630">
    <w:abstractNumId w:val="10"/>
  </w:num>
  <w:num w:numId="12" w16cid:durableId="1932277018">
    <w:abstractNumId w:val="24"/>
  </w:num>
  <w:num w:numId="13" w16cid:durableId="390689199">
    <w:abstractNumId w:val="13"/>
  </w:num>
  <w:num w:numId="14" w16cid:durableId="593511720">
    <w:abstractNumId w:val="20"/>
  </w:num>
  <w:num w:numId="15" w16cid:durableId="494997871">
    <w:abstractNumId w:val="7"/>
  </w:num>
  <w:num w:numId="16" w16cid:durableId="1568302262">
    <w:abstractNumId w:val="21"/>
  </w:num>
  <w:num w:numId="17" w16cid:durableId="1672637778">
    <w:abstractNumId w:val="15"/>
  </w:num>
  <w:num w:numId="18" w16cid:durableId="2104959035">
    <w:abstractNumId w:val="11"/>
  </w:num>
  <w:num w:numId="19" w16cid:durableId="726337296">
    <w:abstractNumId w:val="4"/>
  </w:num>
  <w:num w:numId="20" w16cid:durableId="1581136012">
    <w:abstractNumId w:val="0"/>
  </w:num>
  <w:num w:numId="21" w16cid:durableId="182132972">
    <w:abstractNumId w:val="17"/>
  </w:num>
  <w:num w:numId="22" w16cid:durableId="858853269">
    <w:abstractNumId w:val="23"/>
  </w:num>
  <w:num w:numId="23" w16cid:durableId="287976457">
    <w:abstractNumId w:val="6"/>
  </w:num>
  <w:num w:numId="24" w16cid:durableId="512886169">
    <w:abstractNumId w:val="9"/>
  </w:num>
  <w:num w:numId="25" w16cid:durableId="42376794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5A535E"/>
    <w:rsid w:val="000002D3"/>
    <w:rsid w:val="00002AB5"/>
    <w:rsid w:val="00004B87"/>
    <w:rsid w:val="00010609"/>
    <w:rsid w:val="00010AAB"/>
    <w:rsid w:val="00027079"/>
    <w:rsid w:val="00032851"/>
    <w:rsid w:val="000343B1"/>
    <w:rsid w:val="000509D6"/>
    <w:rsid w:val="000525B5"/>
    <w:rsid w:val="00053E6E"/>
    <w:rsid w:val="000623D5"/>
    <w:rsid w:val="00066733"/>
    <w:rsid w:val="00067349"/>
    <w:rsid w:val="00067561"/>
    <w:rsid w:val="00067A5E"/>
    <w:rsid w:val="00076E2A"/>
    <w:rsid w:val="0007720C"/>
    <w:rsid w:val="00080948"/>
    <w:rsid w:val="000813CE"/>
    <w:rsid w:val="000841A8"/>
    <w:rsid w:val="00084999"/>
    <w:rsid w:val="00086C68"/>
    <w:rsid w:val="00087E3B"/>
    <w:rsid w:val="000926E4"/>
    <w:rsid w:val="00094C8A"/>
    <w:rsid w:val="00096856"/>
    <w:rsid w:val="000B54A8"/>
    <w:rsid w:val="000B5DB5"/>
    <w:rsid w:val="000B5DEC"/>
    <w:rsid w:val="000B7743"/>
    <w:rsid w:val="000D31AF"/>
    <w:rsid w:val="000D50AB"/>
    <w:rsid w:val="000E18FD"/>
    <w:rsid w:val="000E2BA8"/>
    <w:rsid w:val="000F0198"/>
    <w:rsid w:val="000F0B23"/>
    <w:rsid w:val="000F498B"/>
    <w:rsid w:val="000F6A20"/>
    <w:rsid w:val="00103777"/>
    <w:rsid w:val="0011341D"/>
    <w:rsid w:val="0012067D"/>
    <w:rsid w:val="00122561"/>
    <w:rsid w:val="001321E4"/>
    <w:rsid w:val="00132D7E"/>
    <w:rsid w:val="001572B4"/>
    <w:rsid w:val="001577C5"/>
    <w:rsid w:val="00157CF0"/>
    <w:rsid w:val="001623CF"/>
    <w:rsid w:val="00164EA9"/>
    <w:rsid w:val="001729FE"/>
    <w:rsid w:val="0017357D"/>
    <w:rsid w:val="0018173E"/>
    <w:rsid w:val="00182CB5"/>
    <w:rsid w:val="00191E4A"/>
    <w:rsid w:val="00194431"/>
    <w:rsid w:val="00194893"/>
    <w:rsid w:val="0019551D"/>
    <w:rsid w:val="0019596F"/>
    <w:rsid w:val="00197BEF"/>
    <w:rsid w:val="001A101C"/>
    <w:rsid w:val="001A5BB8"/>
    <w:rsid w:val="001C0685"/>
    <w:rsid w:val="001C2338"/>
    <w:rsid w:val="001C610E"/>
    <w:rsid w:val="001C7F68"/>
    <w:rsid w:val="001E03BF"/>
    <w:rsid w:val="001F1DB5"/>
    <w:rsid w:val="001F2AAC"/>
    <w:rsid w:val="001F3D48"/>
    <w:rsid w:val="00205A9D"/>
    <w:rsid w:val="002124C8"/>
    <w:rsid w:val="0022430A"/>
    <w:rsid w:val="0022622D"/>
    <w:rsid w:val="00226EC1"/>
    <w:rsid w:val="00227617"/>
    <w:rsid w:val="00227DDE"/>
    <w:rsid w:val="00231001"/>
    <w:rsid w:val="002344E2"/>
    <w:rsid w:val="00242851"/>
    <w:rsid w:val="002433DF"/>
    <w:rsid w:val="00243D96"/>
    <w:rsid w:val="00252BB8"/>
    <w:rsid w:val="0025576C"/>
    <w:rsid w:val="0026093E"/>
    <w:rsid w:val="0026308F"/>
    <w:rsid w:val="002633E5"/>
    <w:rsid w:val="00265532"/>
    <w:rsid w:val="00273494"/>
    <w:rsid w:val="00274F2A"/>
    <w:rsid w:val="002829D2"/>
    <w:rsid w:val="00287864"/>
    <w:rsid w:val="002934FD"/>
    <w:rsid w:val="00294FF3"/>
    <w:rsid w:val="002B44B8"/>
    <w:rsid w:val="002B45CB"/>
    <w:rsid w:val="002C4B93"/>
    <w:rsid w:val="002C5678"/>
    <w:rsid w:val="002D3643"/>
    <w:rsid w:val="002D61C4"/>
    <w:rsid w:val="002E17E1"/>
    <w:rsid w:val="002E3474"/>
    <w:rsid w:val="002F22F2"/>
    <w:rsid w:val="002F282F"/>
    <w:rsid w:val="002F29DE"/>
    <w:rsid w:val="002F5515"/>
    <w:rsid w:val="00313FC1"/>
    <w:rsid w:val="00316992"/>
    <w:rsid w:val="00325833"/>
    <w:rsid w:val="00330E74"/>
    <w:rsid w:val="003345E0"/>
    <w:rsid w:val="003547DC"/>
    <w:rsid w:val="00354EF0"/>
    <w:rsid w:val="00356B80"/>
    <w:rsid w:val="00357B93"/>
    <w:rsid w:val="00360945"/>
    <w:rsid w:val="00363FBA"/>
    <w:rsid w:val="003657CC"/>
    <w:rsid w:val="00376322"/>
    <w:rsid w:val="0037642C"/>
    <w:rsid w:val="00381C6E"/>
    <w:rsid w:val="00382502"/>
    <w:rsid w:val="00383060"/>
    <w:rsid w:val="00384539"/>
    <w:rsid w:val="0039335B"/>
    <w:rsid w:val="003948A8"/>
    <w:rsid w:val="0039573A"/>
    <w:rsid w:val="003A767D"/>
    <w:rsid w:val="003B0B75"/>
    <w:rsid w:val="003B4148"/>
    <w:rsid w:val="003B60B8"/>
    <w:rsid w:val="003C0C0C"/>
    <w:rsid w:val="003C1AB7"/>
    <w:rsid w:val="003C1CC4"/>
    <w:rsid w:val="003C3937"/>
    <w:rsid w:val="003C4203"/>
    <w:rsid w:val="003C547B"/>
    <w:rsid w:val="003C7437"/>
    <w:rsid w:val="003D6807"/>
    <w:rsid w:val="003E03DC"/>
    <w:rsid w:val="003E569A"/>
    <w:rsid w:val="003F0896"/>
    <w:rsid w:val="003F129D"/>
    <w:rsid w:val="00410172"/>
    <w:rsid w:val="00420440"/>
    <w:rsid w:val="00424C10"/>
    <w:rsid w:val="0042798F"/>
    <w:rsid w:val="00427AD3"/>
    <w:rsid w:val="00430E51"/>
    <w:rsid w:val="004327C9"/>
    <w:rsid w:val="004370C6"/>
    <w:rsid w:val="004377AD"/>
    <w:rsid w:val="00437A35"/>
    <w:rsid w:val="00450305"/>
    <w:rsid w:val="0045165F"/>
    <w:rsid w:val="00461626"/>
    <w:rsid w:val="0046396B"/>
    <w:rsid w:val="00472CA0"/>
    <w:rsid w:val="00473D1C"/>
    <w:rsid w:val="00476D7D"/>
    <w:rsid w:val="0047786E"/>
    <w:rsid w:val="0048531B"/>
    <w:rsid w:val="00495C6C"/>
    <w:rsid w:val="00496921"/>
    <w:rsid w:val="004B1F46"/>
    <w:rsid w:val="004B35F8"/>
    <w:rsid w:val="004C064F"/>
    <w:rsid w:val="004D3BD0"/>
    <w:rsid w:val="004D758E"/>
    <w:rsid w:val="004E18A2"/>
    <w:rsid w:val="004E61A6"/>
    <w:rsid w:val="004F09A7"/>
    <w:rsid w:val="004F1147"/>
    <w:rsid w:val="004F1A88"/>
    <w:rsid w:val="004F667D"/>
    <w:rsid w:val="00505B06"/>
    <w:rsid w:val="00512BD3"/>
    <w:rsid w:val="0052066E"/>
    <w:rsid w:val="00521CA1"/>
    <w:rsid w:val="005317C2"/>
    <w:rsid w:val="00540F85"/>
    <w:rsid w:val="00541283"/>
    <w:rsid w:val="00551711"/>
    <w:rsid w:val="00553A16"/>
    <w:rsid w:val="00556C66"/>
    <w:rsid w:val="0056571C"/>
    <w:rsid w:val="00567189"/>
    <w:rsid w:val="00572C97"/>
    <w:rsid w:val="005737E3"/>
    <w:rsid w:val="0057422C"/>
    <w:rsid w:val="00575C08"/>
    <w:rsid w:val="005762FA"/>
    <w:rsid w:val="005A25A2"/>
    <w:rsid w:val="005A3F70"/>
    <w:rsid w:val="005B41EA"/>
    <w:rsid w:val="005B45FC"/>
    <w:rsid w:val="005C67DC"/>
    <w:rsid w:val="005D0639"/>
    <w:rsid w:val="005D20A0"/>
    <w:rsid w:val="005E0DF9"/>
    <w:rsid w:val="005E0FE5"/>
    <w:rsid w:val="005F006E"/>
    <w:rsid w:val="005F0C30"/>
    <w:rsid w:val="00603700"/>
    <w:rsid w:val="00615F98"/>
    <w:rsid w:val="006164E6"/>
    <w:rsid w:val="00624C62"/>
    <w:rsid w:val="00632B83"/>
    <w:rsid w:val="00634810"/>
    <w:rsid w:val="00635BE1"/>
    <w:rsid w:val="0063660F"/>
    <w:rsid w:val="006402F6"/>
    <w:rsid w:val="00642ACD"/>
    <w:rsid w:val="006443DE"/>
    <w:rsid w:val="00653C0E"/>
    <w:rsid w:val="00654435"/>
    <w:rsid w:val="0066154F"/>
    <w:rsid w:val="006638D2"/>
    <w:rsid w:val="00664B6E"/>
    <w:rsid w:val="00666CF3"/>
    <w:rsid w:val="00667FE8"/>
    <w:rsid w:val="0067562E"/>
    <w:rsid w:val="00687A62"/>
    <w:rsid w:val="006B15D1"/>
    <w:rsid w:val="006B1A54"/>
    <w:rsid w:val="006B447D"/>
    <w:rsid w:val="006B5028"/>
    <w:rsid w:val="006B69D8"/>
    <w:rsid w:val="006B708D"/>
    <w:rsid w:val="006D2225"/>
    <w:rsid w:val="006D6482"/>
    <w:rsid w:val="006D76C8"/>
    <w:rsid w:val="006E5072"/>
    <w:rsid w:val="006F0785"/>
    <w:rsid w:val="006F285F"/>
    <w:rsid w:val="006F6276"/>
    <w:rsid w:val="007012D5"/>
    <w:rsid w:val="00701B0C"/>
    <w:rsid w:val="0070652A"/>
    <w:rsid w:val="00706FBA"/>
    <w:rsid w:val="0071162B"/>
    <w:rsid w:val="00711BBB"/>
    <w:rsid w:val="00714D4F"/>
    <w:rsid w:val="00717212"/>
    <w:rsid w:val="00721E67"/>
    <w:rsid w:val="00724E67"/>
    <w:rsid w:val="00724ECA"/>
    <w:rsid w:val="0072612E"/>
    <w:rsid w:val="00733C6D"/>
    <w:rsid w:val="00751BE9"/>
    <w:rsid w:val="00762590"/>
    <w:rsid w:val="00764998"/>
    <w:rsid w:val="00771E03"/>
    <w:rsid w:val="0077296D"/>
    <w:rsid w:val="00774992"/>
    <w:rsid w:val="00775382"/>
    <w:rsid w:val="007862B0"/>
    <w:rsid w:val="00794521"/>
    <w:rsid w:val="007A2D0C"/>
    <w:rsid w:val="007A37A8"/>
    <w:rsid w:val="007B7214"/>
    <w:rsid w:val="007C689D"/>
    <w:rsid w:val="007C7783"/>
    <w:rsid w:val="007C7BFC"/>
    <w:rsid w:val="007D3311"/>
    <w:rsid w:val="007F4B28"/>
    <w:rsid w:val="007F6652"/>
    <w:rsid w:val="00806B09"/>
    <w:rsid w:val="00811B9F"/>
    <w:rsid w:val="008223AD"/>
    <w:rsid w:val="0082398C"/>
    <w:rsid w:val="00824E21"/>
    <w:rsid w:val="008301DD"/>
    <w:rsid w:val="00833C5D"/>
    <w:rsid w:val="0083565A"/>
    <w:rsid w:val="00847DE8"/>
    <w:rsid w:val="00847E74"/>
    <w:rsid w:val="00853D78"/>
    <w:rsid w:val="00853EE3"/>
    <w:rsid w:val="0085655B"/>
    <w:rsid w:val="00862DA6"/>
    <w:rsid w:val="00863716"/>
    <w:rsid w:val="00864C42"/>
    <w:rsid w:val="00867957"/>
    <w:rsid w:val="00870E8E"/>
    <w:rsid w:val="0088399C"/>
    <w:rsid w:val="00886D2D"/>
    <w:rsid w:val="0089182D"/>
    <w:rsid w:val="00893F43"/>
    <w:rsid w:val="00896399"/>
    <w:rsid w:val="00897375"/>
    <w:rsid w:val="008A7AF5"/>
    <w:rsid w:val="008B3C29"/>
    <w:rsid w:val="008B3D8F"/>
    <w:rsid w:val="008B73BD"/>
    <w:rsid w:val="008C65A4"/>
    <w:rsid w:val="008D3A0F"/>
    <w:rsid w:val="008D7E5E"/>
    <w:rsid w:val="008E0EDB"/>
    <w:rsid w:val="008E7ABF"/>
    <w:rsid w:val="008F2905"/>
    <w:rsid w:val="008F7C8F"/>
    <w:rsid w:val="00903A66"/>
    <w:rsid w:val="009047C8"/>
    <w:rsid w:val="0091289A"/>
    <w:rsid w:val="00917791"/>
    <w:rsid w:val="0092575C"/>
    <w:rsid w:val="00943DCF"/>
    <w:rsid w:val="0094790F"/>
    <w:rsid w:val="00953460"/>
    <w:rsid w:val="00953619"/>
    <w:rsid w:val="00954131"/>
    <w:rsid w:val="009543E9"/>
    <w:rsid w:val="00957A8C"/>
    <w:rsid w:val="0096354D"/>
    <w:rsid w:val="009707D7"/>
    <w:rsid w:val="00972A5B"/>
    <w:rsid w:val="00972BDC"/>
    <w:rsid w:val="0097622B"/>
    <w:rsid w:val="00983751"/>
    <w:rsid w:val="009865BC"/>
    <w:rsid w:val="009908CE"/>
    <w:rsid w:val="0099116B"/>
    <w:rsid w:val="0099164F"/>
    <w:rsid w:val="00992D8F"/>
    <w:rsid w:val="00992F1D"/>
    <w:rsid w:val="00993A8B"/>
    <w:rsid w:val="009B1F9F"/>
    <w:rsid w:val="009B2E2D"/>
    <w:rsid w:val="009C27BB"/>
    <w:rsid w:val="009C2E1D"/>
    <w:rsid w:val="009C35E6"/>
    <w:rsid w:val="009D0440"/>
    <w:rsid w:val="009D0D4A"/>
    <w:rsid w:val="009D11E2"/>
    <w:rsid w:val="009D29A0"/>
    <w:rsid w:val="009E543A"/>
    <w:rsid w:val="009F2779"/>
    <w:rsid w:val="00A0019D"/>
    <w:rsid w:val="00A019F6"/>
    <w:rsid w:val="00A0280F"/>
    <w:rsid w:val="00A16DFC"/>
    <w:rsid w:val="00A1783D"/>
    <w:rsid w:val="00A210CD"/>
    <w:rsid w:val="00A23A2F"/>
    <w:rsid w:val="00A35909"/>
    <w:rsid w:val="00A455E1"/>
    <w:rsid w:val="00A45CF2"/>
    <w:rsid w:val="00A60755"/>
    <w:rsid w:val="00A6486B"/>
    <w:rsid w:val="00A64F73"/>
    <w:rsid w:val="00A77C03"/>
    <w:rsid w:val="00A90BA8"/>
    <w:rsid w:val="00A9367F"/>
    <w:rsid w:val="00A96F52"/>
    <w:rsid w:val="00A97AAF"/>
    <w:rsid w:val="00AA0DB0"/>
    <w:rsid w:val="00AA6866"/>
    <w:rsid w:val="00AB56A6"/>
    <w:rsid w:val="00AB7EC8"/>
    <w:rsid w:val="00AD03E8"/>
    <w:rsid w:val="00AD13D6"/>
    <w:rsid w:val="00AE3E59"/>
    <w:rsid w:val="00AE483F"/>
    <w:rsid w:val="00B04764"/>
    <w:rsid w:val="00B04DDE"/>
    <w:rsid w:val="00B06194"/>
    <w:rsid w:val="00B120A4"/>
    <w:rsid w:val="00B15C75"/>
    <w:rsid w:val="00B17716"/>
    <w:rsid w:val="00B33085"/>
    <w:rsid w:val="00B372A9"/>
    <w:rsid w:val="00B43C6D"/>
    <w:rsid w:val="00B45302"/>
    <w:rsid w:val="00B465E8"/>
    <w:rsid w:val="00B46A4B"/>
    <w:rsid w:val="00B64127"/>
    <w:rsid w:val="00B71A42"/>
    <w:rsid w:val="00B7513D"/>
    <w:rsid w:val="00B75CA7"/>
    <w:rsid w:val="00B76F74"/>
    <w:rsid w:val="00B83CDD"/>
    <w:rsid w:val="00B84E6D"/>
    <w:rsid w:val="00B85203"/>
    <w:rsid w:val="00B9443D"/>
    <w:rsid w:val="00B950E2"/>
    <w:rsid w:val="00BB1C41"/>
    <w:rsid w:val="00BB58F4"/>
    <w:rsid w:val="00BB601A"/>
    <w:rsid w:val="00BC01C5"/>
    <w:rsid w:val="00BC16F5"/>
    <w:rsid w:val="00BC365F"/>
    <w:rsid w:val="00BD4B2D"/>
    <w:rsid w:val="00BE11FD"/>
    <w:rsid w:val="00C048B3"/>
    <w:rsid w:val="00C13C98"/>
    <w:rsid w:val="00C142E6"/>
    <w:rsid w:val="00C14AEE"/>
    <w:rsid w:val="00C226CA"/>
    <w:rsid w:val="00C278F3"/>
    <w:rsid w:val="00C324ED"/>
    <w:rsid w:val="00C33EFF"/>
    <w:rsid w:val="00C42794"/>
    <w:rsid w:val="00C46698"/>
    <w:rsid w:val="00C53565"/>
    <w:rsid w:val="00C53B00"/>
    <w:rsid w:val="00C61D02"/>
    <w:rsid w:val="00C65C28"/>
    <w:rsid w:val="00C662C2"/>
    <w:rsid w:val="00C664B1"/>
    <w:rsid w:val="00C70348"/>
    <w:rsid w:val="00C728FA"/>
    <w:rsid w:val="00C736E5"/>
    <w:rsid w:val="00C8501D"/>
    <w:rsid w:val="00C87AB2"/>
    <w:rsid w:val="00C909A1"/>
    <w:rsid w:val="00CA54E7"/>
    <w:rsid w:val="00CA5B6A"/>
    <w:rsid w:val="00CB2E81"/>
    <w:rsid w:val="00CB63B5"/>
    <w:rsid w:val="00CB7345"/>
    <w:rsid w:val="00CC18AD"/>
    <w:rsid w:val="00CC1FAF"/>
    <w:rsid w:val="00CC31F5"/>
    <w:rsid w:val="00CC48A0"/>
    <w:rsid w:val="00CC69D3"/>
    <w:rsid w:val="00CD380E"/>
    <w:rsid w:val="00CD76CE"/>
    <w:rsid w:val="00CD7816"/>
    <w:rsid w:val="00CE04F2"/>
    <w:rsid w:val="00CE3744"/>
    <w:rsid w:val="00CE57A2"/>
    <w:rsid w:val="00CE5D51"/>
    <w:rsid w:val="00CF09F1"/>
    <w:rsid w:val="00CF5768"/>
    <w:rsid w:val="00CF6134"/>
    <w:rsid w:val="00D04431"/>
    <w:rsid w:val="00D105C9"/>
    <w:rsid w:val="00D20310"/>
    <w:rsid w:val="00D244FB"/>
    <w:rsid w:val="00D258C1"/>
    <w:rsid w:val="00D33ED2"/>
    <w:rsid w:val="00D40E9C"/>
    <w:rsid w:val="00D46913"/>
    <w:rsid w:val="00D474D0"/>
    <w:rsid w:val="00D520E4"/>
    <w:rsid w:val="00D66A9E"/>
    <w:rsid w:val="00D7772F"/>
    <w:rsid w:val="00D829C0"/>
    <w:rsid w:val="00D86004"/>
    <w:rsid w:val="00D93480"/>
    <w:rsid w:val="00D978CA"/>
    <w:rsid w:val="00DB1027"/>
    <w:rsid w:val="00DB3894"/>
    <w:rsid w:val="00DB4A26"/>
    <w:rsid w:val="00DB6675"/>
    <w:rsid w:val="00DC417A"/>
    <w:rsid w:val="00DC63FD"/>
    <w:rsid w:val="00DD10FF"/>
    <w:rsid w:val="00DD1330"/>
    <w:rsid w:val="00DD5693"/>
    <w:rsid w:val="00DE2CB4"/>
    <w:rsid w:val="00DF4F8E"/>
    <w:rsid w:val="00E04824"/>
    <w:rsid w:val="00E05699"/>
    <w:rsid w:val="00E27B3D"/>
    <w:rsid w:val="00E418C7"/>
    <w:rsid w:val="00E428C8"/>
    <w:rsid w:val="00E4643C"/>
    <w:rsid w:val="00E50871"/>
    <w:rsid w:val="00E72EAC"/>
    <w:rsid w:val="00E74BD3"/>
    <w:rsid w:val="00E83433"/>
    <w:rsid w:val="00E966D3"/>
    <w:rsid w:val="00EA42AC"/>
    <w:rsid w:val="00EA44A7"/>
    <w:rsid w:val="00EA7958"/>
    <w:rsid w:val="00EA7A73"/>
    <w:rsid w:val="00EB434D"/>
    <w:rsid w:val="00EB5ACE"/>
    <w:rsid w:val="00EB6D1E"/>
    <w:rsid w:val="00EC025A"/>
    <w:rsid w:val="00ED05B5"/>
    <w:rsid w:val="00ED2C2C"/>
    <w:rsid w:val="00EE0B6B"/>
    <w:rsid w:val="00EE1083"/>
    <w:rsid w:val="00EE5612"/>
    <w:rsid w:val="00EF34D9"/>
    <w:rsid w:val="00EF7CB0"/>
    <w:rsid w:val="00F0618E"/>
    <w:rsid w:val="00F34CD9"/>
    <w:rsid w:val="00F406F0"/>
    <w:rsid w:val="00F4153F"/>
    <w:rsid w:val="00F637FA"/>
    <w:rsid w:val="00F65672"/>
    <w:rsid w:val="00F65C32"/>
    <w:rsid w:val="00F67186"/>
    <w:rsid w:val="00F702AD"/>
    <w:rsid w:val="00F70644"/>
    <w:rsid w:val="00F72CB8"/>
    <w:rsid w:val="00F758C7"/>
    <w:rsid w:val="00F75CE1"/>
    <w:rsid w:val="00F81037"/>
    <w:rsid w:val="00F839D2"/>
    <w:rsid w:val="00F84A84"/>
    <w:rsid w:val="00F86B0A"/>
    <w:rsid w:val="00FA7634"/>
    <w:rsid w:val="00FB1C07"/>
    <w:rsid w:val="00FC6049"/>
    <w:rsid w:val="00FD181D"/>
    <w:rsid w:val="00FD3D85"/>
    <w:rsid w:val="00FD5F54"/>
    <w:rsid w:val="00FE425D"/>
    <w:rsid w:val="00FE6DBA"/>
    <w:rsid w:val="00FF280D"/>
    <w:rsid w:val="00FF2E80"/>
    <w:rsid w:val="00FF40DB"/>
    <w:rsid w:val="00FF41CC"/>
    <w:rsid w:val="00FF5AE3"/>
    <w:rsid w:val="00FF6F4B"/>
    <w:rsid w:val="01CEF96A"/>
    <w:rsid w:val="02E9EC9C"/>
    <w:rsid w:val="04C6346D"/>
    <w:rsid w:val="05AA6D9E"/>
    <w:rsid w:val="065571A1"/>
    <w:rsid w:val="066695DB"/>
    <w:rsid w:val="0674D22F"/>
    <w:rsid w:val="081666F9"/>
    <w:rsid w:val="081ABD25"/>
    <w:rsid w:val="09448246"/>
    <w:rsid w:val="094B0473"/>
    <w:rsid w:val="09AAD01C"/>
    <w:rsid w:val="09E5D55B"/>
    <w:rsid w:val="0B179EDF"/>
    <w:rsid w:val="0C628B2F"/>
    <w:rsid w:val="0D0DA6ED"/>
    <w:rsid w:val="0DA1DF82"/>
    <w:rsid w:val="0DB360B8"/>
    <w:rsid w:val="0E405391"/>
    <w:rsid w:val="0EB3AF29"/>
    <w:rsid w:val="0FAEECE6"/>
    <w:rsid w:val="10432D71"/>
    <w:rsid w:val="10AD20B0"/>
    <w:rsid w:val="10B744C0"/>
    <w:rsid w:val="10E34648"/>
    <w:rsid w:val="1108C1EE"/>
    <w:rsid w:val="110AF0CE"/>
    <w:rsid w:val="120A22A8"/>
    <w:rsid w:val="121A64A8"/>
    <w:rsid w:val="131C9040"/>
    <w:rsid w:val="13540514"/>
    <w:rsid w:val="13DDFFBC"/>
    <w:rsid w:val="1582A3BE"/>
    <w:rsid w:val="16008361"/>
    <w:rsid w:val="167DAD28"/>
    <w:rsid w:val="16BD280D"/>
    <w:rsid w:val="173A9FA9"/>
    <w:rsid w:val="17866EA8"/>
    <w:rsid w:val="18A331C6"/>
    <w:rsid w:val="1A5E2480"/>
    <w:rsid w:val="1AD28568"/>
    <w:rsid w:val="1CC2E31A"/>
    <w:rsid w:val="1CDEE14B"/>
    <w:rsid w:val="1D0A0BDD"/>
    <w:rsid w:val="1F384724"/>
    <w:rsid w:val="202CE9F2"/>
    <w:rsid w:val="213FC340"/>
    <w:rsid w:val="22638A29"/>
    <w:rsid w:val="23667729"/>
    <w:rsid w:val="23B1A4C5"/>
    <w:rsid w:val="23E89733"/>
    <w:rsid w:val="240E38C5"/>
    <w:rsid w:val="24BBF1E1"/>
    <w:rsid w:val="2598BD85"/>
    <w:rsid w:val="267CE708"/>
    <w:rsid w:val="2B828A0A"/>
    <w:rsid w:val="2BD322E5"/>
    <w:rsid w:val="2C68FB66"/>
    <w:rsid w:val="302C0EA8"/>
    <w:rsid w:val="31FA79BB"/>
    <w:rsid w:val="326218F1"/>
    <w:rsid w:val="348A36BC"/>
    <w:rsid w:val="34E5B839"/>
    <w:rsid w:val="36E6963F"/>
    <w:rsid w:val="36F33385"/>
    <w:rsid w:val="3818BA61"/>
    <w:rsid w:val="386A5C45"/>
    <w:rsid w:val="38A5F1A4"/>
    <w:rsid w:val="3974A5F3"/>
    <w:rsid w:val="398FF8B1"/>
    <w:rsid w:val="3A21C976"/>
    <w:rsid w:val="3A272DC1"/>
    <w:rsid w:val="3B11650C"/>
    <w:rsid w:val="3D083C0E"/>
    <w:rsid w:val="3D124D39"/>
    <w:rsid w:val="3E72257B"/>
    <w:rsid w:val="3EE7C2CA"/>
    <w:rsid w:val="3FC5DFDD"/>
    <w:rsid w:val="4136240E"/>
    <w:rsid w:val="41CA917F"/>
    <w:rsid w:val="420B5086"/>
    <w:rsid w:val="459E95B5"/>
    <w:rsid w:val="46648C7B"/>
    <w:rsid w:val="46DEF143"/>
    <w:rsid w:val="472557DE"/>
    <w:rsid w:val="477F705A"/>
    <w:rsid w:val="47B49E73"/>
    <w:rsid w:val="48D3144E"/>
    <w:rsid w:val="493E173C"/>
    <w:rsid w:val="4AA78C56"/>
    <w:rsid w:val="4B59E579"/>
    <w:rsid w:val="4C7F7F0C"/>
    <w:rsid w:val="4D5A535E"/>
    <w:rsid w:val="4D688FBE"/>
    <w:rsid w:val="4DE6485E"/>
    <w:rsid w:val="4F1BBA11"/>
    <w:rsid w:val="4F4FB4E8"/>
    <w:rsid w:val="4F4FF4B0"/>
    <w:rsid w:val="4F81E9BC"/>
    <w:rsid w:val="5079BD22"/>
    <w:rsid w:val="51AFD8CC"/>
    <w:rsid w:val="53C2996D"/>
    <w:rsid w:val="5455494B"/>
    <w:rsid w:val="546638A7"/>
    <w:rsid w:val="54DB41D2"/>
    <w:rsid w:val="56C8E0D3"/>
    <w:rsid w:val="594DCB92"/>
    <w:rsid w:val="5A0B852B"/>
    <w:rsid w:val="5A1330E7"/>
    <w:rsid w:val="5AB38D65"/>
    <w:rsid w:val="5B419377"/>
    <w:rsid w:val="5B9AF860"/>
    <w:rsid w:val="5BBD201B"/>
    <w:rsid w:val="5D27EF2E"/>
    <w:rsid w:val="5D4AED71"/>
    <w:rsid w:val="5DE42482"/>
    <w:rsid w:val="5EA78C86"/>
    <w:rsid w:val="60B7CDAC"/>
    <w:rsid w:val="60E38696"/>
    <w:rsid w:val="61B3DC01"/>
    <w:rsid w:val="6395B2BC"/>
    <w:rsid w:val="63C0689F"/>
    <w:rsid w:val="6496B927"/>
    <w:rsid w:val="64C03470"/>
    <w:rsid w:val="65BA4C6C"/>
    <w:rsid w:val="6608C9AB"/>
    <w:rsid w:val="66308B21"/>
    <w:rsid w:val="67F41A73"/>
    <w:rsid w:val="6975EEDA"/>
    <w:rsid w:val="6A2C3F96"/>
    <w:rsid w:val="6A464219"/>
    <w:rsid w:val="6AB8CFA3"/>
    <w:rsid w:val="6AD9DBDB"/>
    <w:rsid w:val="6B16D07F"/>
    <w:rsid w:val="6B39321B"/>
    <w:rsid w:val="6B67E627"/>
    <w:rsid w:val="6B94DFFA"/>
    <w:rsid w:val="6BFC0120"/>
    <w:rsid w:val="6C77445C"/>
    <w:rsid w:val="6D4FEC62"/>
    <w:rsid w:val="6DAD6152"/>
    <w:rsid w:val="6DAF232D"/>
    <w:rsid w:val="6DCC21F7"/>
    <w:rsid w:val="6DD71AFA"/>
    <w:rsid w:val="6F226F17"/>
    <w:rsid w:val="70384295"/>
    <w:rsid w:val="70B35F03"/>
    <w:rsid w:val="70B92142"/>
    <w:rsid w:val="7203765E"/>
    <w:rsid w:val="7312EBA0"/>
    <w:rsid w:val="7331C581"/>
    <w:rsid w:val="76852C16"/>
    <w:rsid w:val="782FF057"/>
    <w:rsid w:val="78B5DD19"/>
    <w:rsid w:val="7971FF7C"/>
    <w:rsid w:val="7EEC822E"/>
    <w:rsid w:val="7F7405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A535E"/>
  <w15:chartTrackingRefBased/>
  <w15:docId w15:val="{792A3A54-0E36-4D9E-9B25-9B73AC88D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normaltextrun">
    <w:name w:val="normaltextrun"/>
    <w:basedOn w:val="DefaultParagraphFont"/>
    <w:uiPriority w:val="1"/>
    <w:rsid w:val="131C9040"/>
    <w:rPr>
      <w:rFonts w:asciiTheme="minorHAnsi" w:eastAsiaTheme="minorEastAsia" w:hAnsiTheme="minorHAnsi" w:cstheme="minorBidi"/>
      <w:sz w:val="24"/>
      <w:szCs w:val="24"/>
    </w:rPr>
  </w:style>
  <w:style w:type="paragraph" w:styleId="ListParagraph">
    <w:name w:val="List Paragraph"/>
    <w:aliases w:val="Bulleted list,RM List Paragraph,Tier 1 Bullet,Bullet List,ADOTS,Capire List Paragraph,OPG List Paragraph,Heading x,Bullets2,NFP GP Bulleted List,List Paragraph1,Bullet,LMA Bullet Numbers,b1,bullet1,bullet 1,MA Bullet 1,Alt.,b1 Char,Body11"/>
    <w:basedOn w:val="Normal"/>
    <w:link w:val="ListParagraphChar"/>
    <w:uiPriority w:val="34"/>
    <w:qFormat/>
    <w:rsid w:val="1CDEE14B"/>
    <w:pPr>
      <w:ind w:left="720"/>
      <w:contextualSpacing/>
    </w:pPr>
  </w:style>
  <w:style w:type="character" w:customStyle="1" w:styleId="eop">
    <w:name w:val="eop"/>
    <w:basedOn w:val="DefaultParagraphFont"/>
    <w:uiPriority w:val="1"/>
    <w:rsid w:val="1CDEE14B"/>
    <w:rPr>
      <w:rFonts w:asciiTheme="minorHAnsi" w:eastAsiaTheme="minorEastAsia" w:hAnsiTheme="minorHAnsi" w:cstheme="minorBidi"/>
      <w:sz w:val="24"/>
      <w:szCs w:val="24"/>
    </w:rPr>
  </w:style>
  <w:style w:type="paragraph" w:customStyle="1" w:styleId="Report-ParagraphNumbering">
    <w:name w:val="Report - Paragraph Numbering"/>
    <w:basedOn w:val="Normal"/>
    <w:link w:val="Report-ParagraphNumberingChar"/>
    <w:uiPriority w:val="1"/>
    <w:qFormat/>
    <w:rsid w:val="0674D22F"/>
    <w:pPr>
      <w:spacing w:before="120" w:after="120" w:line="240" w:lineRule="auto"/>
      <w:ind w:left="567" w:hanging="567"/>
    </w:pPr>
    <w:rPr>
      <w:color w:val="000000" w:themeColor="text1"/>
      <w:sz w:val="22"/>
      <w:szCs w:val="22"/>
      <w:lang w:eastAsia="en-US"/>
    </w:rPr>
  </w:style>
  <w:style w:type="character" w:customStyle="1" w:styleId="Report-ParagraphNumberingChar">
    <w:name w:val="Report - Paragraph Numbering Char"/>
    <w:basedOn w:val="DefaultParagraphFont"/>
    <w:link w:val="Report-ParagraphNumbering"/>
    <w:uiPriority w:val="1"/>
    <w:rsid w:val="0674D22F"/>
    <w:rPr>
      <w:color w:val="000000" w:themeColor="text1"/>
      <w:sz w:val="22"/>
      <w:szCs w:val="22"/>
      <w:lang w:eastAsia="en-US"/>
    </w:rPr>
  </w:style>
  <w:style w:type="paragraph" w:styleId="TOC2">
    <w:name w:val="toc 2"/>
    <w:basedOn w:val="Normal"/>
    <w:next w:val="Normal"/>
    <w:uiPriority w:val="39"/>
    <w:unhideWhenUsed/>
    <w:rsid w:val="0674D22F"/>
    <w:pPr>
      <w:spacing w:after="100"/>
      <w:ind w:left="220"/>
    </w:pPr>
  </w:style>
  <w:style w:type="character" w:styleId="Hyperlink">
    <w:name w:val="Hyperlink"/>
    <w:basedOn w:val="DefaultParagraphFont"/>
    <w:uiPriority w:val="99"/>
    <w:unhideWhenUsed/>
    <w:rsid w:val="0674D22F"/>
    <w:rPr>
      <w:color w:val="467886"/>
      <w:u w:val="single"/>
    </w:rPr>
  </w:style>
  <w:style w:type="paragraph" w:styleId="TOC1">
    <w:name w:val="toc 1"/>
    <w:basedOn w:val="Normal"/>
    <w:next w:val="Normal"/>
    <w:uiPriority w:val="39"/>
    <w:unhideWhenUsed/>
    <w:rsid w:val="0674D22F"/>
    <w:pPr>
      <w:spacing w:after="100"/>
    </w:pPr>
  </w:style>
  <w:style w:type="paragraph" w:styleId="TOC3">
    <w:name w:val="toc 3"/>
    <w:basedOn w:val="Normal"/>
    <w:next w:val="Normal"/>
    <w:uiPriority w:val="39"/>
    <w:unhideWhenUsed/>
    <w:rsid w:val="0674D22F"/>
    <w:pPr>
      <w:spacing w:after="100"/>
      <w:ind w:left="440"/>
    </w:pPr>
  </w:style>
  <w:style w:type="paragraph" w:styleId="TOC4">
    <w:name w:val="toc 4"/>
    <w:basedOn w:val="Normal"/>
    <w:next w:val="Normal"/>
    <w:uiPriority w:val="39"/>
    <w:unhideWhenUsed/>
    <w:rsid w:val="0674D22F"/>
    <w:pPr>
      <w:spacing w:after="100"/>
      <w:ind w:left="66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23A2F"/>
    <w:rPr>
      <w:b/>
      <w:bCs/>
    </w:rPr>
  </w:style>
  <w:style w:type="character" w:customStyle="1" w:styleId="CommentSubjectChar">
    <w:name w:val="Comment Subject Char"/>
    <w:basedOn w:val="CommentTextChar"/>
    <w:link w:val="CommentSubject"/>
    <w:uiPriority w:val="99"/>
    <w:semiHidden/>
    <w:rsid w:val="00A23A2F"/>
    <w:rPr>
      <w:b/>
      <w:bCs/>
      <w:sz w:val="20"/>
      <w:szCs w:val="20"/>
    </w:rPr>
  </w:style>
  <w:style w:type="character" w:styleId="Mention">
    <w:name w:val="Mention"/>
    <w:basedOn w:val="DefaultParagraphFont"/>
    <w:uiPriority w:val="99"/>
    <w:unhideWhenUsed/>
    <w:rsid w:val="00634810"/>
    <w:rPr>
      <w:color w:val="2B579A"/>
      <w:shd w:val="clear" w:color="auto" w:fill="E1DFDD"/>
    </w:rPr>
  </w:style>
  <w:style w:type="paragraph" w:styleId="NoSpacing">
    <w:name w:val="No Spacing"/>
    <w:uiPriority w:val="1"/>
    <w:qFormat/>
    <w:rsid w:val="00363FBA"/>
    <w:pPr>
      <w:spacing w:after="0"/>
    </w:pPr>
  </w:style>
  <w:style w:type="paragraph" w:styleId="Revision">
    <w:name w:val="Revision"/>
    <w:hidden/>
    <w:uiPriority w:val="99"/>
    <w:semiHidden/>
    <w:rsid w:val="005D20A0"/>
    <w:pPr>
      <w:spacing w:after="0" w:line="240" w:lineRule="auto"/>
    </w:pPr>
  </w:style>
  <w:style w:type="character" w:customStyle="1" w:styleId="ListParagraphChar">
    <w:name w:val="List Paragraph Char"/>
    <w:aliases w:val="Bulleted list Char,RM List Paragraph Char,Tier 1 Bullet Char,Bullet List Char,ADOTS Char,Capire List Paragraph Char,OPG List Paragraph Char,Heading x Char,Bullets2 Char,NFP GP Bulleted List Char,List Paragraph1 Char,Bullet Char"/>
    <w:basedOn w:val="DefaultParagraphFont"/>
    <w:link w:val="ListParagraph"/>
    <w:uiPriority w:val="34"/>
    <w:locked/>
    <w:rsid w:val="00957A8C"/>
  </w:style>
  <w:style w:type="paragraph" w:customStyle="1" w:styleId="Style4">
    <w:name w:val="Style4"/>
    <w:basedOn w:val="Normal"/>
    <w:link w:val="Style4Char"/>
    <w:qFormat/>
    <w:rsid w:val="00957A8C"/>
    <w:pPr>
      <w:spacing w:line="259" w:lineRule="auto"/>
    </w:pPr>
    <w:rPr>
      <w:rFonts w:eastAsia="Aptos Display" w:cstheme="minorHAnsi"/>
      <w:b/>
      <w:bCs/>
      <w:color w:val="0F4761" w:themeColor="accent1" w:themeShade="BF"/>
      <w:shd w:val="clear" w:color="auto" w:fill="FFFFFF"/>
      <w:lang w:val="en-AU" w:eastAsia="en-AU"/>
    </w:rPr>
  </w:style>
  <w:style w:type="character" w:customStyle="1" w:styleId="Style4Char">
    <w:name w:val="Style4 Char"/>
    <w:basedOn w:val="DefaultParagraphFont"/>
    <w:link w:val="Style4"/>
    <w:rsid w:val="00957A8C"/>
    <w:rPr>
      <w:rFonts w:eastAsia="Aptos Display" w:cstheme="minorHAnsi"/>
      <w:b/>
      <w:bCs/>
      <w:color w:val="0F4761" w:themeColor="accent1" w:themeShade="BF"/>
      <w:lang w:val="en-AU" w:eastAsia="en-AU"/>
    </w:rPr>
  </w:style>
  <w:style w:type="table" w:styleId="GridTable4">
    <w:name w:val="Grid Table 4"/>
    <w:basedOn w:val="TableNormal"/>
    <w:uiPriority w:val="49"/>
    <w:rsid w:val="00957A8C"/>
    <w:pPr>
      <w:spacing w:after="0" w:line="240" w:lineRule="auto"/>
    </w:pPr>
    <w:rPr>
      <w:rFonts w:eastAsiaTheme="minorHAnsi"/>
      <w:kern w:val="2"/>
      <w:lang w:val="en-AU" w:eastAsia="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957A8C"/>
    <w:pPr>
      <w:spacing w:before="100" w:beforeAutospacing="1" w:after="100" w:afterAutospacing="1" w:line="240" w:lineRule="auto"/>
    </w:pPr>
    <w:rPr>
      <w:rFonts w:ascii="Times New Roman" w:eastAsia="Times New Roman" w:hAnsi="Times New Roman" w:cs="Times New Roman"/>
      <w:lang w:val="en-AU" w:eastAsia="en-AU"/>
    </w:rPr>
  </w:style>
  <w:style w:type="paragraph" w:styleId="Header">
    <w:name w:val="header"/>
    <w:basedOn w:val="Normal"/>
    <w:link w:val="HeaderChar"/>
    <w:uiPriority w:val="99"/>
    <w:unhideWhenUsed/>
    <w:rsid w:val="000E2B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BA8"/>
  </w:style>
  <w:style w:type="paragraph" w:styleId="Footer">
    <w:name w:val="footer"/>
    <w:basedOn w:val="Normal"/>
    <w:link w:val="FooterChar"/>
    <w:uiPriority w:val="99"/>
    <w:unhideWhenUsed/>
    <w:rsid w:val="000E2B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BA8"/>
  </w:style>
  <w:style w:type="paragraph" w:styleId="TOC5">
    <w:name w:val="toc 5"/>
    <w:basedOn w:val="Normal"/>
    <w:next w:val="Normal"/>
    <w:autoRedefine/>
    <w:uiPriority w:val="39"/>
    <w:unhideWhenUsed/>
    <w:rsid w:val="006D2225"/>
    <w:pPr>
      <w:spacing w:after="100"/>
      <w:ind w:left="960"/>
    </w:pPr>
  </w:style>
  <w:style w:type="paragraph" w:styleId="TOC6">
    <w:name w:val="toc 6"/>
    <w:basedOn w:val="Normal"/>
    <w:next w:val="Normal"/>
    <w:autoRedefine/>
    <w:uiPriority w:val="39"/>
    <w:unhideWhenUsed/>
    <w:rsid w:val="006D2225"/>
    <w:pPr>
      <w:spacing w:after="100" w:line="278" w:lineRule="auto"/>
      <w:ind w:left="1200"/>
    </w:pPr>
    <w:rPr>
      <w:kern w:val="2"/>
      <w:lang w:val="en-AU" w:eastAsia="en-AU"/>
      <w14:ligatures w14:val="standardContextual"/>
    </w:rPr>
  </w:style>
  <w:style w:type="paragraph" w:styleId="TOC7">
    <w:name w:val="toc 7"/>
    <w:basedOn w:val="Normal"/>
    <w:next w:val="Normal"/>
    <w:autoRedefine/>
    <w:uiPriority w:val="39"/>
    <w:unhideWhenUsed/>
    <w:rsid w:val="006D2225"/>
    <w:pPr>
      <w:spacing w:after="100" w:line="278" w:lineRule="auto"/>
      <w:ind w:left="1440"/>
    </w:pPr>
    <w:rPr>
      <w:kern w:val="2"/>
      <w:lang w:val="en-AU" w:eastAsia="en-AU"/>
      <w14:ligatures w14:val="standardContextual"/>
    </w:rPr>
  </w:style>
  <w:style w:type="paragraph" w:styleId="TOC8">
    <w:name w:val="toc 8"/>
    <w:basedOn w:val="Normal"/>
    <w:next w:val="Normal"/>
    <w:autoRedefine/>
    <w:uiPriority w:val="39"/>
    <w:unhideWhenUsed/>
    <w:rsid w:val="006D2225"/>
    <w:pPr>
      <w:spacing w:after="100" w:line="278" w:lineRule="auto"/>
      <w:ind w:left="1680"/>
    </w:pPr>
    <w:rPr>
      <w:kern w:val="2"/>
      <w:lang w:val="en-AU" w:eastAsia="en-AU"/>
      <w14:ligatures w14:val="standardContextual"/>
    </w:rPr>
  </w:style>
  <w:style w:type="paragraph" w:styleId="TOC9">
    <w:name w:val="toc 9"/>
    <w:basedOn w:val="Normal"/>
    <w:next w:val="Normal"/>
    <w:autoRedefine/>
    <w:uiPriority w:val="39"/>
    <w:unhideWhenUsed/>
    <w:rsid w:val="006D2225"/>
    <w:pPr>
      <w:spacing w:after="100" w:line="278" w:lineRule="auto"/>
      <w:ind w:left="1920"/>
    </w:pPr>
    <w:rPr>
      <w:kern w:val="2"/>
      <w:lang w:val="en-AU" w:eastAsia="en-AU"/>
      <w14:ligatures w14:val="standardContextual"/>
    </w:rPr>
  </w:style>
  <w:style w:type="character" w:styleId="UnresolvedMention">
    <w:name w:val="Unresolved Mention"/>
    <w:basedOn w:val="DefaultParagraphFont"/>
    <w:uiPriority w:val="99"/>
    <w:semiHidden/>
    <w:unhideWhenUsed/>
    <w:rsid w:val="006D2225"/>
    <w:rPr>
      <w:color w:val="605E5C"/>
      <w:shd w:val="clear" w:color="auto" w:fill="E1DFDD"/>
    </w:rPr>
  </w:style>
  <w:style w:type="paragraph" w:customStyle="1" w:styleId="Pa7">
    <w:name w:val="Pa7"/>
    <w:basedOn w:val="Normal"/>
    <w:next w:val="Normal"/>
    <w:uiPriority w:val="99"/>
    <w:rsid w:val="00F75CE1"/>
    <w:pPr>
      <w:autoSpaceDE w:val="0"/>
      <w:autoSpaceDN w:val="0"/>
      <w:adjustRightInd w:val="0"/>
      <w:spacing w:after="0" w:line="221" w:lineRule="atLeast"/>
    </w:pPr>
    <w:rPr>
      <w:rFonts w:ascii="Muli" w:eastAsiaTheme="minorHAnsi" w:hAnsi="Muli"/>
      <w:lang w:val="en-AU" w:eastAsia="en-US"/>
      <w14:ligatures w14:val="standardContextual"/>
    </w:rPr>
  </w:style>
  <w:style w:type="paragraph" w:customStyle="1" w:styleId="Pa13">
    <w:name w:val="Pa13"/>
    <w:basedOn w:val="Normal"/>
    <w:next w:val="Normal"/>
    <w:uiPriority w:val="99"/>
    <w:rsid w:val="00F75CE1"/>
    <w:pPr>
      <w:autoSpaceDE w:val="0"/>
      <w:autoSpaceDN w:val="0"/>
      <w:adjustRightInd w:val="0"/>
      <w:spacing w:after="0" w:line="221" w:lineRule="atLeast"/>
    </w:pPr>
    <w:rPr>
      <w:rFonts w:ascii="Muli" w:eastAsiaTheme="minorHAnsi" w:hAnsi="Muli"/>
      <w:lang w:val="en-AU"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YTD Expenses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6553024672366051"/>
          <c:y val="0.14905518233376494"/>
          <c:w val="0.80290212292279561"/>
          <c:h val="0.45353756306496829"/>
        </c:manualLayout>
      </c:layout>
      <c:barChart>
        <c:barDir val="col"/>
        <c:grouping val="clustered"/>
        <c:varyColors val="0"/>
        <c:ser>
          <c:idx val="0"/>
          <c:order val="0"/>
          <c:tx>
            <c:strRef>
              <c:f>Summary!$U$84</c:f>
              <c:strCache>
                <c:ptCount val="1"/>
                <c:pt idx="0">
                  <c:v>Budget</c:v>
                </c:pt>
              </c:strCache>
            </c:strRef>
          </c:tx>
          <c:spPr>
            <a:solidFill>
              <a:schemeClr val="accent1"/>
            </a:solidFill>
            <a:ln>
              <a:noFill/>
            </a:ln>
            <a:effectLst/>
          </c:spPr>
          <c:invertIfNegative val="0"/>
          <c:cat>
            <c:strRef>
              <c:f>Summary!$T$89:$T$92</c:f>
              <c:strCache>
                <c:ptCount val="4"/>
                <c:pt idx="0">
                  <c:v>Mat and Services</c:v>
                </c:pt>
                <c:pt idx="1">
                  <c:v>Employee Costs</c:v>
                </c:pt>
                <c:pt idx="2">
                  <c:v>Depreciation</c:v>
                </c:pt>
                <c:pt idx="3">
                  <c:v>Other expenses</c:v>
                </c:pt>
              </c:strCache>
            </c:strRef>
          </c:cat>
          <c:val>
            <c:numRef>
              <c:f>Summary!$U$89:$U$92</c:f>
              <c:numCache>
                <c:formatCode>_-* #,##0_-;\-* #,##0_-;_-* "-"??_-;_-@_-</c:formatCode>
                <c:ptCount val="4"/>
                <c:pt idx="0">
                  <c:v>39400.367760000016</c:v>
                </c:pt>
                <c:pt idx="1">
                  <c:v>55955.934180000004</c:v>
                </c:pt>
                <c:pt idx="2">
                  <c:v>15430.084550000001</c:v>
                </c:pt>
                <c:pt idx="3">
                  <c:v>2777.0545199999997</c:v>
                </c:pt>
              </c:numCache>
            </c:numRef>
          </c:val>
          <c:extLst>
            <c:ext xmlns:c16="http://schemas.microsoft.com/office/drawing/2014/chart" uri="{C3380CC4-5D6E-409C-BE32-E72D297353CC}">
              <c16:uniqueId val="{00000000-9ACD-443D-9516-E11E5D1FAEA4}"/>
            </c:ext>
          </c:extLst>
        </c:ser>
        <c:dLbls>
          <c:showLegendKey val="0"/>
          <c:showVal val="0"/>
          <c:showCatName val="0"/>
          <c:showSerName val="0"/>
          <c:showPercent val="0"/>
          <c:showBubbleSize val="0"/>
        </c:dLbls>
        <c:gapWidth val="100"/>
        <c:axId val="715528992"/>
        <c:axId val="715526040"/>
      </c:barChart>
      <c:scatterChart>
        <c:scatterStyle val="lineMarker"/>
        <c:varyColors val="0"/>
        <c:ser>
          <c:idx val="1"/>
          <c:order val="1"/>
          <c:tx>
            <c:strRef>
              <c:f>Summary!$V$84</c:f>
              <c:strCache>
                <c:ptCount val="1"/>
                <c:pt idx="0">
                  <c:v>Actual</c:v>
                </c:pt>
              </c:strCache>
            </c:strRef>
          </c:tx>
          <c:spPr>
            <a:ln w="25400" cap="rnd">
              <a:noFill/>
              <a:round/>
            </a:ln>
            <a:effectLst/>
          </c:spPr>
          <c:marker>
            <c:symbol val="circle"/>
            <c:size val="7"/>
            <c:spPr>
              <a:solidFill>
                <a:schemeClr val="accent2"/>
              </a:solidFill>
              <a:ln w="9525">
                <a:solidFill>
                  <a:schemeClr val="accent2"/>
                </a:solidFill>
              </a:ln>
              <a:effectLst/>
            </c:spPr>
          </c:marker>
          <c:xVal>
            <c:strRef>
              <c:f>Summary!$T$89:$T$92</c:f>
              <c:strCache>
                <c:ptCount val="4"/>
                <c:pt idx="0">
                  <c:v>Mat and Services</c:v>
                </c:pt>
                <c:pt idx="1">
                  <c:v>Employee Costs</c:v>
                </c:pt>
                <c:pt idx="2">
                  <c:v>Depreciation</c:v>
                </c:pt>
                <c:pt idx="3">
                  <c:v>Other expenses</c:v>
                </c:pt>
              </c:strCache>
            </c:strRef>
          </c:xVal>
          <c:yVal>
            <c:numRef>
              <c:f>Summary!$V$89:$V$92</c:f>
              <c:numCache>
                <c:formatCode>_-* #,##0_-;\-* #,##0_-;_-* "-"??_-;_-@_-</c:formatCode>
                <c:ptCount val="4"/>
                <c:pt idx="0">
                  <c:v>39237.881300000001</c:v>
                </c:pt>
                <c:pt idx="1">
                  <c:v>53270.919529999977</c:v>
                </c:pt>
                <c:pt idx="2">
                  <c:v>15152.618339999999</c:v>
                </c:pt>
                <c:pt idx="3">
                  <c:v>3237.9113200000002</c:v>
                </c:pt>
              </c:numCache>
            </c:numRef>
          </c:yVal>
          <c:smooth val="0"/>
          <c:extLst>
            <c:ext xmlns:c16="http://schemas.microsoft.com/office/drawing/2014/chart" uri="{C3380CC4-5D6E-409C-BE32-E72D297353CC}">
              <c16:uniqueId val="{00000001-9ACD-443D-9516-E11E5D1FAEA4}"/>
            </c:ext>
          </c:extLst>
        </c:ser>
        <c:dLbls>
          <c:showLegendKey val="0"/>
          <c:showVal val="0"/>
          <c:showCatName val="0"/>
          <c:showSerName val="0"/>
          <c:showPercent val="0"/>
          <c:showBubbleSize val="0"/>
        </c:dLbls>
        <c:axId val="715528992"/>
        <c:axId val="715526040"/>
      </c:scatterChart>
      <c:dateAx>
        <c:axId val="715528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715526040"/>
        <c:crosses val="autoZero"/>
        <c:auto val="0"/>
        <c:lblOffset val="100"/>
        <c:baseTimeUnit val="days"/>
      </c:dateAx>
      <c:valAx>
        <c:axId val="715526040"/>
        <c:scaling>
          <c:orientation val="minMax"/>
        </c:scaling>
        <c:delete val="0"/>
        <c:axPos val="l"/>
        <c:numFmt formatCode="_-* #,##0_-;\-* #,##0_-;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5528992"/>
        <c:crosses val="autoZero"/>
        <c:crossBetween val="between"/>
        <c:dispUnits>
          <c:builtInUnit val="thousands"/>
          <c:dispUnitsLbl>
            <c:layout>
              <c:manualLayout>
                <c:xMode val="edge"/>
                <c:yMode val="edge"/>
                <c:x val="0"/>
                <c:y val="0.14356281067578661"/>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AE0411FC8C20145A7CA6F56BB83231E" ma:contentTypeVersion="4" ma:contentTypeDescription="Create a new document." ma:contentTypeScope="" ma:versionID="ca1e5ab05c1a647c8dfe4619010fdf25">
  <xsd:schema xmlns:xsd="http://www.w3.org/2001/XMLSchema" xmlns:xs="http://www.w3.org/2001/XMLSchema" xmlns:p="http://schemas.microsoft.com/office/2006/metadata/properties" xmlns:ns2="e34cc23e-84ce-44c9-8f02-427259db1266" targetNamespace="http://schemas.microsoft.com/office/2006/metadata/properties" ma:root="true" ma:fieldsID="9e28edf574163364980c25d64edfa810" ns2:_="">
    <xsd:import namespace="e34cc23e-84ce-44c9-8f02-427259db12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cc23e-84ce-44c9-8f02-427259db1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7E7904-F6CD-4009-AD78-A7A9A2892B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7249DC-8B3B-4807-B435-00DEBB532310}">
  <ds:schemaRefs>
    <ds:schemaRef ds:uri="http://schemas.microsoft.com/sharepoint/v3/contenttype/forms"/>
  </ds:schemaRefs>
</ds:datastoreItem>
</file>

<file path=customXml/itemProps3.xml><?xml version="1.0" encoding="utf-8"?>
<ds:datastoreItem xmlns:ds="http://schemas.openxmlformats.org/officeDocument/2006/customXml" ds:itemID="{E7CFA3BC-5B02-439A-AC1F-D0C9AA56C992}">
  <ds:schemaRefs>
    <ds:schemaRef ds:uri="http://schemas.openxmlformats.org/officeDocument/2006/bibliography"/>
  </ds:schemaRefs>
</ds:datastoreItem>
</file>

<file path=customXml/itemProps4.xml><?xml version="1.0" encoding="utf-8"?>
<ds:datastoreItem xmlns:ds="http://schemas.openxmlformats.org/officeDocument/2006/customXml" ds:itemID="{95141C82-E326-40E6-B730-FAEAED710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cc23e-84ce-44c9-8f02-427259db12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4774</TotalTime>
  <Pages>74</Pages>
  <Words>14537</Words>
  <Characters>82996</Characters>
  <Application>Microsoft Office Word</Application>
  <DocSecurity>2</DocSecurity>
  <Lines>3058</Lines>
  <Paragraphs>1544</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    CEO Message </vt:lpstr>
      <vt:lpstr>Quarter 2 Report  </vt:lpstr>
      <vt:lpstr>    Strategic objective 1: Living in the City  </vt:lpstr>
      <vt:lpstr>        Community Awards </vt:lpstr>
      <vt:lpstr>        Community Grants  </vt:lpstr>
      <vt:lpstr>        Family, Youth and Children's Services</vt:lpstr>
      <vt:lpstr>        Libraries  </vt:lpstr>
      <vt:lpstr>        Climate Emergency Plan Update </vt:lpstr>
      <vt:lpstr>    Strategic objective 2: Building the City </vt:lpstr>
      <vt:lpstr>        Capital Works update </vt:lpstr>
      <vt:lpstr>        Car Share </vt:lpstr>
      <vt:lpstr>        </vt:lpstr>
      <vt:lpstr>        Project Spotlights</vt:lpstr>
      <vt:lpstr>        Property Strategy Update </vt:lpstr>
      <vt:lpstr>        New Open Space Acquired </vt:lpstr>
      <vt:lpstr>        Revised Yarra Transport Action Plan  </vt:lpstr>
      <vt:lpstr>        Road Fatality &amp; Injury Data  </vt:lpstr>
      <vt:lpstr>        Planning Scheme Amendments Lodged</vt:lpstr>
      <vt:lpstr>        Statutory Planning Activity</vt:lpstr>
      <vt:lpstr>        Statutory Planning – expired permits</vt:lpstr>
      <vt:lpstr>        Statutory Planning – VCAT Activity</vt:lpstr>
      <vt:lpstr>        Social and Affordable Housing Approved</vt:lpstr>
      <vt:lpstr>    Strategic objective 3: Working and Playing in the City  </vt:lpstr>
      <vt:lpstr>        Activity Centre Utilisation  </vt:lpstr>
      <vt:lpstr>    Strategic objective 4: Running the City  </vt:lpstr>
      <vt:lpstr>        Acquittal of Council resolutions</vt:lpstr>
      <vt:lpstr>        Advocacy Road Map 2025-29</vt:lpstr>
      <vt:lpstr>        Financial Report </vt:lpstr>
      <vt:lpstr>        Parking Revenue</vt:lpstr>
      <vt:lpstr>        Activity Centre paid parking</vt:lpstr>
      <vt:lpstr>        Financial Sustainability Strategy </vt:lpstr>
      <vt:lpstr>        Governance Update</vt:lpstr>
      <vt:lpstr>    Action Plan performance </vt:lpstr>
    </vt:vector>
  </TitlesOfParts>
  <Company>Yarra City Council</Company>
  <LinksUpToDate>false</LinksUpToDate>
  <CharactersWithSpaces>100167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Yarra_City_Council_Quarterly_Community_Report_2025_26_Quarter_2</dc:title>
  <dc:subject>Quarter 2 Report</dc:subject>
  <dc:creator>Spice, Olivia</dc:creator>
  <cp:keywords/>
  <dc:description/>
  <cp:lastModifiedBy>Bowes, Beata</cp:lastModifiedBy>
  <cp:revision>217</cp:revision>
  <dcterms:created xsi:type="dcterms:W3CDTF">2026-02-11T05:20:00Z</dcterms:created>
  <dcterms:modified xsi:type="dcterms:W3CDTF">2026-03-18T03:30:00Z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0x0101007AE0411FC8C20145A7CA6F56BB83231E</vt:lpwstr>
  </property>
</Properties>
</file>