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sldx" ContentType="application/vnd.openxmlformats-officedocument.presentationml.slide"/>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rsidR="00331C9F" w:rsidRPr="003626EE" w:rsidRDefault="00331C9F" w:rsidP="00331C9F">
      <w:pPr>
        <w:pStyle w:val="Header"/>
        <w:rPr>
          <w:rFonts w:ascii="Arial" w:hAnsi="Arial" w:cs="Arial"/>
          <w:sz w:val="20"/>
        </w:rPr>
      </w:pPr>
      <w:r w:rsidRPr="00B1449B">
        <w:rPr>
          <w:sz w:val="20"/>
        </w:rPr>
        <w:object w:dxaOrig="4034" w:dyaOrig="35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5.5pt;height:48pt" o:ole="">
            <v:imagedata r:id="rId8" o:title=""/>
          </v:shape>
          <o:OLEObject Type="Embed" ProgID="PBrush" ShapeID="_x0000_i1025" DrawAspect="Content" ObjectID="_1607929755" r:id="rId9"/>
        </w:object>
      </w:r>
    </w:p>
    <w:p w:rsidR="003626EE" w:rsidRDefault="003626EE" w:rsidP="00D3382E"/>
    <w:p w:rsidR="003626EE" w:rsidRDefault="003626EE" w:rsidP="00D3382E"/>
    <w:p w:rsidR="00331C9F" w:rsidRDefault="00331C9F" w:rsidP="00D3382E"/>
    <w:p w:rsidR="00034876" w:rsidRDefault="00034876" w:rsidP="00D3382E"/>
    <w:p w:rsidR="00034876" w:rsidRDefault="00034876" w:rsidP="00D3382E"/>
    <w:p w:rsidR="00034876" w:rsidRDefault="00034876" w:rsidP="00D3382E"/>
    <w:p w:rsidR="00034876" w:rsidRPr="003626EE" w:rsidRDefault="00034876" w:rsidP="00D3382E">
      <w:pPr>
        <w:rPr>
          <w:rFonts w:cs="Arial"/>
        </w:rPr>
      </w:pPr>
    </w:p>
    <w:p w:rsidR="00331C9F" w:rsidRPr="003626EE" w:rsidRDefault="00331C9F" w:rsidP="00331C9F">
      <w:pPr>
        <w:pStyle w:val="Header"/>
        <w:jc w:val="center"/>
        <w:rPr>
          <w:rFonts w:ascii="Arial" w:hAnsi="Arial" w:cs="Arial"/>
          <w:sz w:val="72"/>
        </w:rPr>
      </w:pPr>
      <w:r w:rsidRPr="003626EE">
        <w:rPr>
          <w:rFonts w:ascii="Arial" w:hAnsi="Arial" w:cs="Arial"/>
          <w:sz w:val="72"/>
        </w:rPr>
        <w:t>Yarra City Council</w:t>
      </w:r>
    </w:p>
    <w:p w:rsidR="00331C9F" w:rsidRPr="003626EE" w:rsidRDefault="00331C9F" w:rsidP="00D3382E"/>
    <w:p w:rsidR="00331C9F" w:rsidRPr="003626EE" w:rsidRDefault="00331C9F" w:rsidP="00D3382E"/>
    <w:p w:rsidR="00331C9F" w:rsidRPr="003626EE" w:rsidRDefault="00331C9F" w:rsidP="00D3382E"/>
    <w:p w:rsidR="00331C9F" w:rsidRPr="003626EE" w:rsidRDefault="00331C9F" w:rsidP="00D3382E"/>
    <w:p w:rsidR="00331C9F" w:rsidRPr="003626EE" w:rsidRDefault="00331C9F" w:rsidP="00D3382E"/>
    <w:p w:rsidR="00331C9F" w:rsidRPr="003626EE" w:rsidRDefault="00331C9F" w:rsidP="00D3382E"/>
    <w:p w:rsidR="00331C9F" w:rsidRPr="003626EE" w:rsidRDefault="00331C9F" w:rsidP="00331C9F">
      <w:pPr>
        <w:pStyle w:val="Header"/>
        <w:jc w:val="right"/>
        <w:rPr>
          <w:rFonts w:ascii="Arial" w:hAnsi="Arial" w:cs="Arial"/>
          <w:b w:val="0"/>
          <w:bCs/>
          <w:sz w:val="72"/>
        </w:rPr>
      </w:pPr>
    </w:p>
    <w:p w:rsidR="00331C9F" w:rsidRPr="003626EE" w:rsidRDefault="00331C9F" w:rsidP="00331C9F">
      <w:pPr>
        <w:pStyle w:val="Header"/>
        <w:tabs>
          <w:tab w:val="right" w:pos="9027"/>
        </w:tabs>
        <w:spacing w:line="360" w:lineRule="auto"/>
        <w:jc w:val="center"/>
        <w:rPr>
          <w:rFonts w:ascii="Arial" w:hAnsi="Arial" w:cs="Arial"/>
          <w:b w:val="0"/>
          <w:bCs/>
          <w:sz w:val="52"/>
        </w:rPr>
      </w:pPr>
      <w:r w:rsidRPr="003626EE">
        <w:rPr>
          <w:rFonts w:ascii="Arial" w:hAnsi="Arial" w:cs="Arial"/>
          <w:bCs/>
          <w:sz w:val="52"/>
        </w:rPr>
        <w:t>Building</w:t>
      </w:r>
      <w:r w:rsidR="004A4481">
        <w:rPr>
          <w:rFonts w:ascii="Arial" w:hAnsi="Arial" w:cs="Arial"/>
          <w:bCs/>
          <w:sz w:val="52"/>
        </w:rPr>
        <w:t>s</w:t>
      </w:r>
      <w:r w:rsidRPr="003626EE">
        <w:rPr>
          <w:rFonts w:ascii="Arial" w:hAnsi="Arial" w:cs="Arial"/>
          <w:bCs/>
          <w:sz w:val="52"/>
        </w:rPr>
        <w:t xml:space="preserve"> Asset Management Plan</w:t>
      </w:r>
    </w:p>
    <w:p w:rsidR="00331C9F" w:rsidRPr="003626EE" w:rsidRDefault="00331C9F" w:rsidP="003626EE">
      <w:pPr>
        <w:pStyle w:val="Header"/>
        <w:tabs>
          <w:tab w:val="right" w:pos="6237"/>
          <w:tab w:val="right" w:pos="9027"/>
        </w:tabs>
        <w:spacing w:after="0"/>
        <w:jc w:val="right"/>
        <w:rPr>
          <w:rFonts w:ascii="Arial" w:hAnsi="Arial" w:cs="Arial"/>
          <w:b w:val="0"/>
          <w:bCs/>
          <w:sz w:val="56"/>
        </w:rPr>
      </w:pPr>
    </w:p>
    <w:p w:rsidR="00331C9F" w:rsidRPr="003626EE" w:rsidRDefault="00331C9F" w:rsidP="003626EE">
      <w:pPr>
        <w:pStyle w:val="Header"/>
        <w:tabs>
          <w:tab w:val="right" w:pos="6237"/>
          <w:tab w:val="right" w:pos="9027"/>
        </w:tabs>
        <w:spacing w:after="0"/>
        <w:jc w:val="right"/>
        <w:rPr>
          <w:rFonts w:ascii="Arial" w:hAnsi="Arial" w:cs="Arial"/>
          <w:b w:val="0"/>
          <w:bCs/>
          <w:sz w:val="56"/>
        </w:rPr>
      </w:pPr>
    </w:p>
    <w:p w:rsidR="00331C9F" w:rsidRDefault="00331C9F" w:rsidP="003626EE">
      <w:pPr>
        <w:pStyle w:val="Header"/>
        <w:tabs>
          <w:tab w:val="right" w:pos="6237"/>
          <w:tab w:val="right" w:pos="9027"/>
        </w:tabs>
        <w:spacing w:after="0"/>
        <w:jc w:val="right"/>
        <w:rPr>
          <w:rFonts w:ascii="Arial" w:hAnsi="Arial" w:cs="Arial"/>
          <w:b w:val="0"/>
          <w:bCs/>
          <w:sz w:val="56"/>
        </w:rPr>
      </w:pPr>
    </w:p>
    <w:p w:rsidR="00D3382E" w:rsidRPr="003626EE" w:rsidRDefault="00D3382E" w:rsidP="003626EE">
      <w:pPr>
        <w:pStyle w:val="Header"/>
        <w:tabs>
          <w:tab w:val="right" w:pos="6237"/>
          <w:tab w:val="right" w:pos="9027"/>
        </w:tabs>
        <w:spacing w:after="0"/>
        <w:jc w:val="right"/>
        <w:rPr>
          <w:rFonts w:ascii="Arial" w:hAnsi="Arial" w:cs="Arial"/>
          <w:b w:val="0"/>
          <w:bCs/>
          <w:sz w:val="56"/>
        </w:rPr>
      </w:pPr>
    </w:p>
    <w:p w:rsidR="00331C9F" w:rsidRDefault="00331C9F" w:rsidP="003626EE">
      <w:pPr>
        <w:pStyle w:val="Header"/>
        <w:tabs>
          <w:tab w:val="right" w:pos="6237"/>
          <w:tab w:val="right" w:pos="9027"/>
        </w:tabs>
        <w:spacing w:after="0"/>
        <w:jc w:val="right"/>
        <w:rPr>
          <w:b w:val="0"/>
          <w:bCs/>
          <w:sz w:val="56"/>
        </w:rPr>
      </w:pPr>
      <w:r w:rsidRPr="003626EE">
        <w:rPr>
          <w:rFonts w:ascii="Arial" w:hAnsi="Arial" w:cs="Arial"/>
          <w:bCs/>
          <w:sz w:val="56"/>
        </w:rPr>
        <w:tab/>
      </w:r>
    </w:p>
    <w:p w:rsidR="00E96F28" w:rsidRPr="004A4481" w:rsidRDefault="00D57F95" w:rsidP="00D3382E">
      <w:pPr>
        <w:pStyle w:val="Title"/>
        <w:spacing w:before="120"/>
        <w:jc w:val="right"/>
        <w:rPr>
          <w:rFonts w:cs="Arial"/>
          <w:b w:val="0"/>
          <w:color w:val="000000" w:themeColor="text1"/>
          <w:sz w:val="28"/>
          <w:szCs w:val="28"/>
        </w:rPr>
      </w:pPr>
      <w:r>
        <w:rPr>
          <w:rFonts w:cs="Arial"/>
          <w:b w:val="0"/>
          <w:color w:val="000000" w:themeColor="text1"/>
          <w:sz w:val="28"/>
          <w:szCs w:val="28"/>
        </w:rPr>
        <w:t>TRIM Reference D13/49758</w:t>
      </w:r>
    </w:p>
    <w:p w:rsidR="004A4481" w:rsidRDefault="00496759" w:rsidP="005C134F">
      <w:pPr>
        <w:pStyle w:val="Title"/>
        <w:spacing w:before="120"/>
        <w:jc w:val="right"/>
        <w:rPr>
          <w:rFonts w:cs="Arial"/>
          <w:b w:val="0"/>
          <w:color w:val="000000" w:themeColor="text1"/>
          <w:sz w:val="28"/>
          <w:szCs w:val="28"/>
        </w:rPr>
      </w:pPr>
      <w:r>
        <w:rPr>
          <w:rFonts w:cs="Arial"/>
          <w:b w:val="0"/>
          <w:color w:val="000000" w:themeColor="text1"/>
          <w:sz w:val="28"/>
          <w:szCs w:val="28"/>
        </w:rPr>
        <w:t xml:space="preserve">Adopted </w:t>
      </w:r>
      <w:r w:rsidR="009E5CA8">
        <w:rPr>
          <w:rFonts w:cs="Arial"/>
          <w:b w:val="0"/>
          <w:color w:val="000000" w:themeColor="text1"/>
          <w:sz w:val="28"/>
          <w:szCs w:val="28"/>
        </w:rPr>
        <w:t>Octo</w:t>
      </w:r>
      <w:r w:rsidR="00D012DC" w:rsidRPr="00D012DC">
        <w:rPr>
          <w:rFonts w:cs="Arial"/>
          <w:b w:val="0"/>
          <w:color w:val="000000" w:themeColor="text1"/>
          <w:sz w:val="28"/>
          <w:szCs w:val="28"/>
        </w:rPr>
        <w:t>ber</w:t>
      </w:r>
      <w:r w:rsidR="004A4481" w:rsidRPr="004A4481">
        <w:rPr>
          <w:rFonts w:cs="Arial"/>
          <w:b w:val="0"/>
          <w:color w:val="000000" w:themeColor="text1"/>
          <w:sz w:val="28"/>
          <w:szCs w:val="28"/>
        </w:rPr>
        <w:t xml:space="preserve"> 2013</w:t>
      </w:r>
    </w:p>
    <w:p w:rsidR="00A90C1E" w:rsidRDefault="00A90C1E" w:rsidP="00A90C1E">
      <w:pPr>
        <w:pStyle w:val="Title"/>
        <w:spacing w:before="120"/>
        <w:jc w:val="both"/>
        <w:rPr>
          <w:rFonts w:cs="Arial"/>
          <w:b w:val="0"/>
          <w:color w:val="000000" w:themeColor="text1"/>
          <w:sz w:val="28"/>
          <w:szCs w:val="28"/>
        </w:rPr>
      </w:pPr>
    </w:p>
    <w:p w:rsidR="004247DA" w:rsidRDefault="004247DA" w:rsidP="005C134F">
      <w:pPr>
        <w:pStyle w:val="Title"/>
        <w:spacing w:before="120"/>
        <w:jc w:val="both"/>
        <w:rPr>
          <w:rFonts w:cs="Arial"/>
          <w:b w:val="0"/>
          <w:color w:val="000000" w:themeColor="text1"/>
          <w:sz w:val="28"/>
          <w:szCs w:val="28"/>
        </w:rPr>
        <w:sectPr w:rsidR="004247DA" w:rsidSect="00AE3D66">
          <w:footerReference w:type="default" r:id="rId10"/>
          <w:type w:val="oddPage"/>
          <w:pgSz w:w="11906" w:h="16838" w:code="9"/>
          <w:pgMar w:top="1418" w:right="1418" w:bottom="851" w:left="1418" w:header="284" w:footer="312" w:gutter="0"/>
          <w:cols w:space="720"/>
          <w:docGrid w:linePitch="360"/>
        </w:sectPr>
      </w:pPr>
    </w:p>
    <w:p w:rsidR="005C134F" w:rsidRPr="005C134F" w:rsidRDefault="005C134F" w:rsidP="005C134F">
      <w:pPr>
        <w:pStyle w:val="Title"/>
        <w:spacing w:before="120"/>
        <w:jc w:val="both"/>
        <w:rPr>
          <w:rFonts w:cs="Arial"/>
          <w:b w:val="0"/>
          <w:color w:val="000000" w:themeColor="text1"/>
          <w:sz w:val="28"/>
          <w:szCs w:val="28"/>
        </w:rPr>
      </w:pPr>
    </w:p>
    <w:p w:rsidR="004A4481" w:rsidRDefault="004A4481" w:rsidP="005C134F">
      <w:pPr>
        <w:tabs>
          <w:tab w:val="right" w:pos="9027"/>
          <w:tab w:val="right" w:pos="9070"/>
        </w:tabs>
        <w:rPr>
          <w:i/>
          <w:lang w:val="en-US"/>
        </w:rPr>
      </w:pPr>
    </w:p>
    <w:p w:rsidR="004247DA" w:rsidRDefault="004247DA" w:rsidP="005C134F">
      <w:pPr>
        <w:tabs>
          <w:tab w:val="right" w:pos="9027"/>
          <w:tab w:val="right" w:pos="9070"/>
        </w:tabs>
        <w:rPr>
          <w:i/>
          <w:lang w:val="en-US"/>
        </w:rPr>
        <w:sectPr w:rsidR="004247DA" w:rsidSect="004247DA">
          <w:pgSz w:w="11906" w:h="16838" w:code="9"/>
          <w:pgMar w:top="1418" w:right="1418" w:bottom="851" w:left="1418" w:header="284" w:footer="312" w:gutter="0"/>
          <w:cols w:space="720"/>
          <w:docGrid w:linePitch="360"/>
        </w:sectPr>
      </w:pPr>
    </w:p>
    <w:p w:rsidR="00D70D72" w:rsidRDefault="00D70D72" w:rsidP="00D3382E">
      <w:pPr>
        <w:tabs>
          <w:tab w:val="right" w:pos="9027"/>
          <w:tab w:val="right" w:pos="9070"/>
        </w:tabs>
        <w:rPr>
          <w:i/>
          <w:lang w:val="en-US"/>
        </w:rPr>
      </w:pPr>
    </w:p>
    <w:p w:rsidR="00365BAF" w:rsidRPr="00222036" w:rsidRDefault="00365BAF" w:rsidP="00CD3766">
      <w:pPr>
        <w:tabs>
          <w:tab w:val="right" w:pos="9027"/>
          <w:tab w:val="right" w:pos="9070"/>
        </w:tabs>
        <w:rPr>
          <w:b/>
          <w:i/>
          <w:color w:val="548DD4" w:themeColor="text2" w:themeTint="99"/>
          <w:sz w:val="28"/>
          <w:lang w:val="en-US"/>
        </w:rPr>
      </w:pPr>
      <w:r w:rsidRPr="00222036">
        <w:rPr>
          <w:b/>
          <w:i/>
          <w:color w:val="548DD4" w:themeColor="text2" w:themeTint="99"/>
          <w:sz w:val="28"/>
          <w:lang w:val="en-US"/>
        </w:rPr>
        <w:t>Table of Contents</w:t>
      </w:r>
    </w:p>
    <w:p w:rsidR="00365BAF" w:rsidRDefault="00365BAF" w:rsidP="00CD3766">
      <w:pPr>
        <w:tabs>
          <w:tab w:val="right" w:pos="9027"/>
          <w:tab w:val="right" w:pos="9070"/>
        </w:tabs>
        <w:rPr>
          <w:i/>
          <w:lang w:val="en-US"/>
        </w:rPr>
      </w:pPr>
    </w:p>
    <w:p w:rsidR="008A4C37" w:rsidRDefault="0090414C">
      <w:pPr>
        <w:pStyle w:val="TOC1"/>
        <w:rPr>
          <w:rFonts w:asciiTheme="minorHAnsi" w:eastAsiaTheme="minorEastAsia" w:hAnsiTheme="minorHAnsi"/>
          <w:b w:val="0"/>
          <w:sz w:val="22"/>
          <w:szCs w:val="22"/>
        </w:rPr>
      </w:pPr>
      <w:r>
        <w:rPr>
          <w:rFonts w:cs="Arial"/>
          <w:lang w:eastAsia="en-US"/>
        </w:rPr>
        <w:fldChar w:fldCharType="begin"/>
      </w:r>
      <w:r w:rsidR="004D4A82">
        <w:rPr>
          <w:rFonts w:cs="Arial"/>
          <w:lang w:eastAsia="en-US"/>
        </w:rPr>
        <w:instrText xml:space="preserve"> TOC \o "1-3" \h \z \u </w:instrText>
      </w:r>
      <w:r>
        <w:rPr>
          <w:rFonts w:cs="Arial"/>
          <w:lang w:eastAsia="en-US"/>
        </w:rPr>
        <w:fldChar w:fldCharType="separate"/>
      </w:r>
      <w:hyperlink w:anchor="_Toc364945222" w:history="1">
        <w:r w:rsidR="008A4C37" w:rsidRPr="00732886">
          <w:rPr>
            <w:rStyle w:val="Hyperlink"/>
          </w:rPr>
          <w:t>1</w:t>
        </w:r>
        <w:r w:rsidR="008A4C37">
          <w:rPr>
            <w:rFonts w:asciiTheme="minorHAnsi" w:eastAsiaTheme="minorEastAsia" w:hAnsiTheme="minorHAnsi"/>
            <w:b w:val="0"/>
            <w:sz w:val="22"/>
            <w:szCs w:val="22"/>
          </w:rPr>
          <w:tab/>
        </w:r>
        <w:r w:rsidR="008A4C37" w:rsidRPr="00732886">
          <w:rPr>
            <w:rStyle w:val="Hyperlink"/>
          </w:rPr>
          <w:t>Executive Summary</w:t>
        </w:r>
        <w:r w:rsidR="008A4C37">
          <w:rPr>
            <w:webHidden/>
          </w:rPr>
          <w:tab/>
        </w:r>
        <w:r w:rsidR="008A4C37">
          <w:rPr>
            <w:webHidden/>
          </w:rPr>
          <w:fldChar w:fldCharType="begin"/>
        </w:r>
        <w:r w:rsidR="008A4C37">
          <w:rPr>
            <w:webHidden/>
          </w:rPr>
          <w:instrText xml:space="preserve"> PAGEREF _Toc364945222 \h </w:instrText>
        </w:r>
        <w:r w:rsidR="008A4C37">
          <w:rPr>
            <w:webHidden/>
          </w:rPr>
        </w:r>
        <w:r w:rsidR="008A4C37">
          <w:rPr>
            <w:webHidden/>
          </w:rPr>
          <w:fldChar w:fldCharType="separate"/>
        </w:r>
        <w:r w:rsidR="00557666">
          <w:rPr>
            <w:webHidden/>
          </w:rPr>
          <w:t>2</w:t>
        </w:r>
        <w:r w:rsidR="008A4C37">
          <w:rPr>
            <w:webHidden/>
          </w:rPr>
          <w:fldChar w:fldCharType="end"/>
        </w:r>
      </w:hyperlink>
    </w:p>
    <w:p w:rsidR="008A4C37" w:rsidRDefault="00ED394A">
      <w:pPr>
        <w:pStyle w:val="TOC2"/>
        <w:rPr>
          <w:rFonts w:asciiTheme="minorHAnsi" w:eastAsiaTheme="minorEastAsia" w:hAnsiTheme="minorHAnsi"/>
          <w:iCs w:val="0"/>
          <w:sz w:val="22"/>
          <w:szCs w:val="22"/>
          <w:lang w:val="en-AU" w:eastAsia="en-AU"/>
        </w:rPr>
      </w:pPr>
      <w:hyperlink w:anchor="_Toc364945223" w:history="1">
        <w:r w:rsidR="008A4C37" w:rsidRPr="00732886">
          <w:rPr>
            <w:rStyle w:val="Hyperlink"/>
          </w:rPr>
          <w:t>1.1</w:t>
        </w:r>
        <w:r w:rsidR="008A4C37">
          <w:rPr>
            <w:rFonts w:asciiTheme="minorHAnsi" w:eastAsiaTheme="minorEastAsia" w:hAnsiTheme="minorHAnsi"/>
            <w:iCs w:val="0"/>
            <w:sz w:val="22"/>
            <w:szCs w:val="22"/>
            <w:lang w:val="en-AU" w:eastAsia="en-AU"/>
          </w:rPr>
          <w:tab/>
        </w:r>
        <w:r w:rsidR="008A4C37" w:rsidRPr="00732886">
          <w:rPr>
            <w:rStyle w:val="Hyperlink"/>
          </w:rPr>
          <w:t>Overview</w:t>
        </w:r>
        <w:r w:rsidR="008A4C37">
          <w:rPr>
            <w:webHidden/>
          </w:rPr>
          <w:tab/>
        </w:r>
        <w:r w:rsidR="008A4C37">
          <w:rPr>
            <w:webHidden/>
          </w:rPr>
          <w:fldChar w:fldCharType="begin"/>
        </w:r>
        <w:r w:rsidR="008A4C37">
          <w:rPr>
            <w:webHidden/>
          </w:rPr>
          <w:instrText xml:space="preserve"> PAGEREF _Toc364945223 \h </w:instrText>
        </w:r>
        <w:r w:rsidR="008A4C37">
          <w:rPr>
            <w:webHidden/>
          </w:rPr>
        </w:r>
        <w:r w:rsidR="008A4C37">
          <w:rPr>
            <w:webHidden/>
          </w:rPr>
          <w:fldChar w:fldCharType="separate"/>
        </w:r>
        <w:r w:rsidR="00557666">
          <w:rPr>
            <w:webHidden/>
          </w:rPr>
          <w:t>2</w:t>
        </w:r>
        <w:r w:rsidR="008A4C37">
          <w:rPr>
            <w:webHidden/>
          </w:rPr>
          <w:fldChar w:fldCharType="end"/>
        </w:r>
      </w:hyperlink>
    </w:p>
    <w:p w:rsidR="008A4C37" w:rsidRDefault="00ED394A">
      <w:pPr>
        <w:pStyle w:val="TOC2"/>
        <w:rPr>
          <w:rFonts w:asciiTheme="minorHAnsi" w:eastAsiaTheme="minorEastAsia" w:hAnsiTheme="minorHAnsi"/>
          <w:iCs w:val="0"/>
          <w:sz w:val="22"/>
          <w:szCs w:val="22"/>
          <w:lang w:val="en-AU" w:eastAsia="en-AU"/>
        </w:rPr>
      </w:pPr>
      <w:hyperlink w:anchor="_Toc364945224" w:history="1">
        <w:r w:rsidR="008A4C37" w:rsidRPr="00732886">
          <w:rPr>
            <w:rStyle w:val="Hyperlink"/>
          </w:rPr>
          <w:t>1.2</w:t>
        </w:r>
        <w:r w:rsidR="008A4C37">
          <w:rPr>
            <w:rFonts w:asciiTheme="minorHAnsi" w:eastAsiaTheme="minorEastAsia" w:hAnsiTheme="minorHAnsi"/>
            <w:iCs w:val="0"/>
            <w:sz w:val="22"/>
            <w:szCs w:val="22"/>
            <w:lang w:val="en-AU" w:eastAsia="en-AU"/>
          </w:rPr>
          <w:tab/>
        </w:r>
        <w:r w:rsidR="008A4C37" w:rsidRPr="00732886">
          <w:rPr>
            <w:rStyle w:val="Hyperlink"/>
          </w:rPr>
          <w:t>Basis of Undertaking this Activity (Why Council does it)</w:t>
        </w:r>
        <w:r w:rsidR="008A4C37">
          <w:rPr>
            <w:webHidden/>
          </w:rPr>
          <w:tab/>
        </w:r>
        <w:r w:rsidR="008A4C37">
          <w:rPr>
            <w:webHidden/>
          </w:rPr>
          <w:fldChar w:fldCharType="begin"/>
        </w:r>
        <w:r w:rsidR="008A4C37">
          <w:rPr>
            <w:webHidden/>
          </w:rPr>
          <w:instrText xml:space="preserve"> PAGEREF _Toc364945224 \h </w:instrText>
        </w:r>
        <w:r w:rsidR="008A4C37">
          <w:rPr>
            <w:webHidden/>
          </w:rPr>
        </w:r>
        <w:r w:rsidR="008A4C37">
          <w:rPr>
            <w:webHidden/>
          </w:rPr>
          <w:fldChar w:fldCharType="separate"/>
        </w:r>
        <w:r w:rsidR="00557666">
          <w:rPr>
            <w:webHidden/>
          </w:rPr>
          <w:t>2</w:t>
        </w:r>
        <w:r w:rsidR="008A4C37">
          <w:rPr>
            <w:webHidden/>
          </w:rPr>
          <w:fldChar w:fldCharType="end"/>
        </w:r>
      </w:hyperlink>
    </w:p>
    <w:p w:rsidR="008A4C37" w:rsidRDefault="00ED394A">
      <w:pPr>
        <w:pStyle w:val="TOC2"/>
        <w:rPr>
          <w:rFonts w:asciiTheme="minorHAnsi" w:eastAsiaTheme="minorEastAsia" w:hAnsiTheme="minorHAnsi"/>
          <w:iCs w:val="0"/>
          <w:sz w:val="22"/>
          <w:szCs w:val="22"/>
          <w:lang w:val="en-AU" w:eastAsia="en-AU"/>
        </w:rPr>
      </w:pPr>
      <w:hyperlink w:anchor="_Toc364945225" w:history="1">
        <w:r w:rsidR="008A4C37" w:rsidRPr="00732886">
          <w:rPr>
            <w:rStyle w:val="Hyperlink"/>
          </w:rPr>
          <w:t>1.3</w:t>
        </w:r>
        <w:r w:rsidR="008A4C37">
          <w:rPr>
            <w:rFonts w:asciiTheme="minorHAnsi" w:eastAsiaTheme="minorEastAsia" w:hAnsiTheme="minorHAnsi"/>
            <w:iCs w:val="0"/>
            <w:sz w:val="22"/>
            <w:szCs w:val="22"/>
            <w:lang w:val="en-AU" w:eastAsia="en-AU"/>
          </w:rPr>
          <w:tab/>
        </w:r>
        <w:r w:rsidR="008A4C37" w:rsidRPr="00732886">
          <w:rPr>
            <w:rStyle w:val="Hyperlink"/>
          </w:rPr>
          <w:t>Key Issues and Managing Impact of Council Buildings</w:t>
        </w:r>
        <w:r w:rsidR="008A4C37">
          <w:rPr>
            <w:webHidden/>
          </w:rPr>
          <w:tab/>
        </w:r>
        <w:r w:rsidR="008A4C37">
          <w:rPr>
            <w:webHidden/>
          </w:rPr>
          <w:fldChar w:fldCharType="begin"/>
        </w:r>
        <w:r w:rsidR="008A4C37">
          <w:rPr>
            <w:webHidden/>
          </w:rPr>
          <w:instrText xml:space="preserve"> PAGEREF _Toc364945225 \h </w:instrText>
        </w:r>
        <w:r w:rsidR="008A4C37">
          <w:rPr>
            <w:webHidden/>
          </w:rPr>
        </w:r>
        <w:r w:rsidR="008A4C37">
          <w:rPr>
            <w:webHidden/>
          </w:rPr>
          <w:fldChar w:fldCharType="separate"/>
        </w:r>
        <w:r w:rsidR="00557666">
          <w:rPr>
            <w:webHidden/>
          </w:rPr>
          <w:t>2</w:t>
        </w:r>
        <w:r w:rsidR="008A4C37">
          <w:rPr>
            <w:webHidden/>
          </w:rPr>
          <w:fldChar w:fldCharType="end"/>
        </w:r>
      </w:hyperlink>
    </w:p>
    <w:p w:rsidR="008A4C37" w:rsidRDefault="00ED394A">
      <w:pPr>
        <w:pStyle w:val="TOC2"/>
        <w:rPr>
          <w:rFonts w:asciiTheme="minorHAnsi" w:eastAsiaTheme="minorEastAsia" w:hAnsiTheme="minorHAnsi"/>
          <w:iCs w:val="0"/>
          <w:sz w:val="22"/>
          <w:szCs w:val="22"/>
          <w:lang w:val="en-AU" w:eastAsia="en-AU"/>
        </w:rPr>
      </w:pPr>
      <w:hyperlink w:anchor="_Toc364945226" w:history="1">
        <w:r w:rsidR="008A4C37" w:rsidRPr="00732886">
          <w:rPr>
            <w:rStyle w:val="Hyperlink"/>
          </w:rPr>
          <w:t>1.4</w:t>
        </w:r>
        <w:r w:rsidR="008A4C37">
          <w:rPr>
            <w:rFonts w:asciiTheme="minorHAnsi" w:eastAsiaTheme="minorEastAsia" w:hAnsiTheme="minorHAnsi"/>
            <w:iCs w:val="0"/>
            <w:sz w:val="22"/>
            <w:szCs w:val="22"/>
            <w:lang w:val="en-AU" w:eastAsia="en-AU"/>
          </w:rPr>
          <w:tab/>
        </w:r>
        <w:r w:rsidR="008A4C37" w:rsidRPr="00732886">
          <w:rPr>
            <w:rStyle w:val="Hyperlink"/>
          </w:rPr>
          <w:t>Relevant Acts, Strategies and Plans</w:t>
        </w:r>
        <w:r w:rsidR="008A4C37">
          <w:rPr>
            <w:webHidden/>
          </w:rPr>
          <w:tab/>
        </w:r>
        <w:r w:rsidR="008A4C37">
          <w:rPr>
            <w:webHidden/>
          </w:rPr>
          <w:fldChar w:fldCharType="begin"/>
        </w:r>
        <w:r w:rsidR="008A4C37">
          <w:rPr>
            <w:webHidden/>
          </w:rPr>
          <w:instrText xml:space="preserve"> PAGEREF _Toc364945226 \h </w:instrText>
        </w:r>
        <w:r w:rsidR="008A4C37">
          <w:rPr>
            <w:webHidden/>
          </w:rPr>
        </w:r>
        <w:r w:rsidR="008A4C37">
          <w:rPr>
            <w:webHidden/>
          </w:rPr>
          <w:fldChar w:fldCharType="separate"/>
        </w:r>
        <w:r w:rsidR="00557666">
          <w:rPr>
            <w:webHidden/>
          </w:rPr>
          <w:t>2</w:t>
        </w:r>
        <w:r w:rsidR="008A4C37">
          <w:rPr>
            <w:webHidden/>
          </w:rPr>
          <w:fldChar w:fldCharType="end"/>
        </w:r>
      </w:hyperlink>
    </w:p>
    <w:p w:rsidR="008A4C37" w:rsidRDefault="00ED394A">
      <w:pPr>
        <w:pStyle w:val="TOC2"/>
        <w:rPr>
          <w:rFonts w:asciiTheme="minorHAnsi" w:eastAsiaTheme="minorEastAsia" w:hAnsiTheme="minorHAnsi"/>
          <w:iCs w:val="0"/>
          <w:sz w:val="22"/>
          <w:szCs w:val="22"/>
          <w:lang w:val="en-AU" w:eastAsia="en-AU"/>
        </w:rPr>
      </w:pPr>
      <w:hyperlink w:anchor="_Toc364945227" w:history="1">
        <w:r w:rsidR="008A4C37" w:rsidRPr="00732886">
          <w:rPr>
            <w:rStyle w:val="Hyperlink"/>
          </w:rPr>
          <w:t>1.5</w:t>
        </w:r>
        <w:r w:rsidR="008A4C37">
          <w:rPr>
            <w:rFonts w:asciiTheme="minorHAnsi" w:eastAsiaTheme="minorEastAsia" w:hAnsiTheme="minorHAnsi"/>
            <w:iCs w:val="0"/>
            <w:sz w:val="22"/>
            <w:szCs w:val="22"/>
            <w:lang w:val="en-AU" w:eastAsia="en-AU"/>
          </w:rPr>
          <w:tab/>
        </w:r>
        <w:r w:rsidR="008A4C37" w:rsidRPr="00732886">
          <w:rPr>
            <w:rStyle w:val="Hyperlink"/>
          </w:rPr>
          <w:t>Strategic Priorities</w:t>
        </w:r>
        <w:r w:rsidR="008A4C37">
          <w:rPr>
            <w:webHidden/>
          </w:rPr>
          <w:tab/>
        </w:r>
        <w:r w:rsidR="008A4C37">
          <w:rPr>
            <w:webHidden/>
          </w:rPr>
          <w:fldChar w:fldCharType="begin"/>
        </w:r>
        <w:r w:rsidR="008A4C37">
          <w:rPr>
            <w:webHidden/>
          </w:rPr>
          <w:instrText xml:space="preserve"> PAGEREF _Toc364945227 \h </w:instrText>
        </w:r>
        <w:r w:rsidR="008A4C37">
          <w:rPr>
            <w:webHidden/>
          </w:rPr>
        </w:r>
        <w:r w:rsidR="008A4C37">
          <w:rPr>
            <w:webHidden/>
          </w:rPr>
          <w:fldChar w:fldCharType="separate"/>
        </w:r>
        <w:r w:rsidR="00557666">
          <w:rPr>
            <w:webHidden/>
          </w:rPr>
          <w:t>2</w:t>
        </w:r>
        <w:r w:rsidR="008A4C37">
          <w:rPr>
            <w:webHidden/>
          </w:rPr>
          <w:fldChar w:fldCharType="end"/>
        </w:r>
      </w:hyperlink>
    </w:p>
    <w:p w:rsidR="008A4C37" w:rsidRDefault="00ED394A">
      <w:pPr>
        <w:pStyle w:val="TOC2"/>
        <w:rPr>
          <w:rFonts w:asciiTheme="minorHAnsi" w:eastAsiaTheme="minorEastAsia" w:hAnsiTheme="minorHAnsi"/>
          <w:iCs w:val="0"/>
          <w:sz w:val="22"/>
          <w:szCs w:val="22"/>
          <w:lang w:val="en-AU" w:eastAsia="en-AU"/>
        </w:rPr>
      </w:pPr>
      <w:hyperlink w:anchor="_Toc364945228" w:history="1">
        <w:r w:rsidR="008A4C37" w:rsidRPr="00732886">
          <w:rPr>
            <w:rStyle w:val="Hyperlink"/>
          </w:rPr>
          <w:t>1.6</w:t>
        </w:r>
        <w:r w:rsidR="008A4C37">
          <w:rPr>
            <w:rFonts w:asciiTheme="minorHAnsi" w:eastAsiaTheme="minorEastAsia" w:hAnsiTheme="minorHAnsi"/>
            <w:iCs w:val="0"/>
            <w:sz w:val="22"/>
            <w:szCs w:val="22"/>
            <w:lang w:val="en-AU" w:eastAsia="en-AU"/>
          </w:rPr>
          <w:tab/>
        </w:r>
        <w:r w:rsidR="008A4C37" w:rsidRPr="00732886">
          <w:rPr>
            <w:rStyle w:val="Hyperlink"/>
          </w:rPr>
          <w:t>Asset Information</w:t>
        </w:r>
        <w:r w:rsidR="008A4C37">
          <w:rPr>
            <w:webHidden/>
          </w:rPr>
          <w:tab/>
        </w:r>
        <w:r w:rsidR="008A4C37">
          <w:rPr>
            <w:webHidden/>
          </w:rPr>
          <w:fldChar w:fldCharType="begin"/>
        </w:r>
        <w:r w:rsidR="008A4C37">
          <w:rPr>
            <w:webHidden/>
          </w:rPr>
          <w:instrText xml:space="preserve"> PAGEREF _Toc364945228 \h </w:instrText>
        </w:r>
        <w:r w:rsidR="008A4C37">
          <w:rPr>
            <w:webHidden/>
          </w:rPr>
        </w:r>
        <w:r w:rsidR="008A4C37">
          <w:rPr>
            <w:webHidden/>
          </w:rPr>
          <w:fldChar w:fldCharType="separate"/>
        </w:r>
        <w:r w:rsidR="00557666">
          <w:rPr>
            <w:webHidden/>
          </w:rPr>
          <w:t>2</w:t>
        </w:r>
        <w:r w:rsidR="008A4C37">
          <w:rPr>
            <w:webHidden/>
          </w:rPr>
          <w:fldChar w:fldCharType="end"/>
        </w:r>
      </w:hyperlink>
    </w:p>
    <w:p w:rsidR="008A4C37" w:rsidRDefault="00ED394A">
      <w:pPr>
        <w:pStyle w:val="TOC2"/>
        <w:rPr>
          <w:rFonts w:asciiTheme="minorHAnsi" w:eastAsiaTheme="minorEastAsia" w:hAnsiTheme="minorHAnsi"/>
          <w:iCs w:val="0"/>
          <w:sz w:val="22"/>
          <w:szCs w:val="22"/>
          <w:lang w:val="en-AU" w:eastAsia="en-AU"/>
        </w:rPr>
      </w:pPr>
      <w:hyperlink w:anchor="_Toc364945229" w:history="1">
        <w:r w:rsidR="008A4C37" w:rsidRPr="00732886">
          <w:rPr>
            <w:rStyle w:val="Hyperlink"/>
          </w:rPr>
          <w:t>1.7</w:t>
        </w:r>
        <w:r w:rsidR="008A4C37">
          <w:rPr>
            <w:rFonts w:asciiTheme="minorHAnsi" w:eastAsiaTheme="minorEastAsia" w:hAnsiTheme="minorHAnsi"/>
            <w:iCs w:val="0"/>
            <w:sz w:val="22"/>
            <w:szCs w:val="22"/>
            <w:lang w:val="en-AU" w:eastAsia="en-AU"/>
          </w:rPr>
          <w:tab/>
        </w:r>
        <w:r w:rsidR="008A4C37" w:rsidRPr="00732886">
          <w:rPr>
            <w:rStyle w:val="Hyperlink"/>
          </w:rPr>
          <w:t>Levels of Service and Performance Measures</w:t>
        </w:r>
        <w:r w:rsidR="008A4C37">
          <w:rPr>
            <w:webHidden/>
          </w:rPr>
          <w:tab/>
        </w:r>
        <w:r w:rsidR="008A4C37">
          <w:rPr>
            <w:webHidden/>
          </w:rPr>
          <w:fldChar w:fldCharType="begin"/>
        </w:r>
        <w:r w:rsidR="008A4C37">
          <w:rPr>
            <w:webHidden/>
          </w:rPr>
          <w:instrText xml:space="preserve"> PAGEREF _Toc364945229 \h </w:instrText>
        </w:r>
        <w:r w:rsidR="008A4C37">
          <w:rPr>
            <w:webHidden/>
          </w:rPr>
        </w:r>
        <w:r w:rsidR="008A4C37">
          <w:rPr>
            <w:webHidden/>
          </w:rPr>
          <w:fldChar w:fldCharType="separate"/>
        </w:r>
        <w:r w:rsidR="00557666">
          <w:rPr>
            <w:webHidden/>
          </w:rPr>
          <w:t>2</w:t>
        </w:r>
        <w:r w:rsidR="008A4C37">
          <w:rPr>
            <w:webHidden/>
          </w:rPr>
          <w:fldChar w:fldCharType="end"/>
        </w:r>
      </w:hyperlink>
    </w:p>
    <w:p w:rsidR="008A4C37" w:rsidRDefault="00ED394A">
      <w:pPr>
        <w:pStyle w:val="TOC2"/>
        <w:rPr>
          <w:rFonts w:asciiTheme="minorHAnsi" w:eastAsiaTheme="minorEastAsia" w:hAnsiTheme="minorHAnsi"/>
          <w:iCs w:val="0"/>
          <w:sz w:val="22"/>
          <w:szCs w:val="22"/>
          <w:lang w:val="en-AU" w:eastAsia="en-AU"/>
        </w:rPr>
      </w:pPr>
      <w:hyperlink w:anchor="_Toc364945230" w:history="1">
        <w:r w:rsidR="008A4C37" w:rsidRPr="00732886">
          <w:rPr>
            <w:rStyle w:val="Hyperlink"/>
          </w:rPr>
          <w:t>1.8</w:t>
        </w:r>
        <w:r w:rsidR="008A4C37">
          <w:rPr>
            <w:rFonts w:asciiTheme="minorHAnsi" w:eastAsiaTheme="minorEastAsia" w:hAnsiTheme="minorHAnsi"/>
            <w:iCs w:val="0"/>
            <w:sz w:val="22"/>
            <w:szCs w:val="22"/>
            <w:lang w:val="en-AU" w:eastAsia="en-AU"/>
          </w:rPr>
          <w:tab/>
        </w:r>
        <w:r w:rsidR="008A4C37" w:rsidRPr="00732886">
          <w:rPr>
            <w:rStyle w:val="Hyperlink"/>
          </w:rPr>
          <w:t>Managing Growth and Demand</w:t>
        </w:r>
        <w:r w:rsidR="008A4C37">
          <w:rPr>
            <w:webHidden/>
          </w:rPr>
          <w:tab/>
        </w:r>
        <w:r w:rsidR="008A4C37">
          <w:rPr>
            <w:webHidden/>
          </w:rPr>
          <w:fldChar w:fldCharType="begin"/>
        </w:r>
        <w:r w:rsidR="008A4C37">
          <w:rPr>
            <w:webHidden/>
          </w:rPr>
          <w:instrText xml:space="preserve"> PAGEREF _Toc364945230 \h </w:instrText>
        </w:r>
        <w:r w:rsidR="008A4C37">
          <w:rPr>
            <w:webHidden/>
          </w:rPr>
        </w:r>
        <w:r w:rsidR="008A4C37">
          <w:rPr>
            <w:webHidden/>
          </w:rPr>
          <w:fldChar w:fldCharType="separate"/>
        </w:r>
        <w:r w:rsidR="00557666">
          <w:rPr>
            <w:webHidden/>
          </w:rPr>
          <w:t>2</w:t>
        </w:r>
        <w:r w:rsidR="008A4C37">
          <w:rPr>
            <w:webHidden/>
          </w:rPr>
          <w:fldChar w:fldCharType="end"/>
        </w:r>
      </w:hyperlink>
    </w:p>
    <w:p w:rsidR="008A4C37" w:rsidRDefault="00ED394A">
      <w:pPr>
        <w:pStyle w:val="TOC2"/>
        <w:rPr>
          <w:rFonts w:asciiTheme="minorHAnsi" w:eastAsiaTheme="minorEastAsia" w:hAnsiTheme="minorHAnsi"/>
          <w:iCs w:val="0"/>
          <w:sz w:val="22"/>
          <w:szCs w:val="22"/>
          <w:lang w:val="en-AU" w:eastAsia="en-AU"/>
        </w:rPr>
      </w:pPr>
      <w:hyperlink w:anchor="_Toc364945231" w:history="1">
        <w:r w:rsidR="008A4C37" w:rsidRPr="00732886">
          <w:rPr>
            <w:rStyle w:val="Hyperlink"/>
          </w:rPr>
          <w:t>1.9</w:t>
        </w:r>
        <w:r w:rsidR="008A4C37">
          <w:rPr>
            <w:rFonts w:asciiTheme="minorHAnsi" w:eastAsiaTheme="minorEastAsia" w:hAnsiTheme="minorHAnsi"/>
            <w:iCs w:val="0"/>
            <w:sz w:val="22"/>
            <w:szCs w:val="22"/>
            <w:lang w:val="en-AU" w:eastAsia="en-AU"/>
          </w:rPr>
          <w:tab/>
        </w:r>
        <w:r w:rsidR="008A4C37" w:rsidRPr="00732886">
          <w:rPr>
            <w:rStyle w:val="Hyperlink"/>
          </w:rPr>
          <w:t>Lifecycle Management Plan</w:t>
        </w:r>
        <w:r w:rsidR="008A4C37">
          <w:rPr>
            <w:webHidden/>
          </w:rPr>
          <w:tab/>
        </w:r>
        <w:r w:rsidR="008A4C37">
          <w:rPr>
            <w:webHidden/>
          </w:rPr>
          <w:fldChar w:fldCharType="begin"/>
        </w:r>
        <w:r w:rsidR="008A4C37">
          <w:rPr>
            <w:webHidden/>
          </w:rPr>
          <w:instrText xml:space="preserve"> PAGEREF _Toc364945231 \h </w:instrText>
        </w:r>
        <w:r w:rsidR="008A4C37">
          <w:rPr>
            <w:webHidden/>
          </w:rPr>
        </w:r>
        <w:r w:rsidR="008A4C37">
          <w:rPr>
            <w:webHidden/>
          </w:rPr>
          <w:fldChar w:fldCharType="separate"/>
        </w:r>
        <w:r w:rsidR="00557666">
          <w:rPr>
            <w:webHidden/>
          </w:rPr>
          <w:t>2</w:t>
        </w:r>
        <w:r w:rsidR="008A4C37">
          <w:rPr>
            <w:webHidden/>
          </w:rPr>
          <w:fldChar w:fldCharType="end"/>
        </w:r>
      </w:hyperlink>
    </w:p>
    <w:p w:rsidR="008A4C37" w:rsidRDefault="00ED394A">
      <w:pPr>
        <w:pStyle w:val="TOC3"/>
        <w:rPr>
          <w:rFonts w:asciiTheme="minorHAnsi" w:eastAsiaTheme="minorEastAsia" w:hAnsiTheme="minorHAnsi"/>
          <w:iCs w:val="0"/>
          <w:sz w:val="22"/>
          <w:szCs w:val="22"/>
          <w:lang w:val="en-AU" w:eastAsia="en-AU"/>
        </w:rPr>
      </w:pPr>
      <w:hyperlink w:anchor="_Toc364945232" w:history="1">
        <w:r w:rsidR="008A4C37" w:rsidRPr="00732886">
          <w:rPr>
            <w:rStyle w:val="Hyperlink"/>
          </w:rPr>
          <w:t>1.9.1</w:t>
        </w:r>
        <w:r w:rsidR="008A4C37">
          <w:rPr>
            <w:rFonts w:asciiTheme="minorHAnsi" w:eastAsiaTheme="minorEastAsia" w:hAnsiTheme="minorHAnsi"/>
            <w:iCs w:val="0"/>
            <w:sz w:val="22"/>
            <w:szCs w:val="22"/>
            <w:lang w:val="en-AU" w:eastAsia="en-AU"/>
          </w:rPr>
          <w:tab/>
        </w:r>
        <w:r w:rsidR="008A4C37" w:rsidRPr="00732886">
          <w:rPr>
            <w:rStyle w:val="Hyperlink"/>
          </w:rPr>
          <w:t>Condition Assessment</w:t>
        </w:r>
        <w:r w:rsidR="008A4C37">
          <w:rPr>
            <w:webHidden/>
          </w:rPr>
          <w:tab/>
        </w:r>
        <w:r w:rsidR="008A4C37">
          <w:rPr>
            <w:webHidden/>
          </w:rPr>
          <w:fldChar w:fldCharType="begin"/>
        </w:r>
        <w:r w:rsidR="008A4C37">
          <w:rPr>
            <w:webHidden/>
          </w:rPr>
          <w:instrText xml:space="preserve"> PAGEREF _Toc364945232 \h </w:instrText>
        </w:r>
        <w:r w:rsidR="008A4C37">
          <w:rPr>
            <w:webHidden/>
          </w:rPr>
        </w:r>
        <w:r w:rsidR="008A4C37">
          <w:rPr>
            <w:webHidden/>
          </w:rPr>
          <w:fldChar w:fldCharType="separate"/>
        </w:r>
        <w:r w:rsidR="00557666">
          <w:rPr>
            <w:webHidden/>
          </w:rPr>
          <w:t>2</w:t>
        </w:r>
        <w:r w:rsidR="008A4C37">
          <w:rPr>
            <w:webHidden/>
          </w:rPr>
          <w:fldChar w:fldCharType="end"/>
        </w:r>
      </w:hyperlink>
    </w:p>
    <w:p w:rsidR="008A4C37" w:rsidRDefault="00ED394A">
      <w:pPr>
        <w:pStyle w:val="TOC3"/>
        <w:rPr>
          <w:rFonts w:asciiTheme="minorHAnsi" w:eastAsiaTheme="minorEastAsia" w:hAnsiTheme="minorHAnsi"/>
          <w:iCs w:val="0"/>
          <w:sz w:val="22"/>
          <w:szCs w:val="22"/>
          <w:lang w:val="en-AU" w:eastAsia="en-AU"/>
        </w:rPr>
      </w:pPr>
      <w:hyperlink w:anchor="_Toc364945233" w:history="1">
        <w:r w:rsidR="008A4C37" w:rsidRPr="00732886">
          <w:rPr>
            <w:rStyle w:val="Hyperlink"/>
          </w:rPr>
          <w:t>1.9.2</w:t>
        </w:r>
        <w:r w:rsidR="008A4C37">
          <w:rPr>
            <w:rFonts w:asciiTheme="minorHAnsi" w:eastAsiaTheme="minorEastAsia" w:hAnsiTheme="minorHAnsi"/>
            <w:iCs w:val="0"/>
            <w:sz w:val="22"/>
            <w:szCs w:val="22"/>
            <w:lang w:val="en-AU" w:eastAsia="en-AU"/>
          </w:rPr>
          <w:tab/>
        </w:r>
        <w:r w:rsidR="008A4C37" w:rsidRPr="00732886">
          <w:rPr>
            <w:rStyle w:val="Hyperlink"/>
          </w:rPr>
          <w:t>Fitness for Purpose Assessment</w:t>
        </w:r>
        <w:r w:rsidR="008A4C37">
          <w:rPr>
            <w:webHidden/>
          </w:rPr>
          <w:tab/>
        </w:r>
        <w:r w:rsidR="008A4C37">
          <w:rPr>
            <w:webHidden/>
          </w:rPr>
          <w:fldChar w:fldCharType="begin"/>
        </w:r>
        <w:r w:rsidR="008A4C37">
          <w:rPr>
            <w:webHidden/>
          </w:rPr>
          <w:instrText xml:space="preserve"> PAGEREF _Toc364945233 \h </w:instrText>
        </w:r>
        <w:r w:rsidR="008A4C37">
          <w:rPr>
            <w:webHidden/>
          </w:rPr>
        </w:r>
        <w:r w:rsidR="008A4C37">
          <w:rPr>
            <w:webHidden/>
          </w:rPr>
          <w:fldChar w:fldCharType="separate"/>
        </w:r>
        <w:r w:rsidR="00557666">
          <w:rPr>
            <w:webHidden/>
          </w:rPr>
          <w:t>2</w:t>
        </w:r>
        <w:r w:rsidR="008A4C37">
          <w:rPr>
            <w:webHidden/>
          </w:rPr>
          <w:fldChar w:fldCharType="end"/>
        </w:r>
      </w:hyperlink>
    </w:p>
    <w:p w:rsidR="008A4C37" w:rsidRDefault="00ED394A">
      <w:pPr>
        <w:pStyle w:val="TOC3"/>
        <w:rPr>
          <w:rFonts w:asciiTheme="minorHAnsi" w:eastAsiaTheme="minorEastAsia" w:hAnsiTheme="minorHAnsi"/>
          <w:iCs w:val="0"/>
          <w:sz w:val="22"/>
          <w:szCs w:val="22"/>
          <w:lang w:val="en-AU" w:eastAsia="en-AU"/>
        </w:rPr>
      </w:pPr>
      <w:hyperlink w:anchor="_Toc364945234" w:history="1">
        <w:r w:rsidR="008A4C37" w:rsidRPr="00732886">
          <w:rPr>
            <w:rStyle w:val="Hyperlink"/>
          </w:rPr>
          <w:t>1.9.3</w:t>
        </w:r>
        <w:r w:rsidR="008A4C37">
          <w:rPr>
            <w:rFonts w:asciiTheme="minorHAnsi" w:eastAsiaTheme="minorEastAsia" w:hAnsiTheme="minorHAnsi"/>
            <w:iCs w:val="0"/>
            <w:sz w:val="22"/>
            <w:szCs w:val="22"/>
            <w:lang w:val="en-AU" w:eastAsia="en-AU"/>
          </w:rPr>
          <w:tab/>
        </w:r>
        <w:r w:rsidR="008A4C37" w:rsidRPr="00732886">
          <w:rPr>
            <w:rStyle w:val="Hyperlink"/>
          </w:rPr>
          <w:t>Operational and Maintenance</w:t>
        </w:r>
        <w:r w:rsidR="008A4C37">
          <w:rPr>
            <w:webHidden/>
          </w:rPr>
          <w:tab/>
        </w:r>
        <w:r w:rsidR="008A4C37">
          <w:rPr>
            <w:webHidden/>
          </w:rPr>
          <w:fldChar w:fldCharType="begin"/>
        </w:r>
        <w:r w:rsidR="008A4C37">
          <w:rPr>
            <w:webHidden/>
          </w:rPr>
          <w:instrText xml:space="preserve"> PAGEREF _Toc364945234 \h </w:instrText>
        </w:r>
        <w:r w:rsidR="008A4C37">
          <w:rPr>
            <w:webHidden/>
          </w:rPr>
        </w:r>
        <w:r w:rsidR="008A4C37">
          <w:rPr>
            <w:webHidden/>
          </w:rPr>
          <w:fldChar w:fldCharType="separate"/>
        </w:r>
        <w:r w:rsidR="00557666">
          <w:rPr>
            <w:webHidden/>
          </w:rPr>
          <w:t>2</w:t>
        </w:r>
        <w:r w:rsidR="008A4C37">
          <w:rPr>
            <w:webHidden/>
          </w:rPr>
          <w:fldChar w:fldCharType="end"/>
        </w:r>
      </w:hyperlink>
    </w:p>
    <w:p w:rsidR="008A4C37" w:rsidRDefault="00ED394A">
      <w:pPr>
        <w:pStyle w:val="TOC3"/>
        <w:rPr>
          <w:rFonts w:asciiTheme="minorHAnsi" w:eastAsiaTheme="minorEastAsia" w:hAnsiTheme="minorHAnsi"/>
          <w:iCs w:val="0"/>
          <w:sz w:val="22"/>
          <w:szCs w:val="22"/>
          <w:lang w:val="en-AU" w:eastAsia="en-AU"/>
        </w:rPr>
      </w:pPr>
      <w:hyperlink w:anchor="_Toc364945235" w:history="1">
        <w:r w:rsidR="008A4C37" w:rsidRPr="00732886">
          <w:rPr>
            <w:rStyle w:val="Hyperlink"/>
          </w:rPr>
          <w:t>1.9.4</w:t>
        </w:r>
        <w:r w:rsidR="008A4C37">
          <w:rPr>
            <w:rFonts w:asciiTheme="minorHAnsi" w:eastAsiaTheme="minorEastAsia" w:hAnsiTheme="minorHAnsi"/>
            <w:iCs w:val="0"/>
            <w:sz w:val="22"/>
            <w:szCs w:val="22"/>
            <w:lang w:val="en-AU" w:eastAsia="en-AU"/>
          </w:rPr>
          <w:tab/>
        </w:r>
        <w:r w:rsidR="008A4C37" w:rsidRPr="00732886">
          <w:rPr>
            <w:rStyle w:val="Hyperlink"/>
          </w:rPr>
          <w:t>Renewal</w:t>
        </w:r>
        <w:r w:rsidR="008A4C37">
          <w:rPr>
            <w:webHidden/>
          </w:rPr>
          <w:tab/>
        </w:r>
        <w:r w:rsidR="008A4C37">
          <w:rPr>
            <w:webHidden/>
          </w:rPr>
          <w:fldChar w:fldCharType="begin"/>
        </w:r>
        <w:r w:rsidR="008A4C37">
          <w:rPr>
            <w:webHidden/>
          </w:rPr>
          <w:instrText xml:space="preserve"> PAGEREF _Toc364945235 \h </w:instrText>
        </w:r>
        <w:r w:rsidR="008A4C37">
          <w:rPr>
            <w:webHidden/>
          </w:rPr>
        </w:r>
        <w:r w:rsidR="008A4C37">
          <w:rPr>
            <w:webHidden/>
          </w:rPr>
          <w:fldChar w:fldCharType="separate"/>
        </w:r>
        <w:r w:rsidR="00557666">
          <w:rPr>
            <w:webHidden/>
          </w:rPr>
          <w:t>2</w:t>
        </w:r>
        <w:r w:rsidR="008A4C37">
          <w:rPr>
            <w:webHidden/>
          </w:rPr>
          <w:fldChar w:fldCharType="end"/>
        </w:r>
      </w:hyperlink>
    </w:p>
    <w:p w:rsidR="008A4C37" w:rsidRDefault="00ED394A">
      <w:pPr>
        <w:pStyle w:val="TOC3"/>
        <w:rPr>
          <w:rFonts w:asciiTheme="minorHAnsi" w:eastAsiaTheme="minorEastAsia" w:hAnsiTheme="minorHAnsi"/>
          <w:iCs w:val="0"/>
          <w:sz w:val="22"/>
          <w:szCs w:val="22"/>
          <w:lang w:val="en-AU" w:eastAsia="en-AU"/>
        </w:rPr>
      </w:pPr>
      <w:hyperlink w:anchor="_Toc364945236" w:history="1">
        <w:r w:rsidR="008A4C37" w:rsidRPr="00732886">
          <w:rPr>
            <w:rStyle w:val="Hyperlink"/>
          </w:rPr>
          <w:t>1.9.5</w:t>
        </w:r>
        <w:r w:rsidR="008A4C37">
          <w:rPr>
            <w:rFonts w:asciiTheme="minorHAnsi" w:eastAsiaTheme="minorEastAsia" w:hAnsiTheme="minorHAnsi"/>
            <w:iCs w:val="0"/>
            <w:sz w:val="22"/>
            <w:szCs w:val="22"/>
            <w:lang w:val="en-AU" w:eastAsia="en-AU"/>
          </w:rPr>
          <w:tab/>
        </w:r>
        <w:r w:rsidR="008A4C37" w:rsidRPr="00732886">
          <w:rPr>
            <w:rStyle w:val="Hyperlink"/>
          </w:rPr>
          <w:t>Capital Works New and Upgrade</w:t>
        </w:r>
        <w:r w:rsidR="008A4C37">
          <w:rPr>
            <w:webHidden/>
          </w:rPr>
          <w:tab/>
        </w:r>
        <w:r w:rsidR="008A4C37">
          <w:rPr>
            <w:webHidden/>
          </w:rPr>
          <w:fldChar w:fldCharType="begin"/>
        </w:r>
        <w:r w:rsidR="008A4C37">
          <w:rPr>
            <w:webHidden/>
          </w:rPr>
          <w:instrText xml:space="preserve"> PAGEREF _Toc364945236 \h </w:instrText>
        </w:r>
        <w:r w:rsidR="008A4C37">
          <w:rPr>
            <w:webHidden/>
          </w:rPr>
        </w:r>
        <w:r w:rsidR="008A4C37">
          <w:rPr>
            <w:webHidden/>
          </w:rPr>
          <w:fldChar w:fldCharType="separate"/>
        </w:r>
        <w:r w:rsidR="00557666">
          <w:rPr>
            <w:webHidden/>
          </w:rPr>
          <w:t>2</w:t>
        </w:r>
        <w:r w:rsidR="008A4C37">
          <w:rPr>
            <w:webHidden/>
          </w:rPr>
          <w:fldChar w:fldCharType="end"/>
        </w:r>
      </w:hyperlink>
    </w:p>
    <w:p w:rsidR="008A4C37" w:rsidRDefault="00ED394A">
      <w:pPr>
        <w:pStyle w:val="TOC2"/>
        <w:rPr>
          <w:rFonts w:asciiTheme="minorHAnsi" w:eastAsiaTheme="minorEastAsia" w:hAnsiTheme="minorHAnsi"/>
          <w:iCs w:val="0"/>
          <w:sz w:val="22"/>
          <w:szCs w:val="22"/>
          <w:lang w:val="en-AU" w:eastAsia="en-AU"/>
        </w:rPr>
      </w:pPr>
      <w:hyperlink w:anchor="_Toc364945237" w:history="1">
        <w:r w:rsidR="008A4C37" w:rsidRPr="00732886">
          <w:rPr>
            <w:rStyle w:val="Hyperlink"/>
          </w:rPr>
          <w:t>1.10</w:t>
        </w:r>
        <w:r w:rsidR="008A4C37">
          <w:rPr>
            <w:rFonts w:asciiTheme="minorHAnsi" w:eastAsiaTheme="minorEastAsia" w:hAnsiTheme="minorHAnsi"/>
            <w:iCs w:val="0"/>
            <w:sz w:val="22"/>
            <w:szCs w:val="22"/>
            <w:lang w:val="en-AU" w:eastAsia="en-AU"/>
          </w:rPr>
          <w:tab/>
        </w:r>
        <w:r w:rsidR="008A4C37" w:rsidRPr="00732886">
          <w:rPr>
            <w:rStyle w:val="Hyperlink"/>
          </w:rPr>
          <w:t>Asset Management Practices</w:t>
        </w:r>
        <w:r w:rsidR="008A4C37">
          <w:rPr>
            <w:webHidden/>
          </w:rPr>
          <w:tab/>
        </w:r>
        <w:r w:rsidR="008A4C37">
          <w:rPr>
            <w:webHidden/>
          </w:rPr>
          <w:fldChar w:fldCharType="begin"/>
        </w:r>
        <w:r w:rsidR="008A4C37">
          <w:rPr>
            <w:webHidden/>
          </w:rPr>
          <w:instrText xml:space="preserve"> PAGEREF _Toc364945237 \h </w:instrText>
        </w:r>
        <w:r w:rsidR="008A4C37">
          <w:rPr>
            <w:webHidden/>
          </w:rPr>
        </w:r>
        <w:r w:rsidR="008A4C37">
          <w:rPr>
            <w:webHidden/>
          </w:rPr>
          <w:fldChar w:fldCharType="separate"/>
        </w:r>
        <w:r w:rsidR="00557666">
          <w:rPr>
            <w:webHidden/>
          </w:rPr>
          <w:t>2</w:t>
        </w:r>
        <w:r w:rsidR="008A4C37">
          <w:rPr>
            <w:webHidden/>
          </w:rPr>
          <w:fldChar w:fldCharType="end"/>
        </w:r>
      </w:hyperlink>
    </w:p>
    <w:p w:rsidR="008A4C37" w:rsidRDefault="00ED394A">
      <w:pPr>
        <w:pStyle w:val="TOC2"/>
        <w:rPr>
          <w:rFonts w:asciiTheme="minorHAnsi" w:eastAsiaTheme="minorEastAsia" w:hAnsiTheme="minorHAnsi"/>
          <w:iCs w:val="0"/>
          <w:sz w:val="22"/>
          <w:szCs w:val="22"/>
          <w:lang w:val="en-AU" w:eastAsia="en-AU"/>
        </w:rPr>
      </w:pPr>
      <w:hyperlink w:anchor="_Toc364945238" w:history="1">
        <w:r w:rsidR="008A4C37" w:rsidRPr="00732886">
          <w:rPr>
            <w:rStyle w:val="Hyperlink"/>
          </w:rPr>
          <w:t>1.11</w:t>
        </w:r>
        <w:r w:rsidR="008A4C37">
          <w:rPr>
            <w:rFonts w:asciiTheme="minorHAnsi" w:eastAsiaTheme="minorEastAsia" w:hAnsiTheme="minorHAnsi"/>
            <w:iCs w:val="0"/>
            <w:sz w:val="22"/>
            <w:szCs w:val="22"/>
            <w:lang w:val="en-AU" w:eastAsia="en-AU"/>
          </w:rPr>
          <w:tab/>
        </w:r>
        <w:r w:rsidR="008A4C37" w:rsidRPr="00732886">
          <w:rPr>
            <w:rStyle w:val="Hyperlink"/>
          </w:rPr>
          <w:t>Risk Management</w:t>
        </w:r>
        <w:r w:rsidR="008A4C37">
          <w:rPr>
            <w:webHidden/>
          </w:rPr>
          <w:tab/>
        </w:r>
        <w:r w:rsidR="008A4C37">
          <w:rPr>
            <w:webHidden/>
          </w:rPr>
          <w:fldChar w:fldCharType="begin"/>
        </w:r>
        <w:r w:rsidR="008A4C37">
          <w:rPr>
            <w:webHidden/>
          </w:rPr>
          <w:instrText xml:space="preserve"> PAGEREF _Toc364945238 \h </w:instrText>
        </w:r>
        <w:r w:rsidR="008A4C37">
          <w:rPr>
            <w:webHidden/>
          </w:rPr>
        </w:r>
        <w:r w:rsidR="008A4C37">
          <w:rPr>
            <w:webHidden/>
          </w:rPr>
          <w:fldChar w:fldCharType="separate"/>
        </w:r>
        <w:r w:rsidR="00557666">
          <w:rPr>
            <w:webHidden/>
          </w:rPr>
          <w:t>2</w:t>
        </w:r>
        <w:r w:rsidR="008A4C37">
          <w:rPr>
            <w:webHidden/>
          </w:rPr>
          <w:fldChar w:fldCharType="end"/>
        </w:r>
      </w:hyperlink>
    </w:p>
    <w:p w:rsidR="008A4C37" w:rsidRDefault="00ED394A">
      <w:pPr>
        <w:pStyle w:val="TOC2"/>
        <w:rPr>
          <w:rFonts w:asciiTheme="minorHAnsi" w:eastAsiaTheme="minorEastAsia" w:hAnsiTheme="minorHAnsi"/>
          <w:iCs w:val="0"/>
          <w:sz w:val="22"/>
          <w:szCs w:val="22"/>
          <w:lang w:val="en-AU" w:eastAsia="en-AU"/>
        </w:rPr>
      </w:pPr>
      <w:hyperlink w:anchor="_Toc364945239" w:history="1">
        <w:r w:rsidR="008A4C37" w:rsidRPr="00732886">
          <w:rPr>
            <w:rStyle w:val="Hyperlink"/>
          </w:rPr>
          <w:t>1.12</w:t>
        </w:r>
        <w:r w:rsidR="008A4C37">
          <w:rPr>
            <w:rFonts w:asciiTheme="minorHAnsi" w:eastAsiaTheme="minorEastAsia" w:hAnsiTheme="minorHAnsi"/>
            <w:iCs w:val="0"/>
            <w:sz w:val="22"/>
            <w:szCs w:val="22"/>
            <w:lang w:val="en-AU" w:eastAsia="en-AU"/>
          </w:rPr>
          <w:tab/>
        </w:r>
        <w:r w:rsidR="008A4C37" w:rsidRPr="00732886">
          <w:rPr>
            <w:rStyle w:val="Hyperlink"/>
          </w:rPr>
          <w:t>Funding Strategy</w:t>
        </w:r>
        <w:r w:rsidR="008A4C37">
          <w:rPr>
            <w:webHidden/>
          </w:rPr>
          <w:tab/>
        </w:r>
        <w:r w:rsidR="008A4C37">
          <w:rPr>
            <w:webHidden/>
          </w:rPr>
          <w:fldChar w:fldCharType="begin"/>
        </w:r>
        <w:r w:rsidR="008A4C37">
          <w:rPr>
            <w:webHidden/>
          </w:rPr>
          <w:instrText xml:space="preserve"> PAGEREF _Toc364945239 \h </w:instrText>
        </w:r>
        <w:r w:rsidR="008A4C37">
          <w:rPr>
            <w:webHidden/>
          </w:rPr>
        </w:r>
        <w:r w:rsidR="008A4C37">
          <w:rPr>
            <w:webHidden/>
          </w:rPr>
          <w:fldChar w:fldCharType="separate"/>
        </w:r>
        <w:r w:rsidR="00557666">
          <w:rPr>
            <w:webHidden/>
          </w:rPr>
          <w:t>2</w:t>
        </w:r>
        <w:r w:rsidR="008A4C37">
          <w:rPr>
            <w:webHidden/>
          </w:rPr>
          <w:fldChar w:fldCharType="end"/>
        </w:r>
      </w:hyperlink>
    </w:p>
    <w:p w:rsidR="008A4C37" w:rsidRDefault="00ED394A">
      <w:pPr>
        <w:pStyle w:val="TOC2"/>
        <w:rPr>
          <w:rFonts w:asciiTheme="minorHAnsi" w:eastAsiaTheme="minorEastAsia" w:hAnsiTheme="minorHAnsi"/>
          <w:iCs w:val="0"/>
          <w:sz w:val="22"/>
          <w:szCs w:val="22"/>
          <w:lang w:val="en-AU" w:eastAsia="en-AU"/>
        </w:rPr>
      </w:pPr>
      <w:hyperlink w:anchor="_Toc364945240" w:history="1">
        <w:r w:rsidR="008A4C37" w:rsidRPr="00732886">
          <w:rPr>
            <w:rStyle w:val="Hyperlink"/>
          </w:rPr>
          <w:t>1.13</w:t>
        </w:r>
        <w:r w:rsidR="008A4C37">
          <w:rPr>
            <w:rFonts w:asciiTheme="minorHAnsi" w:eastAsiaTheme="minorEastAsia" w:hAnsiTheme="minorHAnsi"/>
            <w:iCs w:val="0"/>
            <w:sz w:val="22"/>
            <w:szCs w:val="22"/>
            <w:lang w:val="en-AU" w:eastAsia="en-AU"/>
          </w:rPr>
          <w:tab/>
        </w:r>
        <w:r w:rsidR="008A4C37" w:rsidRPr="00732886">
          <w:rPr>
            <w:rStyle w:val="Hyperlink"/>
          </w:rPr>
          <w:t>Assumptions and Uncertainties</w:t>
        </w:r>
        <w:r w:rsidR="008A4C37">
          <w:rPr>
            <w:webHidden/>
          </w:rPr>
          <w:tab/>
        </w:r>
        <w:r w:rsidR="008A4C37">
          <w:rPr>
            <w:webHidden/>
          </w:rPr>
          <w:fldChar w:fldCharType="begin"/>
        </w:r>
        <w:r w:rsidR="008A4C37">
          <w:rPr>
            <w:webHidden/>
          </w:rPr>
          <w:instrText xml:space="preserve"> PAGEREF _Toc364945240 \h </w:instrText>
        </w:r>
        <w:r w:rsidR="008A4C37">
          <w:rPr>
            <w:webHidden/>
          </w:rPr>
        </w:r>
        <w:r w:rsidR="008A4C37">
          <w:rPr>
            <w:webHidden/>
          </w:rPr>
          <w:fldChar w:fldCharType="separate"/>
        </w:r>
        <w:r w:rsidR="00557666">
          <w:rPr>
            <w:webHidden/>
          </w:rPr>
          <w:t>2</w:t>
        </w:r>
        <w:r w:rsidR="008A4C37">
          <w:rPr>
            <w:webHidden/>
          </w:rPr>
          <w:fldChar w:fldCharType="end"/>
        </w:r>
      </w:hyperlink>
    </w:p>
    <w:p w:rsidR="008A4C37" w:rsidRDefault="00ED394A">
      <w:pPr>
        <w:pStyle w:val="TOC2"/>
        <w:rPr>
          <w:rFonts w:asciiTheme="minorHAnsi" w:eastAsiaTheme="minorEastAsia" w:hAnsiTheme="minorHAnsi"/>
          <w:iCs w:val="0"/>
          <w:sz w:val="22"/>
          <w:szCs w:val="22"/>
          <w:lang w:val="en-AU" w:eastAsia="en-AU"/>
        </w:rPr>
      </w:pPr>
      <w:hyperlink w:anchor="_Toc364945241" w:history="1">
        <w:r w:rsidR="008A4C37" w:rsidRPr="00732886">
          <w:rPr>
            <w:rStyle w:val="Hyperlink"/>
          </w:rPr>
          <w:t>1.14</w:t>
        </w:r>
        <w:r w:rsidR="008A4C37">
          <w:rPr>
            <w:rFonts w:asciiTheme="minorHAnsi" w:eastAsiaTheme="minorEastAsia" w:hAnsiTheme="minorHAnsi"/>
            <w:iCs w:val="0"/>
            <w:sz w:val="22"/>
            <w:szCs w:val="22"/>
            <w:lang w:val="en-AU" w:eastAsia="en-AU"/>
          </w:rPr>
          <w:tab/>
        </w:r>
        <w:r w:rsidR="008A4C37" w:rsidRPr="00732886">
          <w:rPr>
            <w:rStyle w:val="Hyperlink"/>
          </w:rPr>
          <w:t>Improvement Plan and Monitoring</w:t>
        </w:r>
        <w:r w:rsidR="008A4C37">
          <w:rPr>
            <w:webHidden/>
          </w:rPr>
          <w:tab/>
        </w:r>
        <w:r w:rsidR="008A4C37">
          <w:rPr>
            <w:webHidden/>
          </w:rPr>
          <w:fldChar w:fldCharType="begin"/>
        </w:r>
        <w:r w:rsidR="008A4C37">
          <w:rPr>
            <w:webHidden/>
          </w:rPr>
          <w:instrText xml:space="preserve"> PAGEREF _Toc364945241 \h </w:instrText>
        </w:r>
        <w:r w:rsidR="008A4C37">
          <w:rPr>
            <w:webHidden/>
          </w:rPr>
        </w:r>
        <w:r w:rsidR="008A4C37">
          <w:rPr>
            <w:webHidden/>
          </w:rPr>
          <w:fldChar w:fldCharType="separate"/>
        </w:r>
        <w:r w:rsidR="00557666">
          <w:rPr>
            <w:webHidden/>
          </w:rPr>
          <w:t>2</w:t>
        </w:r>
        <w:r w:rsidR="008A4C37">
          <w:rPr>
            <w:webHidden/>
          </w:rPr>
          <w:fldChar w:fldCharType="end"/>
        </w:r>
      </w:hyperlink>
    </w:p>
    <w:p w:rsidR="008A4C37" w:rsidRDefault="00ED394A">
      <w:pPr>
        <w:pStyle w:val="TOC1"/>
        <w:rPr>
          <w:rFonts w:asciiTheme="minorHAnsi" w:eastAsiaTheme="minorEastAsia" w:hAnsiTheme="minorHAnsi"/>
          <w:b w:val="0"/>
          <w:sz w:val="22"/>
          <w:szCs w:val="22"/>
        </w:rPr>
      </w:pPr>
      <w:hyperlink w:anchor="_Toc364945242" w:history="1">
        <w:r w:rsidR="008A4C37" w:rsidRPr="00732886">
          <w:rPr>
            <w:rStyle w:val="Hyperlink"/>
          </w:rPr>
          <w:t>2</w:t>
        </w:r>
        <w:r w:rsidR="008A4C37">
          <w:rPr>
            <w:rFonts w:asciiTheme="minorHAnsi" w:eastAsiaTheme="minorEastAsia" w:hAnsiTheme="minorHAnsi"/>
            <w:b w:val="0"/>
            <w:sz w:val="22"/>
            <w:szCs w:val="22"/>
          </w:rPr>
          <w:tab/>
        </w:r>
        <w:r w:rsidR="008A4C37" w:rsidRPr="00732886">
          <w:rPr>
            <w:rStyle w:val="Hyperlink"/>
          </w:rPr>
          <w:t>Introduction</w:t>
        </w:r>
        <w:r w:rsidR="008A4C37">
          <w:rPr>
            <w:webHidden/>
          </w:rPr>
          <w:tab/>
        </w:r>
        <w:r w:rsidR="008A4C37">
          <w:rPr>
            <w:webHidden/>
          </w:rPr>
          <w:fldChar w:fldCharType="begin"/>
        </w:r>
        <w:r w:rsidR="008A4C37">
          <w:rPr>
            <w:webHidden/>
          </w:rPr>
          <w:instrText xml:space="preserve"> PAGEREF _Toc364945242 \h </w:instrText>
        </w:r>
        <w:r w:rsidR="008A4C37">
          <w:rPr>
            <w:webHidden/>
          </w:rPr>
        </w:r>
        <w:r w:rsidR="008A4C37">
          <w:rPr>
            <w:webHidden/>
          </w:rPr>
          <w:fldChar w:fldCharType="separate"/>
        </w:r>
        <w:r w:rsidR="00557666">
          <w:rPr>
            <w:webHidden/>
          </w:rPr>
          <w:t>2</w:t>
        </w:r>
        <w:r w:rsidR="008A4C37">
          <w:rPr>
            <w:webHidden/>
          </w:rPr>
          <w:fldChar w:fldCharType="end"/>
        </w:r>
      </w:hyperlink>
    </w:p>
    <w:p w:rsidR="008A4C37" w:rsidRDefault="00ED394A">
      <w:pPr>
        <w:pStyle w:val="TOC2"/>
        <w:rPr>
          <w:rFonts w:asciiTheme="minorHAnsi" w:eastAsiaTheme="minorEastAsia" w:hAnsiTheme="minorHAnsi"/>
          <w:iCs w:val="0"/>
          <w:sz w:val="22"/>
          <w:szCs w:val="22"/>
          <w:lang w:val="en-AU" w:eastAsia="en-AU"/>
        </w:rPr>
      </w:pPr>
      <w:hyperlink w:anchor="_Toc364945243" w:history="1">
        <w:r w:rsidR="008A4C37" w:rsidRPr="00732886">
          <w:rPr>
            <w:rStyle w:val="Hyperlink"/>
          </w:rPr>
          <w:t>2.1</w:t>
        </w:r>
        <w:r w:rsidR="008A4C37">
          <w:rPr>
            <w:rFonts w:asciiTheme="minorHAnsi" w:eastAsiaTheme="minorEastAsia" w:hAnsiTheme="minorHAnsi"/>
            <w:iCs w:val="0"/>
            <w:sz w:val="22"/>
            <w:szCs w:val="22"/>
            <w:lang w:val="en-AU" w:eastAsia="en-AU"/>
          </w:rPr>
          <w:tab/>
        </w:r>
        <w:r w:rsidR="008A4C37" w:rsidRPr="00732886">
          <w:rPr>
            <w:rStyle w:val="Hyperlink"/>
          </w:rPr>
          <w:t>Background to Council Asset Management</w:t>
        </w:r>
        <w:r w:rsidR="008A4C37">
          <w:rPr>
            <w:webHidden/>
          </w:rPr>
          <w:tab/>
        </w:r>
        <w:r w:rsidR="008A4C37">
          <w:rPr>
            <w:webHidden/>
          </w:rPr>
          <w:fldChar w:fldCharType="begin"/>
        </w:r>
        <w:r w:rsidR="008A4C37">
          <w:rPr>
            <w:webHidden/>
          </w:rPr>
          <w:instrText xml:space="preserve"> PAGEREF _Toc364945243 \h </w:instrText>
        </w:r>
        <w:r w:rsidR="008A4C37">
          <w:rPr>
            <w:webHidden/>
          </w:rPr>
        </w:r>
        <w:r w:rsidR="008A4C37">
          <w:rPr>
            <w:webHidden/>
          </w:rPr>
          <w:fldChar w:fldCharType="separate"/>
        </w:r>
        <w:r w:rsidR="00557666">
          <w:rPr>
            <w:webHidden/>
          </w:rPr>
          <w:t>2</w:t>
        </w:r>
        <w:r w:rsidR="008A4C37">
          <w:rPr>
            <w:webHidden/>
          </w:rPr>
          <w:fldChar w:fldCharType="end"/>
        </w:r>
      </w:hyperlink>
    </w:p>
    <w:p w:rsidR="008A4C37" w:rsidRDefault="00ED394A">
      <w:pPr>
        <w:pStyle w:val="TOC2"/>
        <w:rPr>
          <w:rFonts w:asciiTheme="minorHAnsi" w:eastAsiaTheme="minorEastAsia" w:hAnsiTheme="minorHAnsi"/>
          <w:iCs w:val="0"/>
          <w:sz w:val="22"/>
          <w:szCs w:val="22"/>
          <w:lang w:val="en-AU" w:eastAsia="en-AU"/>
        </w:rPr>
      </w:pPr>
      <w:hyperlink w:anchor="_Toc364945244" w:history="1">
        <w:r w:rsidR="008A4C37" w:rsidRPr="00732886">
          <w:rPr>
            <w:rStyle w:val="Hyperlink"/>
          </w:rPr>
          <w:t>2.2</w:t>
        </w:r>
        <w:r w:rsidR="008A4C37">
          <w:rPr>
            <w:rFonts w:asciiTheme="minorHAnsi" w:eastAsiaTheme="minorEastAsia" w:hAnsiTheme="minorHAnsi"/>
            <w:iCs w:val="0"/>
            <w:sz w:val="22"/>
            <w:szCs w:val="22"/>
            <w:lang w:val="en-AU" w:eastAsia="en-AU"/>
          </w:rPr>
          <w:tab/>
        </w:r>
        <w:r w:rsidR="008A4C37" w:rsidRPr="00732886">
          <w:rPr>
            <w:rStyle w:val="Hyperlink"/>
          </w:rPr>
          <w:t>Purpose of the Plan</w:t>
        </w:r>
        <w:r w:rsidR="008A4C37">
          <w:rPr>
            <w:webHidden/>
          </w:rPr>
          <w:tab/>
        </w:r>
        <w:r w:rsidR="008A4C37">
          <w:rPr>
            <w:webHidden/>
          </w:rPr>
          <w:fldChar w:fldCharType="begin"/>
        </w:r>
        <w:r w:rsidR="008A4C37">
          <w:rPr>
            <w:webHidden/>
          </w:rPr>
          <w:instrText xml:space="preserve"> PAGEREF _Toc364945244 \h </w:instrText>
        </w:r>
        <w:r w:rsidR="008A4C37">
          <w:rPr>
            <w:webHidden/>
          </w:rPr>
        </w:r>
        <w:r w:rsidR="008A4C37">
          <w:rPr>
            <w:webHidden/>
          </w:rPr>
          <w:fldChar w:fldCharType="separate"/>
        </w:r>
        <w:r w:rsidR="00557666">
          <w:rPr>
            <w:webHidden/>
          </w:rPr>
          <w:t>2</w:t>
        </w:r>
        <w:r w:rsidR="008A4C37">
          <w:rPr>
            <w:webHidden/>
          </w:rPr>
          <w:fldChar w:fldCharType="end"/>
        </w:r>
      </w:hyperlink>
    </w:p>
    <w:p w:rsidR="008A4C37" w:rsidRDefault="00ED394A">
      <w:pPr>
        <w:pStyle w:val="TOC2"/>
        <w:rPr>
          <w:rFonts w:asciiTheme="minorHAnsi" w:eastAsiaTheme="minorEastAsia" w:hAnsiTheme="minorHAnsi"/>
          <w:iCs w:val="0"/>
          <w:sz w:val="22"/>
          <w:szCs w:val="22"/>
          <w:lang w:val="en-AU" w:eastAsia="en-AU"/>
        </w:rPr>
      </w:pPr>
      <w:hyperlink w:anchor="_Toc364945245" w:history="1">
        <w:r w:rsidR="008A4C37" w:rsidRPr="00732886">
          <w:rPr>
            <w:rStyle w:val="Hyperlink"/>
          </w:rPr>
          <w:t>2.3</w:t>
        </w:r>
        <w:r w:rsidR="008A4C37">
          <w:rPr>
            <w:rFonts w:asciiTheme="minorHAnsi" w:eastAsiaTheme="minorEastAsia" w:hAnsiTheme="minorHAnsi"/>
            <w:iCs w:val="0"/>
            <w:sz w:val="22"/>
            <w:szCs w:val="22"/>
            <w:lang w:val="en-AU" w:eastAsia="en-AU"/>
          </w:rPr>
          <w:tab/>
        </w:r>
        <w:r w:rsidR="008A4C37" w:rsidRPr="00732886">
          <w:rPr>
            <w:rStyle w:val="Hyperlink"/>
          </w:rPr>
          <w:t>Relationship with Other Planning Documents</w:t>
        </w:r>
        <w:r w:rsidR="008A4C37">
          <w:rPr>
            <w:webHidden/>
          </w:rPr>
          <w:tab/>
        </w:r>
        <w:r w:rsidR="008A4C37">
          <w:rPr>
            <w:webHidden/>
          </w:rPr>
          <w:fldChar w:fldCharType="begin"/>
        </w:r>
        <w:r w:rsidR="008A4C37">
          <w:rPr>
            <w:webHidden/>
          </w:rPr>
          <w:instrText xml:space="preserve"> PAGEREF _Toc364945245 \h </w:instrText>
        </w:r>
        <w:r w:rsidR="008A4C37">
          <w:rPr>
            <w:webHidden/>
          </w:rPr>
        </w:r>
        <w:r w:rsidR="008A4C37">
          <w:rPr>
            <w:webHidden/>
          </w:rPr>
          <w:fldChar w:fldCharType="separate"/>
        </w:r>
        <w:r w:rsidR="00557666">
          <w:rPr>
            <w:webHidden/>
          </w:rPr>
          <w:t>2</w:t>
        </w:r>
        <w:r w:rsidR="008A4C37">
          <w:rPr>
            <w:webHidden/>
          </w:rPr>
          <w:fldChar w:fldCharType="end"/>
        </w:r>
      </w:hyperlink>
    </w:p>
    <w:p w:rsidR="008A4C37" w:rsidRDefault="00ED394A">
      <w:pPr>
        <w:pStyle w:val="TOC3"/>
        <w:rPr>
          <w:rFonts w:asciiTheme="minorHAnsi" w:eastAsiaTheme="minorEastAsia" w:hAnsiTheme="minorHAnsi"/>
          <w:iCs w:val="0"/>
          <w:sz w:val="22"/>
          <w:szCs w:val="22"/>
          <w:lang w:val="en-AU" w:eastAsia="en-AU"/>
        </w:rPr>
      </w:pPr>
      <w:hyperlink w:anchor="_Toc364945246" w:history="1">
        <w:r w:rsidR="008A4C37" w:rsidRPr="00732886">
          <w:rPr>
            <w:rStyle w:val="Hyperlink"/>
          </w:rPr>
          <w:t>2.3.1</w:t>
        </w:r>
        <w:r w:rsidR="008A4C37">
          <w:rPr>
            <w:rFonts w:asciiTheme="minorHAnsi" w:eastAsiaTheme="minorEastAsia" w:hAnsiTheme="minorHAnsi"/>
            <w:iCs w:val="0"/>
            <w:sz w:val="22"/>
            <w:szCs w:val="22"/>
            <w:lang w:val="en-AU" w:eastAsia="en-AU"/>
          </w:rPr>
          <w:tab/>
        </w:r>
        <w:r w:rsidR="008A4C37" w:rsidRPr="00732886">
          <w:rPr>
            <w:rStyle w:val="Hyperlink"/>
          </w:rPr>
          <w:t>Council Plan</w:t>
        </w:r>
        <w:r w:rsidR="008A4C37">
          <w:rPr>
            <w:webHidden/>
          </w:rPr>
          <w:tab/>
        </w:r>
        <w:r w:rsidR="008A4C37">
          <w:rPr>
            <w:webHidden/>
          </w:rPr>
          <w:fldChar w:fldCharType="begin"/>
        </w:r>
        <w:r w:rsidR="008A4C37">
          <w:rPr>
            <w:webHidden/>
          </w:rPr>
          <w:instrText xml:space="preserve"> PAGEREF _Toc364945246 \h </w:instrText>
        </w:r>
        <w:r w:rsidR="008A4C37">
          <w:rPr>
            <w:webHidden/>
          </w:rPr>
        </w:r>
        <w:r w:rsidR="008A4C37">
          <w:rPr>
            <w:webHidden/>
          </w:rPr>
          <w:fldChar w:fldCharType="separate"/>
        </w:r>
        <w:r w:rsidR="00557666">
          <w:rPr>
            <w:webHidden/>
          </w:rPr>
          <w:t>2</w:t>
        </w:r>
        <w:r w:rsidR="008A4C37">
          <w:rPr>
            <w:webHidden/>
          </w:rPr>
          <w:fldChar w:fldCharType="end"/>
        </w:r>
      </w:hyperlink>
    </w:p>
    <w:p w:rsidR="008A4C37" w:rsidRDefault="00ED394A">
      <w:pPr>
        <w:pStyle w:val="TOC3"/>
        <w:rPr>
          <w:rFonts w:asciiTheme="minorHAnsi" w:eastAsiaTheme="minorEastAsia" w:hAnsiTheme="minorHAnsi"/>
          <w:iCs w:val="0"/>
          <w:sz w:val="22"/>
          <w:szCs w:val="22"/>
          <w:lang w:val="en-AU" w:eastAsia="en-AU"/>
        </w:rPr>
      </w:pPr>
      <w:hyperlink w:anchor="_Toc364945247" w:history="1">
        <w:r w:rsidR="008A4C37" w:rsidRPr="00732886">
          <w:rPr>
            <w:rStyle w:val="Hyperlink"/>
          </w:rPr>
          <w:t>2.3.2</w:t>
        </w:r>
        <w:r w:rsidR="008A4C37">
          <w:rPr>
            <w:rFonts w:asciiTheme="minorHAnsi" w:eastAsiaTheme="minorEastAsia" w:hAnsiTheme="minorHAnsi"/>
            <w:iCs w:val="0"/>
            <w:sz w:val="22"/>
            <w:szCs w:val="22"/>
            <w:lang w:val="en-AU" w:eastAsia="en-AU"/>
          </w:rPr>
          <w:tab/>
        </w:r>
        <w:r w:rsidR="008A4C37" w:rsidRPr="00732886">
          <w:rPr>
            <w:rStyle w:val="Hyperlink"/>
          </w:rPr>
          <w:t>Service Plans</w:t>
        </w:r>
        <w:r w:rsidR="008A4C37">
          <w:rPr>
            <w:webHidden/>
          </w:rPr>
          <w:tab/>
        </w:r>
        <w:r w:rsidR="008A4C37">
          <w:rPr>
            <w:webHidden/>
          </w:rPr>
          <w:fldChar w:fldCharType="begin"/>
        </w:r>
        <w:r w:rsidR="008A4C37">
          <w:rPr>
            <w:webHidden/>
          </w:rPr>
          <w:instrText xml:space="preserve"> PAGEREF _Toc364945247 \h </w:instrText>
        </w:r>
        <w:r w:rsidR="008A4C37">
          <w:rPr>
            <w:webHidden/>
          </w:rPr>
        </w:r>
        <w:r w:rsidR="008A4C37">
          <w:rPr>
            <w:webHidden/>
          </w:rPr>
          <w:fldChar w:fldCharType="separate"/>
        </w:r>
        <w:r w:rsidR="00557666">
          <w:rPr>
            <w:webHidden/>
          </w:rPr>
          <w:t>2</w:t>
        </w:r>
        <w:r w:rsidR="008A4C37">
          <w:rPr>
            <w:webHidden/>
          </w:rPr>
          <w:fldChar w:fldCharType="end"/>
        </w:r>
      </w:hyperlink>
    </w:p>
    <w:p w:rsidR="008A4C37" w:rsidRDefault="00ED394A">
      <w:pPr>
        <w:pStyle w:val="TOC2"/>
        <w:rPr>
          <w:rFonts w:asciiTheme="minorHAnsi" w:eastAsiaTheme="minorEastAsia" w:hAnsiTheme="minorHAnsi"/>
          <w:iCs w:val="0"/>
          <w:sz w:val="22"/>
          <w:szCs w:val="22"/>
          <w:lang w:val="en-AU" w:eastAsia="en-AU"/>
        </w:rPr>
      </w:pPr>
      <w:hyperlink w:anchor="_Toc364945248" w:history="1">
        <w:r w:rsidR="008A4C37" w:rsidRPr="00732886">
          <w:rPr>
            <w:rStyle w:val="Hyperlink"/>
          </w:rPr>
          <w:t>2.4</w:t>
        </w:r>
        <w:r w:rsidR="008A4C37">
          <w:rPr>
            <w:rFonts w:asciiTheme="minorHAnsi" w:eastAsiaTheme="minorEastAsia" w:hAnsiTheme="minorHAnsi"/>
            <w:iCs w:val="0"/>
            <w:sz w:val="22"/>
            <w:szCs w:val="22"/>
            <w:lang w:val="en-AU" w:eastAsia="en-AU"/>
          </w:rPr>
          <w:tab/>
        </w:r>
        <w:r w:rsidR="008A4C37" w:rsidRPr="00732886">
          <w:rPr>
            <w:rStyle w:val="Hyperlink"/>
          </w:rPr>
          <w:t>Strategic Alignment to the Council Plan</w:t>
        </w:r>
        <w:r w:rsidR="008A4C37">
          <w:rPr>
            <w:webHidden/>
          </w:rPr>
          <w:tab/>
        </w:r>
        <w:r w:rsidR="008A4C37">
          <w:rPr>
            <w:webHidden/>
          </w:rPr>
          <w:fldChar w:fldCharType="begin"/>
        </w:r>
        <w:r w:rsidR="008A4C37">
          <w:rPr>
            <w:webHidden/>
          </w:rPr>
          <w:instrText xml:space="preserve"> PAGEREF _Toc364945248 \h </w:instrText>
        </w:r>
        <w:r w:rsidR="008A4C37">
          <w:rPr>
            <w:webHidden/>
          </w:rPr>
        </w:r>
        <w:r w:rsidR="008A4C37">
          <w:rPr>
            <w:webHidden/>
          </w:rPr>
          <w:fldChar w:fldCharType="separate"/>
        </w:r>
        <w:r w:rsidR="00557666">
          <w:rPr>
            <w:webHidden/>
          </w:rPr>
          <w:t>2</w:t>
        </w:r>
        <w:r w:rsidR="008A4C37">
          <w:rPr>
            <w:webHidden/>
          </w:rPr>
          <w:fldChar w:fldCharType="end"/>
        </w:r>
      </w:hyperlink>
    </w:p>
    <w:p w:rsidR="008A4C37" w:rsidRDefault="00ED394A">
      <w:pPr>
        <w:pStyle w:val="TOC2"/>
        <w:rPr>
          <w:rFonts w:asciiTheme="minorHAnsi" w:eastAsiaTheme="minorEastAsia" w:hAnsiTheme="minorHAnsi"/>
          <w:iCs w:val="0"/>
          <w:sz w:val="22"/>
          <w:szCs w:val="22"/>
          <w:lang w:val="en-AU" w:eastAsia="en-AU"/>
        </w:rPr>
      </w:pPr>
      <w:hyperlink w:anchor="_Toc364945249" w:history="1">
        <w:r w:rsidR="008A4C37" w:rsidRPr="00732886">
          <w:rPr>
            <w:rStyle w:val="Hyperlink"/>
          </w:rPr>
          <w:t>2.5</w:t>
        </w:r>
        <w:r w:rsidR="008A4C37">
          <w:rPr>
            <w:rFonts w:asciiTheme="minorHAnsi" w:eastAsiaTheme="minorEastAsia" w:hAnsiTheme="minorHAnsi"/>
            <w:iCs w:val="0"/>
            <w:sz w:val="22"/>
            <w:szCs w:val="22"/>
            <w:lang w:val="en-AU" w:eastAsia="en-AU"/>
          </w:rPr>
          <w:tab/>
        </w:r>
        <w:r w:rsidR="008A4C37" w:rsidRPr="00732886">
          <w:rPr>
            <w:rStyle w:val="Hyperlink"/>
          </w:rPr>
          <w:t>Assets Covered in the Plan</w:t>
        </w:r>
        <w:r w:rsidR="008A4C37">
          <w:rPr>
            <w:webHidden/>
          </w:rPr>
          <w:tab/>
        </w:r>
        <w:r w:rsidR="008A4C37">
          <w:rPr>
            <w:webHidden/>
          </w:rPr>
          <w:fldChar w:fldCharType="begin"/>
        </w:r>
        <w:r w:rsidR="008A4C37">
          <w:rPr>
            <w:webHidden/>
          </w:rPr>
          <w:instrText xml:space="preserve"> PAGEREF _Toc364945249 \h </w:instrText>
        </w:r>
        <w:r w:rsidR="008A4C37">
          <w:rPr>
            <w:webHidden/>
          </w:rPr>
        </w:r>
        <w:r w:rsidR="008A4C37">
          <w:rPr>
            <w:webHidden/>
          </w:rPr>
          <w:fldChar w:fldCharType="separate"/>
        </w:r>
        <w:r w:rsidR="00557666">
          <w:rPr>
            <w:webHidden/>
          </w:rPr>
          <w:t>2</w:t>
        </w:r>
        <w:r w:rsidR="008A4C37">
          <w:rPr>
            <w:webHidden/>
          </w:rPr>
          <w:fldChar w:fldCharType="end"/>
        </w:r>
      </w:hyperlink>
    </w:p>
    <w:p w:rsidR="008A4C37" w:rsidRDefault="00ED394A">
      <w:pPr>
        <w:pStyle w:val="TOC2"/>
        <w:rPr>
          <w:rFonts w:asciiTheme="minorHAnsi" w:eastAsiaTheme="minorEastAsia" w:hAnsiTheme="minorHAnsi"/>
          <w:iCs w:val="0"/>
          <w:sz w:val="22"/>
          <w:szCs w:val="22"/>
          <w:lang w:val="en-AU" w:eastAsia="en-AU"/>
        </w:rPr>
      </w:pPr>
      <w:hyperlink w:anchor="_Toc364945250" w:history="1">
        <w:r w:rsidR="008A4C37" w:rsidRPr="00732886">
          <w:rPr>
            <w:rStyle w:val="Hyperlink"/>
          </w:rPr>
          <w:t>2.6</w:t>
        </w:r>
        <w:r w:rsidR="008A4C37">
          <w:rPr>
            <w:rFonts w:asciiTheme="minorHAnsi" w:eastAsiaTheme="minorEastAsia" w:hAnsiTheme="minorHAnsi"/>
            <w:iCs w:val="0"/>
            <w:sz w:val="22"/>
            <w:szCs w:val="22"/>
            <w:lang w:val="en-AU" w:eastAsia="en-AU"/>
          </w:rPr>
          <w:tab/>
        </w:r>
        <w:r w:rsidR="008A4C37" w:rsidRPr="00732886">
          <w:rPr>
            <w:rStyle w:val="Hyperlink"/>
          </w:rPr>
          <w:t>Goals and Objectives of Asset Ownership</w:t>
        </w:r>
        <w:r w:rsidR="008A4C37">
          <w:rPr>
            <w:webHidden/>
          </w:rPr>
          <w:tab/>
        </w:r>
        <w:r w:rsidR="008A4C37">
          <w:rPr>
            <w:webHidden/>
          </w:rPr>
          <w:fldChar w:fldCharType="begin"/>
        </w:r>
        <w:r w:rsidR="008A4C37">
          <w:rPr>
            <w:webHidden/>
          </w:rPr>
          <w:instrText xml:space="preserve"> PAGEREF _Toc364945250 \h </w:instrText>
        </w:r>
        <w:r w:rsidR="008A4C37">
          <w:rPr>
            <w:webHidden/>
          </w:rPr>
        </w:r>
        <w:r w:rsidR="008A4C37">
          <w:rPr>
            <w:webHidden/>
          </w:rPr>
          <w:fldChar w:fldCharType="separate"/>
        </w:r>
        <w:r w:rsidR="00557666">
          <w:rPr>
            <w:webHidden/>
          </w:rPr>
          <w:t>2</w:t>
        </w:r>
        <w:r w:rsidR="008A4C37">
          <w:rPr>
            <w:webHidden/>
          </w:rPr>
          <w:fldChar w:fldCharType="end"/>
        </w:r>
      </w:hyperlink>
    </w:p>
    <w:p w:rsidR="008A4C37" w:rsidRDefault="00ED394A">
      <w:pPr>
        <w:pStyle w:val="TOC3"/>
        <w:rPr>
          <w:rFonts w:asciiTheme="minorHAnsi" w:eastAsiaTheme="minorEastAsia" w:hAnsiTheme="minorHAnsi"/>
          <w:iCs w:val="0"/>
          <w:sz w:val="22"/>
          <w:szCs w:val="22"/>
          <w:lang w:val="en-AU" w:eastAsia="en-AU"/>
        </w:rPr>
      </w:pPr>
      <w:hyperlink w:anchor="_Toc364945251" w:history="1">
        <w:r w:rsidR="008A4C37" w:rsidRPr="00732886">
          <w:rPr>
            <w:rStyle w:val="Hyperlink"/>
          </w:rPr>
          <w:t>2.6.1</w:t>
        </w:r>
        <w:r w:rsidR="008A4C37">
          <w:rPr>
            <w:rFonts w:asciiTheme="minorHAnsi" w:eastAsiaTheme="minorEastAsia" w:hAnsiTheme="minorHAnsi"/>
            <w:iCs w:val="0"/>
            <w:sz w:val="22"/>
            <w:szCs w:val="22"/>
            <w:lang w:val="en-AU" w:eastAsia="en-AU"/>
          </w:rPr>
          <w:tab/>
        </w:r>
        <w:r w:rsidR="008A4C37" w:rsidRPr="00732886">
          <w:rPr>
            <w:rStyle w:val="Hyperlink"/>
          </w:rPr>
          <w:t>Rationale for Asset Ownership</w:t>
        </w:r>
        <w:r w:rsidR="008A4C37">
          <w:rPr>
            <w:webHidden/>
          </w:rPr>
          <w:tab/>
        </w:r>
        <w:r w:rsidR="008A4C37">
          <w:rPr>
            <w:webHidden/>
          </w:rPr>
          <w:fldChar w:fldCharType="begin"/>
        </w:r>
        <w:r w:rsidR="008A4C37">
          <w:rPr>
            <w:webHidden/>
          </w:rPr>
          <w:instrText xml:space="preserve"> PAGEREF _Toc364945251 \h </w:instrText>
        </w:r>
        <w:r w:rsidR="008A4C37">
          <w:rPr>
            <w:webHidden/>
          </w:rPr>
        </w:r>
        <w:r w:rsidR="008A4C37">
          <w:rPr>
            <w:webHidden/>
          </w:rPr>
          <w:fldChar w:fldCharType="separate"/>
        </w:r>
        <w:r w:rsidR="00557666">
          <w:rPr>
            <w:webHidden/>
          </w:rPr>
          <w:t>2</w:t>
        </w:r>
        <w:r w:rsidR="008A4C37">
          <w:rPr>
            <w:webHidden/>
          </w:rPr>
          <w:fldChar w:fldCharType="end"/>
        </w:r>
      </w:hyperlink>
    </w:p>
    <w:p w:rsidR="008A4C37" w:rsidRDefault="00ED394A">
      <w:pPr>
        <w:pStyle w:val="TOC3"/>
        <w:rPr>
          <w:rFonts w:asciiTheme="minorHAnsi" w:eastAsiaTheme="minorEastAsia" w:hAnsiTheme="minorHAnsi"/>
          <w:iCs w:val="0"/>
          <w:sz w:val="22"/>
          <w:szCs w:val="22"/>
          <w:lang w:val="en-AU" w:eastAsia="en-AU"/>
        </w:rPr>
      </w:pPr>
      <w:hyperlink w:anchor="_Toc364945252" w:history="1">
        <w:r w:rsidR="008A4C37" w:rsidRPr="00732886">
          <w:rPr>
            <w:rStyle w:val="Hyperlink"/>
          </w:rPr>
          <w:t>2.6.2</w:t>
        </w:r>
        <w:r w:rsidR="008A4C37">
          <w:rPr>
            <w:rFonts w:asciiTheme="minorHAnsi" w:eastAsiaTheme="minorEastAsia" w:hAnsiTheme="minorHAnsi"/>
            <w:iCs w:val="0"/>
            <w:sz w:val="22"/>
            <w:szCs w:val="22"/>
            <w:lang w:val="en-AU" w:eastAsia="en-AU"/>
          </w:rPr>
          <w:tab/>
        </w:r>
        <w:r w:rsidR="008A4C37" w:rsidRPr="00732886">
          <w:rPr>
            <w:rStyle w:val="Hyperlink"/>
          </w:rPr>
          <w:t>Services Supported by the Buildings</w:t>
        </w:r>
        <w:r w:rsidR="008A4C37">
          <w:rPr>
            <w:webHidden/>
          </w:rPr>
          <w:tab/>
        </w:r>
        <w:r w:rsidR="008A4C37">
          <w:rPr>
            <w:webHidden/>
          </w:rPr>
          <w:fldChar w:fldCharType="begin"/>
        </w:r>
        <w:r w:rsidR="008A4C37">
          <w:rPr>
            <w:webHidden/>
          </w:rPr>
          <w:instrText xml:space="preserve"> PAGEREF _Toc364945252 \h </w:instrText>
        </w:r>
        <w:r w:rsidR="008A4C37">
          <w:rPr>
            <w:webHidden/>
          </w:rPr>
        </w:r>
        <w:r w:rsidR="008A4C37">
          <w:rPr>
            <w:webHidden/>
          </w:rPr>
          <w:fldChar w:fldCharType="separate"/>
        </w:r>
        <w:r w:rsidR="00557666">
          <w:rPr>
            <w:webHidden/>
          </w:rPr>
          <w:t>2</w:t>
        </w:r>
        <w:r w:rsidR="008A4C37">
          <w:rPr>
            <w:webHidden/>
          </w:rPr>
          <w:fldChar w:fldCharType="end"/>
        </w:r>
      </w:hyperlink>
    </w:p>
    <w:p w:rsidR="008A4C37" w:rsidRDefault="00ED394A">
      <w:pPr>
        <w:pStyle w:val="TOC3"/>
        <w:rPr>
          <w:rFonts w:asciiTheme="minorHAnsi" w:eastAsiaTheme="minorEastAsia" w:hAnsiTheme="minorHAnsi"/>
          <w:iCs w:val="0"/>
          <w:sz w:val="22"/>
          <w:szCs w:val="22"/>
          <w:lang w:val="en-AU" w:eastAsia="en-AU"/>
        </w:rPr>
      </w:pPr>
      <w:hyperlink w:anchor="_Toc364945253" w:history="1">
        <w:r w:rsidR="008A4C37" w:rsidRPr="00732886">
          <w:rPr>
            <w:rStyle w:val="Hyperlink"/>
          </w:rPr>
          <w:t>2.6.3</w:t>
        </w:r>
        <w:r w:rsidR="008A4C37">
          <w:rPr>
            <w:rFonts w:asciiTheme="minorHAnsi" w:eastAsiaTheme="minorEastAsia" w:hAnsiTheme="minorHAnsi"/>
            <w:iCs w:val="0"/>
            <w:sz w:val="22"/>
            <w:szCs w:val="22"/>
            <w:lang w:val="en-AU" w:eastAsia="en-AU"/>
          </w:rPr>
          <w:tab/>
        </w:r>
        <w:r w:rsidR="008A4C37" w:rsidRPr="00732886">
          <w:rPr>
            <w:rStyle w:val="Hyperlink"/>
          </w:rPr>
          <w:t>Existing Property Occupancy Agreements</w:t>
        </w:r>
        <w:r w:rsidR="008A4C37">
          <w:rPr>
            <w:webHidden/>
          </w:rPr>
          <w:tab/>
        </w:r>
        <w:r w:rsidR="008A4C37">
          <w:rPr>
            <w:webHidden/>
          </w:rPr>
          <w:fldChar w:fldCharType="begin"/>
        </w:r>
        <w:r w:rsidR="008A4C37">
          <w:rPr>
            <w:webHidden/>
          </w:rPr>
          <w:instrText xml:space="preserve"> PAGEREF _Toc364945253 \h </w:instrText>
        </w:r>
        <w:r w:rsidR="008A4C37">
          <w:rPr>
            <w:webHidden/>
          </w:rPr>
        </w:r>
        <w:r w:rsidR="008A4C37">
          <w:rPr>
            <w:webHidden/>
          </w:rPr>
          <w:fldChar w:fldCharType="separate"/>
        </w:r>
        <w:r w:rsidR="00557666">
          <w:rPr>
            <w:webHidden/>
          </w:rPr>
          <w:t>2</w:t>
        </w:r>
        <w:r w:rsidR="008A4C37">
          <w:rPr>
            <w:webHidden/>
          </w:rPr>
          <w:fldChar w:fldCharType="end"/>
        </w:r>
      </w:hyperlink>
    </w:p>
    <w:p w:rsidR="008A4C37" w:rsidRDefault="00ED394A">
      <w:pPr>
        <w:pStyle w:val="TOC3"/>
        <w:rPr>
          <w:rFonts w:asciiTheme="minorHAnsi" w:eastAsiaTheme="minorEastAsia" w:hAnsiTheme="minorHAnsi"/>
          <w:iCs w:val="0"/>
          <w:sz w:val="22"/>
          <w:szCs w:val="22"/>
          <w:lang w:val="en-AU" w:eastAsia="en-AU"/>
        </w:rPr>
      </w:pPr>
      <w:hyperlink w:anchor="_Toc364945254" w:history="1">
        <w:r w:rsidR="008A4C37" w:rsidRPr="00732886">
          <w:rPr>
            <w:rStyle w:val="Hyperlink"/>
          </w:rPr>
          <w:t>2.6.4</w:t>
        </w:r>
        <w:r w:rsidR="008A4C37">
          <w:rPr>
            <w:rFonts w:asciiTheme="minorHAnsi" w:eastAsiaTheme="minorEastAsia" w:hAnsiTheme="minorHAnsi"/>
            <w:iCs w:val="0"/>
            <w:sz w:val="22"/>
            <w:szCs w:val="22"/>
            <w:lang w:val="en-AU" w:eastAsia="en-AU"/>
          </w:rPr>
          <w:tab/>
        </w:r>
        <w:r w:rsidR="008A4C37" w:rsidRPr="00732886">
          <w:rPr>
            <w:rStyle w:val="Hyperlink"/>
          </w:rPr>
          <w:t>BAMP Framework</w:t>
        </w:r>
        <w:r w:rsidR="008A4C37">
          <w:rPr>
            <w:webHidden/>
          </w:rPr>
          <w:tab/>
        </w:r>
        <w:r w:rsidR="008A4C37">
          <w:rPr>
            <w:webHidden/>
          </w:rPr>
          <w:fldChar w:fldCharType="begin"/>
        </w:r>
        <w:r w:rsidR="008A4C37">
          <w:rPr>
            <w:webHidden/>
          </w:rPr>
          <w:instrText xml:space="preserve"> PAGEREF _Toc364945254 \h </w:instrText>
        </w:r>
        <w:r w:rsidR="008A4C37">
          <w:rPr>
            <w:webHidden/>
          </w:rPr>
        </w:r>
        <w:r w:rsidR="008A4C37">
          <w:rPr>
            <w:webHidden/>
          </w:rPr>
          <w:fldChar w:fldCharType="separate"/>
        </w:r>
        <w:r w:rsidR="00557666">
          <w:rPr>
            <w:webHidden/>
          </w:rPr>
          <w:t>2</w:t>
        </w:r>
        <w:r w:rsidR="008A4C37">
          <w:rPr>
            <w:webHidden/>
          </w:rPr>
          <w:fldChar w:fldCharType="end"/>
        </w:r>
      </w:hyperlink>
    </w:p>
    <w:p w:rsidR="008A4C37" w:rsidRDefault="00ED394A">
      <w:pPr>
        <w:pStyle w:val="TOC3"/>
        <w:rPr>
          <w:rFonts w:asciiTheme="minorHAnsi" w:eastAsiaTheme="minorEastAsia" w:hAnsiTheme="minorHAnsi"/>
          <w:iCs w:val="0"/>
          <w:sz w:val="22"/>
          <w:szCs w:val="22"/>
          <w:lang w:val="en-AU" w:eastAsia="en-AU"/>
        </w:rPr>
      </w:pPr>
      <w:hyperlink w:anchor="_Toc364945255" w:history="1">
        <w:r w:rsidR="008A4C37" w:rsidRPr="00732886">
          <w:rPr>
            <w:rStyle w:val="Hyperlink"/>
          </w:rPr>
          <w:t>2.6.5</w:t>
        </w:r>
        <w:r w:rsidR="008A4C37">
          <w:rPr>
            <w:rFonts w:asciiTheme="minorHAnsi" w:eastAsiaTheme="minorEastAsia" w:hAnsiTheme="minorHAnsi"/>
            <w:iCs w:val="0"/>
            <w:sz w:val="22"/>
            <w:szCs w:val="22"/>
            <w:lang w:val="en-AU" w:eastAsia="en-AU"/>
          </w:rPr>
          <w:tab/>
        </w:r>
        <w:r w:rsidR="008A4C37" w:rsidRPr="00732886">
          <w:rPr>
            <w:rStyle w:val="Hyperlink"/>
          </w:rPr>
          <w:t>AMP Development and Review Process</w:t>
        </w:r>
        <w:r w:rsidR="008A4C37">
          <w:rPr>
            <w:webHidden/>
          </w:rPr>
          <w:tab/>
        </w:r>
        <w:r w:rsidR="008A4C37">
          <w:rPr>
            <w:webHidden/>
          </w:rPr>
          <w:fldChar w:fldCharType="begin"/>
        </w:r>
        <w:r w:rsidR="008A4C37">
          <w:rPr>
            <w:webHidden/>
          </w:rPr>
          <w:instrText xml:space="preserve"> PAGEREF _Toc364945255 \h </w:instrText>
        </w:r>
        <w:r w:rsidR="008A4C37">
          <w:rPr>
            <w:webHidden/>
          </w:rPr>
        </w:r>
        <w:r w:rsidR="008A4C37">
          <w:rPr>
            <w:webHidden/>
          </w:rPr>
          <w:fldChar w:fldCharType="separate"/>
        </w:r>
        <w:r w:rsidR="00557666">
          <w:rPr>
            <w:webHidden/>
          </w:rPr>
          <w:t>2</w:t>
        </w:r>
        <w:r w:rsidR="008A4C37">
          <w:rPr>
            <w:webHidden/>
          </w:rPr>
          <w:fldChar w:fldCharType="end"/>
        </w:r>
      </w:hyperlink>
    </w:p>
    <w:p w:rsidR="008A4C37" w:rsidRDefault="00ED394A">
      <w:pPr>
        <w:pStyle w:val="TOC2"/>
        <w:rPr>
          <w:rFonts w:asciiTheme="minorHAnsi" w:eastAsiaTheme="minorEastAsia" w:hAnsiTheme="minorHAnsi"/>
          <w:iCs w:val="0"/>
          <w:sz w:val="22"/>
          <w:szCs w:val="22"/>
          <w:lang w:val="en-AU" w:eastAsia="en-AU"/>
        </w:rPr>
      </w:pPr>
      <w:hyperlink w:anchor="_Toc364945256" w:history="1">
        <w:r w:rsidR="008A4C37" w:rsidRPr="00732886">
          <w:rPr>
            <w:rStyle w:val="Hyperlink"/>
          </w:rPr>
          <w:t>2.7</w:t>
        </w:r>
        <w:r w:rsidR="008A4C37">
          <w:rPr>
            <w:rFonts w:asciiTheme="minorHAnsi" w:eastAsiaTheme="minorEastAsia" w:hAnsiTheme="minorHAnsi"/>
            <w:iCs w:val="0"/>
            <w:sz w:val="22"/>
            <w:szCs w:val="22"/>
            <w:lang w:val="en-AU" w:eastAsia="en-AU"/>
          </w:rPr>
          <w:tab/>
        </w:r>
        <w:r w:rsidR="008A4C37" w:rsidRPr="00732886">
          <w:rPr>
            <w:rStyle w:val="Hyperlink"/>
          </w:rPr>
          <w:t>Organisation Structure</w:t>
        </w:r>
        <w:r w:rsidR="008A4C37">
          <w:rPr>
            <w:webHidden/>
          </w:rPr>
          <w:tab/>
        </w:r>
        <w:r w:rsidR="008A4C37">
          <w:rPr>
            <w:webHidden/>
          </w:rPr>
          <w:fldChar w:fldCharType="begin"/>
        </w:r>
        <w:r w:rsidR="008A4C37">
          <w:rPr>
            <w:webHidden/>
          </w:rPr>
          <w:instrText xml:space="preserve"> PAGEREF _Toc364945256 \h </w:instrText>
        </w:r>
        <w:r w:rsidR="008A4C37">
          <w:rPr>
            <w:webHidden/>
          </w:rPr>
        </w:r>
        <w:r w:rsidR="008A4C37">
          <w:rPr>
            <w:webHidden/>
          </w:rPr>
          <w:fldChar w:fldCharType="separate"/>
        </w:r>
        <w:r w:rsidR="00557666">
          <w:rPr>
            <w:webHidden/>
          </w:rPr>
          <w:t>2</w:t>
        </w:r>
        <w:r w:rsidR="008A4C37">
          <w:rPr>
            <w:webHidden/>
          </w:rPr>
          <w:fldChar w:fldCharType="end"/>
        </w:r>
      </w:hyperlink>
    </w:p>
    <w:p w:rsidR="008A4C37" w:rsidRDefault="00ED394A">
      <w:pPr>
        <w:pStyle w:val="TOC1"/>
        <w:rPr>
          <w:rFonts w:asciiTheme="minorHAnsi" w:eastAsiaTheme="minorEastAsia" w:hAnsiTheme="minorHAnsi"/>
          <w:b w:val="0"/>
          <w:sz w:val="22"/>
          <w:szCs w:val="22"/>
        </w:rPr>
      </w:pPr>
      <w:hyperlink w:anchor="_Toc364945257" w:history="1">
        <w:r w:rsidR="008A4C37" w:rsidRPr="00732886">
          <w:rPr>
            <w:rStyle w:val="Hyperlink"/>
          </w:rPr>
          <w:t>3</w:t>
        </w:r>
        <w:r w:rsidR="008A4C37">
          <w:rPr>
            <w:rFonts w:asciiTheme="minorHAnsi" w:eastAsiaTheme="minorEastAsia" w:hAnsiTheme="minorHAnsi"/>
            <w:b w:val="0"/>
            <w:sz w:val="22"/>
            <w:szCs w:val="22"/>
          </w:rPr>
          <w:tab/>
        </w:r>
        <w:r w:rsidR="008A4C37" w:rsidRPr="00732886">
          <w:rPr>
            <w:rStyle w:val="Hyperlink"/>
          </w:rPr>
          <w:t>Levels of Service</w:t>
        </w:r>
        <w:r w:rsidR="008A4C37">
          <w:rPr>
            <w:webHidden/>
          </w:rPr>
          <w:tab/>
        </w:r>
        <w:r w:rsidR="008A4C37">
          <w:rPr>
            <w:webHidden/>
          </w:rPr>
          <w:fldChar w:fldCharType="begin"/>
        </w:r>
        <w:r w:rsidR="008A4C37">
          <w:rPr>
            <w:webHidden/>
          </w:rPr>
          <w:instrText xml:space="preserve"> PAGEREF _Toc364945257 \h </w:instrText>
        </w:r>
        <w:r w:rsidR="008A4C37">
          <w:rPr>
            <w:webHidden/>
          </w:rPr>
        </w:r>
        <w:r w:rsidR="008A4C37">
          <w:rPr>
            <w:webHidden/>
          </w:rPr>
          <w:fldChar w:fldCharType="separate"/>
        </w:r>
        <w:r w:rsidR="00557666">
          <w:rPr>
            <w:webHidden/>
          </w:rPr>
          <w:t>2</w:t>
        </w:r>
        <w:r w:rsidR="008A4C37">
          <w:rPr>
            <w:webHidden/>
          </w:rPr>
          <w:fldChar w:fldCharType="end"/>
        </w:r>
      </w:hyperlink>
    </w:p>
    <w:p w:rsidR="008A4C37" w:rsidRDefault="00ED394A">
      <w:pPr>
        <w:pStyle w:val="TOC2"/>
        <w:rPr>
          <w:rFonts w:asciiTheme="minorHAnsi" w:eastAsiaTheme="minorEastAsia" w:hAnsiTheme="minorHAnsi"/>
          <w:iCs w:val="0"/>
          <w:sz w:val="22"/>
          <w:szCs w:val="22"/>
          <w:lang w:val="en-AU" w:eastAsia="en-AU"/>
        </w:rPr>
      </w:pPr>
      <w:hyperlink w:anchor="_Toc364945258" w:history="1">
        <w:r w:rsidR="008A4C37" w:rsidRPr="00732886">
          <w:rPr>
            <w:rStyle w:val="Hyperlink"/>
          </w:rPr>
          <w:t>3.1</w:t>
        </w:r>
        <w:r w:rsidR="008A4C37">
          <w:rPr>
            <w:rFonts w:asciiTheme="minorHAnsi" w:eastAsiaTheme="minorEastAsia" w:hAnsiTheme="minorHAnsi"/>
            <w:iCs w:val="0"/>
            <w:sz w:val="22"/>
            <w:szCs w:val="22"/>
            <w:lang w:val="en-AU" w:eastAsia="en-AU"/>
          </w:rPr>
          <w:tab/>
        </w:r>
        <w:r w:rsidR="008A4C37" w:rsidRPr="00732886">
          <w:rPr>
            <w:rStyle w:val="Hyperlink"/>
          </w:rPr>
          <w:t>Overview</w:t>
        </w:r>
        <w:r w:rsidR="008A4C37">
          <w:rPr>
            <w:webHidden/>
          </w:rPr>
          <w:tab/>
        </w:r>
        <w:r w:rsidR="008A4C37">
          <w:rPr>
            <w:webHidden/>
          </w:rPr>
          <w:fldChar w:fldCharType="begin"/>
        </w:r>
        <w:r w:rsidR="008A4C37">
          <w:rPr>
            <w:webHidden/>
          </w:rPr>
          <w:instrText xml:space="preserve"> PAGEREF _Toc364945258 \h </w:instrText>
        </w:r>
        <w:r w:rsidR="008A4C37">
          <w:rPr>
            <w:webHidden/>
          </w:rPr>
        </w:r>
        <w:r w:rsidR="008A4C37">
          <w:rPr>
            <w:webHidden/>
          </w:rPr>
          <w:fldChar w:fldCharType="separate"/>
        </w:r>
        <w:r w:rsidR="00557666">
          <w:rPr>
            <w:webHidden/>
          </w:rPr>
          <w:t>2</w:t>
        </w:r>
        <w:r w:rsidR="008A4C37">
          <w:rPr>
            <w:webHidden/>
          </w:rPr>
          <w:fldChar w:fldCharType="end"/>
        </w:r>
      </w:hyperlink>
    </w:p>
    <w:p w:rsidR="008A4C37" w:rsidRDefault="00ED394A">
      <w:pPr>
        <w:pStyle w:val="TOC2"/>
        <w:rPr>
          <w:rFonts w:asciiTheme="minorHAnsi" w:eastAsiaTheme="minorEastAsia" w:hAnsiTheme="minorHAnsi"/>
          <w:iCs w:val="0"/>
          <w:sz w:val="22"/>
          <w:szCs w:val="22"/>
          <w:lang w:val="en-AU" w:eastAsia="en-AU"/>
        </w:rPr>
      </w:pPr>
      <w:hyperlink w:anchor="_Toc364945259" w:history="1">
        <w:r w:rsidR="008A4C37" w:rsidRPr="00732886">
          <w:rPr>
            <w:rStyle w:val="Hyperlink"/>
          </w:rPr>
          <w:t>3.2</w:t>
        </w:r>
        <w:r w:rsidR="008A4C37">
          <w:rPr>
            <w:rFonts w:asciiTheme="minorHAnsi" w:eastAsiaTheme="minorEastAsia" w:hAnsiTheme="minorHAnsi"/>
            <w:iCs w:val="0"/>
            <w:sz w:val="22"/>
            <w:szCs w:val="22"/>
            <w:lang w:val="en-AU" w:eastAsia="en-AU"/>
          </w:rPr>
          <w:tab/>
        </w:r>
        <w:r w:rsidR="008A4C37" w:rsidRPr="00732886">
          <w:rPr>
            <w:rStyle w:val="Hyperlink"/>
          </w:rPr>
          <w:t>Basis of the Levels of Service</w:t>
        </w:r>
        <w:r w:rsidR="008A4C37">
          <w:rPr>
            <w:webHidden/>
          </w:rPr>
          <w:tab/>
        </w:r>
        <w:r w:rsidR="008A4C37">
          <w:rPr>
            <w:webHidden/>
          </w:rPr>
          <w:fldChar w:fldCharType="begin"/>
        </w:r>
        <w:r w:rsidR="008A4C37">
          <w:rPr>
            <w:webHidden/>
          </w:rPr>
          <w:instrText xml:space="preserve"> PAGEREF _Toc364945259 \h </w:instrText>
        </w:r>
        <w:r w:rsidR="008A4C37">
          <w:rPr>
            <w:webHidden/>
          </w:rPr>
        </w:r>
        <w:r w:rsidR="008A4C37">
          <w:rPr>
            <w:webHidden/>
          </w:rPr>
          <w:fldChar w:fldCharType="separate"/>
        </w:r>
        <w:r w:rsidR="00557666">
          <w:rPr>
            <w:webHidden/>
          </w:rPr>
          <w:t>2</w:t>
        </w:r>
        <w:r w:rsidR="008A4C37">
          <w:rPr>
            <w:webHidden/>
          </w:rPr>
          <w:fldChar w:fldCharType="end"/>
        </w:r>
      </w:hyperlink>
    </w:p>
    <w:p w:rsidR="008A4C37" w:rsidRDefault="00ED394A">
      <w:pPr>
        <w:pStyle w:val="TOC2"/>
        <w:rPr>
          <w:rFonts w:asciiTheme="minorHAnsi" w:eastAsiaTheme="minorEastAsia" w:hAnsiTheme="minorHAnsi"/>
          <w:iCs w:val="0"/>
          <w:sz w:val="22"/>
          <w:szCs w:val="22"/>
          <w:lang w:val="en-AU" w:eastAsia="en-AU"/>
        </w:rPr>
      </w:pPr>
      <w:hyperlink w:anchor="_Toc364945260" w:history="1">
        <w:r w:rsidR="008A4C37" w:rsidRPr="00732886">
          <w:rPr>
            <w:rStyle w:val="Hyperlink"/>
          </w:rPr>
          <w:t>3.3</w:t>
        </w:r>
        <w:r w:rsidR="008A4C37">
          <w:rPr>
            <w:rFonts w:asciiTheme="minorHAnsi" w:eastAsiaTheme="minorEastAsia" w:hAnsiTheme="minorHAnsi"/>
            <w:iCs w:val="0"/>
            <w:sz w:val="22"/>
            <w:szCs w:val="22"/>
            <w:lang w:val="en-AU" w:eastAsia="en-AU"/>
          </w:rPr>
          <w:tab/>
        </w:r>
        <w:r w:rsidR="008A4C37" w:rsidRPr="00732886">
          <w:rPr>
            <w:rStyle w:val="Hyperlink"/>
          </w:rPr>
          <w:t>Customers and Stakeholders</w:t>
        </w:r>
        <w:r w:rsidR="008A4C37">
          <w:rPr>
            <w:webHidden/>
          </w:rPr>
          <w:tab/>
        </w:r>
        <w:r w:rsidR="008A4C37">
          <w:rPr>
            <w:webHidden/>
          </w:rPr>
          <w:fldChar w:fldCharType="begin"/>
        </w:r>
        <w:r w:rsidR="008A4C37">
          <w:rPr>
            <w:webHidden/>
          </w:rPr>
          <w:instrText xml:space="preserve"> PAGEREF _Toc364945260 \h </w:instrText>
        </w:r>
        <w:r w:rsidR="008A4C37">
          <w:rPr>
            <w:webHidden/>
          </w:rPr>
        </w:r>
        <w:r w:rsidR="008A4C37">
          <w:rPr>
            <w:webHidden/>
          </w:rPr>
          <w:fldChar w:fldCharType="separate"/>
        </w:r>
        <w:r w:rsidR="00557666">
          <w:rPr>
            <w:webHidden/>
          </w:rPr>
          <w:t>2</w:t>
        </w:r>
        <w:r w:rsidR="008A4C37">
          <w:rPr>
            <w:webHidden/>
          </w:rPr>
          <w:fldChar w:fldCharType="end"/>
        </w:r>
      </w:hyperlink>
    </w:p>
    <w:p w:rsidR="008A4C37" w:rsidRDefault="00ED394A">
      <w:pPr>
        <w:pStyle w:val="TOC2"/>
        <w:rPr>
          <w:rFonts w:asciiTheme="minorHAnsi" w:eastAsiaTheme="minorEastAsia" w:hAnsiTheme="minorHAnsi"/>
          <w:iCs w:val="0"/>
          <w:sz w:val="22"/>
          <w:szCs w:val="22"/>
          <w:lang w:val="en-AU" w:eastAsia="en-AU"/>
        </w:rPr>
      </w:pPr>
      <w:hyperlink w:anchor="_Toc364945261" w:history="1">
        <w:r w:rsidR="008A4C37" w:rsidRPr="00732886">
          <w:rPr>
            <w:rStyle w:val="Hyperlink"/>
          </w:rPr>
          <w:t>3.4</w:t>
        </w:r>
        <w:r w:rsidR="008A4C37">
          <w:rPr>
            <w:rFonts w:asciiTheme="minorHAnsi" w:eastAsiaTheme="minorEastAsia" w:hAnsiTheme="minorHAnsi"/>
            <w:iCs w:val="0"/>
            <w:sz w:val="22"/>
            <w:szCs w:val="22"/>
            <w:lang w:val="en-AU" w:eastAsia="en-AU"/>
          </w:rPr>
          <w:tab/>
        </w:r>
        <w:r w:rsidR="008A4C37" w:rsidRPr="00732886">
          <w:rPr>
            <w:rStyle w:val="Hyperlink"/>
          </w:rPr>
          <w:t>Legislative Requirements</w:t>
        </w:r>
        <w:r w:rsidR="008A4C37">
          <w:rPr>
            <w:webHidden/>
          </w:rPr>
          <w:tab/>
        </w:r>
        <w:r w:rsidR="008A4C37">
          <w:rPr>
            <w:webHidden/>
          </w:rPr>
          <w:fldChar w:fldCharType="begin"/>
        </w:r>
        <w:r w:rsidR="008A4C37">
          <w:rPr>
            <w:webHidden/>
          </w:rPr>
          <w:instrText xml:space="preserve"> PAGEREF _Toc364945261 \h </w:instrText>
        </w:r>
        <w:r w:rsidR="008A4C37">
          <w:rPr>
            <w:webHidden/>
          </w:rPr>
        </w:r>
        <w:r w:rsidR="008A4C37">
          <w:rPr>
            <w:webHidden/>
          </w:rPr>
          <w:fldChar w:fldCharType="separate"/>
        </w:r>
        <w:r w:rsidR="00557666">
          <w:rPr>
            <w:webHidden/>
          </w:rPr>
          <w:t>2</w:t>
        </w:r>
        <w:r w:rsidR="008A4C37">
          <w:rPr>
            <w:webHidden/>
          </w:rPr>
          <w:fldChar w:fldCharType="end"/>
        </w:r>
      </w:hyperlink>
    </w:p>
    <w:p w:rsidR="008A4C37" w:rsidRDefault="00ED394A">
      <w:pPr>
        <w:pStyle w:val="TOC2"/>
        <w:rPr>
          <w:rFonts w:asciiTheme="minorHAnsi" w:eastAsiaTheme="minorEastAsia" w:hAnsiTheme="minorHAnsi"/>
          <w:iCs w:val="0"/>
          <w:sz w:val="22"/>
          <w:szCs w:val="22"/>
          <w:lang w:val="en-AU" w:eastAsia="en-AU"/>
        </w:rPr>
      </w:pPr>
      <w:hyperlink w:anchor="_Toc364945262" w:history="1">
        <w:r w:rsidR="008A4C37" w:rsidRPr="00732886">
          <w:rPr>
            <w:rStyle w:val="Hyperlink"/>
          </w:rPr>
          <w:t>3.5</w:t>
        </w:r>
        <w:r w:rsidR="008A4C37">
          <w:rPr>
            <w:rFonts w:asciiTheme="minorHAnsi" w:eastAsiaTheme="minorEastAsia" w:hAnsiTheme="minorHAnsi"/>
            <w:iCs w:val="0"/>
            <w:sz w:val="22"/>
            <w:szCs w:val="22"/>
            <w:lang w:val="en-AU" w:eastAsia="en-AU"/>
          </w:rPr>
          <w:tab/>
        </w:r>
        <w:r w:rsidR="008A4C37" w:rsidRPr="00732886">
          <w:rPr>
            <w:rStyle w:val="Hyperlink"/>
          </w:rPr>
          <w:t>Industry Standards and Guidelines</w:t>
        </w:r>
        <w:r w:rsidR="008A4C37">
          <w:rPr>
            <w:webHidden/>
          </w:rPr>
          <w:tab/>
        </w:r>
        <w:r w:rsidR="008A4C37">
          <w:rPr>
            <w:webHidden/>
          </w:rPr>
          <w:fldChar w:fldCharType="begin"/>
        </w:r>
        <w:r w:rsidR="008A4C37">
          <w:rPr>
            <w:webHidden/>
          </w:rPr>
          <w:instrText xml:space="preserve"> PAGEREF _Toc364945262 \h </w:instrText>
        </w:r>
        <w:r w:rsidR="008A4C37">
          <w:rPr>
            <w:webHidden/>
          </w:rPr>
        </w:r>
        <w:r w:rsidR="008A4C37">
          <w:rPr>
            <w:webHidden/>
          </w:rPr>
          <w:fldChar w:fldCharType="separate"/>
        </w:r>
        <w:r w:rsidR="00557666">
          <w:rPr>
            <w:webHidden/>
          </w:rPr>
          <w:t>2</w:t>
        </w:r>
        <w:r w:rsidR="008A4C37">
          <w:rPr>
            <w:webHidden/>
          </w:rPr>
          <w:fldChar w:fldCharType="end"/>
        </w:r>
      </w:hyperlink>
    </w:p>
    <w:p w:rsidR="008A4C37" w:rsidRDefault="00ED394A">
      <w:pPr>
        <w:pStyle w:val="TOC2"/>
        <w:rPr>
          <w:rFonts w:asciiTheme="minorHAnsi" w:eastAsiaTheme="minorEastAsia" w:hAnsiTheme="minorHAnsi"/>
          <w:iCs w:val="0"/>
          <w:sz w:val="22"/>
          <w:szCs w:val="22"/>
          <w:lang w:val="en-AU" w:eastAsia="en-AU"/>
        </w:rPr>
      </w:pPr>
      <w:hyperlink w:anchor="_Toc364945263" w:history="1">
        <w:r w:rsidR="008A4C37" w:rsidRPr="00732886">
          <w:rPr>
            <w:rStyle w:val="Hyperlink"/>
          </w:rPr>
          <w:t>3.6</w:t>
        </w:r>
        <w:r w:rsidR="008A4C37">
          <w:rPr>
            <w:rFonts w:asciiTheme="minorHAnsi" w:eastAsiaTheme="minorEastAsia" w:hAnsiTheme="minorHAnsi"/>
            <w:iCs w:val="0"/>
            <w:sz w:val="22"/>
            <w:szCs w:val="22"/>
            <w:lang w:val="en-AU" w:eastAsia="en-AU"/>
          </w:rPr>
          <w:tab/>
        </w:r>
        <w:r w:rsidR="008A4C37" w:rsidRPr="00732886">
          <w:rPr>
            <w:rStyle w:val="Hyperlink"/>
          </w:rPr>
          <w:t>Impact of Regulatory Changes</w:t>
        </w:r>
        <w:r w:rsidR="008A4C37">
          <w:rPr>
            <w:webHidden/>
          </w:rPr>
          <w:tab/>
        </w:r>
        <w:r w:rsidR="008A4C37">
          <w:rPr>
            <w:webHidden/>
          </w:rPr>
          <w:fldChar w:fldCharType="begin"/>
        </w:r>
        <w:r w:rsidR="008A4C37">
          <w:rPr>
            <w:webHidden/>
          </w:rPr>
          <w:instrText xml:space="preserve"> PAGEREF _Toc364945263 \h </w:instrText>
        </w:r>
        <w:r w:rsidR="008A4C37">
          <w:rPr>
            <w:webHidden/>
          </w:rPr>
        </w:r>
        <w:r w:rsidR="008A4C37">
          <w:rPr>
            <w:webHidden/>
          </w:rPr>
          <w:fldChar w:fldCharType="separate"/>
        </w:r>
        <w:r w:rsidR="00557666">
          <w:rPr>
            <w:webHidden/>
          </w:rPr>
          <w:t>2</w:t>
        </w:r>
        <w:r w:rsidR="008A4C37">
          <w:rPr>
            <w:webHidden/>
          </w:rPr>
          <w:fldChar w:fldCharType="end"/>
        </w:r>
      </w:hyperlink>
    </w:p>
    <w:p w:rsidR="008A4C37" w:rsidRDefault="00ED394A">
      <w:pPr>
        <w:pStyle w:val="TOC2"/>
        <w:rPr>
          <w:rFonts w:asciiTheme="minorHAnsi" w:eastAsiaTheme="minorEastAsia" w:hAnsiTheme="minorHAnsi"/>
          <w:iCs w:val="0"/>
          <w:sz w:val="22"/>
          <w:szCs w:val="22"/>
          <w:lang w:val="en-AU" w:eastAsia="en-AU"/>
        </w:rPr>
      </w:pPr>
      <w:hyperlink w:anchor="_Toc364945264" w:history="1">
        <w:r w:rsidR="008A4C37" w:rsidRPr="00732886">
          <w:rPr>
            <w:rStyle w:val="Hyperlink"/>
          </w:rPr>
          <w:t>3.7</w:t>
        </w:r>
        <w:r w:rsidR="008A4C37">
          <w:rPr>
            <w:rFonts w:asciiTheme="minorHAnsi" w:eastAsiaTheme="minorEastAsia" w:hAnsiTheme="minorHAnsi"/>
            <w:iCs w:val="0"/>
            <w:sz w:val="22"/>
            <w:szCs w:val="22"/>
            <w:lang w:val="en-AU" w:eastAsia="en-AU"/>
          </w:rPr>
          <w:tab/>
        </w:r>
        <w:r w:rsidR="008A4C37" w:rsidRPr="00732886">
          <w:rPr>
            <w:rStyle w:val="Hyperlink"/>
          </w:rPr>
          <w:t>Customer Research and Expectations</w:t>
        </w:r>
        <w:r w:rsidR="008A4C37">
          <w:rPr>
            <w:webHidden/>
          </w:rPr>
          <w:tab/>
        </w:r>
        <w:r w:rsidR="008A4C37">
          <w:rPr>
            <w:webHidden/>
          </w:rPr>
          <w:fldChar w:fldCharType="begin"/>
        </w:r>
        <w:r w:rsidR="008A4C37">
          <w:rPr>
            <w:webHidden/>
          </w:rPr>
          <w:instrText xml:space="preserve"> PAGEREF _Toc364945264 \h </w:instrText>
        </w:r>
        <w:r w:rsidR="008A4C37">
          <w:rPr>
            <w:webHidden/>
          </w:rPr>
        </w:r>
        <w:r w:rsidR="008A4C37">
          <w:rPr>
            <w:webHidden/>
          </w:rPr>
          <w:fldChar w:fldCharType="separate"/>
        </w:r>
        <w:r w:rsidR="00557666">
          <w:rPr>
            <w:webHidden/>
          </w:rPr>
          <w:t>2</w:t>
        </w:r>
        <w:r w:rsidR="008A4C37">
          <w:rPr>
            <w:webHidden/>
          </w:rPr>
          <w:fldChar w:fldCharType="end"/>
        </w:r>
      </w:hyperlink>
    </w:p>
    <w:p w:rsidR="008A4C37" w:rsidRDefault="00ED394A">
      <w:pPr>
        <w:pStyle w:val="TOC2"/>
        <w:rPr>
          <w:rFonts w:asciiTheme="minorHAnsi" w:eastAsiaTheme="minorEastAsia" w:hAnsiTheme="minorHAnsi"/>
          <w:iCs w:val="0"/>
          <w:sz w:val="22"/>
          <w:szCs w:val="22"/>
          <w:lang w:val="en-AU" w:eastAsia="en-AU"/>
        </w:rPr>
      </w:pPr>
      <w:hyperlink w:anchor="_Toc364945265" w:history="1">
        <w:r w:rsidR="008A4C37" w:rsidRPr="00732886">
          <w:rPr>
            <w:rStyle w:val="Hyperlink"/>
          </w:rPr>
          <w:t>3.8</w:t>
        </w:r>
        <w:r w:rsidR="008A4C37">
          <w:rPr>
            <w:rFonts w:asciiTheme="minorHAnsi" w:eastAsiaTheme="minorEastAsia" w:hAnsiTheme="minorHAnsi"/>
            <w:iCs w:val="0"/>
            <w:sz w:val="22"/>
            <w:szCs w:val="22"/>
            <w:lang w:val="en-AU" w:eastAsia="en-AU"/>
          </w:rPr>
          <w:tab/>
        </w:r>
        <w:r w:rsidR="008A4C37" w:rsidRPr="00732886">
          <w:rPr>
            <w:rStyle w:val="Hyperlink"/>
          </w:rPr>
          <w:t>Strategic Objectives and Priorities</w:t>
        </w:r>
        <w:r w:rsidR="008A4C37">
          <w:rPr>
            <w:webHidden/>
          </w:rPr>
          <w:tab/>
        </w:r>
        <w:r w:rsidR="008A4C37">
          <w:rPr>
            <w:webHidden/>
          </w:rPr>
          <w:fldChar w:fldCharType="begin"/>
        </w:r>
        <w:r w:rsidR="008A4C37">
          <w:rPr>
            <w:webHidden/>
          </w:rPr>
          <w:instrText xml:space="preserve"> PAGEREF _Toc364945265 \h </w:instrText>
        </w:r>
        <w:r w:rsidR="008A4C37">
          <w:rPr>
            <w:webHidden/>
          </w:rPr>
        </w:r>
        <w:r w:rsidR="008A4C37">
          <w:rPr>
            <w:webHidden/>
          </w:rPr>
          <w:fldChar w:fldCharType="separate"/>
        </w:r>
        <w:r w:rsidR="00557666">
          <w:rPr>
            <w:webHidden/>
          </w:rPr>
          <w:t>2</w:t>
        </w:r>
        <w:r w:rsidR="008A4C37">
          <w:rPr>
            <w:webHidden/>
          </w:rPr>
          <w:fldChar w:fldCharType="end"/>
        </w:r>
      </w:hyperlink>
    </w:p>
    <w:p w:rsidR="008A4C37" w:rsidRDefault="00ED394A">
      <w:pPr>
        <w:pStyle w:val="TOC3"/>
        <w:rPr>
          <w:rFonts w:asciiTheme="minorHAnsi" w:eastAsiaTheme="minorEastAsia" w:hAnsiTheme="minorHAnsi"/>
          <w:iCs w:val="0"/>
          <w:sz w:val="22"/>
          <w:szCs w:val="22"/>
          <w:lang w:val="en-AU" w:eastAsia="en-AU"/>
        </w:rPr>
      </w:pPr>
      <w:hyperlink w:anchor="_Toc364945266" w:history="1">
        <w:r w:rsidR="008A4C37" w:rsidRPr="00732886">
          <w:rPr>
            <w:rStyle w:val="Hyperlink"/>
          </w:rPr>
          <w:t>3.8.1</w:t>
        </w:r>
        <w:r w:rsidR="008A4C37">
          <w:rPr>
            <w:rFonts w:asciiTheme="minorHAnsi" w:eastAsiaTheme="minorEastAsia" w:hAnsiTheme="minorHAnsi"/>
            <w:iCs w:val="0"/>
            <w:sz w:val="22"/>
            <w:szCs w:val="22"/>
            <w:lang w:val="en-AU" w:eastAsia="en-AU"/>
          </w:rPr>
          <w:tab/>
        </w:r>
        <w:r w:rsidR="008A4C37" w:rsidRPr="00732886">
          <w:rPr>
            <w:rStyle w:val="Hyperlink"/>
          </w:rPr>
          <w:t>Linkage to Council Plan, Goals and Objectives</w:t>
        </w:r>
        <w:r w:rsidR="008A4C37">
          <w:rPr>
            <w:webHidden/>
          </w:rPr>
          <w:tab/>
        </w:r>
        <w:r w:rsidR="008A4C37">
          <w:rPr>
            <w:webHidden/>
          </w:rPr>
          <w:fldChar w:fldCharType="begin"/>
        </w:r>
        <w:r w:rsidR="008A4C37">
          <w:rPr>
            <w:webHidden/>
          </w:rPr>
          <w:instrText xml:space="preserve"> PAGEREF _Toc364945266 \h </w:instrText>
        </w:r>
        <w:r w:rsidR="008A4C37">
          <w:rPr>
            <w:webHidden/>
          </w:rPr>
        </w:r>
        <w:r w:rsidR="008A4C37">
          <w:rPr>
            <w:webHidden/>
          </w:rPr>
          <w:fldChar w:fldCharType="separate"/>
        </w:r>
        <w:r w:rsidR="00557666">
          <w:rPr>
            <w:webHidden/>
          </w:rPr>
          <w:t>2</w:t>
        </w:r>
        <w:r w:rsidR="008A4C37">
          <w:rPr>
            <w:webHidden/>
          </w:rPr>
          <w:fldChar w:fldCharType="end"/>
        </w:r>
      </w:hyperlink>
    </w:p>
    <w:p w:rsidR="008A4C37" w:rsidRDefault="00ED394A">
      <w:pPr>
        <w:pStyle w:val="TOC3"/>
        <w:rPr>
          <w:rFonts w:asciiTheme="minorHAnsi" w:eastAsiaTheme="minorEastAsia" w:hAnsiTheme="minorHAnsi"/>
          <w:iCs w:val="0"/>
          <w:sz w:val="22"/>
          <w:szCs w:val="22"/>
          <w:lang w:val="en-AU" w:eastAsia="en-AU"/>
        </w:rPr>
      </w:pPr>
      <w:hyperlink w:anchor="_Toc364945267" w:history="1">
        <w:r w:rsidR="008A4C37" w:rsidRPr="00732886">
          <w:rPr>
            <w:rStyle w:val="Hyperlink"/>
          </w:rPr>
          <w:t>3.8.2</w:t>
        </w:r>
        <w:r w:rsidR="008A4C37">
          <w:rPr>
            <w:rFonts w:asciiTheme="minorHAnsi" w:eastAsiaTheme="minorEastAsia" w:hAnsiTheme="minorHAnsi"/>
            <w:iCs w:val="0"/>
            <w:sz w:val="22"/>
            <w:szCs w:val="22"/>
            <w:lang w:val="en-AU" w:eastAsia="en-AU"/>
          </w:rPr>
          <w:tab/>
        </w:r>
        <w:r w:rsidR="008A4C37" w:rsidRPr="00732886">
          <w:rPr>
            <w:rStyle w:val="Hyperlink"/>
          </w:rPr>
          <w:t>Municipal Wide Infrastructure Plan 2009-2013</w:t>
        </w:r>
        <w:r w:rsidR="008A4C37">
          <w:rPr>
            <w:webHidden/>
          </w:rPr>
          <w:tab/>
        </w:r>
        <w:r w:rsidR="008A4C37">
          <w:rPr>
            <w:webHidden/>
          </w:rPr>
          <w:fldChar w:fldCharType="begin"/>
        </w:r>
        <w:r w:rsidR="008A4C37">
          <w:rPr>
            <w:webHidden/>
          </w:rPr>
          <w:instrText xml:space="preserve"> PAGEREF _Toc364945267 \h </w:instrText>
        </w:r>
        <w:r w:rsidR="008A4C37">
          <w:rPr>
            <w:webHidden/>
          </w:rPr>
        </w:r>
        <w:r w:rsidR="008A4C37">
          <w:rPr>
            <w:webHidden/>
          </w:rPr>
          <w:fldChar w:fldCharType="separate"/>
        </w:r>
        <w:r w:rsidR="00557666">
          <w:rPr>
            <w:webHidden/>
          </w:rPr>
          <w:t>2</w:t>
        </w:r>
        <w:r w:rsidR="008A4C37">
          <w:rPr>
            <w:webHidden/>
          </w:rPr>
          <w:fldChar w:fldCharType="end"/>
        </w:r>
      </w:hyperlink>
    </w:p>
    <w:p w:rsidR="008A4C37" w:rsidRDefault="00ED394A">
      <w:pPr>
        <w:pStyle w:val="TOC3"/>
        <w:rPr>
          <w:rFonts w:asciiTheme="minorHAnsi" w:eastAsiaTheme="minorEastAsia" w:hAnsiTheme="minorHAnsi"/>
          <w:iCs w:val="0"/>
          <w:sz w:val="22"/>
          <w:szCs w:val="22"/>
          <w:lang w:val="en-AU" w:eastAsia="en-AU"/>
        </w:rPr>
      </w:pPr>
      <w:hyperlink w:anchor="_Toc364945268" w:history="1">
        <w:r w:rsidR="008A4C37" w:rsidRPr="00732886">
          <w:rPr>
            <w:rStyle w:val="Hyperlink"/>
          </w:rPr>
          <w:t>3.8.3</w:t>
        </w:r>
        <w:r w:rsidR="008A4C37">
          <w:rPr>
            <w:rFonts w:asciiTheme="minorHAnsi" w:eastAsiaTheme="minorEastAsia" w:hAnsiTheme="minorHAnsi"/>
            <w:iCs w:val="0"/>
            <w:sz w:val="22"/>
            <w:szCs w:val="22"/>
            <w:lang w:val="en-AU" w:eastAsia="en-AU"/>
          </w:rPr>
          <w:tab/>
        </w:r>
        <w:r w:rsidR="008A4C37" w:rsidRPr="00732886">
          <w:rPr>
            <w:rStyle w:val="Hyperlink"/>
          </w:rPr>
          <w:t>Yarra Libraries Strategic Plan 2013-2016</w:t>
        </w:r>
        <w:r w:rsidR="008A4C37">
          <w:rPr>
            <w:webHidden/>
          </w:rPr>
          <w:tab/>
        </w:r>
        <w:r w:rsidR="008A4C37">
          <w:rPr>
            <w:webHidden/>
          </w:rPr>
          <w:fldChar w:fldCharType="begin"/>
        </w:r>
        <w:r w:rsidR="008A4C37">
          <w:rPr>
            <w:webHidden/>
          </w:rPr>
          <w:instrText xml:space="preserve"> PAGEREF _Toc364945268 \h </w:instrText>
        </w:r>
        <w:r w:rsidR="008A4C37">
          <w:rPr>
            <w:webHidden/>
          </w:rPr>
        </w:r>
        <w:r w:rsidR="008A4C37">
          <w:rPr>
            <w:webHidden/>
          </w:rPr>
          <w:fldChar w:fldCharType="separate"/>
        </w:r>
        <w:r w:rsidR="00557666">
          <w:rPr>
            <w:webHidden/>
          </w:rPr>
          <w:t>2</w:t>
        </w:r>
        <w:r w:rsidR="008A4C37">
          <w:rPr>
            <w:webHidden/>
          </w:rPr>
          <w:fldChar w:fldCharType="end"/>
        </w:r>
      </w:hyperlink>
    </w:p>
    <w:p w:rsidR="008A4C37" w:rsidRDefault="00ED394A">
      <w:pPr>
        <w:pStyle w:val="TOC3"/>
        <w:rPr>
          <w:rFonts w:asciiTheme="minorHAnsi" w:eastAsiaTheme="minorEastAsia" w:hAnsiTheme="minorHAnsi"/>
          <w:iCs w:val="0"/>
          <w:sz w:val="22"/>
          <w:szCs w:val="22"/>
          <w:lang w:val="en-AU" w:eastAsia="en-AU"/>
        </w:rPr>
      </w:pPr>
      <w:hyperlink w:anchor="_Toc364945269" w:history="1">
        <w:r w:rsidR="008A4C37" w:rsidRPr="00732886">
          <w:rPr>
            <w:rStyle w:val="Hyperlink"/>
          </w:rPr>
          <w:t>3.8.4</w:t>
        </w:r>
        <w:r w:rsidR="008A4C37">
          <w:rPr>
            <w:rFonts w:asciiTheme="minorHAnsi" w:eastAsiaTheme="minorEastAsia" w:hAnsiTheme="minorHAnsi"/>
            <w:iCs w:val="0"/>
            <w:sz w:val="22"/>
            <w:szCs w:val="22"/>
            <w:lang w:val="en-AU" w:eastAsia="en-AU"/>
          </w:rPr>
          <w:tab/>
        </w:r>
        <w:r w:rsidR="008A4C37" w:rsidRPr="00732886">
          <w:rPr>
            <w:rStyle w:val="Hyperlink"/>
          </w:rPr>
          <w:t>Yarra Sports Strategy 2008-2012</w:t>
        </w:r>
        <w:r w:rsidR="008A4C37">
          <w:rPr>
            <w:webHidden/>
          </w:rPr>
          <w:tab/>
        </w:r>
        <w:r w:rsidR="008A4C37">
          <w:rPr>
            <w:webHidden/>
          </w:rPr>
          <w:fldChar w:fldCharType="begin"/>
        </w:r>
        <w:r w:rsidR="008A4C37">
          <w:rPr>
            <w:webHidden/>
          </w:rPr>
          <w:instrText xml:space="preserve"> PAGEREF _Toc364945269 \h </w:instrText>
        </w:r>
        <w:r w:rsidR="008A4C37">
          <w:rPr>
            <w:webHidden/>
          </w:rPr>
        </w:r>
        <w:r w:rsidR="008A4C37">
          <w:rPr>
            <w:webHidden/>
          </w:rPr>
          <w:fldChar w:fldCharType="separate"/>
        </w:r>
        <w:r w:rsidR="00557666">
          <w:rPr>
            <w:webHidden/>
          </w:rPr>
          <w:t>2</w:t>
        </w:r>
        <w:r w:rsidR="008A4C37">
          <w:rPr>
            <w:webHidden/>
          </w:rPr>
          <w:fldChar w:fldCharType="end"/>
        </w:r>
      </w:hyperlink>
    </w:p>
    <w:p w:rsidR="008A4C37" w:rsidRDefault="00ED394A">
      <w:pPr>
        <w:pStyle w:val="TOC3"/>
        <w:rPr>
          <w:rFonts w:asciiTheme="minorHAnsi" w:eastAsiaTheme="minorEastAsia" w:hAnsiTheme="minorHAnsi"/>
          <w:iCs w:val="0"/>
          <w:sz w:val="22"/>
          <w:szCs w:val="22"/>
          <w:lang w:val="en-AU" w:eastAsia="en-AU"/>
        </w:rPr>
      </w:pPr>
      <w:hyperlink w:anchor="_Toc364945270" w:history="1">
        <w:r w:rsidR="008A4C37" w:rsidRPr="00732886">
          <w:rPr>
            <w:rStyle w:val="Hyperlink"/>
          </w:rPr>
          <w:t>3.8.5</w:t>
        </w:r>
        <w:r w:rsidR="008A4C37">
          <w:rPr>
            <w:rFonts w:asciiTheme="minorHAnsi" w:eastAsiaTheme="minorEastAsia" w:hAnsiTheme="minorHAnsi"/>
            <w:iCs w:val="0"/>
            <w:sz w:val="22"/>
            <w:szCs w:val="22"/>
            <w:lang w:val="en-AU" w:eastAsia="en-AU"/>
          </w:rPr>
          <w:tab/>
        </w:r>
        <w:r w:rsidR="008A4C37" w:rsidRPr="00732886">
          <w:rPr>
            <w:rStyle w:val="Hyperlink"/>
          </w:rPr>
          <w:t>“Difference is More” Disability Action Plan 2010-2013</w:t>
        </w:r>
        <w:r w:rsidR="008A4C37">
          <w:rPr>
            <w:webHidden/>
          </w:rPr>
          <w:tab/>
        </w:r>
        <w:r w:rsidR="008A4C37">
          <w:rPr>
            <w:webHidden/>
          </w:rPr>
          <w:fldChar w:fldCharType="begin"/>
        </w:r>
        <w:r w:rsidR="008A4C37">
          <w:rPr>
            <w:webHidden/>
          </w:rPr>
          <w:instrText xml:space="preserve"> PAGEREF _Toc364945270 \h </w:instrText>
        </w:r>
        <w:r w:rsidR="008A4C37">
          <w:rPr>
            <w:webHidden/>
          </w:rPr>
        </w:r>
        <w:r w:rsidR="008A4C37">
          <w:rPr>
            <w:webHidden/>
          </w:rPr>
          <w:fldChar w:fldCharType="separate"/>
        </w:r>
        <w:r w:rsidR="00557666">
          <w:rPr>
            <w:webHidden/>
          </w:rPr>
          <w:t>2</w:t>
        </w:r>
        <w:r w:rsidR="008A4C37">
          <w:rPr>
            <w:webHidden/>
          </w:rPr>
          <w:fldChar w:fldCharType="end"/>
        </w:r>
      </w:hyperlink>
    </w:p>
    <w:p w:rsidR="008A4C37" w:rsidRDefault="00ED394A">
      <w:pPr>
        <w:pStyle w:val="TOC3"/>
        <w:rPr>
          <w:rFonts w:asciiTheme="minorHAnsi" w:eastAsiaTheme="minorEastAsia" w:hAnsiTheme="minorHAnsi"/>
          <w:iCs w:val="0"/>
          <w:sz w:val="22"/>
          <w:szCs w:val="22"/>
          <w:lang w:val="en-AU" w:eastAsia="en-AU"/>
        </w:rPr>
      </w:pPr>
      <w:hyperlink w:anchor="_Toc364945271" w:history="1">
        <w:r w:rsidR="008A4C37" w:rsidRPr="00732886">
          <w:rPr>
            <w:rStyle w:val="Hyperlink"/>
          </w:rPr>
          <w:t>3.8.6</w:t>
        </w:r>
        <w:r w:rsidR="008A4C37">
          <w:rPr>
            <w:rFonts w:asciiTheme="minorHAnsi" w:eastAsiaTheme="minorEastAsia" w:hAnsiTheme="minorHAnsi"/>
            <w:iCs w:val="0"/>
            <w:sz w:val="22"/>
            <w:szCs w:val="22"/>
            <w:lang w:val="en-AU" w:eastAsia="en-AU"/>
          </w:rPr>
          <w:tab/>
        </w:r>
        <w:r w:rsidR="008A4C37" w:rsidRPr="00732886">
          <w:rPr>
            <w:rStyle w:val="Hyperlink"/>
          </w:rPr>
          <w:t>Carbon Neutral Action Plan 2010-2015</w:t>
        </w:r>
        <w:r w:rsidR="008A4C37">
          <w:rPr>
            <w:webHidden/>
          </w:rPr>
          <w:tab/>
        </w:r>
        <w:r w:rsidR="008A4C37">
          <w:rPr>
            <w:webHidden/>
          </w:rPr>
          <w:fldChar w:fldCharType="begin"/>
        </w:r>
        <w:r w:rsidR="008A4C37">
          <w:rPr>
            <w:webHidden/>
          </w:rPr>
          <w:instrText xml:space="preserve"> PAGEREF _Toc364945271 \h </w:instrText>
        </w:r>
        <w:r w:rsidR="008A4C37">
          <w:rPr>
            <w:webHidden/>
          </w:rPr>
        </w:r>
        <w:r w:rsidR="008A4C37">
          <w:rPr>
            <w:webHidden/>
          </w:rPr>
          <w:fldChar w:fldCharType="separate"/>
        </w:r>
        <w:r w:rsidR="00557666">
          <w:rPr>
            <w:webHidden/>
          </w:rPr>
          <w:t>2</w:t>
        </w:r>
        <w:r w:rsidR="008A4C37">
          <w:rPr>
            <w:webHidden/>
          </w:rPr>
          <w:fldChar w:fldCharType="end"/>
        </w:r>
      </w:hyperlink>
    </w:p>
    <w:p w:rsidR="008A4C37" w:rsidRDefault="00ED394A">
      <w:pPr>
        <w:pStyle w:val="TOC2"/>
        <w:rPr>
          <w:rFonts w:asciiTheme="minorHAnsi" w:eastAsiaTheme="minorEastAsia" w:hAnsiTheme="minorHAnsi"/>
          <w:iCs w:val="0"/>
          <w:sz w:val="22"/>
          <w:szCs w:val="22"/>
          <w:lang w:val="en-AU" w:eastAsia="en-AU"/>
        </w:rPr>
      </w:pPr>
      <w:hyperlink w:anchor="_Toc364945272" w:history="1">
        <w:r w:rsidR="008A4C37" w:rsidRPr="00732886">
          <w:rPr>
            <w:rStyle w:val="Hyperlink"/>
          </w:rPr>
          <w:t>3.9</w:t>
        </w:r>
        <w:r w:rsidR="008A4C37">
          <w:rPr>
            <w:rFonts w:asciiTheme="minorHAnsi" w:eastAsiaTheme="minorEastAsia" w:hAnsiTheme="minorHAnsi"/>
            <w:iCs w:val="0"/>
            <w:sz w:val="22"/>
            <w:szCs w:val="22"/>
            <w:lang w:val="en-AU" w:eastAsia="en-AU"/>
          </w:rPr>
          <w:tab/>
        </w:r>
        <w:r w:rsidR="008A4C37" w:rsidRPr="00732886">
          <w:rPr>
            <w:rStyle w:val="Hyperlink"/>
          </w:rPr>
          <w:t>Levels of Service</w:t>
        </w:r>
        <w:r w:rsidR="008A4C37">
          <w:rPr>
            <w:webHidden/>
          </w:rPr>
          <w:tab/>
        </w:r>
        <w:r w:rsidR="008A4C37">
          <w:rPr>
            <w:webHidden/>
          </w:rPr>
          <w:fldChar w:fldCharType="begin"/>
        </w:r>
        <w:r w:rsidR="008A4C37">
          <w:rPr>
            <w:webHidden/>
          </w:rPr>
          <w:instrText xml:space="preserve"> PAGEREF _Toc364945272 \h </w:instrText>
        </w:r>
        <w:r w:rsidR="008A4C37">
          <w:rPr>
            <w:webHidden/>
          </w:rPr>
        </w:r>
        <w:r w:rsidR="008A4C37">
          <w:rPr>
            <w:webHidden/>
          </w:rPr>
          <w:fldChar w:fldCharType="separate"/>
        </w:r>
        <w:r w:rsidR="00557666">
          <w:rPr>
            <w:webHidden/>
          </w:rPr>
          <w:t>2</w:t>
        </w:r>
        <w:r w:rsidR="008A4C37">
          <w:rPr>
            <w:webHidden/>
          </w:rPr>
          <w:fldChar w:fldCharType="end"/>
        </w:r>
      </w:hyperlink>
    </w:p>
    <w:p w:rsidR="008A4C37" w:rsidRDefault="00ED394A">
      <w:pPr>
        <w:pStyle w:val="TOC3"/>
        <w:rPr>
          <w:rFonts w:asciiTheme="minorHAnsi" w:eastAsiaTheme="minorEastAsia" w:hAnsiTheme="minorHAnsi"/>
          <w:iCs w:val="0"/>
          <w:sz w:val="22"/>
          <w:szCs w:val="22"/>
          <w:lang w:val="en-AU" w:eastAsia="en-AU"/>
        </w:rPr>
      </w:pPr>
      <w:hyperlink w:anchor="_Toc364945273" w:history="1">
        <w:r w:rsidR="008A4C37" w:rsidRPr="00732886">
          <w:rPr>
            <w:rStyle w:val="Hyperlink"/>
          </w:rPr>
          <w:t>3.9.1</w:t>
        </w:r>
        <w:r w:rsidR="008A4C37">
          <w:rPr>
            <w:rFonts w:asciiTheme="minorHAnsi" w:eastAsiaTheme="minorEastAsia" w:hAnsiTheme="minorHAnsi"/>
            <w:iCs w:val="0"/>
            <w:sz w:val="22"/>
            <w:szCs w:val="22"/>
            <w:lang w:val="en-AU" w:eastAsia="en-AU"/>
          </w:rPr>
          <w:tab/>
        </w:r>
        <w:r w:rsidR="008A4C37" w:rsidRPr="00732886">
          <w:rPr>
            <w:rStyle w:val="Hyperlink"/>
          </w:rPr>
          <w:t>Background to Levels of Service</w:t>
        </w:r>
        <w:r w:rsidR="008A4C37">
          <w:rPr>
            <w:webHidden/>
          </w:rPr>
          <w:tab/>
        </w:r>
        <w:r w:rsidR="008A4C37">
          <w:rPr>
            <w:webHidden/>
          </w:rPr>
          <w:fldChar w:fldCharType="begin"/>
        </w:r>
        <w:r w:rsidR="008A4C37">
          <w:rPr>
            <w:webHidden/>
          </w:rPr>
          <w:instrText xml:space="preserve"> PAGEREF _Toc364945273 \h </w:instrText>
        </w:r>
        <w:r w:rsidR="008A4C37">
          <w:rPr>
            <w:webHidden/>
          </w:rPr>
        </w:r>
        <w:r w:rsidR="008A4C37">
          <w:rPr>
            <w:webHidden/>
          </w:rPr>
          <w:fldChar w:fldCharType="separate"/>
        </w:r>
        <w:r w:rsidR="00557666">
          <w:rPr>
            <w:webHidden/>
          </w:rPr>
          <w:t>2</w:t>
        </w:r>
        <w:r w:rsidR="008A4C37">
          <w:rPr>
            <w:webHidden/>
          </w:rPr>
          <w:fldChar w:fldCharType="end"/>
        </w:r>
      </w:hyperlink>
    </w:p>
    <w:p w:rsidR="008A4C37" w:rsidRDefault="00ED394A">
      <w:pPr>
        <w:pStyle w:val="TOC3"/>
        <w:rPr>
          <w:rFonts w:asciiTheme="minorHAnsi" w:eastAsiaTheme="minorEastAsia" w:hAnsiTheme="minorHAnsi"/>
          <w:iCs w:val="0"/>
          <w:sz w:val="22"/>
          <w:szCs w:val="22"/>
          <w:lang w:val="en-AU" w:eastAsia="en-AU"/>
        </w:rPr>
      </w:pPr>
      <w:hyperlink w:anchor="_Toc364945274" w:history="1">
        <w:r w:rsidR="008A4C37" w:rsidRPr="00732886">
          <w:rPr>
            <w:rStyle w:val="Hyperlink"/>
          </w:rPr>
          <w:t>3.9.2</w:t>
        </w:r>
        <w:r w:rsidR="008A4C37">
          <w:rPr>
            <w:rFonts w:asciiTheme="minorHAnsi" w:eastAsiaTheme="minorEastAsia" w:hAnsiTheme="minorHAnsi"/>
            <w:iCs w:val="0"/>
            <w:sz w:val="22"/>
            <w:szCs w:val="22"/>
            <w:lang w:val="en-AU" w:eastAsia="en-AU"/>
          </w:rPr>
          <w:tab/>
        </w:r>
        <w:r w:rsidR="008A4C37" w:rsidRPr="00732886">
          <w:rPr>
            <w:rStyle w:val="Hyperlink"/>
          </w:rPr>
          <w:t>Customer Levels of Service</w:t>
        </w:r>
        <w:r w:rsidR="008A4C37">
          <w:rPr>
            <w:webHidden/>
          </w:rPr>
          <w:tab/>
        </w:r>
        <w:r w:rsidR="008A4C37">
          <w:rPr>
            <w:webHidden/>
          </w:rPr>
          <w:fldChar w:fldCharType="begin"/>
        </w:r>
        <w:r w:rsidR="008A4C37">
          <w:rPr>
            <w:webHidden/>
          </w:rPr>
          <w:instrText xml:space="preserve"> PAGEREF _Toc364945274 \h </w:instrText>
        </w:r>
        <w:r w:rsidR="008A4C37">
          <w:rPr>
            <w:webHidden/>
          </w:rPr>
        </w:r>
        <w:r w:rsidR="008A4C37">
          <w:rPr>
            <w:webHidden/>
          </w:rPr>
          <w:fldChar w:fldCharType="separate"/>
        </w:r>
        <w:r w:rsidR="00557666">
          <w:rPr>
            <w:webHidden/>
          </w:rPr>
          <w:t>2</w:t>
        </w:r>
        <w:r w:rsidR="008A4C37">
          <w:rPr>
            <w:webHidden/>
          </w:rPr>
          <w:fldChar w:fldCharType="end"/>
        </w:r>
      </w:hyperlink>
    </w:p>
    <w:p w:rsidR="008A4C37" w:rsidRDefault="00ED394A">
      <w:pPr>
        <w:pStyle w:val="TOC1"/>
        <w:rPr>
          <w:rFonts w:asciiTheme="minorHAnsi" w:eastAsiaTheme="minorEastAsia" w:hAnsiTheme="minorHAnsi"/>
          <w:b w:val="0"/>
          <w:sz w:val="22"/>
          <w:szCs w:val="22"/>
        </w:rPr>
      </w:pPr>
      <w:hyperlink w:anchor="_Toc364945275" w:history="1">
        <w:r w:rsidR="008A4C37" w:rsidRPr="00732886">
          <w:rPr>
            <w:rStyle w:val="Hyperlink"/>
          </w:rPr>
          <w:t>4</w:t>
        </w:r>
        <w:r w:rsidR="008A4C37">
          <w:rPr>
            <w:rFonts w:asciiTheme="minorHAnsi" w:eastAsiaTheme="minorEastAsia" w:hAnsiTheme="minorHAnsi"/>
            <w:b w:val="0"/>
            <w:sz w:val="22"/>
            <w:szCs w:val="22"/>
          </w:rPr>
          <w:tab/>
        </w:r>
        <w:r w:rsidR="008A4C37" w:rsidRPr="00732886">
          <w:rPr>
            <w:rStyle w:val="Hyperlink"/>
          </w:rPr>
          <w:t>Growth and Demand</w:t>
        </w:r>
        <w:r w:rsidR="008A4C37">
          <w:rPr>
            <w:webHidden/>
          </w:rPr>
          <w:tab/>
        </w:r>
        <w:r w:rsidR="008A4C37">
          <w:rPr>
            <w:webHidden/>
          </w:rPr>
          <w:fldChar w:fldCharType="begin"/>
        </w:r>
        <w:r w:rsidR="008A4C37">
          <w:rPr>
            <w:webHidden/>
          </w:rPr>
          <w:instrText xml:space="preserve"> PAGEREF _Toc364945275 \h </w:instrText>
        </w:r>
        <w:r w:rsidR="008A4C37">
          <w:rPr>
            <w:webHidden/>
          </w:rPr>
        </w:r>
        <w:r w:rsidR="008A4C37">
          <w:rPr>
            <w:webHidden/>
          </w:rPr>
          <w:fldChar w:fldCharType="separate"/>
        </w:r>
        <w:r w:rsidR="00557666">
          <w:rPr>
            <w:webHidden/>
          </w:rPr>
          <w:t>2</w:t>
        </w:r>
        <w:r w:rsidR="008A4C37">
          <w:rPr>
            <w:webHidden/>
          </w:rPr>
          <w:fldChar w:fldCharType="end"/>
        </w:r>
      </w:hyperlink>
    </w:p>
    <w:p w:rsidR="008A4C37" w:rsidRDefault="00ED394A">
      <w:pPr>
        <w:pStyle w:val="TOC2"/>
        <w:rPr>
          <w:rFonts w:asciiTheme="minorHAnsi" w:eastAsiaTheme="minorEastAsia" w:hAnsiTheme="minorHAnsi"/>
          <w:iCs w:val="0"/>
          <w:sz w:val="22"/>
          <w:szCs w:val="22"/>
          <w:lang w:val="en-AU" w:eastAsia="en-AU"/>
        </w:rPr>
      </w:pPr>
      <w:hyperlink w:anchor="_Toc364945276" w:history="1">
        <w:r w:rsidR="008A4C37" w:rsidRPr="00732886">
          <w:rPr>
            <w:rStyle w:val="Hyperlink"/>
          </w:rPr>
          <w:t>4.1</w:t>
        </w:r>
        <w:r w:rsidR="008A4C37">
          <w:rPr>
            <w:rFonts w:asciiTheme="minorHAnsi" w:eastAsiaTheme="minorEastAsia" w:hAnsiTheme="minorHAnsi"/>
            <w:iCs w:val="0"/>
            <w:sz w:val="22"/>
            <w:szCs w:val="22"/>
            <w:lang w:val="en-AU" w:eastAsia="en-AU"/>
          </w:rPr>
          <w:tab/>
        </w:r>
        <w:r w:rsidR="008A4C37" w:rsidRPr="00732886">
          <w:rPr>
            <w:rStyle w:val="Hyperlink"/>
          </w:rPr>
          <w:t>Overview</w:t>
        </w:r>
        <w:r w:rsidR="008A4C37">
          <w:rPr>
            <w:webHidden/>
          </w:rPr>
          <w:tab/>
        </w:r>
        <w:r w:rsidR="008A4C37">
          <w:rPr>
            <w:webHidden/>
          </w:rPr>
          <w:fldChar w:fldCharType="begin"/>
        </w:r>
        <w:r w:rsidR="008A4C37">
          <w:rPr>
            <w:webHidden/>
          </w:rPr>
          <w:instrText xml:space="preserve"> PAGEREF _Toc364945276 \h </w:instrText>
        </w:r>
        <w:r w:rsidR="008A4C37">
          <w:rPr>
            <w:webHidden/>
          </w:rPr>
        </w:r>
        <w:r w:rsidR="008A4C37">
          <w:rPr>
            <w:webHidden/>
          </w:rPr>
          <w:fldChar w:fldCharType="separate"/>
        </w:r>
        <w:r w:rsidR="00557666">
          <w:rPr>
            <w:webHidden/>
          </w:rPr>
          <w:t>2</w:t>
        </w:r>
        <w:r w:rsidR="008A4C37">
          <w:rPr>
            <w:webHidden/>
          </w:rPr>
          <w:fldChar w:fldCharType="end"/>
        </w:r>
      </w:hyperlink>
    </w:p>
    <w:p w:rsidR="008A4C37" w:rsidRDefault="00ED394A">
      <w:pPr>
        <w:pStyle w:val="TOC2"/>
        <w:rPr>
          <w:rFonts w:asciiTheme="minorHAnsi" w:eastAsiaTheme="minorEastAsia" w:hAnsiTheme="minorHAnsi"/>
          <w:iCs w:val="0"/>
          <w:sz w:val="22"/>
          <w:szCs w:val="22"/>
          <w:lang w:val="en-AU" w:eastAsia="en-AU"/>
        </w:rPr>
      </w:pPr>
      <w:hyperlink w:anchor="_Toc364945277" w:history="1">
        <w:r w:rsidR="008A4C37" w:rsidRPr="00732886">
          <w:rPr>
            <w:rStyle w:val="Hyperlink"/>
          </w:rPr>
          <w:t>4.2</w:t>
        </w:r>
        <w:r w:rsidR="008A4C37">
          <w:rPr>
            <w:rFonts w:asciiTheme="minorHAnsi" w:eastAsiaTheme="minorEastAsia" w:hAnsiTheme="minorHAnsi"/>
            <w:iCs w:val="0"/>
            <w:sz w:val="22"/>
            <w:szCs w:val="22"/>
            <w:lang w:val="en-AU" w:eastAsia="en-AU"/>
          </w:rPr>
          <w:tab/>
        </w:r>
        <w:r w:rsidR="008A4C37" w:rsidRPr="00732886">
          <w:rPr>
            <w:rStyle w:val="Hyperlink"/>
          </w:rPr>
          <w:t>Key Demand Drivers</w:t>
        </w:r>
        <w:r w:rsidR="008A4C37">
          <w:rPr>
            <w:webHidden/>
          </w:rPr>
          <w:tab/>
        </w:r>
        <w:r w:rsidR="008A4C37">
          <w:rPr>
            <w:webHidden/>
          </w:rPr>
          <w:fldChar w:fldCharType="begin"/>
        </w:r>
        <w:r w:rsidR="008A4C37">
          <w:rPr>
            <w:webHidden/>
          </w:rPr>
          <w:instrText xml:space="preserve"> PAGEREF _Toc364945277 \h </w:instrText>
        </w:r>
        <w:r w:rsidR="008A4C37">
          <w:rPr>
            <w:webHidden/>
          </w:rPr>
        </w:r>
        <w:r w:rsidR="008A4C37">
          <w:rPr>
            <w:webHidden/>
          </w:rPr>
          <w:fldChar w:fldCharType="separate"/>
        </w:r>
        <w:r w:rsidR="00557666">
          <w:rPr>
            <w:webHidden/>
          </w:rPr>
          <w:t>2</w:t>
        </w:r>
        <w:r w:rsidR="008A4C37">
          <w:rPr>
            <w:webHidden/>
          </w:rPr>
          <w:fldChar w:fldCharType="end"/>
        </w:r>
      </w:hyperlink>
    </w:p>
    <w:p w:rsidR="008A4C37" w:rsidRDefault="00ED394A">
      <w:pPr>
        <w:pStyle w:val="TOC2"/>
        <w:rPr>
          <w:rFonts w:asciiTheme="minorHAnsi" w:eastAsiaTheme="minorEastAsia" w:hAnsiTheme="minorHAnsi"/>
          <w:iCs w:val="0"/>
          <w:sz w:val="22"/>
          <w:szCs w:val="22"/>
          <w:lang w:val="en-AU" w:eastAsia="en-AU"/>
        </w:rPr>
      </w:pPr>
      <w:hyperlink w:anchor="_Toc364945278" w:history="1">
        <w:r w:rsidR="008A4C37" w:rsidRPr="00732886">
          <w:rPr>
            <w:rStyle w:val="Hyperlink"/>
          </w:rPr>
          <w:t>4.3</w:t>
        </w:r>
        <w:r w:rsidR="008A4C37">
          <w:rPr>
            <w:rFonts w:asciiTheme="minorHAnsi" w:eastAsiaTheme="minorEastAsia" w:hAnsiTheme="minorHAnsi"/>
            <w:iCs w:val="0"/>
            <w:sz w:val="22"/>
            <w:szCs w:val="22"/>
            <w:lang w:val="en-AU" w:eastAsia="en-AU"/>
          </w:rPr>
          <w:tab/>
        </w:r>
        <w:r w:rsidR="008A4C37" w:rsidRPr="00732886">
          <w:rPr>
            <w:rStyle w:val="Hyperlink"/>
          </w:rPr>
          <w:t>Population Growth Forecast</w:t>
        </w:r>
        <w:r w:rsidR="008A4C37">
          <w:rPr>
            <w:webHidden/>
          </w:rPr>
          <w:tab/>
        </w:r>
        <w:r w:rsidR="008A4C37">
          <w:rPr>
            <w:webHidden/>
          </w:rPr>
          <w:fldChar w:fldCharType="begin"/>
        </w:r>
        <w:r w:rsidR="008A4C37">
          <w:rPr>
            <w:webHidden/>
          </w:rPr>
          <w:instrText xml:space="preserve"> PAGEREF _Toc364945278 \h </w:instrText>
        </w:r>
        <w:r w:rsidR="008A4C37">
          <w:rPr>
            <w:webHidden/>
          </w:rPr>
        </w:r>
        <w:r w:rsidR="008A4C37">
          <w:rPr>
            <w:webHidden/>
          </w:rPr>
          <w:fldChar w:fldCharType="separate"/>
        </w:r>
        <w:r w:rsidR="00557666">
          <w:rPr>
            <w:webHidden/>
          </w:rPr>
          <w:t>2</w:t>
        </w:r>
        <w:r w:rsidR="008A4C37">
          <w:rPr>
            <w:webHidden/>
          </w:rPr>
          <w:fldChar w:fldCharType="end"/>
        </w:r>
      </w:hyperlink>
    </w:p>
    <w:p w:rsidR="008A4C37" w:rsidRDefault="00ED394A">
      <w:pPr>
        <w:pStyle w:val="TOC2"/>
        <w:rPr>
          <w:rFonts w:asciiTheme="minorHAnsi" w:eastAsiaTheme="minorEastAsia" w:hAnsiTheme="minorHAnsi"/>
          <w:iCs w:val="0"/>
          <w:sz w:val="22"/>
          <w:szCs w:val="22"/>
          <w:lang w:val="en-AU" w:eastAsia="en-AU"/>
        </w:rPr>
      </w:pPr>
      <w:hyperlink w:anchor="_Toc364945279" w:history="1">
        <w:r w:rsidR="008A4C37" w:rsidRPr="00732886">
          <w:rPr>
            <w:rStyle w:val="Hyperlink"/>
          </w:rPr>
          <w:t>4.4</w:t>
        </w:r>
        <w:r w:rsidR="008A4C37">
          <w:rPr>
            <w:rFonts w:asciiTheme="minorHAnsi" w:eastAsiaTheme="minorEastAsia" w:hAnsiTheme="minorHAnsi"/>
            <w:iCs w:val="0"/>
            <w:sz w:val="22"/>
            <w:szCs w:val="22"/>
            <w:lang w:val="en-AU" w:eastAsia="en-AU"/>
          </w:rPr>
          <w:tab/>
        </w:r>
        <w:r w:rsidR="008A4C37" w:rsidRPr="00732886">
          <w:rPr>
            <w:rStyle w:val="Hyperlink"/>
          </w:rPr>
          <w:t>Demand Trends</w:t>
        </w:r>
        <w:r w:rsidR="008A4C37">
          <w:rPr>
            <w:webHidden/>
          </w:rPr>
          <w:tab/>
        </w:r>
        <w:r w:rsidR="008A4C37">
          <w:rPr>
            <w:webHidden/>
          </w:rPr>
          <w:fldChar w:fldCharType="begin"/>
        </w:r>
        <w:r w:rsidR="008A4C37">
          <w:rPr>
            <w:webHidden/>
          </w:rPr>
          <w:instrText xml:space="preserve"> PAGEREF _Toc364945279 \h </w:instrText>
        </w:r>
        <w:r w:rsidR="008A4C37">
          <w:rPr>
            <w:webHidden/>
          </w:rPr>
        </w:r>
        <w:r w:rsidR="008A4C37">
          <w:rPr>
            <w:webHidden/>
          </w:rPr>
          <w:fldChar w:fldCharType="separate"/>
        </w:r>
        <w:r w:rsidR="00557666">
          <w:rPr>
            <w:webHidden/>
          </w:rPr>
          <w:t>2</w:t>
        </w:r>
        <w:r w:rsidR="008A4C37">
          <w:rPr>
            <w:webHidden/>
          </w:rPr>
          <w:fldChar w:fldCharType="end"/>
        </w:r>
      </w:hyperlink>
    </w:p>
    <w:p w:rsidR="008A4C37" w:rsidRDefault="00ED394A">
      <w:pPr>
        <w:pStyle w:val="TOC3"/>
        <w:rPr>
          <w:rFonts w:asciiTheme="minorHAnsi" w:eastAsiaTheme="minorEastAsia" w:hAnsiTheme="minorHAnsi"/>
          <w:iCs w:val="0"/>
          <w:sz w:val="22"/>
          <w:szCs w:val="22"/>
          <w:lang w:val="en-AU" w:eastAsia="en-AU"/>
        </w:rPr>
      </w:pPr>
      <w:hyperlink w:anchor="_Toc364945280" w:history="1">
        <w:r w:rsidR="008A4C37" w:rsidRPr="00732886">
          <w:rPr>
            <w:rStyle w:val="Hyperlink"/>
          </w:rPr>
          <w:t>4.4.1</w:t>
        </w:r>
        <w:r w:rsidR="008A4C37">
          <w:rPr>
            <w:rFonts w:asciiTheme="minorHAnsi" w:eastAsiaTheme="minorEastAsia" w:hAnsiTheme="minorHAnsi"/>
            <w:iCs w:val="0"/>
            <w:sz w:val="22"/>
            <w:szCs w:val="22"/>
            <w:lang w:val="en-AU" w:eastAsia="en-AU"/>
          </w:rPr>
          <w:tab/>
        </w:r>
        <w:r w:rsidR="008A4C37" w:rsidRPr="00732886">
          <w:rPr>
            <w:rStyle w:val="Hyperlink"/>
          </w:rPr>
          <w:t>Demographic Changes</w:t>
        </w:r>
        <w:r w:rsidR="008A4C37">
          <w:rPr>
            <w:webHidden/>
          </w:rPr>
          <w:tab/>
        </w:r>
        <w:r w:rsidR="008A4C37">
          <w:rPr>
            <w:webHidden/>
          </w:rPr>
          <w:fldChar w:fldCharType="begin"/>
        </w:r>
        <w:r w:rsidR="008A4C37">
          <w:rPr>
            <w:webHidden/>
          </w:rPr>
          <w:instrText xml:space="preserve"> PAGEREF _Toc364945280 \h </w:instrText>
        </w:r>
        <w:r w:rsidR="008A4C37">
          <w:rPr>
            <w:webHidden/>
          </w:rPr>
        </w:r>
        <w:r w:rsidR="008A4C37">
          <w:rPr>
            <w:webHidden/>
          </w:rPr>
          <w:fldChar w:fldCharType="separate"/>
        </w:r>
        <w:r w:rsidR="00557666">
          <w:rPr>
            <w:webHidden/>
          </w:rPr>
          <w:t>2</w:t>
        </w:r>
        <w:r w:rsidR="008A4C37">
          <w:rPr>
            <w:webHidden/>
          </w:rPr>
          <w:fldChar w:fldCharType="end"/>
        </w:r>
      </w:hyperlink>
    </w:p>
    <w:p w:rsidR="008A4C37" w:rsidRDefault="00ED394A">
      <w:pPr>
        <w:pStyle w:val="TOC3"/>
        <w:rPr>
          <w:rFonts w:asciiTheme="minorHAnsi" w:eastAsiaTheme="minorEastAsia" w:hAnsiTheme="minorHAnsi"/>
          <w:iCs w:val="0"/>
          <w:sz w:val="22"/>
          <w:szCs w:val="22"/>
          <w:lang w:val="en-AU" w:eastAsia="en-AU"/>
        </w:rPr>
      </w:pPr>
      <w:hyperlink w:anchor="_Toc364945281" w:history="1">
        <w:r w:rsidR="008A4C37" w:rsidRPr="00732886">
          <w:rPr>
            <w:rStyle w:val="Hyperlink"/>
          </w:rPr>
          <w:t>4.4.2</w:t>
        </w:r>
        <w:r w:rsidR="008A4C37">
          <w:rPr>
            <w:rFonts w:asciiTheme="minorHAnsi" w:eastAsiaTheme="minorEastAsia" w:hAnsiTheme="minorHAnsi"/>
            <w:iCs w:val="0"/>
            <w:sz w:val="22"/>
            <w:szCs w:val="22"/>
            <w:lang w:val="en-AU" w:eastAsia="en-AU"/>
          </w:rPr>
          <w:tab/>
        </w:r>
        <w:r w:rsidR="008A4C37" w:rsidRPr="00732886">
          <w:rPr>
            <w:rStyle w:val="Hyperlink"/>
          </w:rPr>
          <w:t>Residential Development</w:t>
        </w:r>
        <w:r w:rsidR="008A4C37">
          <w:rPr>
            <w:webHidden/>
          </w:rPr>
          <w:tab/>
        </w:r>
        <w:r w:rsidR="008A4C37">
          <w:rPr>
            <w:webHidden/>
          </w:rPr>
          <w:fldChar w:fldCharType="begin"/>
        </w:r>
        <w:r w:rsidR="008A4C37">
          <w:rPr>
            <w:webHidden/>
          </w:rPr>
          <w:instrText xml:space="preserve"> PAGEREF _Toc364945281 \h </w:instrText>
        </w:r>
        <w:r w:rsidR="008A4C37">
          <w:rPr>
            <w:webHidden/>
          </w:rPr>
        </w:r>
        <w:r w:rsidR="008A4C37">
          <w:rPr>
            <w:webHidden/>
          </w:rPr>
          <w:fldChar w:fldCharType="separate"/>
        </w:r>
        <w:r w:rsidR="00557666">
          <w:rPr>
            <w:webHidden/>
          </w:rPr>
          <w:t>2</w:t>
        </w:r>
        <w:r w:rsidR="008A4C37">
          <w:rPr>
            <w:webHidden/>
          </w:rPr>
          <w:fldChar w:fldCharType="end"/>
        </w:r>
      </w:hyperlink>
    </w:p>
    <w:p w:rsidR="008A4C37" w:rsidRDefault="00ED394A">
      <w:pPr>
        <w:pStyle w:val="TOC2"/>
        <w:rPr>
          <w:rFonts w:asciiTheme="minorHAnsi" w:eastAsiaTheme="minorEastAsia" w:hAnsiTheme="minorHAnsi"/>
          <w:iCs w:val="0"/>
          <w:sz w:val="22"/>
          <w:szCs w:val="22"/>
          <w:lang w:val="en-AU" w:eastAsia="en-AU"/>
        </w:rPr>
      </w:pPr>
      <w:hyperlink w:anchor="_Toc364945282" w:history="1">
        <w:r w:rsidR="008A4C37" w:rsidRPr="00732886">
          <w:rPr>
            <w:rStyle w:val="Hyperlink"/>
          </w:rPr>
          <w:t>4.5</w:t>
        </w:r>
        <w:r w:rsidR="008A4C37">
          <w:rPr>
            <w:rFonts w:asciiTheme="minorHAnsi" w:eastAsiaTheme="minorEastAsia" w:hAnsiTheme="minorHAnsi"/>
            <w:iCs w:val="0"/>
            <w:sz w:val="22"/>
            <w:szCs w:val="22"/>
            <w:lang w:val="en-AU" w:eastAsia="en-AU"/>
          </w:rPr>
          <w:tab/>
        </w:r>
        <w:r w:rsidR="008A4C37" w:rsidRPr="00732886">
          <w:rPr>
            <w:rStyle w:val="Hyperlink"/>
          </w:rPr>
          <w:t>Demand Forecast</w:t>
        </w:r>
        <w:r w:rsidR="008A4C37">
          <w:rPr>
            <w:webHidden/>
          </w:rPr>
          <w:tab/>
        </w:r>
        <w:r w:rsidR="008A4C37">
          <w:rPr>
            <w:webHidden/>
          </w:rPr>
          <w:fldChar w:fldCharType="begin"/>
        </w:r>
        <w:r w:rsidR="008A4C37">
          <w:rPr>
            <w:webHidden/>
          </w:rPr>
          <w:instrText xml:space="preserve"> PAGEREF _Toc364945282 \h </w:instrText>
        </w:r>
        <w:r w:rsidR="008A4C37">
          <w:rPr>
            <w:webHidden/>
          </w:rPr>
        </w:r>
        <w:r w:rsidR="008A4C37">
          <w:rPr>
            <w:webHidden/>
          </w:rPr>
          <w:fldChar w:fldCharType="separate"/>
        </w:r>
        <w:r w:rsidR="00557666">
          <w:rPr>
            <w:webHidden/>
          </w:rPr>
          <w:t>2</w:t>
        </w:r>
        <w:r w:rsidR="008A4C37">
          <w:rPr>
            <w:webHidden/>
          </w:rPr>
          <w:fldChar w:fldCharType="end"/>
        </w:r>
      </w:hyperlink>
    </w:p>
    <w:p w:rsidR="008A4C37" w:rsidRDefault="00ED394A">
      <w:pPr>
        <w:pStyle w:val="TOC2"/>
        <w:rPr>
          <w:rFonts w:asciiTheme="minorHAnsi" w:eastAsiaTheme="minorEastAsia" w:hAnsiTheme="minorHAnsi"/>
          <w:iCs w:val="0"/>
          <w:sz w:val="22"/>
          <w:szCs w:val="22"/>
          <w:lang w:val="en-AU" w:eastAsia="en-AU"/>
        </w:rPr>
      </w:pPr>
      <w:hyperlink w:anchor="_Toc364945283" w:history="1">
        <w:r w:rsidR="008A4C37" w:rsidRPr="00732886">
          <w:rPr>
            <w:rStyle w:val="Hyperlink"/>
          </w:rPr>
          <w:t>4.6</w:t>
        </w:r>
        <w:r w:rsidR="008A4C37">
          <w:rPr>
            <w:rFonts w:asciiTheme="minorHAnsi" w:eastAsiaTheme="minorEastAsia" w:hAnsiTheme="minorHAnsi"/>
            <w:iCs w:val="0"/>
            <w:sz w:val="22"/>
            <w:szCs w:val="22"/>
            <w:lang w:val="en-AU" w:eastAsia="en-AU"/>
          </w:rPr>
          <w:tab/>
        </w:r>
        <w:r w:rsidR="008A4C37" w:rsidRPr="00732886">
          <w:rPr>
            <w:rStyle w:val="Hyperlink"/>
          </w:rPr>
          <w:t>Implications of Demand on Existing Assets</w:t>
        </w:r>
        <w:r w:rsidR="008A4C37">
          <w:rPr>
            <w:webHidden/>
          </w:rPr>
          <w:tab/>
        </w:r>
        <w:r w:rsidR="008A4C37">
          <w:rPr>
            <w:webHidden/>
          </w:rPr>
          <w:fldChar w:fldCharType="begin"/>
        </w:r>
        <w:r w:rsidR="008A4C37">
          <w:rPr>
            <w:webHidden/>
          </w:rPr>
          <w:instrText xml:space="preserve"> PAGEREF _Toc364945283 \h </w:instrText>
        </w:r>
        <w:r w:rsidR="008A4C37">
          <w:rPr>
            <w:webHidden/>
          </w:rPr>
        </w:r>
        <w:r w:rsidR="008A4C37">
          <w:rPr>
            <w:webHidden/>
          </w:rPr>
          <w:fldChar w:fldCharType="separate"/>
        </w:r>
        <w:r w:rsidR="00557666">
          <w:rPr>
            <w:webHidden/>
          </w:rPr>
          <w:t>2</w:t>
        </w:r>
        <w:r w:rsidR="008A4C37">
          <w:rPr>
            <w:webHidden/>
          </w:rPr>
          <w:fldChar w:fldCharType="end"/>
        </w:r>
      </w:hyperlink>
    </w:p>
    <w:p w:rsidR="008A4C37" w:rsidRDefault="00ED394A">
      <w:pPr>
        <w:pStyle w:val="TOC2"/>
        <w:rPr>
          <w:rFonts w:asciiTheme="minorHAnsi" w:eastAsiaTheme="minorEastAsia" w:hAnsiTheme="minorHAnsi"/>
          <w:iCs w:val="0"/>
          <w:sz w:val="22"/>
          <w:szCs w:val="22"/>
          <w:lang w:val="en-AU" w:eastAsia="en-AU"/>
        </w:rPr>
      </w:pPr>
      <w:hyperlink w:anchor="_Toc364945284" w:history="1">
        <w:r w:rsidR="008A4C37" w:rsidRPr="00732886">
          <w:rPr>
            <w:rStyle w:val="Hyperlink"/>
          </w:rPr>
          <w:t>4.7</w:t>
        </w:r>
        <w:r w:rsidR="008A4C37">
          <w:rPr>
            <w:rFonts w:asciiTheme="minorHAnsi" w:eastAsiaTheme="minorEastAsia" w:hAnsiTheme="minorHAnsi"/>
            <w:iCs w:val="0"/>
            <w:sz w:val="22"/>
            <w:szCs w:val="22"/>
            <w:lang w:val="en-AU" w:eastAsia="en-AU"/>
          </w:rPr>
          <w:tab/>
        </w:r>
        <w:r w:rsidR="008A4C37" w:rsidRPr="00732886">
          <w:rPr>
            <w:rStyle w:val="Hyperlink"/>
          </w:rPr>
          <w:t>Strategies for Managing Growth and Demand</w:t>
        </w:r>
        <w:r w:rsidR="008A4C37">
          <w:rPr>
            <w:webHidden/>
          </w:rPr>
          <w:tab/>
        </w:r>
        <w:r w:rsidR="008A4C37">
          <w:rPr>
            <w:webHidden/>
          </w:rPr>
          <w:fldChar w:fldCharType="begin"/>
        </w:r>
        <w:r w:rsidR="008A4C37">
          <w:rPr>
            <w:webHidden/>
          </w:rPr>
          <w:instrText xml:space="preserve"> PAGEREF _Toc364945284 \h </w:instrText>
        </w:r>
        <w:r w:rsidR="008A4C37">
          <w:rPr>
            <w:webHidden/>
          </w:rPr>
        </w:r>
        <w:r w:rsidR="008A4C37">
          <w:rPr>
            <w:webHidden/>
          </w:rPr>
          <w:fldChar w:fldCharType="separate"/>
        </w:r>
        <w:r w:rsidR="00557666">
          <w:rPr>
            <w:webHidden/>
          </w:rPr>
          <w:t>2</w:t>
        </w:r>
        <w:r w:rsidR="008A4C37">
          <w:rPr>
            <w:webHidden/>
          </w:rPr>
          <w:fldChar w:fldCharType="end"/>
        </w:r>
      </w:hyperlink>
    </w:p>
    <w:p w:rsidR="008A4C37" w:rsidRDefault="00ED394A">
      <w:pPr>
        <w:pStyle w:val="TOC1"/>
        <w:rPr>
          <w:rFonts w:asciiTheme="minorHAnsi" w:eastAsiaTheme="minorEastAsia" w:hAnsiTheme="minorHAnsi"/>
          <w:b w:val="0"/>
          <w:sz w:val="22"/>
          <w:szCs w:val="22"/>
        </w:rPr>
      </w:pPr>
      <w:hyperlink w:anchor="_Toc364945285" w:history="1">
        <w:r w:rsidR="008A4C37" w:rsidRPr="00732886">
          <w:rPr>
            <w:rStyle w:val="Hyperlink"/>
          </w:rPr>
          <w:t>5</w:t>
        </w:r>
        <w:r w:rsidR="008A4C37">
          <w:rPr>
            <w:rFonts w:asciiTheme="minorHAnsi" w:eastAsiaTheme="minorEastAsia" w:hAnsiTheme="minorHAnsi"/>
            <w:b w:val="0"/>
            <w:sz w:val="22"/>
            <w:szCs w:val="22"/>
          </w:rPr>
          <w:tab/>
        </w:r>
        <w:r w:rsidR="008A4C37" w:rsidRPr="00732886">
          <w:rPr>
            <w:rStyle w:val="Hyperlink"/>
          </w:rPr>
          <w:t>Lifecycle Management Plan</w:t>
        </w:r>
        <w:r w:rsidR="008A4C37">
          <w:rPr>
            <w:webHidden/>
          </w:rPr>
          <w:tab/>
        </w:r>
        <w:r w:rsidR="008A4C37">
          <w:rPr>
            <w:webHidden/>
          </w:rPr>
          <w:fldChar w:fldCharType="begin"/>
        </w:r>
        <w:r w:rsidR="008A4C37">
          <w:rPr>
            <w:webHidden/>
          </w:rPr>
          <w:instrText xml:space="preserve"> PAGEREF _Toc364945285 \h </w:instrText>
        </w:r>
        <w:r w:rsidR="008A4C37">
          <w:rPr>
            <w:webHidden/>
          </w:rPr>
        </w:r>
        <w:r w:rsidR="008A4C37">
          <w:rPr>
            <w:webHidden/>
          </w:rPr>
          <w:fldChar w:fldCharType="separate"/>
        </w:r>
        <w:r w:rsidR="00557666">
          <w:rPr>
            <w:webHidden/>
          </w:rPr>
          <w:t>2</w:t>
        </w:r>
        <w:r w:rsidR="008A4C37">
          <w:rPr>
            <w:webHidden/>
          </w:rPr>
          <w:fldChar w:fldCharType="end"/>
        </w:r>
      </w:hyperlink>
    </w:p>
    <w:p w:rsidR="008A4C37" w:rsidRDefault="00ED394A">
      <w:pPr>
        <w:pStyle w:val="TOC2"/>
        <w:rPr>
          <w:rFonts w:asciiTheme="minorHAnsi" w:eastAsiaTheme="minorEastAsia" w:hAnsiTheme="minorHAnsi"/>
          <w:iCs w:val="0"/>
          <w:sz w:val="22"/>
          <w:szCs w:val="22"/>
          <w:lang w:val="en-AU" w:eastAsia="en-AU"/>
        </w:rPr>
      </w:pPr>
      <w:hyperlink w:anchor="_Toc364945286" w:history="1">
        <w:r w:rsidR="008A4C37" w:rsidRPr="00732886">
          <w:rPr>
            <w:rStyle w:val="Hyperlink"/>
          </w:rPr>
          <w:t>5.1</w:t>
        </w:r>
        <w:r w:rsidR="008A4C37">
          <w:rPr>
            <w:rFonts w:asciiTheme="minorHAnsi" w:eastAsiaTheme="minorEastAsia" w:hAnsiTheme="minorHAnsi"/>
            <w:iCs w:val="0"/>
            <w:sz w:val="22"/>
            <w:szCs w:val="22"/>
            <w:lang w:val="en-AU" w:eastAsia="en-AU"/>
          </w:rPr>
          <w:tab/>
        </w:r>
        <w:r w:rsidR="008A4C37" w:rsidRPr="00732886">
          <w:rPr>
            <w:rStyle w:val="Hyperlink"/>
          </w:rPr>
          <w:t>Overview</w:t>
        </w:r>
        <w:r w:rsidR="008A4C37">
          <w:rPr>
            <w:webHidden/>
          </w:rPr>
          <w:tab/>
        </w:r>
        <w:r w:rsidR="008A4C37">
          <w:rPr>
            <w:webHidden/>
          </w:rPr>
          <w:fldChar w:fldCharType="begin"/>
        </w:r>
        <w:r w:rsidR="008A4C37">
          <w:rPr>
            <w:webHidden/>
          </w:rPr>
          <w:instrText xml:space="preserve"> PAGEREF _Toc364945286 \h </w:instrText>
        </w:r>
        <w:r w:rsidR="008A4C37">
          <w:rPr>
            <w:webHidden/>
          </w:rPr>
        </w:r>
        <w:r w:rsidR="008A4C37">
          <w:rPr>
            <w:webHidden/>
          </w:rPr>
          <w:fldChar w:fldCharType="separate"/>
        </w:r>
        <w:r w:rsidR="00557666">
          <w:rPr>
            <w:webHidden/>
          </w:rPr>
          <w:t>2</w:t>
        </w:r>
        <w:r w:rsidR="008A4C37">
          <w:rPr>
            <w:webHidden/>
          </w:rPr>
          <w:fldChar w:fldCharType="end"/>
        </w:r>
      </w:hyperlink>
    </w:p>
    <w:p w:rsidR="008A4C37" w:rsidRDefault="00ED394A">
      <w:pPr>
        <w:pStyle w:val="TOC2"/>
        <w:rPr>
          <w:rFonts w:asciiTheme="minorHAnsi" w:eastAsiaTheme="minorEastAsia" w:hAnsiTheme="minorHAnsi"/>
          <w:iCs w:val="0"/>
          <w:sz w:val="22"/>
          <w:szCs w:val="22"/>
          <w:lang w:val="en-AU" w:eastAsia="en-AU"/>
        </w:rPr>
      </w:pPr>
      <w:hyperlink w:anchor="_Toc364945287" w:history="1">
        <w:r w:rsidR="008A4C37" w:rsidRPr="00732886">
          <w:rPr>
            <w:rStyle w:val="Hyperlink"/>
          </w:rPr>
          <w:t>5.2</w:t>
        </w:r>
        <w:r w:rsidR="008A4C37">
          <w:rPr>
            <w:rFonts w:asciiTheme="minorHAnsi" w:eastAsiaTheme="minorEastAsia" w:hAnsiTheme="minorHAnsi"/>
            <w:iCs w:val="0"/>
            <w:sz w:val="22"/>
            <w:szCs w:val="22"/>
            <w:lang w:val="en-AU" w:eastAsia="en-AU"/>
          </w:rPr>
          <w:tab/>
        </w:r>
        <w:r w:rsidR="008A4C37" w:rsidRPr="00732886">
          <w:rPr>
            <w:rStyle w:val="Hyperlink"/>
          </w:rPr>
          <w:t>Asset Information</w:t>
        </w:r>
        <w:r w:rsidR="008A4C37">
          <w:rPr>
            <w:webHidden/>
          </w:rPr>
          <w:tab/>
        </w:r>
        <w:r w:rsidR="008A4C37">
          <w:rPr>
            <w:webHidden/>
          </w:rPr>
          <w:fldChar w:fldCharType="begin"/>
        </w:r>
        <w:r w:rsidR="008A4C37">
          <w:rPr>
            <w:webHidden/>
          </w:rPr>
          <w:instrText xml:space="preserve"> PAGEREF _Toc364945287 \h </w:instrText>
        </w:r>
        <w:r w:rsidR="008A4C37">
          <w:rPr>
            <w:webHidden/>
          </w:rPr>
        </w:r>
        <w:r w:rsidR="008A4C37">
          <w:rPr>
            <w:webHidden/>
          </w:rPr>
          <w:fldChar w:fldCharType="separate"/>
        </w:r>
        <w:r w:rsidR="00557666">
          <w:rPr>
            <w:webHidden/>
          </w:rPr>
          <w:t>2</w:t>
        </w:r>
        <w:r w:rsidR="008A4C37">
          <w:rPr>
            <w:webHidden/>
          </w:rPr>
          <w:fldChar w:fldCharType="end"/>
        </w:r>
      </w:hyperlink>
    </w:p>
    <w:p w:rsidR="008A4C37" w:rsidRDefault="00ED394A">
      <w:pPr>
        <w:pStyle w:val="TOC3"/>
        <w:rPr>
          <w:rFonts w:asciiTheme="minorHAnsi" w:eastAsiaTheme="minorEastAsia" w:hAnsiTheme="minorHAnsi"/>
          <w:iCs w:val="0"/>
          <w:sz w:val="22"/>
          <w:szCs w:val="22"/>
          <w:lang w:val="en-AU" w:eastAsia="en-AU"/>
        </w:rPr>
      </w:pPr>
      <w:hyperlink w:anchor="_Toc364945288" w:history="1">
        <w:r w:rsidR="008A4C37" w:rsidRPr="00732886">
          <w:rPr>
            <w:rStyle w:val="Hyperlink"/>
          </w:rPr>
          <w:t>5.2.1</w:t>
        </w:r>
        <w:r w:rsidR="008A4C37">
          <w:rPr>
            <w:rFonts w:asciiTheme="minorHAnsi" w:eastAsiaTheme="minorEastAsia" w:hAnsiTheme="minorHAnsi"/>
            <w:iCs w:val="0"/>
            <w:sz w:val="22"/>
            <w:szCs w:val="22"/>
            <w:lang w:val="en-AU" w:eastAsia="en-AU"/>
          </w:rPr>
          <w:tab/>
        </w:r>
        <w:r w:rsidR="008A4C37" w:rsidRPr="00732886">
          <w:rPr>
            <w:rStyle w:val="Hyperlink"/>
          </w:rPr>
          <w:t>Asset Hierarchy and Attributes</w:t>
        </w:r>
        <w:r w:rsidR="008A4C37">
          <w:rPr>
            <w:webHidden/>
          </w:rPr>
          <w:tab/>
        </w:r>
        <w:r w:rsidR="008A4C37">
          <w:rPr>
            <w:webHidden/>
          </w:rPr>
          <w:fldChar w:fldCharType="begin"/>
        </w:r>
        <w:r w:rsidR="008A4C37">
          <w:rPr>
            <w:webHidden/>
          </w:rPr>
          <w:instrText xml:space="preserve"> PAGEREF _Toc364945288 \h </w:instrText>
        </w:r>
        <w:r w:rsidR="008A4C37">
          <w:rPr>
            <w:webHidden/>
          </w:rPr>
        </w:r>
        <w:r w:rsidR="008A4C37">
          <w:rPr>
            <w:webHidden/>
          </w:rPr>
          <w:fldChar w:fldCharType="separate"/>
        </w:r>
        <w:r w:rsidR="00557666">
          <w:rPr>
            <w:webHidden/>
          </w:rPr>
          <w:t>2</w:t>
        </w:r>
        <w:r w:rsidR="008A4C37">
          <w:rPr>
            <w:webHidden/>
          </w:rPr>
          <w:fldChar w:fldCharType="end"/>
        </w:r>
      </w:hyperlink>
    </w:p>
    <w:p w:rsidR="008A4C37" w:rsidRDefault="00ED394A">
      <w:pPr>
        <w:pStyle w:val="TOC3"/>
        <w:rPr>
          <w:rFonts w:asciiTheme="minorHAnsi" w:eastAsiaTheme="minorEastAsia" w:hAnsiTheme="minorHAnsi"/>
          <w:iCs w:val="0"/>
          <w:sz w:val="22"/>
          <w:szCs w:val="22"/>
          <w:lang w:val="en-AU" w:eastAsia="en-AU"/>
        </w:rPr>
      </w:pPr>
      <w:hyperlink w:anchor="_Toc364945289" w:history="1">
        <w:r w:rsidR="008A4C37" w:rsidRPr="00732886">
          <w:rPr>
            <w:rStyle w:val="Hyperlink"/>
          </w:rPr>
          <w:t>5.2.2</w:t>
        </w:r>
        <w:r w:rsidR="008A4C37">
          <w:rPr>
            <w:rFonts w:asciiTheme="minorHAnsi" w:eastAsiaTheme="minorEastAsia" w:hAnsiTheme="minorHAnsi"/>
            <w:iCs w:val="0"/>
            <w:sz w:val="22"/>
            <w:szCs w:val="22"/>
            <w:lang w:val="en-AU" w:eastAsia="en-AU"/>
          </w:rPr>
          <w:tab/>
        </w:r>
        <w:r w:rsidR="008A4C37" w:rsidRPr="00732886">
          <w:rPr>
            <w:rStyle w:val="Hyperlink"/>
          </w:rPr>
          <w:t>Basic Building Hierarchy</w:t>
        </w:r>
        <w:r w:rsidR="008A4C37">
          <w:rPr>
            <w:webHidden/>
          </w:rPr>
          <w:tab/>
        </w:r>
        <w:r w:rsidR="008A4C37">
          <w:rPr>
            <w:webHidden/>
          </w:rPr>
          <w:fldChar w:fldCharType="begin"/>
        </w:r>
        <w:r w:rsidR="008A4C37">
          <w:rPr>
            <w:webHidden/>
          </w:rPr>
          <w:instrText xml:space="preserve"> PAGEREF _Toc364945289 \h </w:instrText>
        </w:r>
        <w:r w:rsidR="008A4C37">
          <w:rPr>
            <w:webHidden/>
          </w:rPr>
        </w:r>
        <w:r w:rsidR="008A4C37">
          <w:rPr>
            <w:webHidden/>
          </w:rPr>
          <w:fldChar w:fldCharType="separate"/>
        </w:r>
        <w:r w:rsidR="00557666">
          <w:rPr>
            <w:webHidden/>
          </w:rPr>
          <w:t>2</w:t>
        </w:r>
        <w:r w:rsidR="008A4C37">
          <w:rPr>
            <w:webHidden/>
          </w:rPr>
          <w:fldChar w:fldCharType="end"/>
        </w:r>
      </w:hyperlink>
    </w:p>
    <w:p w:rsidR="008A4C37" w:rsidRDefault="00ED394A">
      <w:pPr>
        <w:pStyle w:val="TOC3"/>
        <w:rPr>
          <w:rFonts w:asciiTheme="minorHAnsi" w:eastAsiaTheme="minorEastAsia" w:hAnsiTheme="minorHAnsi"/>
          <w:iCs w:val="0"/>
          <w:sz w:val="22"/>
          <w:szCs w:val="22"/>
          <w:lang w:val="en-AU" w:eastAsia="en-AU"/>
        </w:rPr>
      </w:pPr>
      <w:hyperlink w:anchor="_Toc364945290" w:history="1">
        <w:r w:rsidR="008A4C37" w:rsidRPr="00732886">
          <w:rPr>
            <w:rStyle w:val="Hyperlink"/>
          </w:rPr>
          <w:t>5.2.3</w:t>
        </w:r>
        <w:r w:rsidR="008A4C37">
          <w:rPr>
            <w:rFonts w:asciiTheme="minorHAnsi" w:eastAsiaTheme="minorEastAsia" w:hAnsiTheme="minorHAnsi"/>
            <w:iCs w:val="0"/>
            <w:sz w:val="22"/>
            <w:szCs w:val="22"/>
            <w:lang w:val="en-AU" w:eastAsia="en-AU"/>
          </w:rPr>
          <w:tab/>
        </w:r>
        <w:r w:rsidR="008A4C37" w:rsidRPr="00732886">
          <w:rPr>
            <w:rStyle w:val="Hyperlink"/>
          </w:rPr>
          <w:t>Critical Assets</w:t>
        </w:r>
        <w:r w:rsidR="008A4C37">
          <w:rPr>
            <w:webHidden/>
          </w:rPr>
          <w:tab/>
        </w:r>
        <w:r w:rsidR="008A4C37">
          <w:rPr>
            <w:webHidden/>
          </w:rPr>
          <w:fldChar w:fldCharType="begin"/>
        </w:r>
        <w:r w:rsidR="008A4C37">
          <w:rPr>
            <w:webHidden/>
          </w:rPr>
          <w:instrText xml:space="preserve"> PAGEREF _Toc364945290 \h </w:instrText>
        </w:r>
        <w:r w:rsidR="008A4C37">
          <w:rPr>
            <w:webHidden/>
          </w:rPr>
        </w:r>
        <w:r w:rsidR="008A4C37">
          <w:rPr>
            <w:webHidden/>
          </w:rPr>
          <w:fldChar w:fldCharType="separate"/>
        </w:r>
        <w:r w:rsidR="00557666">
          <w:rPr>
            <w:webHidden/>
          </w:rPr>
          <w:t>2</w:t>
        </w:r>
        <w:r w:rsidR="008A4C37">
          <w:rPr>
            <w:webHidden/>
          </w:rPr>
          <w:fldChar w:fldCharType="end"/>
        </w:r>
      </w:hyperlink>
    </w:p>
    <w:p w:rsidR="008A4C37" w:rsidRDefault="00ED394A">
      <w:pPr>
        <w:pStyle w:val="TOC2"/>
        <w:rPr>
          <w:rFonts w:asciiTheme="minorHAnsi" w:eastAsiaTheme="minorEastAsia" w:hAnsiTheme="minorHAnsi"/>
          <w:iCs w:val="0"/>
          <w:sz w:val="22"/>
          <w:szCs w:val="22"/>
          <w:lang w:val="en-AU" w:eastAsia="en-AU"/>
        </w:rPr>
      </w:pPr>
      <w:hyperlink w:anchor="_Toc364945291" w:history="1">
        <w:r w:rsidR="008A4C37" w:rsidRPr="00732886">
          <w:rPr>
            <w:rStyle w:val="Hyperlink"/>
          </w:rPr>
          <w:t>5.3</w:t>
        </w:r>
        <w:r w:rsidR="008A4C37">
          <w:rPr>
            <w:rFonts w:asciiTheme="minorHAnsi" w:eastAsiaTheme="minorEastAsia" w:hAnsiTheme="minorHAnsi"/>
            <w:iCs w:val="0"/>
            <w:sz w:val="22"/>
            <w:szCs w:val="22"/>
            <w:lang w:val="en-AU" w:eastAsia="en-AU"/>
          </w:rPr>
          <w:tab/>
        </w:r>
        <w:r w:rsidR="008A4C37" w:rsidRPr="00732886">
          <w:rPr>
            <w:rStyle w:val="Hyperlink"/>
          </w:rPr>
          <w:t>Key Lifecycle Management Issues</w:t>
        </w:r>
        <w:r w:rsidR="008A4C37">
          <w:rPr>
            <w:webHidden/>
          </w:rPr>
          <w:tab/>
        </w:r>
        <w:r w:rsidR="008A4C37">
          <w:rPr>
            <w:webHidden/>
          </w:rPr>
          <w:fldChar w:fldCharType="begin"/>
        </w:r>
        <w:r w:rsidR="008A4C37">
          <w:rPr>
            <w:webHidden/>
          </w:rPr>
          <w:instrText xml:space="preserve"> PAGEREF _Toc364945291 \h </w:instrText>
        </w:r>
        <w:r w:rsidR="008A4C37">
          <w:rPr>
            <w:webHidden/>
          </w:rPr>
        </w:r>
        <w:r w:rsidR="008A4C37">
          <w:rPr>
            <w:webHidden/>
          </w:rPr>
          <w:fldChar w:fldCharType="separate"/>
        </w:r>
        <w:r w:rsidR="00557666">
          <w:rPr>
            <w:webHidden/>
          </w:rPr>
          <w:t>2</w:t>
        </w:r>
        <w:r w:rsidR="008A4C37">
          <w:rPr>
            <w:webHidden/>
          </w:rPr>
          <w:fldChar w:fldCharType="end"/>
        </w:r>
      </w:hyperlink>
    </w:p>
    <w:p w:rsidR="008A4C37" w:rsidRDefault="00ED394A">
      <w:pPr>
        <w:pStyle w:val="TOC3"/>
        <w:rPr>
          <w:rFonts w:asciiTheme="minorHAnsi" w:eastAsiaTheme="minorEastAsia" w:hAnsiTheme="minorHAnsi"/>
          <w:iCs w:val="0"/>
          <w:sz w:val="22"/>
          <w:szCs w:val="22"/>
          <w:lang w:val="en-AU" w:eastAsia="en-AU"/>
        </w:rPr>
      </w:pPr>
      <w:hyperlink w:anchor="_Toc364945292" w:history="1">
        <w:r w:rsidR="008A4C37" w:rsidRPr="00732886">
          <w:rPr>
            <w:rStyle w:val="Hyperlink"/>
          </w:rPr>
          <w:t>5.3.1</w:t>
        </w:r>
        <w:r w:rsidR="008A4C37">
          <w:rPr>
            <w:rFonts w:asciiTheme="minorHAnsi" w:eastAsiaTheme="minorEastAsia" w:hAnsiTheme="minorHAnsi"/>
            <w:iCs w:val="0"/>
            <w:sz w:val="22"/>
            <w:szCs w:val="22"/>
            <w:lang w:val="en-AU" w:eastAsia="en-AU"/>
          </w:rPr>
          <w:tab/>
        </w:r>
        <w:r w:rsidR="008A4C37" w:rsidRPr="00732886">
          <w:rPr>
            <w:rStyle w:val="Hyperlink"/>
          </w:rPr>
          <w:t>Components of a Building</w:t>
        </w:r>
        <w:r w:rsidR="008A4C37">
          <w:rPr>
            <w:webHidden/>
          </w:rPr>
          <w:tab/>
        </w:r>
        <w:r w:rsidR="008A4C37">
          <w:rPr>
            <w:webHidden/>
          </w:rPr>
          <w:fldChar w:fldCharType="begin"/>
        </w:r>
        <w:r w:rsidR="008A4C37">
          <w:rPr>
            <w:webHidden/>
          </w:rPr>
          <w:instrText xml:space="preserve"> PAGEREF _Toc364945292 \h </w:instrText>
        </w:r>
        <w:r w:rsidR="008A4C37">
          <w:rPr>
            <w:webHidden/>
          </w:rPr>
        </w:r>
        <w:r w:rsidR="008A4C37">
          <w:rPr>
            <w:webHidden/>
          </w:rPr>
          <w:fldChar w:fldCharType="separate"/>
        </w:r>
        <w:r w:rsidR="00557666">
          <w:rPr>
            <w:webHidden/>
          </w:rPr>
          <w:t>2</w:t>
        </w:r>
        <w:r w:rsidR="008A4C37">
          <w:rPr>
            <w:webHidden/>
          </w:rPr>
          <w:fldChar w:fldCharType="end"/>
        </w:r>
      </w:hyperlink>
    </w:p>
    <w:p w:rsidR="008A4C37" w:rsidRDefault="00ED394A">
      <w:pPr>
        <w:pStyle w:val="TOC2"/>
        <w:rPr>
          <w:rFonts w:asciiTheme="minorHAnsi" w:eastAsiaTheme="minorEastAsia" w:hAnsiTheme="minorHAnsi"/>
          <w:iCs w:val="0"/>
          <w:sz w:val="22"/>
          <w:szCs w:val="22"/>
          <w:lang w:val="en-AU" w:eastAsia="en-AU"/>
        </w:rPr>
      </w:pPr>
      <w:hyperlink w:anchor="_Toc364945293" w:history="1">
        <w:r w:rsidR="008A4C37" w:rsidRPr="00732886">
          <w:rPr>
            <w:rStyle w:val="Hyperlink"/>
          </w:rPr>
          <w:t>5.4</w:t>
        </w:r>
        <w:r w:rsidR="008A4C37">
          <w:rPr>
            <w:rFonts w:asciiTheme="minorHAnsi" w:eastAsiaTheme="minorEastAsia" w:hAnsiTheme="minorHAnsi"/>
            <w:iCs w:val="0"/>
            <w:sz w:val="22"/>
            <w:szCs w:val="22"/>
            <w:lang w:val="en-AU" w:eastAsia="en-AU"/>
          </w:rPr>
          <w:tab/>
        </w:r>
        <w:r w:rsidR="008A4C37" w:rsidRPr="00732886">
          <w:rPr>
            <w:rStyle w:val="Hyperlink"/>
          </w:rPr>
          <w:t>Building Performance</w:t>
        </w:r>
        <w:r w:rsidR="008A4C37">
          <w:rPr>
            <w:webHidden/>
          </w:rPr>
          <w:tab/>
        </w:r>
        <w:r w:rsidR="008A4C37">
          <w:rPr>
            <w:webHidden/>
          </w:rPr>
          <w:fldChar w:fldCharType="begin"/>
        </w:r>
        <w:r w:rsidR="008A4C37">
          <w:rPr>
            <w:webHidden/>
          </w:rPr>
          <w:instrText xml:space="preserve"> PAGEREF _Toc364945293 \h </w:instrText>
        </w:r>
        <w:r w:rsidR="008A4C37">
          <w:rPr>
            <w:webHidden/>
          </w:rPr>
        </w:r>
        <w:r w:rsidR="008A4C37">
          <w:rPr>
            <w:webHidden/>
          </w:rPr>
          <w:fldChar w:fldCharType="separate"/>
        </w:r>
        <w:r w:rsidR="00557666">
          <w:rPr>
            <w:webHidden/>
          </w:rPr>
          <w:t>2</w:t>
        </w:r>
        <w:r w:rsidR="008A4C37">
          <w:rPr>
            <w:webHidden/>
          </w:rPr>
          <w:fldChar w:fldCharType="end"/>
        </w:r>
      </w:hyperlink>
    </w:p>
    <w:p w:rsidR="008A4C37" w:rsidRDefault="00ED394A">
      <w:pPr>
        <w:pStyle w:val="TOC3"/>
        <w:rPr>
          <w:rFonts w:asciiTheme="minorHAnsi" w:eastAsiaTheme="minorEastAsia" w:hAnsiTheme="minorHAnsi"/>
          <w:iCs w:val="0"/>
          <w:sz w:val="22"/>
          <w:szCs w:val="22"/>
          <w:lang w:val="en-AU" w:eastAsia="en-AU"/>
        </w:rPr>
      </w:pPr>
      <w:hyperlink w:anchor="_Toc364945294" w:history="1">
        <w:r w:rsidR="008A4C37" w:rsidRPr="00732886">
          <w:rPr>
            <w:rStyle w:val="Hyperlink"/>
          </w:rPr>
          <w:t>5.4.1</w:t>
        </w:r>
        <w:r w:rsidR="008A4C37">
          <w:rPr>
            <w:rFonts w:asciiTheme="minorHAnsi" w:eastAsiaTheme="minorEastAsia" w:hAnsiTheme="minorHAnsi"/>
            <w:iCs w:val="0"/>
            <w:sz w:val="22"/>
            <w:szCs w:val="22"/>
            <w:lang w:val="en-AU" w:eastAsia="en-AU"/>
          </w:rPr>
          <w:tab/>
        </w:r>
        <w:r w:rsidR="008A4C37" w:rsidRPr="00732886">
          <w:rPr>
            <w:rStyle w:val="Hyperlink"/>
          </w:rPr>
          <w:t>Building Condition Profile</w:t>
        </w:r>
        <w:r w:rsidR="008A4C37">
          <w:rPr>
            <w:webHidden/>
          </w:rPr>
          <w:tab/>
        </w:r>
        <w:r w:rsidR="008A4C37">
          <w:rPr>
            <w:webHidden/>
          </w:rPr>
          <w:fldChar w:fldCharType="begin"/>
        </w:r>
        <w:r w:rsidR="008A4C37">
          <w:rPr>
            <w:webHidden/>
          </w:rPr>
          <w:instrText xml:space="preserve"> PAGEREF _Toc364945294 \h </w:instrText>
        </w:r>
        <w:r w:rsidR="008A4C37">
          <w:rPr>
            <w:webHidden/>
          </w:rPr>
        </w:r>
        <w:r w:rsidR="008A4C37">
          <w:rPr>
            <w:webHidden/>
          </w:rPr>
          <w:fldChar w:fldCharType="separate"/>
        </w:r>
        <w:r w:rsidR="00557666">
          <w:rPr>
            <w:webHidden/>
          </w:rPr>
          <w:t>2</w:t>
        </w:r>
        <w:r w:rsidR="008A4C37">
          <w:rPr>
            <w:webHidden/>
          </w:rPr>
          <w:fldChar w:fldCharType="end"/>
        </w:r>
      </w:hyperlink>
    </w:p>
    <w:p w:rsidR="008A4C37" w:rsidRDefault="00ED394A">
      <w:pPr>
        <w:pStyle w:val="TOC3"/>
        <w:rPr>
          <w:rFonts w:asciiTheme="minorHAnsi" w:eastAsiaTheme="minorEastAsia" w:hAnsiTheme="minorHAnsi"/>
          <w:iCs w:val="0"/>
          <w:sz w:val="22"/>
          <w:szCs w:val="22"/>
          <w:lang w:val="en-AU" w:eastAsia="en-AU"/>
        </w:rPr>
      </w:pPr>
      <w:hyperlink w:anchor="_Toc364945295" w:history="1">
        <w:r w:rsidR="008A4C37" w:rsidRPr="00732886">
          <w:rPr>
            <w:rStyle w:val="Hyperlink"/>
          </w:rPr>
          <w:t>5.4.2</w:t>
        </w:r>
        <w:r w:rsidR="008A4C37">
          <w:rPr>
            <w:rFonts w:asciiTheme="minorHAnsi" w:eastAsiaTheme="minorEastAsia" w:hAnsiTheme="minorHAnsi"/>
            <w:iCs w:val="0"/>
            <w:sz w:val="22"/>
            <w:szCs w:val="22"/>
            <w:lang w:val="en-AU" w:eastAsia="en-AU"/>
          </w:rPr>
          <w:tab/>
        </w:r>
        <w:r w:rsidR="008A4C37" w:rsidRPr="00732886">
          <w:rPr>
            <w:rStyle w:val="Hyperlink"/>
          </w:rPr>
          <w:t>Asset Fitness for Purpose</w:t>
        </w:r>
        <w:r w:rsidR="008A4C37">
          <w:rPr>
            <w:webHidden/>
          </w:rPr>
          <w:tab/>
        </w:r>
        <w:r w:rsidR="008A4C37">
          <w:rPr>
            <w:webHidden/>
          </w:rPr>
          <w:fldChar w:fldCharType="begin"/>
        </w:r>
        <w:r w:rsidR="008A4C37">
          <w:rPr>
            <w:webHidden/>
          </w:rPr>
          <w:instrText xml:space="preserve"> PAGEREF _Toc364945295 \h </w:instrText>
        </w:r>
        <w:r w:rsidR="008A4C37">
          <w:rPr>
            <w:webHidden/>
          </w:rPr>
        </w:r>
        <w:r w:rsidR="008A4C37">
          <w:rPr>
            <w:webHidden/>
          </w:rPr>
          <w:fldChar w:fldCharType="separate"/>
        </w:r>
        <w:r w:rsidR="00557666">
          <w:rPr>
            <w:webHidden/>
          </w:rPr>
          <w:t>2</w:t>
        </w:r>
        <w:r w:rsidR="008A4C37">
          <w:rPr>
            <w:webHidden/>
          </w:rPr>
          <w:fldChar w:fldCharType="end"/>
        </w:r>
      </w:hyperlink>
    </w:p>
    <w:p w:rsidR="008A4C37" w:rsidRDefault="00ED394A">
      <w:pPr>
        <w:pStyle w:val="TOC3"/>
        <w:rPr>
          <w:rFonts w:asciiTheme="minorHAnsi" w:eastAsiaTheme="minorEastAsia" w:hAnsiTheme="minorHAnsi"/>
          <w:iCs w:val="0"/>
          <w:sz w:val="22"/>
          <w:szCs w:val="22"/>
          <w:lang w:val="en-AU" w:eastAsia="en-AU"/>
        </w:rPr>
      </w:pPr>
      <w:hyperlink w:anchor="_Toc364945296" w:history="1">
        <w:r w:rsidR="008A4C37" w:rsidRPr="00732886">
          <w:rPr>
            <w:rStyle w:val="Hyperlink"/>
          </w:rPr>
          <w:t>5.4.3</w:t>
        </w:r>
        <w:r w:rsidR="008A4C37">
          <w:rPr>
            <w:rFonts w:asciiTheme="minorHAnsi" w:eastAsiaTheme="minorEastAsia" w:hAnsiTheme="minorHAnsi"/>
            <w:iCs w:val="0"/>
            <w:sz w:val="22"/>
            <w:szCs w:val="22"/>
            <w:lang w:val="en-AU" w:eastAsia="en-AU"/>
          </w:rPr>
          <w:tab/>
        </w:r>
        <w:r w:rsidR="008A4C37" w:rsidRPr="00732886">
          <w:rPr>
            <w:rStyle w:val="Hyperlink"/>
          </w:rPr>
          <w:t>Environmental Sustainability</w:t>
        </w:r>
        <w:r w:rsidR="008A4C37">
          <w:rPr>
            <w:webHidden/>
          </w:rPr>
          <w:tab/>
        </w:r>
        <w:r w:rsidR="008A4C37">
          <w:rPr>
            <w:webHidden/>
          </w:rPr>
          <w:fldChar w:fldCharType="begin"/>
        </w:r>
        <w:r w:rsidR="008A4C37">
          <w:rPr>
            <w:webHidden/>
          </w:rPr>
          <w:instrText xml:space="preserve"> PAGEREF _Toc364945296 \h </w:instrText>
        </w:r>
        <w:r w:rsidR="008A4C37">
          <w:rPr>
            <w:webHidden/>
          </w:rPr>
        </w:r>
        <w:r w:rsidR="008A4C37">
          <w:rPr>
            <w:webHidden/>
          </w:rPr>
          <w:fldChar w:fldCharType="separate"/>
        </w:r>
        <w:r w:rsidR="00557666">
          <w:rPr>
            <w:webHidden/>
          </w:rPr>
          <w:t>2</w:t>
        </w:r>
        <w:r w:rsidR="008A4C37">
          <w:rPr>
            <w:webHidden/>
          </w:rPr>
          <w:fldChar w:fldCharType="end"/>
        </w:r>
      </w:hyperlink>
    </w:p>
    <w:p w:rsidR="008A4C37" w:rsidRDefault="00ED394A">
      <w:pPr>
        <w:pStyle w:val="TOC2"/>
        <w:rPr>
          <w:rFonts w:asciiTheme="minorHAnsi" w:eastAsiaTheme="minorEastAsia" w:hAnsiTheme="minorHAnsi"/>
          <w:iCs w:val="0"/>
          <w:sz w:val="22"/>
          <w:szCs w:val="22"/>
          <w:lang w:val="en-AU" w:eastAsia="en-AU"/>
        </w:rPr>
      </w:pPr>
      <w:hyperlink w:anchor="_Toc364945297" w:history="1">
        <w:r w:rsidR="008A4C37" w:rsidRPr="00732886">
          <w:rPr>
            <w:rStyle w:val="Hyperlink"/>
          </w:rPr>
          <w:t>5.5</w:t>
        </w:r>
        <w:r w:rsidR="008A4C37">
          <w:rPr>
            <w:rFonts w:asciiTheme="minorHAnsi" w:eastAsiaTheme="minorEastAsia" w:hAnsiTheme="minorHAnsi"/>
            <w:iCs w:val="0"/>
            <w:sz w:val="22"/>
            <w:szCs w:val="22"/>
            <w:lang w:val="en-AU" w:eastAsia="en-AU"/>
          </w:rPr>
          <w:tab/>
        </w:r>
        <w:r w:rsidR="008A4C37" w:rsidRPr="00732886">
          <w:rPr>
            <w:rStyle w:val="Hyperlink"/>
          </w:rPr>
          <w:t>Operations and Maintenance Plan</w:t>
        </w:r>
        <w:r w:rsidR="008A4C37">
          <w:rPr>
            <w:webHidden/>
          </w:rPr>
          <w:tab/>
        </w:r>
        <w:r w:rsidR="008A4C37">
          <w:rPr>
            <w:webHidden/>
          </w:rPr>
          <w:fldChar w:fldCharType="begin"/>
        </w:r>
        <w:r w:rsidR="008A4C37">
          <w:rPr>
            <w:webHidden/>
          </w:rPr>
          <w:instrText xml:space="preserve"> PAGEREF _Toc364945297 \h </w:instrText>
        </w:r>
        <w:r w:rsidR="008A4C37">
          <w:rPr>
            <w:webHidden/>
          </w:rPr>
        </w:r>
        <w:r w:rsidR="008A4C37">
          <w:rPr>
            <w:webHidden/>
          </w:rPr>
          <w:fldChar w:fldCharType="separate"/>
        </w:r>
        <w:r w:rsidR="00557666">
          <w:rPr>
            <w:webHidden/>
          </w:rPr>
          <w:t>2</w:t>
        </w:r>
        <w:r w:rsidR="008A4C37">
          <w:rPr>
            <w:webHidden/>
          </w:rPr>
          <w:fldChar w:fldCharType="end"/>
        </w:r>
      </w:hyperlink>
    </w:p>
    <w:p w:rsidR="008A4C37" w:rsidRDefault="00ED394A">
      <w:pPr>
        <w:pStyle w:val="TOC3"/>
        <w:rPr>
          <w:rFonts w:asciiTheme="minorHAnsi" w:eastAsiaTheme="minorEastAsia" w:hAnsiTheme="minorHAnsi"/>
          <w:iCs w:val="0"/>
          <w:sz w:val="22"/>
          <w:szCs w:val="22"/>
          <w:lang w:val="en-AU" w:eastAsia="en-AU"/>
        </w:rPr>
      </w:pPr>
      <w:hyperlink w:anchor="_Toc364945298" w:history="1">
        <w:r w:rsidR="008A4C37" w:rsidRPr="00732886">
          <w:rPr>
            <w:rStyle w:val="Hyperlink"/>
          </w:rPr>
          <w:t>5.5.1</w:t>
        </w:r>
        <w:r w:rsidR="008A4C37">
          <w:rPr>
            <w:rFonts w:asciiTheme="minorHAnsi" w:eastAsiaTheme="minorEastAsia" w:hAnsiTheme="minorHAnsi"/>
            <w:iCs w:val="0"/>
            <w:sz w:val="22"/>
            <w:szCs w:val="22"/>
            <w:lang w:val="en-AU" w:eastAsia="en-AU"/>
          </w:rPr>
          <w:tab/>
        </w:r>
        <w:r w:rsidR="008A4C37" w:rsidRPr="00732886">
          <w:rPr>
            <w:rStyle w:val="Hyperlink"/>
          </w:rPr>
          <w:t>Operations Activities</w:t>
        </w:r>
        <w:r w:rsidR="008A4C37">
          <w:rPr>
            <w:webHidden/>
          </w:rPr>
          <w:tab/>
        </w:r>
        <w:r w:rsidR="008A4C37">
          <w:rPr>
            <w:webHidden/>
          </w:rPr>
          <w:fldChar w:fldCharType="begin"/>
        </w:r>
        <w:r w:rsidR="008A4C37">
          <w:rPr>
            <w:webHidden/>
          </w:rPr>
          <w:instrText xml:space="preserve"> PAGEREF _Toc364945298 \h </w:instrText>
        </w:r>
        <w:r w:rsidR="008A4C37">
          <w:rPr>
            <w:webHidden/>
          </w:rPr>
        </w:r>
        <w:r w:rsidR="008A4C37">
          <w:rPr>
            <w:webHidden/>
          </w:rPr>
          <w:fldChar w:fldCharType="separate"/>
        </w:r>
        <w:r w:rsidR="00557666">
          <w:rPr>
            <w:webHidden/>
          </w:rPr>
          <w:t>2</w:t>
        </w:r>
        <w:r w:rsidR="008A4C37">
          <w:rPr>
            <w:webHidden/>
          </w:rPr>
          <w:fldChar w:fldCharType="end"/>
        </w:r>
      </w:hyperlink>
    </w:p>
    <w:p w:rsidR="008A4C37" w:rsidRDefault="00ED394A">
      <w:pPr>
        <w:pStyle w:val="TOC3"/>
        <w:rPr>
          <w:rFonts w:asciiTheme="minorHAnsi" w:eastAsiaTheme="minorEastAsia" w:hAnsiTheme="minorHAnsi"/>
          <w:iCs w:val="0"/>
          <w:sz w:val="22"/>
          <w:szCs w:val="22"/>
          <w:lang w:val="en-AU" w:eastAsia="en-AU"/>
        </w:rPr>
      </w:pPr>
      <w:hyperlink w:anchor="_Toc364945299" w:history="1">
        <w:r w:rsidR="008A4C37" w:rsidRPr="00732886">
          <w:rPr>
            <w:rStyle w:val="Hyperlink"/>
          </w:rPr>
          <w:t>5.5.2</w:t>
        </w:r>
        <w:r w:rsidR="008A4C37">
          <w:rPr>
            <w:rFonts w:asciiTheme="minorHAnsi" w:eastAsiaTheme="minorEastAsia" w:hAnsiTheme="minorHAnsi"/>
            <w:iCs w:val="0"/>
            <w:sz w:val="22"/>
            <w:szCs w:val="22"/>
            <w:lang w:val="en-AU" w:eastAsia="en-AU"/>
          </w:rPr>
          <w:tab/>
        </w:r>
        <w:r w:rsidR="008A4C37" w:rsidRPr="00732886">
          <w:rPr>
            <w:rStyle w:val="Hyperlink"/>
          </w:rPr>
          <w:t>Operations Strategies</w:t>
        </w:r>
        <w:r w:rsidR="008A4C37">
          <w:rPr>
            <w:webHidden/>
          </w:rPr>
          <w:tab/>
        </w:r>
        <w:r w:rsidR="008A4C37">
          <w:rPr>
            <w:webHidden/>
          </w:rPr>
          <w:fldChar w:fldCharType="begin"/>
        </w:r>
        <w:r w:rsidR="008A4C37">
          <w:rPr>
            <w:webHidden/>
          </w:rPr>
          <w:instrText xml:space="preserve"> PAGEREF _Toc364945299 \h </w:instrText>
        </w:r>
        <w:r w:rsidR="008A4C37">
          <w:rPr>
            <w:webHidden/>
          </w:rPr>
        </w:r>
        <w:r w:rsidR="008A4C37">
          <w:rPr>
            <w:webHidden/>
          </w:rPr>
          <w:fldChar w:fldCharType="separate"/>
        </w:r>
        <w:r w:rsidR="00557666">
          <w:rPr>
            <w:webHidden/>
          </w:rPr>
          <w:t>2</w:t>
        </w:r>
        <w:r w:rsidR="008A4C37">
          <w:rPr>
            <w:webHidden/>
          </w:rPr>
          <w:fldChar w:fldCharType="end"/>
        </w:r>
      </w:hyperlink>
    </w:p>
    <w:p w:rsidR="008A4C37" w:rsidRDefault="00ED394A">
      <w:pPr>
        <w:pStyle w:val="TOC3"/>
        <w:rPr>
          <w:rFonts w:asciiTheme="minorHAnsi" w:eastAsiaTheme="minorEastAsia" w:hAnsiTheme="minorHAnsi"/>
          <w:iCs w:val="0"/>
          <w:sz w:val="22"/>
          <w:szCs w:val="22"/>
          <w:lang w:val="en-AU" w:eastAsia="en-AU"/>
        </w:rPr>
      </w:pPr>
      <w:hyperlink w:anchor="_Toc364945300" w:history="1">
        <w:r w:rsidR="008A4C37" w:rsidRPr="00732886">
          <w:rPr>
            <w:rStyle w:val="Hyperlink"/>
          </w:rPr>
          <w:t>5.5.3</w:t>
        </w:r>
        <w:r w:rsidR="008A4C37">
          <w:rPr>
            <w:rFonts w:asciiTheme="minorHAnsi" w:eastAsiaTheme="minorEastAsia" w:hAnsiTheme="minorHAnsi"/>
            <w:iCs w:val="0"/>
            <w:sz w:val="22"/>
            <w:szCs w:val="22"/>
            <w:lang w:val="en-AU" w:eastAsia="en-AU"/>
          </w:rPr>
          <w:tab/>
        </w:r>
        <w:r w:rsidR="008A4C37" w:rsidRPr="00732886">
          <w:rPr>
            <w:rStyle w:val="Hyperlink"/>
          </w:rPr>
          <w:t>Maintenance Activities</w:t>
        </w:r>
        <w:r w:rsidR="008A4C37">
          <w:rPr>
            <w:webHidden/>
          </w:rPr>
          <w:tab/>
        </w:r>
        <w:r w:rsidR="008A4C37">
          <w:rPr>
            <w:webHidden/>
          </w:rPr>
          <w:fldChar w:fldCharType="begin"/>
        </w:r>
        <w:r w:rsidR="008A4C37">
          <w:rPr>
            <w:webHidden/>
          </w:rPr>
          <w:instrText xml:space="preserve"> PAGEREF _Toc364945300 \h </w:instrText>
        </w:r>
        <w:r w:rsidR="008A4C37">
          <w:rPr>
            <w:webHidden/>
          </w:rPr>
        </w:r>
        <w:r w:rsidR="008A4C37">
          <w:rPr>
            <w:webHidden/>
          </w:rPr>
          <w:fldChar w:fldCharType="separate"/>
        </w:r>
        <w:r w:rsidR="00557666">
          <w:rPr>
            <w:webHidden/>
          </w:rPr>
          <w:t>2</w:t>
        </w:r>
        <w:r w:rsidR="008A4C37">
          <w:rPr>
            <w:webHidden/>
          </w:rPr>
          <w:fldChar w:fldCharType="end"/>
        </w:r>
      </w:hyperlink>
    </w:p>
    <w:p w:rsidR="008A4C37" w:rsidRDefault="00ED394A">
      <w:pPr>
        <w:pStyle w:val="TOC3"/>
        <w:rPr>
          <w:rFonts w:asciiTheme="minorHAnsi" w:eastAsiaTheme="minorEastAsia" w:hAnsiTheme="minorHAnsi"/>
          <w:iCs w:val="0"/>
          <w:sz w:val="22"/>
          <w:szCs w:val="22"/>
          <w:lang w:val="en-AU" w:eastAsia="en-AU"/>
        </w:rPr>
      </w:pPr>
      <w:hyperlink w:anchor="_Toc364945301" w:history="1">
        <w:r w:rsidR="008A4C37" w:rsidRPr="00732886">
          <w:rPr>
            <w:rStyle w:val="Hyperlink"/>
          </w:rPr>
          <w:t>5.5.4</w:t>
        </w:r>
        <w:r w:rsidR="008A4C37">
          <w:rPr>
            <w:rFonts w:asciiTheme="minorHAnsi" w:eastAsiaTheme="minorEastAsia" w:hAnsiTheme="minorHAnsi"/>
            <w:iCs w:val="0"/>
            <w:sz w:val="22"/>
            <w:szCs w:val="22"/>
            <w:lang w:val="en-AU" w:eastAsia="en-AU"/>
          </w:rPr>
          <w:tab/>
        </w:r>
        <w:r w:rsidR="008A4C37" w:rsidRPr="00732886">
          <w:rPr>
            <w:rStyle w:val="Hyperlink"/>
          </w:rPr>
          <w:t>Maintenance Responsibilities</w:t>
        </w:r>
        <w:r w:rsidR="008A4C37">
          <w:rPr>
            <w:webHidden/>
          </w:rPr>
          <w:tab/>
        </w:r>
        <w:r w:rsidR="008A4C37">
          <w:rPr>
            <w:webHidden/>
          </w:rPr>
          <w:fldChar w:fldCharType="begin"/>
        </w:r>
        <w:r w:rsidR="008A4C37">
          <w:rPr>
            <w:webHidden/>
          </w:rPr>
          <w:instrText xml:space="preserve"> PAGEREF _Toc364945301 \h </w:instrText>
        </w:r>
        <w:r w:rsidR="008A4C37">
          <w:rPr>
            <w:webHidden/>
          </w:rPr>
        </w:r>
        <w:r w:rsidR="008A4C37">
          <w:rPr>
            <w:webHidden/>
          </w:rPr>
          <w:fldChar w:fldCharType="separate"/>
        </w:r>
        <w:r w:rsidR="00557666">
          <w:rPr>
            <w:webHidden/>
          </w:rPr>
          <w:t>2</w:t>
        </w:r>
        <w:r w:rsidR="008A4C37">
          <w:rPr>
            <w:webHidden/>
          </w:rPr>
          <w:fldChar w:fldCharType="end"/>
        </w:r>
      </w:hyperlink>
    </w:p>
    <w:p w:rsidR="008A4C37" w:rsidRDefault="00ED394A">
      <w:pPr>
        <w:pStyle w:val="TOC3"/>
        <w:rPr>
          <w:rFonts w:asciiTheme="minorHAnsi" w:eastAsiaTheme="minorEastAsia" w:hAnsiTheme="minorHAnsi"/>
          <w:iCs w:val="0"/>
          <w:sz w:val="22"/>
          <w:szCs w:val="22"/>
          <w:lang w:val="en-AU" w:eastAsia="en-AU"/>
        </w:rPr>
      </w:pPr>
      <w:hyperlink w:anchor="_Toc364945302" w:history="1">
        <w:r w:rsidR="008A4C37" w:rsidRPr="00732886">
          <w:rPr>
            <w:rStyle w:val="Hyperlink"/>
          </w:rPr>
          <w:t>5.5.5</w:t>
        </w:r>
        <w:r w:rsidR="008A4C37">
          <w:rPr>
            <w:rFonts w:asciiTheme="minorHAnsi" w:eastAsiaTheme="minorEastAsia" w:hAnsiTheme="minorHAnsi"/>
            <w:iCs w:val="0"/>
            <w:sz w:val="22"/>
            <w:szCs w:val="22"/>
            <w:lang w:val="en-AU" w:eastAsia="en-AU"/>
          </w:rPr>
          <w:tab/>
        </w:r>
        <w:r w:rsidR="008A4C37" w:rsidRPr="00732886">
          <w:rPr>
            <w:rStyle w:val="Hyperlink"/>
          </w:rPr>
          <w:t>Maintenance Strategies</w:t>
        </w:r>
        <w:r w:rsidR="008A4C37">
          <w:rPr>
            <w:webHidden/>
          </w:rPr>
          <w:tab/>
        </w:r>
        <w:r w:rsidR="008A4C37">
          <w:rPr>
            <w:webHidden/>
          </w:rPr>
          <w:fldChar w:fldCharType="begin"/>
        </w:r>
        <w:r w:rsidR="008A4C37">
          <w:rPr>
            <w:webHidden/>
          </w:rPr>
          <w:instrText xml:space="preserve"> PAGEREF _Toc364945302 \h </w:instrText>
        </w:r>
        <w:r w:rsidR="008A4C37">
          <w:rPr>
            <w:webHidden/>
          </w:rPr>
        </w:r>
        <w:r w:rsidR="008A4C37">
          <w:rPr>
            <w:webHidden/>
          </w:rPr>
          <w:fldChar w:fldCharType="separate"/>
        </w:r>
        <w:r w:rsidR="00557666">
          <w:rPr>
            <w:webHidden/>
          </w:rPr>
          <w:t>2</w:t>
        </w:r>
        <w:r w:rsidR="008A4C37">
          <w:rPr>
            <w:webHidden/>
          </w:rPr>
          <w:fldChar w:fldCharType="end"/>
        </w:r>
      </w:hyperlink>
    </w:p>
    <w:p w:rsidR="008A4C37" w:rsidRDefault="00ED394A">
      <w:pPr>
        <w:pStyle w:val="TOC2"/>
        <w:rPr>
          <w:rFonts w:asciiTheme="minorHAnsi" w:eastAsiaTheme="minorEastAsia" w:hAnsiTheme="minorHAnsi"/>
          <w:iCs w:val="0"/>
          <w:sz w:val="22"/>
          <w:szCs w:val="22"/>
          <w:lang w:val="en-AU" w:eastAsia="en-AU"/>
        </w:rPr>
      </w:pPr>
      <w:hyperlink w:anchor="_Toc364945303" w:history="1">
        <w:r w:rsidR="008A4C37" w:rsidRPr="00732886">
          <w:rPr>
            <w:rStyle w:val="Hyperlink"/>
          </w:rPr>
          <w:t>5.6</w:t>
        </w:r>
        <w:r w:rsidR="008A4C37">
          <w:rPr>
            <w:rFonts w:asciiTheme="minorHAnsi" w:eastAsiaTheme="minorEastAsia" w:hAnsiTheme="minorHAnsi"/>
            <w:iCs w:val="0"/>
            <w:sz w:val="22"/>
            <w:szCs w:val="22"/>
            <w:lang w:val="en-AU" w:eastAsia="en-AU"/>
          </w:rPr>
          <w:tab/>
        </w:r>
        <w:r w:rsidR="008A4C37" w:rsidRPr="00732886">
          <w:rPr>
            <w:rStyle w:val="Hyperlink"/>
          </w:rPr>
          <w:t>Renewal and Rehabilitation Plan</w:t>
        </w:r>
        <w:r w:rsidR="008A4C37">
          <w:rPr>
            <w:webHidden/>
          </w:rPr>
          <w:tab/>
        </w:r>
        <w:r w:rsidR="008A4C37">
          <w:rPr>
            <w:webHidden/>
          </w:rPr>
          <w:fldChar w:fldCharType="begin"/>
        </w:r>
        <w:r w:rsidR="008A4C37">
          <w:rPr>
            <w:webHidden/>
          </w:rPr>
          <w:instrText xml:space="preserve"> PAGEREF _Toc364945303 \h </w:instrText>
        </w:r>
        <w:r w:rsidR="008A4C37">
          <w:rPr>
            <w:webHidden/>
          </w:rPr>
        </w:r>
        <w:r w:rsidR="008A4C37">
          <w:rPr>
            <w:webHidden/>
          </w:rPr>
          <w:fldChar w:fldCharType="separate"/>
        </w:r>
        <w:r w:rsidR="00557666">
          <w:rPr>
            <w:webHidden/>
          </w:rPr>
          <w:t>2</w:t>
        </w:r>
        <w:r w:rsidR="008A4C37">
          <w:rPr>
            <w:webHidden/>
          </w:rPr>
          <w:fldChar w:fldCharType="end"/>
        </w:r>
      </w:hyperlink>
    </w:p>
    <w:p w:rsidR="008A4C37" w:rsidRDefault="00ED394A">
      <w:pPr>
        <w:pStyle w:val="TOC3"/>
        <w:rPr>
          <w:rFonts w:asciiTheme="minorHAnsi" w:eastAsiaTheme="minorEastAsia" w:hAnsiTheme="minorHAnsi"/>
          <w:iCs w:val="0"/>
          <w:sz w:val="22"/>
          <w:szCs w:val="22"/>
          <w:lang w:val="en-AU" w:eastAsia="en-AU"/>
        </w:rPr>
      </w:pPr>
      <w:hyperlink w:anchor="_Toc364945304" w:history="1">
        <w:r w:rsidR="008A4C37" w:rsidRPr="00732886">
          <w:rPr>
            <w:rStyle w:val="Hyperlink"/>
          </w:rPr>
          <w:t>5.6.1</w:t>
        </w:r>
        <w:r w:rsidR="008A4C37">
          <w:rPr>
            <w:rFonts w:asciiTheme="minorHAnsi" w:eastAsiaTheme="minorEastAsia" w:hAnsiTheme="minorHAnsi"/>
            <w:iCs w:val="0"/>
            <w:sz w:val="22"/>
            <w:szCs w:val="22"/>
            <w:lang w:val="en-AU" w:eastAsia="en-AU"/>
          </w:rPr>
          <w:tab/>
        </w:r>
        <w:r w:rsidR="008A4C37" w:rsidRPr="00732886">
          <w:rPr>
            <w:rStyle w:val="Hyperlink"/>
          </w:rPr>
          <w:t>Renewal Activities</w:t>
        </w:r>
        <w:r w:rsidR="008A4C37">
          <w:rPr>
            <w:webHidden/>
          </w:rPr>
          <w:tab/>
        </w:r>
        <w:r w:rsidR="008A4C37">
          <w:rPr>
            <w:webHidden/>
          </w:rPr>
          <w:fldChar w:fldCharType="begin"/>
        </w:r>
        <w:r w:rsidR="008A4C37">
          <w:rPr>
            <w:webHidden/>
          </w:rPr>
          <w:instrText xml:space="preserve"> PAGEREF _Toc364945304 \h </w:instrText>
        </w:r>
        <w:r w:rsidR="008A4C37">
          <w:rPr>
            <w:webHidden/>
          </w:rPr>
        </w:r>
        <w:r w:rsidR="008A4C37">
          <w:rPr>
            <w:webHidden/>
          </w:rPr>
          <w:fldChar w:fldCharType="separate"/>
        </w:r>
        <w:r w:rsidR="00557666">
          <w:rPr>
            <w:webHidden/>
          </w:rPr>
          <w:t>2</w:t>
        </w:r>
        <w:r w:rsidR="008A4C37">
          <w:rPr>
            <w:webHidden/>
          </w:rPr>
          <w:fldChar w:fldCharType="end"/>
        </w:r>
      </w:hyperlink>
    </w:p>
    <w:p w:rsidR="008A4C37" w:rsidRDefault="00ED394A">
      <w:pPr>
        <w:pStyle w:val="TOC3"/>
        <w:rPr>
          <w:rFonts w:asciiTheme="minorHAnsi" w:eastAsiaTheme="minorEastAsia" w:hAnsiTheme="minorHAnsi"/>
          <w:iCs w:val="0"/>
          <w:sz w:val="22"/>
          <w:szCs w:val="22"/>
          <w:lang w:val="en-AU" w:eastAsia="en-AU"/>
        </w:rPr>
      </w:pPr>
      <w:hyperlink w:anchor="_Toc364945305" w:history="1">
        <w:r w:rsidR="008A4C37" w:rsidRPr="00732886">
          <w:rPr>
            <w:rStyle w:val="Hyperlink"/>
          </w:rPr>
          <w:t>5.6.2</w:t>
        </w:r>
        <w:r w:rsidR="008A4C37">
          <w:rPr>
            <w:rFonts w:asciiTheme="minorHAnsi" w:eastAsiaTheme="minorEastAsia" w:hAnsiTheme="minorHAnsi"/>
            <w:iCs w:val="0"/>
            <w:sz w:val="22"/>
            <w:szCs w:val="22"/>
            <w:lang w:val="en-AU" w:eastAsia="en-AU"/>
          </w:rPr>
          <w:tab/>
        </w:r>
        <w:r w:rsidR="008A4C37" w:rsidRPr="00732886">
          <w:rPr>
            <w:rStyle w:val="Hyperlink"/>
          </w:rPr>
          <w:t>Renewal Strategies and Impact Analysis</w:t>
        </w:r>
        <w:r w:rsidR="008A4C37">
          <w:rPr>
            <w:webHidden/>
          </w:rPr>
          <w:tab/>
        </w:r>
        <w:r w:rsidR="008A4C37">
          <w:rPr>
            <w:webHidden/>
          </w:rPr>
          <w:fldChar w:fldCharType="begin"/>
        </w:r>
        <w:r w:rsidR="008A4C37">
          <w:rPr>
            <w:webHidden/>
          </w:rPr>
          <w:instrText xml:space="preserve"> PAGEREF _Toc364945305 \h </w:instrText>
        </w:r>
        <w:r w:rsidR="008A4C37">
          <w:rPr>
            <w:webHidden/>
          </w:rPr>
        </w:r>
        <w:r w:rsidR="008A4C37">
          <w:rPr>
            <w:webHidden/>
          </w:rPr>
          <w:fldChar w:fldCharType="separate"/>
        </w:r>
        <w:r w:rsidR="00557666">
          <w:rPr>
            <w:webHidden/>
          </w:rPr>
          <w:t>2</w:t>
        </w:r>
        <w:r w:rsidR="008A4C37">
          <w:rPr>
            <w:webHidden/>
          </w:rPr>
          <w:fldChar w:fldCharType="end"/>
        </w:r>
      </w:hyperlink>
    </w:p>
    <w:p w:rsidR="008A4C37" w:rsidRDefault="00ED394A">
      <w:pPr>
        <w:pStyle w:val="TOC3"/>
        <w:rPr>
          <w:rFonts w:asciiTheme="minorHAnsi" w:eastAsiaTheme="minorEastAsia" w:hAnsiTheme="minorHAnsi"/>
          <w:iCs w:val="0"/>
          <w:sz w:val="22"/>
          <w:szCs w:val="22"/>
          <w:lang w:val="en-AU" w:eastAsia="en-AU"/>
        </w:rPr>
      </w:pPr>
      <w:hyperlink w:anchor="_Toc364945306" w:history="1">
        <w:r w:rsidR="008A4C37" w:rsidRPr="00732886">
          <w:rPr>
            <w:rStyle w:val="Hyperlink"/>
          </w:rPr>
          <w:t>5.6.3</w:t>
        </w:r>
        <w:r w:rsidR="008A4C37">
          <w:rPr>
            <w:rFonts w:asciiTheme="minorHAnsi" w:eastAsiaTheme="minorEastAsia" w:hAnsiTheme="minorHAnsi"/>
            <w:iCs w:val="0"/>
            <w:sz w:val="22"/>
            <w:szCs w:val="22"/>
            <w:lang w:val="en-AU" w:eastAsia="en-AU"/>
          </w:rPr>
          <w:tab/>
        </w:r>
        <w:r w:rsidR="008A4C37" w:rsidRPr="00732886">
          <w:rPr>
            <w:rStyle w:val="Hyperlink"/>
          </w:rPr>
          <w:t>Impact of Deferring Renewal Works</w:t>
        </w:r>
        <w:r w:rsidR="008A4C37">
          <w:rPr>
            <w:webHidden/>
          </w:rPr>
          <w:tab/>
        </w:r>
        <w:r w:rsidR="008A4C37">
          <w:rPr>
            <w:webHidden/>
          </w:rPr>
          <w:fldChar w:fldCharType="begin"/>
        </w:r>
        <w:r w:rsidR="008A4C37">
          <w:rPr>
            <w:webHidden/>
          </w:rPr>
          <w:instrText xml:space="preserve"> PAGEREF _Toc364945306 \h </w:instrText>
        </w:r>
        <w:r w:rsidR="008A4C37">
          <w:rPr>
            <w:webHidden/>
          </w:rPr>
        </w:r>
        <w:r w:rsidR="008A4C37">
          <w:rPr>
            <w:webHidden/>
          </w:rPr>
          <w:fldChar w:fldCharType="separate"/>
        </w:r>
        <w:r w:rsidR="00557666">
          <w:rPr>
            <w:webHidden/>
          </w:rPr>
          <w:t>2</w:t>
        </w:r>
        <w:r w:rsidR="008A4C37">
          <w:rPr>
            <w:webHidden/>
          </w:rPr>
          <w:fldChar w:fldCharType="end"/>
        </w:r>
      </w:hyperlink>
    </w:p>
    <w:p w:rsidR="008A4C37" w:rsidRDefault="00ED394A">
      <w:pPr>
        <w:pStyle w:val="TOC3"/>
        <w:rPr>
          <w:rFonts w:asciiTheme="minorHAnsi" w:eastAsiaTheme="minorEastAsia" w:hAnsiTheme="minorHAnsi"/>
          <w:iCs w:val="0"/>
          <w:sz w:val="22"/>
          <w:szCs w:val="22"/>
          <w:lang w:val="en-AU" w:eastAsia="en-AU"/>
        </w:rPr>
      </w:pPr>
      <w:hyperlink w:anchor="_Toc364945307" w:history="1">
        <w:r w:rsidR="008A4C37" w:rsidRPr="00732886">
          <w:rPr>
            <w:rStyle w:val="Hyperlink"/>
          </w:rPr>
          <w:t>5.6.4</w:t>
        </w:r>
        <w:r w:rsidR="008A4C37">
          <w:rPr>
            <w:rFonts w:asciiTheme="minorHAnsi" w:eastAsiaTheme="minorEastAsia" w:hAnsiTheme="minorHAnsi"/>
            <w:iCs w:val="0"/>
            <w:sz w:val="22"/>
            <w:szCs w:val="22"/>
            <w:lang w:val="en-AU" w:eastAsia="en-AU"/>
          </w:rPr>
          <w:tab/>
        </w:r>
        <w:r w:rsidR="008A4C37" w:rsidRPr="00732886">
          <w:rPr>
            <w:rStyle w:val="Hyperlink"/>
          </w:rPr>
          <w:t>Renewal Service Providers</w:t>
        </w:r>
        <w:r w:rsidR="008A4C37">
          <w:rPr>
            <w:webHidden/>
          </w:rPr>
          <w:tab/>
        </w:r>
        <w:r w:rsidR="008A4C37">
          <w:rPr>
            <w:webHidden/>
          </w:rPr>
          <w:fldChar w:fldCharType="begin"/>
        </w:r>
        <w:r w:rsidR="008A4C37">
          <w:rPr>
            <w:webHidden/>
          </w:rPr>
          <w:instrText xml:space="preserve"> PAGEREF _Toc364945307 \h </w:instrText>
        </w:r>
        <w:r w:rsidR="008A4C37">
          <w:rPr>
            <w:webHidden/>
          </w:rPr>
        </w:r>
        <w:r w:rsidR="008A4C37">
          <w:rPr>
            <w:webHidden/>
          </w:rPr>
          <w:fldChar w:fldCharType="separate"/>
        </w:r>
        <w:r w:rsidR="00557666">
          <w:rPr>
            <w:webHidden/>
          </w:rPr>
          <w:t>2</w:t>
        </w:r>
        <w:r w:rsidR="008A4C37">
          <w:rPr>
            <w:webHidden/>
          </w:rPr>
          <w:fldChar w:fldCharType="end"/>
        </w:r>
      </w:hyperlink>
    </w:p>
    <w:p w:rsidR="008A4C37" w:rsidRDefault="00ED394A">
      <w:pPr>
        <w:pStyle w:val="TOC3"/>
        <w:rPr>
          <w:rFonts w:asciiTheme="minorHAnsi" w:eastAsiaTheme="minorEastAsia" w:hAnsiTheme="minorHAnsi"/>
          <w:iCs w:val="0"/>
          <w:sz w:val="22"/>
          <w:szCs w:val="22"/>
          <w:lang w:val="en-AU" w:eastAsia="en-AU"/>
        </w:rPr>
      </w:pPr>
      <w:hyperlink w:anchor="_Toc364945308" w:history="1">
        <w:r w:rsidR="008A4C37" w:rsidRPr="00732886">
          <w:rPr>
            <w:rStyle w:val="Hyperlink"/>
          </w:rPr>
          <w:t>5.6.5</w:t>
        </w:r>
        <w:r w:rsidR="008A4C37">
          <w:rPr>
            <w:rFonts w:asciiTheme="minorHAnsi" w:eastAsiaTheme="minorEastAsia" w:hAnsiTheme="minorHAnsi"/>
            <w:iCs w:val="0"/>
            <w:sz w:val="22"/>
            <w:szCs w:val="22"/>
            <w:lang w:val="en-AU" w:eastAsia="en-AU"/>
          </w:rPr>
          <w:tab/>
        </w:r>
        <w:r w:rsidR="008A4C37" w:rsidRPr="00732886">
          <w:rPr>
            <w:rStyle w:val="Hyperlink"/>
          </w:rPr>
          <w:t>10 Year Forecast Renewal Works Programme</w:t>
        </w:r>
        <w:r w:rsidR="008A4C37">
          <w:rPr>
            <w:webHidden/>
          </w:rPr>
          <w:tab/>
        </w:r>
        <w:r w:rsidR="008A4C37">
          <w:rPr>
            <w:webHidden/>
          </w:rPr>
          <w:fldChar w:fldCharType="begin"/>
        </w:r>
        <w:r w:rsidR="008A4C37">
          <w:rPr>
            <w:webHidden/>
          </w:rPr>
          <w:instrText xml:space="preserve"> PAGEREF _Toc364945308 \h </w:instrText>
        </w:r>
        <w:r w:rsidR="008A4C37">
          <w:rPr>
            <w:webHidden/>
          </w:rPr>
        </w:r>
        <w:r w:rsidR="008A4C37">
          <w:rPr>
            <w:webHidden/>
          </w:rPr>
          <w:fldChar w:fldCharType="separate"/>
        </w:r>
        <w:r w:rsidR="00557666">
          <w:rPr>
            <w:webHidden/>
          </w:rPr>
          <w:t>2</w:t>
        </w:r>
        <w:r w:rsidR="008A4C37">
          <w:rPr>
            <w:webHidden/>
          </w:rPr>
          <w:fldChar w:fldCharType="end"/>
        </w:r>
      </w:hyperlink>
    </w:p>
    <w:p w:rsidR="008A4C37" w:rsidRDefault="00ED394A">
      <w:pPr>
        <w:pStyle w:val="TOC2"/>
        <w:rPr>
          <w:rFonts w:asciiTheme="minorHAnsi" w:eastAsiaTheme="minorEastAsia" w:hAnsiTheme="minorHAnsi"/>
          <w:iCs w:val="0"/>
          <w:sz w:val="22"/>
          <w:szCs w:val="22"/>
          <w:lang w:val="en-AU" w:eastAsia="en-AU"/>
        </w:rPr>
      </w:pPr>
      <w:hyperlink w:anchor="_Toc364945309" w:history="1">
        <w:r w:rsidR="008A4C37" w:rsidRPr="00732886">
          <w:rPr>
            <w:rStyle w:val="Hyperlink"/>
          </w:rPr>
          <w:t>5.7</w:t>
        </w:r>
        <w:r w:rsidR="008A4C37">
          <w:rPr>
            <w:rFonts w:asciiTheme="minorHAnsi" w:eastAsiaTheme="minorEastAsia" w:hAnsiTheme="minorHAnsi"/>
            <w:iCs w:val="0"/>
            <w:sz w:val="22"/>
            <w:szCs w:val="22"/>
            <w:lang w:val="en-AU" w:eastAsia="en-AU"/>
          </w:rPr>
          <w:tab/>
        </w:r>
        <w:r w:rsidR="008A4C37" w:rsidRPr="00732886">
          <w:rPr>
            <w:rStyle w:val="Hyperlink"/>
          </w:rPr>
          <w:t>New Works and Upgrade Plan</w:t>
        </w:r>
        <w:r w:rsidR="008A4C37">
          <w:rPr>
            <w:webHidden/>
          </w:rPr>
          <w:tab/>
        </w:r>
        <w:r w:rsidR="008A4C37">
          <w:rPr>
            <w:webHidden/>
          </w:rPr>
          <w:fldChar w:fldCharType="begin"/>
        </w:r>
        <w:r w:rsidR="008A4C37">
          <w:rPr>
            <w:webHidden/>
          </w:rPr>
          <w:instrText xml:space="preserve"> PAGEREF _Toc364945309 \h </w:instrText>
        </w:r>
        <w:r w:rsidR="008A4C37">
          <w:rPr>
            <w:webHidden/>
          </w:rPr>
        </w:r>
        <w:r w:rsidR="008A4C37">
          <w:rPr>
            <w:webHidden/>
          </w:rPr>
          <w:fldChar w:fldCharType="separate"/>
        </w:r>
        <w:r w:rsidR="00557666">
          <w:rPr>
            <w:webHidden/>
          </w:rPr>
          <w:t>2</w:t>
        </w:r>
        <w:r w:rsidR="008A4C37">
          <w:rPr>
            <w:webHidden/>
          </w:rPr>
          <w:fldChar w:fldCharType="end"/>
        </w:r>
      </w:hyperlink>
    </w:p>
    <w:p w:rsidR="008A4C37" w:rsidRDefault="00ED394A">
      <w:pPr>
        <w:pStyle w:val="TOC3"/>
        <w:rPr>
          <w:rFonts w:asciiTheme="minorHAnsi" w:eastAsiaTheme="minorEastAsia" w:hAnsiTheme="minorHAnsi"/>
          <w:iCs w:val="0"/>
          <w:sz w:val="22"/>
          <w:szCs w:val="22"/>
          <w:lang w:val="en-AU" w:eastAsia="en-AU"/>
        </w:rPr>
      </w:pPr>
      <w:hyperlink w:anchor="_Toc364945310" w:history="1">
        <w:r w:rsidR="008A4C37" w:rsidRPr="00732886">
          <w:rPr>
            <w:rStyle w:val="Hyperlink"/>
          </w:rPr>
          <w:t>5.7.1</w:t>
        </w:r>
        <w:r w:rsidR="008A4C37">
          <w:rPr>
            <w:rFonts w:asciiTheme="minorHAnsi" w:eastAsiaTheme="minorEastAsia" w:hAnsiTheme="minorHAnsi"/>
            <w:iCs w:val="0"/>
            <w:sz w:val="22"/>
            <w:szCs w:val="22"/>
            <w:lang w:val="en-AU" w:eastAsia="en-AU"/>
          </w:rPr>
          <w:tab/>
        </w:r>
        <w:r w:rsidR="008A4C37" w:rsidRPr="00732886">
          <w:rPr>
            <w:rStyle w:val="Hyperlink"/>
          </w:rPr>
          <w:t>New Works and Upgrade Activities</w:t>
        </w:r>
        <w:r w:rsidR="008A4C37">
          <w:rPr>
            <w:webHidden/>
          </w:rPr>
          <w:tab/>
        </w:r>
        <w:r w:rsidR="008A4C37">
          <w:rPr>
            <w:webHidden/>
          </w:rPr>
          <w:fldChar w:fldCharType="begin"/>
        </w:r>
        <w:r w:rsidR="008A4C37">
          <w:rPr>
            <w:webHidden/>
          </w:rPr>
          <w:instrText xml:space="preserve"> PAGEREF _Toc364945310 \h </w:instrText>
        </w:r>
        <w:r w:rsidR="008A4C37">
          <w:rPr>
            <w:webHidden/>
          </w:rPr>
        </w:r>
        <w:r w:rsidR="008A4C37">
          <w:rPr>
            <w:webHidden/>
          </w:rPr>
          <w:fldChar w:fldCharType="separate"/>
        </w:r>
        <w:r w:rsidR="00557666">
          <w:rPr>
            <w:webHidden/>
          </w:rPr>
          <w:t>2</w:t>
        </w:r>
        <w:r w:rsidR="008A4C37">
          <w:rPr>
            <w:webHidden/>
          </w:rPr>
          <w:fldChar w:fldCharType="end"/>
        </w:r>
      </w:hyperlink>
    </w:p>
    <w:p w:rsidR="008A4C37" w:rsidRDefault="00ED394A">
      <w:pPr>
        <w:pStyle w:val="TOC3"/>
        <w:rPr>
          <w:rFonts w:asciiTheme="minorHAnsi" w:eastAsiaTheme="minorEastAsia" w:hAnsiTheme="minorHAnsi"/>
          <w:iCs w:val="0"/>
          <w:sz w:val="22"/>
          <w:szCs w:val="22"/>
          <w:lang w:val="en-AU" w:eastAsia="en-AU"/>
        </w:rPr>
      </w:pPr>
      <w:hyperlink w:anchor="_Toc364945311" w:history="1">
        <w:r w:rsidR="008A4C37" w:rsidRPr="00732886">
          <w:rPr>
            <w:rStyle w:val="Hyperlink"/>
          </w:rPr>
          <w:t>5.7.2</w:t>
        </w:r>
        <w:r w:rsidR="008A4C37">
          <w:rPr>
            <w:rFonts w:asciiTheme="minorHAnsi" w:eastAsiaTheme="minorEastAsia" w:hAnsiTheme="minorHAnsi"/>
            <w:iCs w:val="0"/>
            <w:sz w:val="22"/>
            <w:szCs w:val="22"/>
            <w:lang w:val="en-AU" w:eastAsia="en-AU"/>
          </w:rPr>
          <w:tab/>
        </w:r>
        <w:r w:rsidR="008A4C37" w:rsidRPr="00732886">
          <w:rPr>
            <w:rStyle w:val="Hyperlink"/>
          </w:rPr>
          <w:t>New Works and Upgrade Responsibilities</w:t>
        </w:r>
        <w:r w:rsidR="008A4C37">
          <w:rPr>
            <w:webHidden/>
          </w:rPr>
          <w:tab/>
        </w:r>
        <w:r w:rsidR="008A4C37">
          <w:rPr>
            <w:webHidden/>
          </w:rPr>
          <w:fldChar w:fldCharType="begin"/>
        </w:r>
        <w:r w:rsidR="008A4C37">
          <w:rPr>
            <w:webHidden/>
          </w:rPr>
          <w:instrText xml:space="preserve"> PAGEREF _Toc364945311 \h </w:instrText>
        </w:r>
        <w:r w:rsidR="008A4C37">
          <w:rPr>
            <w:webHidden/>
          </w:rPr>
        </w:r>
        <w:r w:rsidR="008A4C37">
          <w:rPr>
            <w:webHidden/>
          </w:rPr>
          <w:fldChar w:fldCharType="separate"/>
        </w:r>
        <w:r w:rsidR="00557666">
          <w:rPr>
            <w:webHidden/>
          </w:rPr>
          <w:t>2</w:t>
        </w:r>
        <w:r w:rsidR="008A4C37">
          <w:rPr>
            <w:webHidden/>
          </w:rPr>
          <w:fldChar w:fldCharType="end"/>
        </w:r>
      </w:hyperlink>
    </w:p>
    <w:p w:rsidR="008A4C37" w:rsidRDefault="00ED394A">
      <w:pPr>
        <w:pStyle w:val="TOC3"/>
        <w:rPr>
          <w:rFonts w:asciiTheme="minorHAnsi" w:eastAsiaTheme="minorEastAsia" w:hAnsiTheme="minorHAnsi"/>
          <w:iCs w:val="0"/>
          <w:sz w:val="22"/>
          <w:szCs w:val="22"/>
          <w:lang w:val="en-AU" w:eastAsia="en-AU"/>
        </w:rPr>
      </w:pPr>
      <w:hyperlink w:anchor="_Toc364945312" w:history="1">
        <w:r w:rsidR="008A4C37" w:rsidRPr="00732886">
          <w:rPr>
            <w:rStyle w:val="Hyperlink"/>
          </w:rPr>
          <w:t>5.7.3</w:t>
        </w:r>
        <w:r w:rsidR="008A4C37">
          <w:rPr>
            <w:rFonts w:asciiTheme="minorHAnsi" w:eastAsiaTheme="minorEastAsia" w:hAnsiTheme="minorHAnsi"/>
            <w:iCs w:val="0"/>
            <w:sz w:val="22"/>
            <w:szCs w:val="22"/>
            <w:lang w:val="en-AU" w:eastAsia="en-AU"/>
          </w:rPr>
          <w:tab/>
        </w:r>
        <w:r w:rsidR="008A4C37" w:rsidRPr="00732886">
          <w:rPr>
            <w:rStyle w:val="Hyperlink"/>
          </w:rPr>
          <w:t>Project Prioritisation Process</w:t>
        </w:r>
        <w:r w:rsidR="008A4C37">
          <w:rPr>
            <w:webHidden/>
          </w:rPr>
          <w:tab/>
        </w:r>
        <w:r w:rsidR="008A4C37">
          <w:rPr>
            <w:webHidden/>
          </w:rPr>
          <w:fldChar w:fldCharType="begin"/>
        </w:r>
        <w:r w:rsidR="008A4C37">
          <w:rPr>
            <w:webHidden/>
          </w:rPr>
          <w:instrText xml:space="preserve"> PAGEREF _Toc364945312 \h </w:instrText>
        </w:r>
        <w:r w:rsidR="008A4C37">
          <w:rPr>
            <w:webHidden/>
          </w:rPr>
        </w:r>
        <w:r w:rsidR="008A4C37">
          <w:rPr>
            <w:webHidden/>
          </w:rPr>
          <w:fldChar w:fldCharType="separate"/>
        </w:r>
        <w:r w:rsidR="00557666">
          <w:rPr>
            <w:webHidden/>
          </w:rPr>
          <w:t>2</w:t>
        </w:r>
        <w:r w:rsidR="008A4C37">
          <w:rPr>
            <w:webHidden/>
          </w:rPr>
          <w:fldChar w:fldCharType="end"/>
        </w:r>
      </w:hyperlink>
    </w:p>
    <w:p w:rsidR="008A4C37" w:rsidRDefault="00ED394A">
      <w:pPr>
        <w:pStyle w:val="TOC3"/>
        <w:rPr>
          <w:rFonts w:asciiTheme="minorHAnsi" w:eastAsiaTheme="minorEastAsia" w:hAnsiTheme="minorHAnsi"/>
          <w:iCs w:val="0"/>
          <w:sz w:val="22"/>
          <w:szCs w:val="22"/>
          <w:lang w:val="en-AU" w:eastAsia="en-AU"/>
        </w:rPr>
      </w:pPr>
      <w:hyperlink w:anchor="_Toc364945313" w:history="1">
        <w:r w:rsidR="008A4C37" w:rsidRPr="00732886">
          <w:rPr>
            <w:rStyle w:val="Hyperlink"/>
          </w:rPr>
          <w:t>5.7.4</w:t>
        </w:r>
        <w:r w:rsidR="008A4C37">
          <w:rPr>
            <w:rFonts w:asciiTheme="minorHAnsi" w:eastAsiaTheme="minorEastAsia" w:hAnsiTheme="minorHAnsi"/>
            <w:iCs w:val="0"/>
            <w:sz w:val="22"/>
            <w:szCs w:val="22"/>
            <w:lang w:val="en-AU" w:eastAsia="en-AU"/>
          </w:rPr>
          <w:tab/>
        </w:r>
        <w:r w:rsidR="008A4C37" w:rsidRPr="00732886">
          <w:rPr>
            <w:rStyle w:val="Hyperlink"/>
          </w:rPr>
          <w:t>10 Year New Works and Upgrade Capital Works Programme</w:t>
        </w:r>
        <w:r w:rsidR="008A4C37">
          <w:rPr>
            <w:webHidden/>
          </w:rPr>
          <w:tab/>
        </w:r>
        <w:r w:rsidR="008A4C37">
          <w:rPr>
            <w:webHidden/>
          </w:rPr>
          <w:fldChar w:fldCharType="begin"/>
        </w:r>
        <w:r w:rsidR="008A4C37">
          <w:rPr>
            <w:webHidden/>
          </w:rPr>
          <w:instrText xml:space="preserve"> PAGEREF _Toc364945313 \h </w:instrText>
        </w:r>
        <w:r w:rsidR="008A4C37">
          <w:rPr>
            <w:webHidden/>
          </w:rPr>
        </w:r>
        <w:r w:rsidR="008A4C37">
          <w:rPr>
            <w:webHidden/>
          </w:rPr>
          <w:fldChar w:fldCharType="separate"/>
        </w:r>
        <w:r w:rsidR="00557666">
          <w:rPr>
            <w:webHidden/>
          </w:rPr>
          <w:t>2</w:t>
        </w:r>
        <w:r w:rsidR="008A4C37">
          <w:rPr>
            <w:webHidden/>
          </w:rPr>
          <w:fldChar w:fldCharType="end"/>
        </w:r>
      </w:hyperlink>
    </w:p>
    <w:p w:rsidR="008A4C37" w:rsidRDefault="00ED394A">
      <w:pPr>
        <w:pStyle w:val="TOC2"/>
        <w:rPr>
          <w:rFonts w:asciiTheme="minorHAnsi" w:eastAsiaTheme="minorEastAsia" w:hAnsiTheme="minorHAnsi"/>
          <w:iCs w:val="0"/>
          <w:sz w:val="22"/>
          <w:szCs w:val="22"/>
          <w:lang w:val="en-AU" w:eastAsia="en-AU"/>
        </w:rPr>
      </w:pPr>
      <w:hyperlink w:anchor="_Toc364945314" w:history="1">
        <w:r w:rsidR="008A4C37" w:rsidRPr="00732886">
          <w:rPr>
            <w:rStyle w:val="Hyperlink"/>
          </w:rPr>
          <w:t>5.8</w:t>
        </w:r>
        <w:r w:rsidR="008A4C37">
          <w:rPr>
            <w:rFonts w:asciiTheme="minorHAnsi" w:eastAsiaTheme="minorEastAsia" w:hAnsiTheme="minorHAnsi"/>
            <w:iCs w:val="0"/>
            <w:sz w:val="22"/>
            <w:szCs w:val="22"/>
            <w:lang w:val="en-AU" w:eastAsia="en-AU"/>
          </w:rPr>
          <w:tab/>
        </w:r>
        <w:r w:rsidR="008A4C37" w:rsidRPr="00732886">
          <w:rPr>
            <w:rStyle w:val="Hyperlink"/>
          </w:rPr>
          <w:t>Asset Disposal and Rationalisation Plan</w:t>
        </w:r>
        <w:r w:rsidR="008A4C37">
          <w:rPr>
            <w:webHidden/>
          </w:rPr>
          <w:tab/>
        </w:r>
        <w:r w:rsidR="008A4C37">
          <w:rPr>
            <w:webHidden/>
          </w:rPr>
          <w:fldChar w:fldCharType="begin"/>
        </w:r>
        <w:r w:rsidR="008A4C37">
          <w:rPr>
            <w:webHidden/>
          </w:rPr>
          <w:instrText xml:space="preserve"> PAGEREF _Toc364945314 \h </w:instrText>
        </w:r>
        <w:r w:rsidR="008A4C37">
          <w:rPr>
            <w:webHidden/>
          </w:rPr>
        </w:r>
        <w:r w:rsidR="008A4C37">
          <w:rPr>
            <w:webHidden/>
          </w:rPr>
          <w:fldChar w:fldCharType="separate"/>
        </w:r>
        <w:r w:rsidR="00557666">
          <w:rPr>
            <w:webHidden/>
          </w:rPr>
          <w:t>2</w:t>
        </w:r>
        <w:r w:rsidR="008A4C37">
          <w:rPr>
            <w:webHidden/>
          </w:rPr>
          <w:fldChar w:fldCharType="end"/>
        </w:r>
      </w:hyperlink>
    </w:p>
    <w:p w:rsidR="008A4C37" w:rsidRDefault="00ED394A">
      <w:pPr>
        <w:pStyle w:val="TOC3"/>
        <w:rPr>
          <w:rFonts w:asciiTheme="minorHAnsi" w:eastAsiaTheme="minorEastAsia" w:hAnsiTheme="minorHAnsi"/>
          <w:iCs w:val="0"/>
          <w:sz w:val="22"/>
          <w:szCs w:val="22"/>
          <w:lang w:val="en-AU" w:eastAsia="en-AU"/>
        </w:rPr>
      </w:pPr>
      <w:hyperlink w:anchor="_Toc364945315" w:history="1">
        <w:r w:rsidR="008A4C37" w:rsidRPr="00732886">
          <w:rPr>
            <w:rStyle w:val="Hyperlink"/>
          </w:rPr>
          <w:t>5.8.1</w:t>
        </w:r>
        <w:r w:rsidR="008A4C37">
          <w:rPr>
            <w:rFonts w:asciiTheme="minorHAnsi" w:eastAsiaTheme="minorEastAsia" w:hAnsiTheme="minorHAnsi"/>
            <w:iCs w:val="0"/>
            <w:sz w:val="22"/>
            <w:szCs w:val="22"/>
            <w:lang w:val="en-AU" w:eastAsia="en-AU"/>
          </w:rPr>
          <w:tab/>
        </w:r>
        <w:r w:rsidR="008A4C37" w:rsidRPr="00732886">
          <w:rPr>
            <w:rStyle w:val="Hyperlink"/>
          </w:rPr>
          <w:t>Disposal Strategy</w:t>
        </w:r>
        <w:r w:rsidR="008A4C37">
          <w:rPr>
            <w:webHidden/>
          </w:rPr>
          <w:tab/>
        </w:r>
        <w:r w:rsidR="008A4C37">
          <w:rPr>
            <w:webHidden/>
          </w:rPr>
          <w:fldChar w:fldCharType="begin"/>
        </w:r>
        <w:r w:rsidR="008A4C37">
          <w:rPr>
            <w:webHidden/>
          </w:rPr>
          <w:instrText xml:space="preserve"> PAGEREF _Toc364945315 \h </w:instrText>
        </w:r>
        <w:r w:rsidR="008A4C37">
          <w:rPr>
            <w:webHidden/>
          </w:rPr>
        </w:r>
        <w:r w:rsidR="008A4C37">
          <w:rPr>
            <w:webHidden/>
          </w:rPr>
          <w:fldChar w:fldCharType="separate"/>
        </w:r>
        <w:r w:rsidR="00557666">
          <w:rPr>
            <w:webHidden/>
          </w:rPr>
          <w:t>2</w:t>
        </w:r>
        <w:r w:rsidR="008A4C37">
          <w:rPr>
            <w:webHidden/>
          </w:rPr>
          <w:fldChar w:fldCharType="end"/>
        </w:r>
      </w:hyperlink>
    </w:p>
    <w:p w:rsidR="008A4C37" w:rsidRDefault="00ED394A">
      <w:pPr>
        <w:pStyle w:val="TOC2"/>
        <w:rPr>
          <w:rFonts w:asciiTheme="minorHAnsi" w:eastAsiaTheme="minorEastAsia" w:hAnsiTheme="minorHAnsi"/>
          <w:iCs w:val="0"/>
          <w:sz w:val="22"/>
          <w:szCs w:val="22"/>
          <w:lang w:val="en-AU" w:eastAsia="en-AU"/>
        </w:rPr>
      </w:pPr>
      <w:hyperlink w:anchor="_Toc364945316" w:history="1">
        <w:r w:rsidR="008A4C37" w:rsidRPr="00732886">
          <w:rPr>
            <w:rStyle w:val="Hyperlink"/>
          </w:rPr>
          <w:t>5.9</w:t>
        </w:r>
        <w:r w:rsidR="008A4C37">
          <w:rPr>
            <w:rFonts w:asciiTheme="minorHAnsi" w:eastAsiaTheme="minorEastAsia" w:hAnsiTheme="minorHAnsi"/>
            <w:iCs w:val="0"/>
            <w:sz w:val="22"/>
            <w:szCs w:val="22"/>
            <w:lang w:val="en-AU" w:eastAsia="en-AU"/>
          </w:rPr>
          <w:tab/>
        </w:r>
        <w:r w:rsidR="008A4C37" w:rsidRPr="00732886">
          <w:rPr>
            <w:rStyle w:val="Hyperlink"/>
          </w:rPr>
          <w:t>Infrastructure Sustainability</w:t>
        </w:r>
        <w:r w:rsidR="008A4C37">
          <w:rPr>
            <w:webHidden/>
          </w:rPr>
          <w:tab/>
        </w:r>
        <w:r w:rsidR="008A4C37">
          <w:rPr>
            <w:webHidden/>
          </w:rPr>
          <w:fldChar w:fldCharType="begin"/>
        </w:r>
        <w:r w:rsidR="008A4C37">
          <w:rPr>
            <w:webHidden/>
          </w:rPr>
          <w:instrText xml:space="preserve"> PAGEREF _Toc364945316 \h </w:instrText>
        </w:r>
        <w:r w:rsidR="008A4C37">
          <w:rPr>
            <w:webHidden/>
          </w:rPr>
        </w:r>
        <w:r w:rsidR="008A4C37">
          <w:rPr>
            <w:webHidden/>
          </w:rPr>
          <w:fldChar w:fldCharType="separate"/>
        </w:r>
        <w:r w:rsidR="00557666">
          <w:rPr>
            <w:webHidden/>
          </w:rPr>
          <w:t>2</w:t>
        </w:r>
        <w:r w:rsidR="008A4C37">
          <w:rPr>
            <w:webHidden/>
          </w:rPr>
          <w:fldChar w:fldCharType="end"/>
        </w:r>
      </w:hyperlink>
    </w:p>
    <w:p w:rsidR="008A4C37" w:rsidRDefault="00ED394A">
      <w:pPr>
        <w:pStyle w:val="TOC3"/>
        <w:rPr>
          <w:rFonts w:asciiTheme="minorHAnsi" w:eastAsiaTheme="minorEastAsia" w:hAnsiTheme="minorHAnsi"/>
          <w:iCs w:val="0"/>
          <w:sz w:val="22"/>
          <w:szCs w:val="22"/>
          <w:lang w:val="en-AU" w:eastAsia="en-AU"/>
        </w:rPr>
      </w:pPr>
      <w:hyperlink w:anchor="_Toc364945317" w:history="1">
        <w:r w:rsidR="008A4C37" w:rsidRPr="00732886">
          <w:rPr>
            <w:rStyle w:val="Hyperlink"/>
          </w:rPr>
          <w:t>5.9.1</w:t>
        </w:r>
        <w:r w:rsidR="008A4C37">
          <w:rPr>
            <w:rFonts w:asciiTheme="minorHAnsi" w:eastAsiaTheme="minorEastAsia" w:hAnsiTheme="minorHAnsi"/>
            <w:iCs w:val="0"/>
            <w:sz w:val="22"/>
            <w:szCs w:val="22"/>
            <w:lang w:val="en-AU" w:eastAsia="en-AU"/>
          </w:rPr>
          <w:tab/>
        </w:r>
        <w:r w:rsidR="008A4C37" w:rsidRPr="00732886">
          <w:rPr>
            <w:rStyle w:val="Hyperlink"/>
          </w:rPr>
          <w:t>Overview</w:t>
        </w:r>
        <w:r w:rsidR="008A4C37">
          <w:rPr>
            <w:webHidden/>
          </w:rPr>
          <w:tab/>
        </w:r>
        <w:r w:rsidR="008A4C37">
          <w:rPr>
            <w:webHidden/>
          </w:rPr>
          <w:fldChar w:fldCharType="begin"/>
        </w:r>
        <w:r w:rsidR="008A4C37">
          <w:rPr>
            <w:webHidden/>
          </w:rPr>
          <w:instrText xml:space="preserve"> PAGEREF _Toc364945317 \h </w:instrText>
        </w:r>
        <w:r w:rsidR="008A4C37">
          <w:rPr>
            <w:webHidden/>
          </w:rPr>
        </w:r>
        <w:r w:rsidR="008A4C37">
          <w:rPr>
            <w:webHidden/>
          </w:rPr>
          <w:fldChar w:fldCharType="separate"/>
        </w:r>
        <w:r w:rsidR="00557666">
          <w:rPr>
            <w:webHidden/>
          </w:rPr>
          <w:t>2</w:t>
        </w:r>
        <w:r w:rsidR="008A4C37">
          <w:rPr>
            <w:webHidden/>
          </w:rPr>
          <w:fldChar w:fldCharType="end"/>
        </w:r>
      </w:hyperlink>
    </w:p>
    <w:p w:rsidR="008A4C37" w:rsidRDefault="00ED394A">
      <w:pPr>
        <w:pStyle w:val="TOC3"/>
        <w:rPr>
          <w:rFonts w:asciiTheme="minorHAnsi" w:eastAsiaTheme="minorEastAsia" w:hAnsiTheme="minorHAnsi"/>
          <w:iCs w:val="0"/>
          <w:sz w:val="22"/>
          <w:szCs w:val="22"/>
          <w:lang w:val="en-AU" w:eastAsia="en-AU"/>
        </w:rPr>
      </w:pPr>
      <w:hyperlink w:anchor="_Toc364945318" w:history="1">
        <w:r w:rsidR="008A4C37" w:rsidRPr="00732886">
          <w:rPr>
            <w:rStyle w:val="Hyperlink"/>
          </w:rPr>
          <w:t>5.9.2</w:t>
        </w:r>
        <w:r w:rsidR="008A4C37">
          <w:rPr>
            <w:rFonts w:asciiTheme="minorHAnsi" w:eastAsiaTheme="minorEastAsia" w:hAnsiTheme="minorHAnsi"/>
            <w:iCs w:val="0"/>
            <w:sz w:val="22"/>
            <w:szCs w:val="22"/>
            <w:lang w:val="en-AU" w:eastAsia="en-AU"/>
          </w:rPr>
          <w:tab/>
        </w:r>
        <w:r w:rsidR="008A4C37" w:rsidRPr="00732886">
          <w:rPr>
            <w:rStyle w:val="Hyperlink"/>
          </w:rPr>
          <w:t>Environmental Outcomes</w:t>
        </w:r>
        <w:r w:rsidR="008A4C37">
          <w:rPr>
            <w:webHidden/>
          </w:rPr>
          <w:tab/>
        </w:r>
        <w:r w:rsidR="008A4C37">
          <w:rPr>
            <w:webHidden/>
          </w:rPr>
          <w:fldChar w:fldCharType="begin"/>
        </w:r>
        <w:r w:rsidR="008A4C37">
          <w:rPr>
            <w:webHidden/>
          </w:rPr>
          <w:instrText xml:space="preserve"> PAGEREF _Toc364945318 \h </w:instrText>
        </w:r>
        <w:r w:rsidR="008A4C37">
          <w:rPr>
            <w:webHidden/>
          </w:rPr>
        </w:r>
        <w:r w:rsidR="008A4C37">
          <w:rPr>
            <w:webHidden/>
          </w:rPr>
          <w:fldChar w:fldCharType="separate"/>
        </w:r>
        <w:r w:rsidR="00557666">
          <w:rPr>
            <w:webHidden/>
          </w:rPr>
          <w:t>2</w:t>
        </w:r>
        <w:r w:rsidR="008A4C37">
          <w:rPr>
            <w:webHidden/>
          </w:rPr>
          <w:fldChar w:fldCharType="end"/>
        </w:r>
      </w:hyperlink>
    </w:p>
    <w:p w:rsidR="008A4C37" w:rsidRDefault="00ED394A">
      <w:pPr>
        <w:pStyle w:val="TOC1"/>
        <w:rPr>
          <w:rFonts w:asciiTheme="minorHAnsi" w:eastAsiaTheme="minorEastAsia" w:hAnsiTheme="minorHAnsi"/>
          <w:b w:val="0"/>
          <w:sz w:val="22"/>
          <w:szCs w:val="22"/>
        </w:rPr>
      </w:pPr>
      <w:hyperlink w:anchor="_Toc364945319" w:history="1">
        <w:r w:rsidR="008A4C37" w:rsidRPr="00732886">
          <w:rPr>
            <w:rStyle w:val="Hyperlink"/>
          </w:rPr>
          <w:t>6</w:t>
        </w:r>
        <w:r w:rsidR="008A4C37">
          <w:rPr>
            <w:rFonts w:asciiTheme="minorHAnsi" w:eastAsiaTheme="minorEastAsia" w:hAnsiTheme="minorHAnsi"/>
            <w:b w:val="0"/>
            <w:sz w:val="22"/>
            <w:szCs w:val="22"/>
          </w:rPr>
          <w:tab/>
        </w:r>
        <w:r w:rsidR="008A4C37" w:rsidRPr="00732886">
          <w:rPr>
            <w:rStyle w:val="Hyperlink"/>
          </w:rPr>
          <w:t>Financial Summary</w:t>
        </w:r>
        <w:r w:rsidR="008A4C37">
          <w:rPr>
            <w:webHidden/>
          </w:rPr>
          <w:tab/>
        </w:r>
        <w:r w:rsidR="008A4C37">
          <w:rPr>
            <w:webHidden/>
          </w:rPr>
          <w:fldChar w:fldCharType="begin"/>
        </w:r>
        <w:r w:rsidR="008A4C37">
          <w:rPr>
            <w:webHidden/>
          </w:rPr>
          <w:instrText xml:space="preserve"> PAGEREF _Toc364945319 \h </w:instrText>
        </w:r>
        <w:r w:rsidR="008A4C37">
          <w:rPr>
            <w:webHidden/>
          </w:rPr>
        </w:r>
        <w:r w:rsidR="008A4C37">
          <w:rPr>
            <w:webHidden/>
          </w:rPr>
          <w:fldChar w:fldCharType="separate"/>
        </w:r>
        <w:r w:rsidR="00557666">
          <w:rPr>
            <w:webHidden/>
          </w:rPr>
          <w:t>2</w:t>
        </w:r>
        <w:r w:rsidR="008A4C37">
          <w:rPr>
            <w:webHidden/>
          </w:rPr>
          <w:fldChar w:fldCharType="end"/>
        </w:r>
      </w:hyperlink>
    </w:p>
    <w:p w:rsidR="008A4C37" w:rsidRDefault="00ED394A">
      <w:pPr>
        <w:pStyle w:val="TOC2"/>
        <w:rPr>
          <w:rFonts w:asciiTheme="minorHAnsi" w:eastAsiaTheme="minorEastAsia" w:hAnsiTheme="minorHAnsi"/>
          <w:iCs w:val="0"/>
          <w:sz w:val="22"/>
          <w:szCs w:val="22"/>
          <w:lang w:val="en-AU" w:eastAsia="en-AU"/>
        </w:rPr>
      </w:pPr>
      <w:hyperlink w:anchor="_Toc364945320" w:history="1">
        <w:r w:rsidR="008A4C37" w:rsidRPr="00732886">
          <w:rPr>
            <w:rStyle w:val="Hyperlink"/>
          </w:rPr>
          <w:t>6.1</w:t>
        </w:r>
        <w:r w:rsidR="008A4C37">
          <w:rPr>
            <w:rFonts w:asciiTheme="minorHAnsi" w:eastAsiaTheme="minorEastAsia" w:hAnsiTheme="minorHAnsi"/>
            <w:iCs w:val="0"/>
            <w:sz w:val="22"/>
            <w:szCs w:val="22"/>
            <w:lang w:val="en-AU" w:eastAsia="en-AU"/>
          </w:rPr>
          <w:tab/>
        </w:r>
        <w:r w:rsidR="008A4C37" w:rsidRPr="00732886">
          <w:rPr>
            <w:rStyle w:val="Hyperlink"/>
          </w:rPr>
          <w:t>Overview of Financial Statement</w:t>
        </w:r>
        <w:r w:rsidR="008A4C37">
          <w:rPr>
            <w:webHidden/>
          </w:rPr>
          <w:tab/>
        </w:r>
        <w:r w:rsidR="008A4C37">
          <w:rPr>
            <w:webHidden/>
          </w:rPr>
          <w:fldChar w:fldCharType="begin"/>
        </w:r>
        <w:r w:rsidR="008A4C37">
          <w:rPr>
            <w:webHidden/>
          </w:rPr>
          <w:instrText xml:space="preserve"> PAGEREF _Toc364945320 \h </w:instrText>
        </w:r>
        <w:r w:rsidR="008A4C37">
          <w:rPr>
            <w:webHidden/>
          </w:rPr>
        </w:r>
        <w:r w:rsidR="008A4C37">
          <w:rPr>
            <w:webHidden/>
          </w:rPr>
          <w:fldChar w:fldCharType="separate"/>
        </w:r>
        <w:r w:rsidR="00557666">
          <w:rPr>
            <w:webHidden/>
          </w:rPr>
          <w:t>2</w:t>
        </w:r>
        <w:r w:rsidR="008A4C37">
          <w:rPr>
            <w:webHidden/>
          </w:rPr>
          <w:fldChar w:fldCharType="end"/>
        </w:r>
      </w:hyperlink>
    </w:p>
    <w:p w:rsidR="008A4C37" w:rsidRDefault="00ED394A">
      <w:pPr>
        <w:pStyle w:val="TOC2"/>
        <w:rPr>
          <w:rFonts w:asciiTheme="minorHAnsi" w:eastAsiaTheme="minorEastAsia" w:hAnsiTheme="minorHAnsi"/>
          <w:iCs w:val="0"/>
          <w:sz w:val="22"/>
          <w:szCs w:val="22"/>
          <w:lang w:val="en-AU" w:eastAsia="en-AU"/>
        </w:rPr>
      </w:pPr>
      <w:hyperlink w:anchor="_Toc364945321" w:history="1">
        <w:r w:rsidR="008A4C37" w:rsidRPr="00732886">
          <w:rPr>
            <w:rStyle w:val="Hyperlink"/>
          </w:rPr>
          <w:t>6.2</w:t>
        </w:r>
        <w:r w:rsidR="008A4C37">
          <w:rPr>
            <w:rFonts w:asciiTheme="minorHAnsi" w:eastAsiaTheme="minorEastAsia" w:hAnsiTheme="minorHAnsi"/>
            <w:iCs w:val="0"/>
            <w:sz w:val="22"/>
            <w:szCs w:val="22"/>
            <w:lang w:val="en-AU" w:eastAsia="en-AU"/>
          </w:rPr>
          <w:tab/>
        </w:r>
        <w:r w:rsidR="008A4C37" w:rsidRPr="00732886">
          <w:rPr>
            <w:rStyle w:val="Hyperlink"/>
          </w:rPr>
          <w:t>Schedule of Asset Valuation</w:t>
        </w:r>
        <w:r w:rsidR="008A4C37">
          <w:rPr>
            <w:webHidden/>
          </w:rPr>
          <w:tab/>
        </w:r>
        <w:r w:rsidR="008A4C37">
          <w:rPr>
            <w:webHidden/>
          </w:rPr>
          <w:fldChar w:fldCharType="begin"/>
        </w:r>
        <w:r w:rsidR="008A4C37">
          <w:rPr>
            <w:webHidden/>
          </w:rPr>
          <w:instrText xml:space="preserve"> PAGEREF _Toc364945321 \h </w:instrText>
        </w:r>
        <w:r w:rsidR="008A4C37">
          <w:rPr>
            <w:webHidden/>
          </w:rPr>
        </w:r>
        <w:r w:rsidR="008A4C37">
          <w:rPr>
            <w:webHidden/>
          </w:rPr>
          <w:fldChar w:fldCharType="separate"/>
        </w:r>
        <w:r w:rsidR="00557666">
          <w:rPr>
            <w:webHidden/>
          </w:rPr>
          <w:t>2</w:t>
        </w:r>
        <w:r w:rsidR="008A4C37">
          <w:rPr>
            <w:webHidden/>
          </w:rPr>
          <w:fldChar w:fldCharType="end"/>
        </w:r>
      </w:hyperlink>
    </w:p>
    <w:p w:rsidR="008A4C37" w:rsidRDefault="00ED394A">
      <w:pPr>
        <w:pStyle w:val="TOC2"/>
        <w:rPr>
          <w:rFonts w:asciiTheme="minorHAnsi" w:eastAsiaTheme="minorEastAsia" w:hAnsiTheme="minorHAnsi"/>
          <w:iCs w:val="0"/>
          <w:sz w:val="22"/>
          <w:szCs w:val="22"/>
          <w:lang w:val="en-AU" w:eastAsia="en-AU"/>
        </w:rPr>
      </w:pPr>
      <w:hyperlink w:anchor="_Toc364945322" w:history="1">
        <w:r w:rsidR="008A4C37" w:rsidRPr="00732886">
          <w:rPr>
            <w:rStyle w:val="Hyperlink"/>
          </w:rPr>
          <w:t>6.3</w:t>
        </w:r>
        <w:r w:rsidR="008A4C37">
          <w:rPr>
            <w:rFonts w:asciiTheme="minorHAnsi" w:eastAsiaTheme="minorEastAsia" w:hAnsiTheme="minorHAnsi"/>
            <w:iCs w:val="0"/>
            <w:sz w:val="22"/>
            <w:szCs w:val="22"/>
            <w:lang w:val="en-AU" w:eastAsia="en-AU"/>
          </w:rPr>
          <w:tab/>
        </w:r>
        <w:r w:rsidR="008A4C37" w:rsidRPr="00732886">
          <w:rPr>
            <w:rStyle w:val="Hyperlink"/>
          </w:rPr>
          <w:t>Operational Expenditure (OPEX) Summary</w:t>
        </w:r>
        <w:r w:rsidR="008A4C37">
          <w:rPr>
            <w:webHidden/>
          </w:rPr>
          <w:tab/>
        </w:r>
        <w:r w:rsidR="008A4C37">
          <w:rPr>
            <w:webHidden/>
          </w:rPr>
          <w:fldChar w:fldCharType="begin"/>
        </w:r>
        <w:r w:rsidR="008A4C37">
          <w:rPr>
            <w:webHidden/>
          </w:rPr>
          <w:instrText xml:space="preserve"> PAGEREF _Toc364945322 \h </w:instrText>
        </w:r>
        <w:r w:rsidR="008A4C37">
          <w:rPr>
            <w:webHidden/>
          </w:rPr>
        </w:r>
        <w:r w:rsidR="008A4C37">
          <w:rPr>
            <w:webHidden/>
          </w:rPr>
          <w:fldChar w:fldCharType="separate"/>
        </w:r>
        <w:r w:rsidR="00557666">
          <w:rPr>
            <w:webHidden/>
          </w:rPr>
          <w:t>2</w:t>
        </w:r>
        <w:r w:rsidR="008A4C37">
          <w:rPr>
            <w:webHidden/>
          </w:rPr>
          <w:fldChar w:fldCharType="end"/>
        </w:r>
      </w:hyperlink>
    </w:p>
    <w:p w:rsidR="008A4C37" w:rsidRDefault="00ED394A">
      <w:pPr>
        <w:pStyle w:val="TOC3"/>
        <w:rPr>
          <w:rFonts w:asciiTheme="minorHAnsi" w:eastAsiaTheme="minorEastAsia" w:hAnsiTheme="minorHAnsi"/>
          <w:iCs w:val="0"/>
          <w:sz w:val="22"/>
          <w:szCs w:val="22"/>
          <w:lang w:val="en-AU" w:eastAsia="en-AU"/>
        </w:rPr>
      </w:pPr>
      <w:hyperlink w:anchor="_Toc364945323" w:history="1">
        <w:r w:rsidR="008A4C37" w:rsidRPr="00732886">
          <w:rPr>
            <w:rStyle w:val="Hyperlink"/>
          </w:rPr>
          <w:t>6.3.1</w:t>
        </w:r>
        <w:r w:rsidR="008A4C37">
          <w:rPr>
            <w:rFonts w:asciiTheme="minorHAnsi" w:eastAsiaTheme="minorEastAsia" w:hAnsiTheme="minorHAnsi"/>
            <w:iCs w:val="0"/>
            <w:sz w:val="22"/>
            <w:szCs w:val="22"/>
            <w:lang w:val="en-AU" w:eastAsia="en-AU"/>
          </w:rPr>
          <w:tab/>
        </w:r>
        <w:r w:rsidR="008A4C37" w:rsidRPr="00732886">
          <w:rPr>
            <w:rStyle w:val="Hyperlink"/>
          </w:rPr>
          <w:t>Operations and Maintenance Expenditure</w:t>
        </w:r>
        <w:r w:rsidR="008A4C37">
          <w:rPr>
            <w:webHidden/>
          </w:rPr>
          <w:tab/>
        </w:r>
        <w:r w:rsidR="008A4C37">
          <w:rPr>
            <w:webHidden/>
          </w:rPr>
          <w:fldChar w:fldCharType="begin"/>
        </w:r>
        <w:r w:rsidR="008A4C37">
          <w:rPr>
            <w:webHidden/>
          </w:rPr>
          <w:instrText xml:space="preserve"> PAGEREF _Toc364945323 \h </w:instrText>
        </w:r>
        <w:r w:rsidR="008A4C37">
          <w:rPr>
            <w:webHidden/>
          </w:rPr>
        </w:r>
        <w:r w:rsidR="008A4C37">
          <w:rPr>
            <w:webHidden/>
          </w:rPr>
          <w:fldChar w:fldCharType="separate"/>
        </w:r>
        <w:r w:rsidR="00557666">
          <w:rPr>
            <w:webHidden/>
          </w:rPr>
          <w:t>2</w:t>
        </w:r>
        <w:r w:rsidR="008A4C37">
          <w:rPr>
            <w:webHidden/>
          </w:rPr>
          <w:fldChar w:fldCharType="end"/>
        </w:r>
      </w:hyperlink>
    </w:p>
    <w:p w:rsidR="008A4C37" w:rsidRDefault="00ED394A">
      <w:pPr>
        <w:pStyle w:val="TOC2"/>
        <w:rPr>
          <w:rFonts w:asciiTheme="minorHAnsi" w:eastAsiaTheme="minorEastAsia" w:hAnsiTheme="minorHAnsi"/>
          <w:iCs w:val="0"/>
          <w:sz w:val="22"/>
          <w:szCs w:val="22"/>
          <w:lang w:val="en-AU" w:eastAsia="en-AU"/>
        </w:rPr>
      </w:pPr>
      <w:hyperlink w:anchor="_Toc364945324" w:history="1">
        <w:r w:rsidR="008A4C37" w:rsidRPr="00732886">
          <w:rPr>
            <w:rStyle w:val="Hyperlink"/>
          </w:rPr>
          <w:t>6.4</w:t>
        </w:r>
        <w:r w:rsidR="008A4C37">
          <w:rPr>
            <w:rFonts w:asciiTheme="minorHAnsi" w:eastAsiaTheme="minorEastAsia" w:hAnsiTheme="minorHAnsi"/>
            <w:iCs w:val="0"/>
            <w:sz w:val="22"/>
            <w:szCs w:val="22"/>
            <w:lang w:val="en-AU" w:eastAsia="en-AU"/>
          </w:rPr>
          <w:tab/>
        </w:r>
        <w:r w:rsidR="008A4C37" w:rsidRPr="00732886">
          <w:rPr>
            <w:rStyle w:val="Hyperlink"/>
          </w:rPr>
          <w:t>Capital Expenditure (CAPEX) Summary</w:t>
        </w:r>
        <w:r w:rsidR="008A4C37">
          <w:rPr>
            <w:webHidden/>
          </w:rPr>
          <w:tab/>
        </w:r>
        <w:r w:rsidR="008A4C37">
          <w:rPr>
            <w:webHidden/>
          </w:rPr>
          <w:fldChar w:fldCharType="begin"/>
        </w:r>
        <w:r w:rsidR="008A4C37">
          <w:rPr>
            <w:webHidden/>
          </w:rPr>
          <w:instrText xml:space="preserve"> PAGEREF _Toc364945324 \h </w:instrText>
        </w:r>
        <w:r w:rsidR="008A4C37">
          <w:rPr>
            <w:webHidden/>
          </w:rPr>
        </w:r>
        <w:r w:rsidR="008A4C37">
          <w:rPr>
            <w:webHidden/>
          </w:rPr>
          <w:fldChar w:fldCharType="separate"/>
        </w:r>
        <w:r w:rsidR="00557666">
          <w:rPr>
            <w:webHidden/>
          </w:rPr>
          <w:t>2</w:t>
        </w:r>
        <w:r w:rsidR="008A4C37">
          <w:rPr>
            <w:webHidden/>
          </w:rPr>
          <w:fldChar w:fldCharType="end"/>
        </w:r>
      </w:hyperlink>
    </w:p>
    <w:p w:rsidR="008A4C37" w:rsidRDefault="00ED394A">
      <w:pPr>
        <w:pStyle w:val="TOC3"/>
        <w:rPr>
          <w:rFonts w:asciiTheme="minorHAnsi" w:eastAsiaTheme="minorEastAsia" w:hAnsiTheme="minorHAnsi"/>
          <w:iCs w:val="0"/>
          <w:sz w:val="22"/>
          <w:szCs w:val="22"/>
          <w:lang w:val="en-AU" w:eastAsia="en-AU"/>
        </w:rPr>
      </w:pPr>
      <w:hyperlink w:anchor="_Toc364945325" w:history="1">
        <w:r w:rsidR="008A4C37" w:rsidRPr="00732886">
          <w:rPr>
            <w:rStyle w:val="Hyperlink"/>
          </w:rPr>
          <w:t>6.4.1</w:t>
        </w:r>
        <w:r w:rsidR="008A4C37">
          <w:rPr>
            <w:rFonts w:asciiTheme="minorHAnsi" w:eastAsiaTheme="minorEastAsia" w:hAnsiTheme="minorHAnsi"/>
            <w:iCs w:val="0"/>
            <w:sz w:val="22"/>
            <w:szCs w:val="22"/>
            <w:lang w:val="en-AU" w:eastAsia="en-AU"/>
          </w:rPr>
          <w:tab/>
        </w:r>
        <w:r w:rsidR="008A4C37" w:rsidRPr="00732886">
          <w:rPr>
            <w:rStyle w:val="Hyperlink"/>
          </w:rPr>
          <w:t>Capital Expenditure</w:t>
        </w:r>
        <w:r w:rsidR="008A4C37">
          <w:rPr>
            <w:webHidden/>
          </w:rPr>
          <w:tab/>
        </w:r>
        <w:r w:rsidR="008A4C37">
          <w:rPr>
            <w:webHidden/>
          </w:rPr>
          <w:fldChar w:fldCharType="begin"/>
        </w:r>
        <w:r w:rsidR="008A4C37">
          <w:rPr>
            <w:webHidden/>
          </w:rPr>
          <w:instrText xml:space="preserve"> PAGEREF _Toc364945325 \h </w:instrText>
        </w:r>
        <w:r w:rsidR="008A4C37">
          <w:rPr>
            <w:webHidden/>
          </w:rPr>
        </w:r>
        <w:r w:rsidR="008A4C37">
          <w:rPr>
            <w:webHidden/>
          </w:rPr>
          <w:fldChar w:fldCharType="separate"/>
        </w:r>
        <w:r w:rsidR="00557666">
          <w:rPr>
            <w:webHidden/>
          </w:rPr>
          <w:t>2</w:t>
        </w:r>
        <w:r w:rsidR="008A4C37">
          <w:rPr>
            <w:webHidden/>
          </w:rPr>
          <w:fldChar w:fldCharType="end"/>
        </w:r>
      </w:hyperlink>
    </w:p>
    <w:p w:rsidR="008A4C37" w:rsidRDefault="00ED394A">
      <w:pPr>
        <w:pStyle w:val="TOC3"/>
        <w:rPr>
          <w:rFonts w:asciiTheme="minorHAnsi" w:eastAsiaTheme="minorEastAsia" w:hAnsiTheme="minorHAnsi"/>
          <w:iCs w:val="0"/>
          <w:sz w:val="22"/>
          <w:szCs w:val="22"/>
          <w:lang w:val="en-AU" w:eastAsia="en-AU"/>
        </w:rPr>
      </w:pPr>
      <w:hyperlink w:anchor="_Toc364945326" w:history="1">
        <w:r w:rsidR="008A4C37" w:rsidRPr="00732886">
          <w:rPr>
            <w:rStyle w:val="Hyperlink"/>
          </w:rPr>
          <w:t>6.4.2</w:t>
        </w:r>
        <w:r w:rsidR="008A4C37">
          <w:rPr>
            <w:rFonts w:asciiTheme="minorHAnsi" w:eastAsiaTheme="minorEastAsia" w:hAnsiTheme="minorHAnsi"/>
            <w:iCs w:val="0"/>
            <w:sz w:val="22"/>
            <w:szCs w:val="22"/>
            <w:lang w:val="en-AU" w:eastAsia="en-AU"/>
          </w:rPr>
          <w:tab/>
        </w:r>
        <w:r w:rsidR="008A4C37" w:rsidRPr="00732886">
          <w:rPr>
            <w:rStyle w:val="Hyperlink"/>
          </w:rPr>
          <w:t>Financial and Condition Forecasts:</w:t>
        </w:r>
        <w:r w:rsidR="008A4C37">
          <w:rPr>
            <w:webHidden/>
          </w:rPr>
          <w:tab/>
        </w:r>
        <w:r w:rsidR="008A4C37">
          <w:rPr>
            <w:webHidden/>
          </w:rPr>
          <w:fldChar w:fldCharType="begin"/>
        </w:r>
        <w:r w:rsidR="008A4C37">
          <w:rPr>
            <w:webHidden/>
          </w:rPr>
          <w:instrText xml:space="preserve"> PAGEREF _Toc364945326 \h </w:instrText>
        </w:r>
        <w:r w:rsidR="008A4C37">
          <w:rPr>
            <w:webHidden/>
          </w:rPr>
        </w:r>
        <w:r w:rsidR="008A4C37">
          <w:rPr>
            <w:webHidden/>
          </w:rPr>
          <w:fldChar w:fldCharType="separate"/>
        </w:r>
        <w:r w:rsidR="00557666">
          <w:rPr>
            <w:webHidden/>
          </w:rPr>
          <w:t>2</w:t>
        </w:r>
        <w:r w:rsidR="008A4C37">
          <w:rPr>
            <w:webHidden/>
          </w:rPr>
          <w:fldChar w:fldCharType="end"/>
        </w:r>
      </w:hyperlink>
    </w:p>
    <w:p w:rsidR="008A4C37" w:rsidRDefault="00ED394A">
      <w:pPr>
        <w:pStyle w:val="TOC3"/>
        <w:rPr>
          <w:rFonts w:asciiTheme="minorHAnsi" w:eastAsiaTheme="minorEastAsia" w:hAnsiTheme="minorHAnsi"/>
          <w:iCs w:val="0"/>
          <w:sz w:val="22"/>
          <w:szCs w:val="22"/>
          <w:lang w:val="en-AU" w:eastAsia="en-AU"/>
        </w:rPr>
      </w:pPr>
      <w:hyperlink w:anchor="_Toc364945327" w:history="1">
        <w:r w:rsidR="008A4C37" w:rsidRPr="00732886">
          <w:rPr>
            <w:rStyle w:val="Hyperlink"/>
          </w:rPr>
          <w:t>6.4.3</w:t>
        </w:r>
        <w:r w:rsidR="008A4C37">
          <w:rPr>
            <w:rFonts w:asciiTheme="minorHAnsi" w:eastAsiaTheme="minorEastAsia" w:hAnsiTheme="minorHAnsi"/>
            <w:iCs w:val="0"/>
            <w:sz w:val="22"/>
            <w:szCs w:val="22"/>
            <w:lang w:val="en-AU" w:eastAsia="en-AU"/>
          </w:rPr>
          <w:tab/>
        </w:r>
        <w:r w:rsidR="008A4C37" w:rsidRPr="00732886">
          <w:rPr>
            <w:rStyle w:val="Hyperlink"/>
          </w:rPr>
          <w:t>Overall Buildings Funding Based on 10 Year Financial Plan</w:t>
        </w:r>
        <w:r w:rsidR="008A4C37">
          <w:rPr>
            <w:webHidden/>
          </w:rPr>
          <w:tab/>
        </w:r>
        <w:r w:rsidR="008A4C37">
          <w:rPr>
            <w:webHidden/>
          </w:rPr>
          <w:fldChar w:fldCharType="begin"/>
        </w:r>
        <w:r w:rsidR="008A4C37">
          <w:rPr>
            <w:webHidden/>
          </w:rPr>
          <w:instrText xml:space="preserve"> PAGEREF _Toc364945327 \h </w:instrText>
        </w:r>
        <w:r w:rsidR="008A4C37">
          <w:rPr>
            <w:webHidden/>
          </w:rPr>
        </w:r>
        <w:r w:rsidR="008A4C37">
          <w:rPr>
            <w:webHidden/>
          </w:rPr>
          <w:fldChar w:fldCharType="separate"/>
        </w:r>
        <w:r w:rsidR="00557666">
          <w:rPr>
            <w:webHidden/>
          </w:rPr>
          <w:t>2</w:t>
        </w:r>
        <w:r w:rsidR="008A4C37">
          <w:rPr>
            <w:webHidden/>
          </w:rPr>
          <w:fldChar w:fldCharType="end"/>
        </w:r>
      </w:hyperlink>
    </w:p>
    <w:p w:rsidR="008A4C37" w:rsidRDefault="00ED394A">
      <w:pPr>
        <w:pStyle w:val="TOC2"/>
        <w:rPr>
          <w:rFonts w:asciiTheme="minorHAnsi" w:eastAsiaTheme="minorEastAsia" w:hAnsiTheme="minorHAnsi"/>
          <w:iCs w:val="0"/>
          <w:sz w:val="22"/>
          <w:szCs w:val="22"/>
          <w:lang w:val="en-AU" w:eastAsia="en-AU"/>
        </w:rPr>
      </w:pPr>
      <w:hyperlink w:anchor="_Toc364945328" w:history="1">
        <w:r w:rsidR="008A4C37" w:rsidRPr="00732886">
          <w:rPr>
            <w:rStyle w:val="Hyperlink"/>
          </w:rPr>
          <w:t>6.5</w:t>
        </w:r>
        <w:r w:rsidR="008A4C37">
          <w:rPr>
            <w:rFonts w:asciiTheme="minorHAnsi" w:eastAsiaTheme="minorEastAsia" w:hAnsiTheme="minorHAnsi"/>
            <w:iCs w:val="0"/>
            <w:sz w:val="22"/>
            <w:szCs w:val="22"/>
            <w:lang w:val="en-AU" w:eastAsia="en-AU"/>
          </w:rPr>
          <w:tab/>
        </w:r>
        <w:r w:rsidR="008A4C37" w:rsidRPr="00732886">
          <w:rPr>
            <w:rStyle w:val="Hyperlink"/>
          </w:rPr>
          <w:t>Financial and Funding Strategies/Options</w:t>
        </w:r>
        <w:r w:rsidR="008A4C37">
          <w:rPr>
            <w:webHidden/>
          </w:rPr>
          <w:tab/>
        </w:r>
        <w:r w:rsidR="008A4C37">
          <w:rPr>
            <w:webHidden/>
          </w:rPr>
          <w:fldChar w:fldCharType="begin"/>
        </w:r>
        <w:r w:rsidR="008A4C37">
          <w:rPr>
            <w:webHidden/>
          </w:rPr>
          <w:instrText xml:space="preserve"> PAGEREF _Toc364945328 \h </w:instrText>
        </w:r>
        <w:r w:rsidR="008A4C37">
          <w:rPr>
            <w:webHidden/>
          </w:rPr>
        </w:r>
        <w:r w:rsidR="008A4C37">
          <w:rPr>
            <w:webHidden/>
          </w:rPr>
          <w:fldChar w:fldCharType="separate"/>
        </w:r>
        <w:r w:rsidR="00557666">
          <w:rPr>
            <w:webHidden/>
          </w:rPr>
          <w:t>2</w:t>
        </w:r>
        <w:r w:rsidR="008A4C37">
          <w:rPr>
            <w:webHidden/>
          </w:rPr>
          <w:fldChar w:fldCharType="end"/>
        </w:r>
      </w:hyperlink>
    </w:p>
    <w:p w:rsidR="008A4C37" w:rsidRDefault="00ED394A">
      <w:pPr>
        <w:pStyle w:val="TOC3"/>
        <w:rPr>
          <w:rFonts w:asciiTheme="minorHAnsi" w:eastAsiaTheme="minorEastAsia" w:hAnsiTheme="minorHAnsi"/>
          <w:iCs w:val="0"/>
          <w:sz w:val="22"/>
          <w:szCs w:val="22"/>
          <w:lang w:val="en-AU" w:eastAsia="en-AU"/>
        </w:rPr>
      </w:pPr>
      <w:hyperlink w:anchor="_Toc364945329" w:history="1">
        <w:r w:rsidR="008A4C37" w:rsidRPr="00732886">
          <w:rPr>
            <w:rStyle w:val="Hyperlink"/>
          </w:rPr>
          <w:t>6.5.1</w:t>
        </w:r>
        <w:r w:rsidR="008A4C37">
          <w:rPr>
            <w:rFonts w:asciiTheme="minorHAnsi" w:eastAsiaTheme="minorEastAsia" w:hAnsiTheme="minorHAnsi"/>
            <w:iCs w:val="0"/>
            <w:sz w:val="22"/>
            <w:szCs w:val="22"/>
            <w:lang w:val="en-AU" w:eastAsia="en-AU"/>
          </w:rPr>
          <w:tab/>
        </w:r>
        <w:r w:rsidR="008A4C37" w:rsidRPr="00732886">
          <w:rPr>
            <w:rStyle w:val="Hyperlink"/>
          </w:rPr>
          <w:t>Reduce the Number of Buildings</w:t>
        </w:r>
        <w:r w:rsidR="008A4C37">
          <w:rPr>
            <w:webHidden/>
          </w:rPr>
          <w:tab/>
        </w:r>
        <w:r w:rsidR="008A4C37">
          <w:rPr>
            <w:webHidden/>
          </w:rPr>
          <w:fldChar w:fldCharType="begin"/>
        </w:r>
        <w:r w:rsidR="008A4C37">
          <w:rPr>
            <w:webHidden/>
          </w:rPr>
          <w:instrText xml:space="preserve"> PAGEREF _Toc364945329 \h </w:instrText>
        </w:r>
        <w:r w:rsidR="008A4C37">
          <w:rPr>
            <w:webHidden/>
          </w:rPr>
        </w:r>
        <w:r w:rsidR="008A4C37">
          <w:rPr>
            <w:webHidden/>
          </w:rPr>
          <w:fldChar w:fldCharType="separate"/>
        </w:r>
        <w:r w:rsidR="00557666">
          <w:rPr>
            <w:webHidden/>
          </w:rPr>
          <w:t>2</w:t>
        </w:r>
        <w:r w:rsidR="008A4C37">
          <w:rPr>
            <w:webHidden/>
          </w:rPr>
          <w:fldChar w:fldCharType="end"/>
        </w:r>
      </w:hyperlink>
    </w:p>
    <w:p w:rsidR="008A4C37" w:rsidRDefault="00ED394A">
      <w:pPr>
        <w:pStyle w:val="TOC3"/>
        <w:rPr>
          <w:rFonts w:asciiTheme="minorHAnsi" w:eastAsiaTheme="minorEastAsia" w:hAnsiTheme="minorHAnsi"/>
          <w:iCs w:val="0"/>
          <w:sz w:val="22"/>
          <w:szCs w:val="22"/>
          <w:lang w:val="en-AU" w:eastAsia="en-AU"/>
        </w:rPr>
      </w:pPr>
      <w:hyperlink w:anchor="_Toc364945330" w:history="1">
        <w:r w:rsidR="008A4C37" w:rsidRPr="00732886">
          <w:rPr>
            <w:rStyle w:val="Hyperlink"/>
          </w:rPr>
          <w:t>6.5.2</w:t>
        </w:r>
        <w:r w:rsidR="008A4C37">
          <w:rPr>
            <w:rFonts w:asciiTheme="minorHAnsi" w:eastAsiaTheme="minorEastAsia" w:hAnsiTheme="minorHAnsi"/>
            <w:iCs w:val="0"/>
            <w:sz w:val="22"/>
            <w:szCs w:val="22"/>
            <w:lang w:val="en-AU" w:eastAsia="en-AU"/>
          </w:rPr>
          <w:tab/>
        </w:r>
        <w:r w:rsidR="008A4C37" w:rsidRPr="00732886">
          <w:rPr>
            <w:rStyle w:val="Hyperlink"/>
          </w:rPr>
          <w:t>Review Capital Works Renewal Allocations</w:t>
        </w:r>
        <w:r w:rsidR="008A4C37">
          <w:rPr>
            <w:webHidden/>
          </w:rPr>
          <w:tab/>
        </w:r>
        <w:r w:rsidR="008A4C37">
          <w:rPr>
            <w:webHidden/>
          </w:rPr>
          <w:fldChar w:fldCharType="begin"/>
        </w:r>
        <w:r w:rsidR="008A4C37">
          <w:rPr>
            <w:webHidden/>
          </w:rPr>
          <w:instrText xml:space="preserve"> PAGEREF _Toc364945330 \h </w:instrText>
        </w:r>
        <w:r w:rsidR="008A4C37">
          <w:rPr>
            <w:webHidden/>
          </w:rPr>
        </w:r>
        <w:r w:rsidR="008A4C37">
          <w:rPr>
            <w:webHidden/>
          </w:rPr>
          <w:fldChar w:fldCharType="separate"/>
        </w:r>
        <w:r w:rsidR="00557666">
          <w:rPr>
            <w:webHidden/>
          </w:rPr>
          <w:t>2</w:t>
        </w:r>
        <w:r w:rsidR="008A4C37">
          <w:rPr>
            <w:webHidden/>
          </w:rPr>
          <w:fldChar w:fldCharType="end"/>
        </w:r>
      </w:hyperlink>
    </w:p>
    <w:p w:rsidR="008A4C37" w:rsidRDefault="00ED394A">
      <w:pPr>
        <w:pStyle w:val="TOC3"/>
        <w:rPr>
          <w:rFonts w:asciiTheme="minorHAnsi" w:eastAsiaTheme="minorEastAsia" w:hAnsiTheme="minorHAnsi"/>
          <w:iCs w:val="0"/>
          <w:sz w:val="22"/>
          <w:szCs w:val="22"/>
          <w:lang w:val="en-AU" w:eastAsia="en-AU"/>
        </w:rPr>
      </w:pPr>
      <w:hyperlink w:anchor="_Toc364945331" w:history="1">
        <w:r w:rsidR="008A4C37" w:rsidRPr="00732886">
          <w:rPr>
            <w:rStyle w:val="Hyperlink"/>
          </w:rPr>
          <w:t>6.5.3</w:t>
        </w:r>
        <w:r w:rsidR="008A4C37">
          <w:rPr>
            <w:rFonts w:asciiTheme="minorHAnsi" w:eastAsiaTheme="minorEastAsia" w:hAnsiTheme="minorHAnsi"/>
            <w:iCs w:val="0"/>
            <w:sz w:val="22"/>
            <w:szCs w:val="22"/>
            <w:lang w:val="en-AU" w:eastAsia="en-AU"/>
          </w:rPr>
          <w:tab/>
        </w:r>
        <w:r w:rsidR="008A4C37" w:rsidRPr="00732886">
          <w:rPr>
            <w:rStyle w:val="Hyperlink"/>
          </w:rPr>
          <w:t>Increasing Council Rates</w:t>
        </w:r>
        <w:r w:rsidR="008A4C37">
          <w:rPr>
            <w:webHidden/>
          </w:rPr>
          <w:tab/>
        </w:r>
        <w:r w:rsidR="008A4C37">
          <w:rPr>
            <w:webHidden/>
          </w:rPr>
          <w:fldChar w:fldCharType="begin"/>
        </w:r>
        <w:r w:rsidR="008A4C37">
          <w:rPr>
            <w:webHidden/>
          </w:rPr>
          <w:instrText xml:space="preserve"> PAGEREF _Toc364945331 \h </w:instrText>
        </w:r>
        <w:r w:rsidR="008A4C37">
          <w:rPr>
            <w:webHidden/>
          </w:rPr>
        </w:r>
        <w:r w:rsidR="008A4C37">
          <w:rPr>
            <w:webHidden/>
          </w:rPr>
          <w:fldChar w:fldCharType="separate"/>
        </w:r>
        <w:r w:rsidR="00557666">
          <w:rPr>
            <w:webHidden/>
          </w:rPr>
          <w:t>2</w:t>
        </w:r>
        <w:r w:rsidR="008A4C37">
          <w:rPr>
            <w:webHidden/>
          </w:rPr>
          <w:fldChar w:fldCharType="end"/>
        </w:r>
      </w:hyperlink>
    </w:p>
    <w:p w:rsidR="008A4C37" w:rsidRDefault="00ED394A">
      <w:pPr>
        <w:pStyle w:val="TOC3"/>
        <w:rPr>
          <w:rFonts w:asciiTheme="minorHAnsi" w:eastAsiaTheme="minorEastAsia" w:hAnsiTheme="minorHAnsi"/>
          <w:iCs w:val="0"/>
          <w:sz w:val="22"/>
          <w:szCs w:val="22"/>
          <w:lang w:val="en-AU" w:eastAsia="en-AU"/>
        </w:rPr>
      </w:pPr>
      <w:hyperlink w:anchor="_Toc364945332" w:history="1">
        <w:r w:rsidR="008A4C37" w:rsidRPr="00732886">
          <w:rPr>
            <w:rStyle w:val="Hyperlink"/>
          </w:rPr>
          <w:t>6.5.4</w:t>
        </w:r>
        <w:r w:rsidR="008A4C37">
          <w:rPr>
            <w:rFonts w:asciiTheme="minorHAnsi" w:eastAsiaTheme="minorEastAsia" w:hAnsiTheme="minorHAnsi"/>
            <w:iCs w:val="0"/>
            <w:sz w:val="22"/>
            <w:szCs w:val="22"/>
            <w:lang w:val="en-AU" w:eastAsia="en-AU"/>
          </w:rPr>
          <w:tab/>
        </w:r>
        <w:r w:rsidR="008A4C37" w:rsidRPr="00732886">
          <w:rPr>
            <w:rStyle w:val="Hyperlink"/>
          </w:rPr>
          <w:t>Increasing Council Borrowings</w:t>
        </w:r>
        <w:r w:rsidR="008A4C37">
          <w:rPr>
            <w:webHidden/>
          </w:rPr>
          <w:tab/>
        </w:r>
        <w:r w:rsidR="008A4C37">
          <w:rPr>
            <w:webHidden/>
          </w:rPr>
          <w:fldChar w:fldCharType="begin"/>
        </w:r>
        <w:r w:rsidR="008A4C37">
          <w:rPr>
            <w:webHidden/>
          </w:rPr>
          <w:instrText xml:space="preserve"> PAGEREF _Toc364945332 \h </w:instrText>
        </w:r>
        <w:r w:rsidR="008A4C37">
          <w:rPr>
            <w:webHidden/>
          </w:rPr>
        </w:r>
        <w:r w:rsidR="008A4C37">
          <w:rPr>
            <w:webHidden/>
          </w:rPr>
          <w:fldChar w:fldCharType="separate"/>
        </w:r>
        <w:r w:rsidR="00557666">
          <w:rPr>
            <w:webHidden/>
          </w:rPr>
          <w:t>2</w:t>
        </w:r>
        <w:r w:rsidR="008A4C37">
          <w:rPr>
            <w:webHidden/>
          </w:rPr>
          <w:fldChar w:fldCharType="end"/>
        </w:r>
      </w:hyperlink>
    </w:p>
    <w:p w:rsidR="008A4C37" w:rsidRDefault="00ED394A">
      <w:pPr>
        <w:pStyle w:val="TOC3"/>
        <w:rPr>
          <w:rFonts w:asciiTheme="minorHAnsi" w:eastAsiaTheme="minorEastAsia" w:hAnsiTheme="minorHAnsi"/>
          <w:iCs w:val="0"/>
          <w:sz w:val="22"/>
          <w:szCs w:val="22"/>
          <w:lang w:val="en-AU" w:eastAsia="en-AU"/>
        </w:rPr>
      </w:pPr>
      <w:hyperlink w:anchor="_Toc364945333" w:history="1">
        <w:r w:rsidR="008A4C37" w:rsidRPr="00732886">
          <w:rPr>
            <w:rStyle w:val="Hyperlink"/>
          </w:rPr>
          <w:t>6.5.5</w:t>
        </w:r>
        <w:r w:rsidR="008A4C37">
          <w:rPr>
            <w:rFonts w:asciiTheme="minorHAnsi" w:eastAsiaTheme="minorEastAsia" w:hAnsiTheme="minorHAnsi"/>
            <w:iCs w:val="0"/>
            <w:sz w:val="22"/>
            <w:szCs w:val="22"/>
            <w:lang w:val="en-AU" w:eastAsia="en-AU"/>
          </w:rPr>
          <w:tab/>
        </w:r>
        <w:r w:rsidR="008A4C37" w:rsidRPr="00732886">
          <w:rPr>
            <w:rStyle w:val="Hyperlink"/>
          </w:rPr>
          <w:t>Seeking Private Sector Partnership Opportunities</w:t>
        </w:r>
        <w:r w:rsidR="008A4C37">
          <w:rPr>
            <w:webHidden/>
          </w:rPr>
          <w:tab/>
        </w:r>
        <w:r w:rsidR="008A4C37">
          <w:rPr>
            <w:webHidden/>
          </w:rPr>
          <w:fldChar w:fldCharType="begin"/>
        </w:r>
        <w:r w:rsidR="008A4C37">
          <w:rPr>
            <w:webHidden/>
          </w:rPr>
          <w:instrText xml:space="preserve"> PAGEREF _Toc364945333 \h </w:instrText>
        </w:r>
        <w:r w:rsidR="008A4C37">
          <w:rPr>
            <w:webHidden/>
          </w:rPr>
        </w:r>
        <w:r w:rsidR="008A4C37">
          <w:rPr>
            <w:webHidden/>
          </w:rPr>
          <w:fldChar w:fldCharType="separate"/>
        </w:r>
        <w:r w:rsidR="00557666">
          <w:rPr>
            <w:webHidden/>
          </w:rPr>
          <w:t>2</w:t>
        </w:r>
        <w:r w:rsidR="008A4C37">
          <w:rPr>
            <w:webHidden/>
          </w:rPr>
          <w:fldChar w:fldCharType="end"/>
        </w:r>
      </w:hyperlink>
    </w:p>
    <w:p w:rsidR="008A4C37" w:rsidRDefault="00ED394A">
      <w:pPr>
        <w:pStyle w:val="TOC3"/>
        <w:rPr>
          <w:rFonts w:asciiTheme="minorHAnsi" w:eastAsiaTheme="minorEastAsia" w:hAnsiTheme="minorHAnsi"/>
          <w:iCs w:val="0"/>
          <w:sz w:val="22"/>
          <w:szCs w:val="22"/>
          <w:lang w:val="en-AU" w:eastAsia="en-AU"/>
        </w:rPr>
      </w:pPr>
      <w:hyperlink w:anchor="_Toc364945334" w:history="1">
        <w:r w:rsidR="008A4C37" w:rsidRPr="00732886">
          <w:rPr>
            <w:rStyle w:val="Hyperlink"/>
          </w:rPr>
          <w:t>6.5.6</w:t>
        </w:r>
        <w:r w:rsidR="008A4C37">
          <w:rPr>
            <w:rFonts w:asciiTheme="minorHAnsi" w:eastAsiaTheme="minorEastAsia" w:hAnsiTheme="minorHAnsi"/>
            <w:iCs w:val="0"/>
            <w:sz w:val="22"/>
            <w:szCs w:val="22"/>
            <w:lang w:val="en-AU" w:eastAsia="en-AU"/>
          </w:rPr>
          <w:tab/>
        </w:r>
        <w:r w:rsidR="008A4C37" w:rsidRPr="00732886">
          <w:rPr>
            <w:rStyle w:val="Hyperlink"/>
          </w:rPr>
          <w:t>Advocating for State and Federal Government Funding</w:t>
        </w:r>
        <w:r w:rsidR="008A4C37">
          <w:rPr>
            <w:webHidden/>
          </w:rPr>
          <w:tab/>
        </w:r>
        <w:r w:rsidR="008A4C37">
          <w:rPr>
            <w:webHidden/>
          </w:rPr>
          <w:fldChar w:fldCharType="begin"/>
        </w:r>
        <w:r w:rsidR="008A4C37">
          <w:rPr>
            <w:webHidden/>
          </w:rPr>
          <w:instrText xml:space="preserve"> PAGEREF _Toc364945334 \h </w:instrText>
        </w:r>
        <w:r w:rsidR="008A4C37">
          <w:rPr>
            <w:webHidden/>
          </w:rPr>
        </w:r>
        <w:r w:rsidR="008A4C37">
          <w:rPr>
            <w:webHidden/>
          </w:rPr>
          <w:fldChar w:fldCharType="separate"/>
        </w:r>
        <w:r w:rsidR="00557666">
          <w:rPr>
            <w:webHidden/>
          </w:rPr>
          <w:t>2</w:t>
        </w:r>
        <w:r w:rsidR="008A4C37">
          <w:rPr>
            <w:webHidden/>
          </w:rPr>
          <w:fldChar w:fldCharType="end"/>
        </w:r>
      </w:hyperlink>
    </w:p>
    <w:p w:rsidR="008A4C37" w:rsidRDefault="00ED394A">
      <w:pPr>
        <w:pStyle w:val="TOC3"/>
        <w:rPr>
          <w:rFonts w:asciiTheme="minorHAnsi" w:eastAsiaTheme="minorEastAsia" w:hAnsiTheme="minorHAnsi"/>
          <w:iCs w:val="0"/>
          <w:sz w:val="22"/>
          <w:szCs w:val="22"/>
          <w:lang w:val="en-AU" w:eastAsia="en-AU"/>
        </w:rPr>
      </w:pPr>
      <w:hyperlink w:anchor="_Toc364945335" w:history="1">
        <w:r w:rsidR="008A4C37" w:rsidRPr="00732886">
          <w:rPr>
            <w:rStyle w:val="Hyperlink"/>
          </w:rPr>
          <w:t>6.5.7</w:t>
        </w:r>
        <w:r w:rsidR="008A4C37">
          <w:rPr>
            <w:rFonts w:asciiTheme="minorHAnsi" w:eastAsiaTheme="minorEastAsia" w:hAnsiTheme="minorHAnsi"/>
            <w:iCs w:val="0"/>
            <w:sz w:val="22"/>
            <w:szCs w:val="22"/>
            <w:lang w:val="en-AU" w:eastAsia="en-AU"/>
          </w:rPr>
          <w:tab/>
        </w:r>
        <w:r w:rsidR="008A4C37" w:rsidRPr="00732886">
          <w:rPr>
            <w:rStyle w:val="Hyperlink"/>
          </w:rPr>
          <w:t>Temporarily Suspending New Initiative Projects</w:t>
        </w:r>
        <w:r w:rsidR="008A4C37">
          <w:rPr>
            <w:webHidden/>
          </w:rPr>
          <w:tab/>
        </w:r>
        <w:r w:rsidR="008A4C37">
          <w:rPr>
            <w:webHidden/>
          </w:rPr>
          <w:fldChar w:fldCharType="begin"/>
        </w:r>
        <w:r w:rsidR="008A4C37">
          <w:rPr>
            <w:webHidden/>
          </w:rPr>
          <w:instrText xml:space="preserve"> PAGEREF _Toc364945335 \h </w:instrText>
        </w:r>
        <w:r w:rsidR="008A4C37">
          <w:rPr>
            <w:webHidden/>
          </w:rPr>
        </w:r>
        <w:r w:rsidR="008A4C37">
          <w:rPr>
            <w:webHidden/>
          </w:rPr>
          <w:fldChar w:fldCharType="separate"/>
        </w:r>
        <w:r w:rsidR="00557666">
          <w:rPr>
            <w:webHidden/>
          </w:rPr>
          <w:t>2</w:t>
        </w:r>
        <w:r w:rsidR="008A4C37">
          <w:rPr>
            <w:webHidden/>
          </w:rPr>
          <w:fldChar w:fldCharType="end"/>
        </w:r>
      </w:hyperlink>
    </w:p>
    <w:p w:rsidR="008A4C37" w:rsidRDefault="00ED394A">
      <w:pPr>
        <w:pStyle w:val="TOC2"/>
        <w:rPr>
          <w:rFonts w:asciiTheme="minorHAnsi" w:eastAsiaTheme="minorEastAsia" w:hAnsiTheme="minorHAnsi"/>
          <w:iCs w:val="0"/>
          <w:sz w:val="22"/>
          <w:szCs w:val="22"/>
          <w:lang w:val="en-AU" w:eastAsia="en-AU"/>
        </w:rPr>
      </w:pPr>
      <w:hyperlink w:anchor="_Toc364945336" w:history="1">
        <w:r w:rsidR="008A4C37" w:rsidRPr="00732886">
          <w:rPr>
            <w:rStyle w:val="Hyperlink"/>
          </w:rPr>
          <w:t>6.6</w:t>
        </w:r>
        <w:r w:rsidR="008A4C37">
          <w:rPr>
            <w:rFonts w:asciiTheme="minorHAnsi" w:eastAsiaTheme="minorEastAsia" w:hAnsiTheme="minorHAnsi"/>
            <w:iCs w:val="0"/>
            <w:sz w:val="22"/>
            <w:szCs w:val="22"/>
            <w:lang w:val="en-AU" w:eastAsia="en-AU"/>
          </w:rPr>
          <w:tab/>
        </w:r>
        <w:r w:rsidR="008A4C37" w:rsidRPr="00732886">
          <w:rPr>
            <w:rStyle w:val="Hyperlink"/>
            <w:lang w:val="en-AU" w:eastAsia="en-AU"/>
          </w:rPr>
          <w:t xml:space="preserve">Significant Forecasting </w:t>
        </w:r>
        <w:r w:rsidR="008A4C37" w:rsidRPr="00732886">
          <w:rPr>
            <w:rStyle w:val="Hyperlink"/>
          </w:rPr>
          <w:t>Assumptions, Risks and Issues</w:t>
        </w:r>
        <w:r w:rsidR="008A4C37">
          <w:rPr>
            <w:webHidden/>
          </w:rPr>
          <w:tab/>
        </w:r>
        <w:r w:rsidR="008A4C37">
          <w:rPr>
            <w:webHidden/>
          </w:rPr>
          <w:fldChar w:fldCharType="begin"/>
        </w:r>
        <w:r w:rsidR="008A4C37">
          <w:rPr>
            <w:webHidden/>
          </w:rPr>
          <w:instrText xml:space="preserve"> PAGEREF _Toc364945336 \h </w:instrText>
        </w:r>
        <w:r w:rsidR="008A4C37">
          <w:rPr>
            <w:webHidden/>
          </w:rPr>
        </w:r>
        <w:r w:rsidR="008A4C37">
          <w:rPr>
            <w:webHidden/>
          </w:rPr>
          <w:fldChar w:fldCharType="separate"/>
        </w:r>
        <w:r w:rsidR="00557666">
          <w:rPr>
            <w:webHidden/>
          </w:rPr>
          <w:t>2</w:t>
        </w:r>
        <w:r w:rsidR="008A4C37">
          <w:rPr>
            <w:webHidden/>
          </w:rPr>
          <w:fldChar w:fldCharType="end"/>
        </w:r>
      </w:hyperlink>
    </w:p>
    <w:p w:rsidR="008A4C37" w:rsidRDefault="00ED394A">
      <w:pPr>
        <w:pStyle w:val="TOC3"/>
        <w:rPr>
          <w:rFonts w:asciiTheme="minorHAnsi" w:eastAsiaTheme="minorEastAsia" w:hAnsiTheme="minorHAnsi"/>
          <w:iCs w:val="0"/>
          <w:sz w:val="22"/>
          <w:szCs w:val="22"/>
          <w:lang w:val="en-AU" w:eastAsia="en-AU"/>
        </w:rPr>
      </w:pPr>
      <w:hyperlink w:anchor="_Toc364945337" w:history="1">
        <w:r w:rsidR="008A4C37" w:rsidRPr="00732886">
          <w:rPr>
            <w:rStyle w:val="Hyperlink"/>
          </w:rPr>
          <w:t>6.6.1</w:t>
        </w:r>
        <w:r w:rsidR="008A4C37">
          <w:rPr>
            <w:rFonts w:asciiTheme="minorHAnsi" w:eastAsiaTheme="minorEastAsia" w:hAnsiTheme="minorHAnsi"/>
            <w:iCs w:val="0"/>
            <w:sz w:val="22"/>
            <w:szCs w:val="22"/>
            <w:lang w:val="en-AU" w:eastAsia="en-AU"/>
          </w:rPr>
          <w:tab/>
        </w:r>
        <w:r w:rsidR="008A4C37" w:rsidRPr="00732886">
          <w:rPr>
            <w:rStyle w:val="Hyperlink"/>
          </w:rPr>
          <w:t>Key Assumptions</w:t>
        </w:r>
        <w:r w:rsidR="008A4C37">
          <w:rPr>
            <w:webHidden/>
          </w:rPr>
          <w:tab/>
        </w:r>
        <w:r w:rsidR="008A4C37">
          <w:rPr>
            <w:webHidden/>
          </w:rPr>
          <w:fldChar w:fldCharType="begin"/>
        </w:r>
        <w:r w:rsidR="008A4C37">
          <w:rPr>
            <w:webHidden/>
          </w:rPr>
          <w:instrText xml:space="preserve"> PAGEREF _Toc364945337 \h </w:instrText>
        </w:r>
        <w:r w:rsidR="008A4C37">
          <w:rPr>
            <w:webHidden/>
          </w:rPr>
        </w:r>
        <w:r w:rsidR="008A4C37">
          <w:rPr>
            <w:webHidden/>
          </w:rPr>
          <w:fldChar w:fldCharType="separate"/>
        </w:r>
        <w:r w:rsidR="00557666">
          <w:rPr>
            <w:webHidden/>
          </w:rPr>
          <w:t>2</w:t>
        </w:r>
        <w:r w:rsidR="008A4C37">
          <w:rPr>
            <w:webHidden/>
          </w:rPr>
          <w:fldChar w:fldCharType="end"/>
        </w:r>
      </w:hyperlink>
    </w:p>
    <w:p w:rsidR="008A4C37" w:rsidRDefault="00ED394A">
      <w:pPr>
        <w:pStyle w:val="TOC3"/>
        <w:rPr>
          <w:rFonts w:asciiTheme="minorHAnsi" w:eastAsiaTheme="minorEastAsia" w:hAnsiTheme="minorHAnsi"/>
          <w:iCs w:val="0"/>
          <w:sz w:val="22"/>
          <w:szCs w:val="22"/>
          <w:lang w:val="en-AU" w:eastAsia="en-AU"/>
        </w:rPr>
      </w:pPr>
      <w:hyperlink w:anchor="_Toc364945338" w:history="1">
        <w:r w:rsidR="008A4C37" w:rsidRPr="00732886">
          <w:rPr>
            <w:rStyle w:val="Hyperlink"/>
          </w:rPr>
          <w:t>6.6.2</w:t>
        </w:r>
        <w:r w:rsidR="008A4C37">
          <w:rPr>
            <w:rFonts w:asciiTheme="minorHAnsi" w:eastAsiaTheme="minorEastAsia" w:hAnsiTheme="minorHAnsi"/>
            <w:iCs w:val="0"/>
            <w:sz w:val="22"/>
            <w:szCs w:val="22"/>
            <w:lang w:val="en-AU" w:eastAsia="en-AU"/>
          </w:rPr>
          <w:tab/>
        </w:r>
        <w:r w:rsidR="008A4C37" w:rsidRPr="00732886">
          <w:rPr>
            <w:rStyle w:val="Hyperlink"/>
          </w:rPr>
          <w:t>Reliability and Confidence in Financial Estimates</w:t>
        </w:r>
        <w:r w:rsidR="008A4C37">
          <w:rPr>
            <w:webHidden/>
          </w:rPr>
          <w:tab/>
        </w:r>
        <w:r w:rsidR="008A4C37">
          <w:rPr>
            <w:webHidden/>
          </w:rPr>
          <w:fldChar w:fldCharType="begin"/>
        </w:r>
        <w:r w:rsidR="008A4C37">
          <w:rPr>
            <w:webHidden/>
          </w:rPr>
          <w:instrText xml:space="preserve"> PAGEREF _Toc364945338 \h </w:instrText>
        </w:r>
        <w:r w:rsidR="008A4C37">
          <w:rPr>
            <w:webHidden/>
          </w:rPr>
        </w:r>
        <w:r w:rsidR="008A4C37">
          <w:rPr>
            <w:webHidden/>
          </w:rPr>
          <w:fldChar w:fldCharType="separate"/>
        </w:r>
        <w:r w:rsidR="00557666">
          <w:rPr>
            <w:webHidden/>
          </w:rPr>
          <w:t>2</w:t>
        </w:r>
        <w:r w:rsidR="008A4C37">
          <w:rPr>
            <w:webHidden/>
          </w:rPr>
          <w:fldChar w:fldCharType="end"/>
        </w:r>
      </w:hyperlink>
    </w:p>
    <w:p w:rsidR="008A4C37" w:rsidRDefault="00ED394A">
      <w:pPr>
        <w:pStyle w:val="TOC1"/>
        <w:rPr>
          <w:rFonts w:asciiTheme="minorHAnsi" w:eastAsiaTheme="minorEastAsia" w:hAnsiTheme="minorHAnsi"/>
          <w:b w:val="0"/>
          <w:sz w:val="22"/>
          <w:szCs w:val="22"/>
        </w:rPr>
      </w:pPr>
      <w:hyperlink w:anchor="_Toc364945339" w:history="1">
        <w:r w:rsidR="008A4C37" w:rsidRPr="00732886">
          <w:rPr>
            <w:rStyle w:val="Hyperlink"/>
          </w:rPr>
          <w:t>7</w:t>
        </w:r>
        <w:r w:rsidR="008A4C37">
          <w:rPr>
            <w:rFonts w:asciiTheme="minorHAnsi" w:eastAsiaTheme="minorEastAsia" w:hAnsiTheme="minorHAnsi"/>
            <w:b w:val="0"/>
            <w:sz w:val="22"/>
            <w:szCs w:val="22"/>
          </w:rPr>
          <w:tab/>
        </w:r>
        <w:r w:rsidR="008A4C37" w:rsidRPr="00732886">
          <w:rPr>
            <w:rStyle w:val="Hyperlink"/>
          </w:rPr>
          <w:t>Risk Management</w:t>
        </w:r>
        <w:r w:rsidR="008A4C37">
          <w:rPr>
            <w:webHidden/>
          </w:rPr>
          <w:tab/>
        </w:r>
        <w:r w:rsidR="008A4C37">
          <w:rPr>
            <w:webHidden/>
          </w:rPr>
          <w:fldChar w:fldCharType="begin"/>
        </w:r>
        <w:r w:rsidR="008A4C37">
          <w:rPr>
            <w:webHidden/>
          </w:rPr>
          <w:instrText xml:space="preserve"> PAGEREF _Toc364945339 \h </w:instrText>
        </w:r>
        <w:r w:rsidR="008A4C37">
          <w:rPr>
            <w:webHidden/>
          </w:rPr>
        </w:r>
        <w:r w:rsidR="008A4C37">
          <w:rPr>
            <w:webHidden/>
          </w:rPr>
          <w:fldChar w:fldCharType="separate"/>
        </w:r>
        <w:r w:rsidR="00557666">
          <w:rPr>
            <w:webHidden/>
          </w:rPr>
          <w:t>2</w:t>
        </w:r>
        <w:r w:rsidR="008A4C37">
          <w:rPr>
            <w:webHidden/>
          </w:rPr>
          <w:fldChar w:fldCharType="end"/>
        </w:r>
      </w:hyperlink>
    </w:p>
    <w:p w:rsidR="008A4C37" w:rsidRDefault="00ED394A">
      <w:pPr>
        <w:pStyle w:val="TOC2"/>
        <w:rPr>
          <w:rFonts w:asciiTheme="minorHAnsi" w:eastAsiaTheme="minorEastAsia" w:hAnsiTheme="minorHAnsi"/>
          <w:iCs w:val="0"/>
          <w:sz w:val="22"/>
          <w:szCs w:val="22"/>
          <w:lang w:val="en-AU" w:eastAsia="en-AU"/>
        </w:rPr>
      </w:pPr>
      <w:hyperlink w:anchor="_Toc364945340" w:history="1">
        <w:r w:rsidR="008A4C37" w:rsidRPr="00732886">
          <w:rPr>
            <w:rStyle w:val="Hyperlink"/>
          </w:rPr>
          <w:t>7.1</w:t>
        </w:r>
        <w:r w:rsidR="008A4C37">
          <w:rPr>
            <w:rFonts w:asciiTheme="minorHAnsi" w:eastAsiaTheme="minorEastAsia" w:hAnsiTheme="minorHAnsi"/>
            <w:iCs w:val="0"/>
            <w:sz w:val="22"/>
            <w:szCs w:val="22"/>
            <w:lang w:val="en-AU" w:eastAsia="en-AU"/>
          </w:rPr>
          <w:tab/>
        </w:r>
        <w:r w:rsidR="008A4C37" w:rsidRPr="00732886">
          <w:rPr>
            <w:rStyle w:val="Hyperlink"/>
          </w:rPr>
          <w:t>Overview</w:t>
        </w:r>
        <w:r w:rsidR="008A4C37">
          <w:rPr>
            <w:webHidden/>
          </w:rPr>
          <w:tab/>
        </w:r>
        <w:r w:rsidR="008A4C37">
          <w:rPr>
            <w:webHidden/>
          </w:rPr>
          <w:fldChar w:fldCharType="begin"/>
        </w:r>
        <w:r w:rsidR="008A4C37">
          <w:rPr>
            <w:webHidden/>
          </w:rPr>
          <w:instrText xml:space="preserve"> PAGEREF _Toc364945340 \h </w:instrText>
        </w:r>
        <w:r w:rsidR="008A4C37">
          <w:rPr>
            <w:webHidden/>
          </w:rPr>
        </w:r>
        <w:r w:rsidR="008A4C37">
          <w:rPr>
            <w:webHidden/>
          </w:rPr>
          <w:fldChar w:fldCharType="separate"/>
        </w:r>
        <w:r w:rsidR="00557666">
          <w:rPr>
            <w:webHidden/>
          </w:rPr>
          <w:t>2</w:t>
        </w:r>
        <w:r w:rsidR="008A4C37">
          <w:rPr>
            <w:webHidden/>
          </w:rPr>
          <w:fldChar w:fldCharType="end"/>
        </w:r>
      </w:hyperlink>
    </w:p>
    <w:p w:rsidR="008A4C37" w:rsidRDefault="00ED394A">
      <w:pPr>
        <w:pStyle w:val="TOC3"/>
        <w:rPr>
          <w:rFonts w:asciiTheme="minorHAnsi" w:eastAsiaTheme="minorEastAsia" w:hAnsiTheme="minorHAnsi"/>
          <w:iCs w:val="0"/>
          <w:sz w:val="22"/>
          <w:szCs w:val="22"/>
          <w:lang w:val="en-AU" w:eastAsia="en-AU"/>
        </w:rPr>
      </w:pPr>
      <w:hyperlink w:anchor="_Toc364945341" w:history="1">
        <w:r w:rsidR="008A4C37" w:rsidRPr="00732886">
          <w:rPr>
            <w:rStyle w:val="Hyperlink"/>
          </w:rPr>
          <w:t>7.1.1</w:t>
        </w:r>
        <w:r w:rsidR="008A4C37">
          <w:rPr>
            <w:rFonts w:asciiTheme="minorHAnsi" w:eastAsiaTheme="minorEastAsia" w:hAnsiTheme="minorHAnsi"/>
            <w:iCs w:val="0"/>
            <w:sz w:val="22"/>
            <w:szCs w:val="22"/>
            <w:lang w:val="en-AU" w:eastAsia="en-AU"/>
          </w:rPr>
          <w:tab/>
        </w:r>
        <w:r w:rsidR="008A4C37" w:rsidRPr="00732886">
          <w:rPr>
            <w:rStyle w:val="Hyperlink"/>
          </w:rPr>
          <w:t>Risk Management within Council</w:t>
        </w:r>
        <w:r w:rsidR="008A4C37">
          <w:rPr>
            <w:webHidden/>
          </w:rPr>
          <w:tab/>
        </w:r>
        <w:r w:rsidR="008A4C37">
          <w:rPr>
            <w:webHidden/>
          </w:rPr>
          <w:fldChar w:fldCharType="begin"/>
        </w:r>
        <w:r w:rsidR="008A4C37">
          <w:rPr>
            <w:webHidden/>
          </w:rPr>
          <w:instrText xml:space="preserve"> PAGEREF _Toc364945341 \h </w:instrText>
        </w:r>
        <w:r w:rsidR="008A4C37">
          <w:rPr>
            <w:webHidden/>
          </w:rPr>
        </w:r>
        <w:r w:rsidR="008A4C37">
          <w:rPr>
            <w:webHidden/>
          </w:rPr>
          <w:fldChar w:fldCharType="separate"/>
        </w:r>
        <w:r w:rsidR="00557666">
          <w:rPr>
            <w:webHidden/>
          </w:rPr>
          <w:t>2</w:t>
        </w:r>
        <w:r w:rsidR="008A4C37">
          <w:rPr>
            <w:webHidden/>
          </w:rPr>
          <w:fldChar w:fldCharType="end"/>
        </w:r>
      </w:hyperlink>
    </w:p>
    <w:p w:rsidR="008A4C37" w:rsidRDefault="00ED394A">
      <w:pPr>
        <w:pStyle w:val="TOC3"/>
        <w:rPr>
          <w:rFonts w:asciiTheme="minorHAnsi" w:eastAsiaTheme="minorEastAsia" w:hAnsiTheme="minorHAnsi"/>
          <w:iCs w:val="0"/>
          <w:sz w:val="22"/>
          <w:szCs w:val="22"/>
          <w:lang w:val="en-AU" w:eastAsia="en-AU"/>
        </w:rPr>
      </w:pPr>
      <w:hyperlink w:anchor="_Toc364945342" w:history="1">
        <w:r w:rsidR="008A4C37" w:rsidRPr="00732886">
          <w:rPr>
            <w:rStyle w:val="Hyperlink"/>
          </w:rPr>
          <w:t>7.1.2</w:t>
        </w:r>
        <w:r w:rsidR="008A4C37">
          <w:rPr>
            <w:rFonts w:asciiTheme="minorHAnsi" w:eastAsiaTheme="minorEastAsia" w:hAnsiTheme="minorHAnsi"/>
            <w:iCs w:val="0"/>
            <w:sz w:val="22"/>
            <w:szCs w:val="22"/>
            <w:lang w:val="en-AU" w:eastAsia="en-AU"/>
          </w:rPr>
          <w:tab/>
        </w:r>
        <w:r w:rsidR="008A4C37" w:rsidRPr="00732886">
          <w:rPr>
            <w:rStyle w:val="Hyperlink"/>
          </w:rPr>
          <w:t>Risk Management Framework</w:t>
        </w:r>
        <w:r w:rsidR="008A4C37">
          <w:rPr>
            <w:webHidden/>
          </w:rPr>
          <w:tab/>
        </w:r>
        <w:r w:rsidR="008A4C37">
          <w:rPr>
            <w:webHidden/>
          </w:rPr>
          <w:fldChar w:fldCharType="begin"/>
        </w:r>
        <w:r w:rsidR="008A4C37">
          <w:rPr>
            <w:webHidden/>
          </w:rPr>
          <w:instrText xml:space="preserve"> PAGEREF _Toc364945342 \h </w:instrText>
        </w:r>
        <w:r w:rsidR="008A4C37">
          <w:rPr>
            <w:webHidden/>
          </w:rPr>
        </w:r>
        <w:r w:rsidR="008A4C37">
          <w:rPr>
            <w:webHidden/>
          </w:rPr>
          <w:fldChar w:fldCharType="separate"/>
        </w:r>
        <w:r w:rsidR="00557666">
          <w:rPr>
            <w:webHidden/>
          </w:rPr>
          <w:t>2</w:t>
        </w:r>
        <w:r w:rsidR="008A4C37">
          <w:rPr>
            <w:webHidden/>
          </w:rPr>
          <w:fldChar w:fldCharType="end"/>
        </w:r>
      </w:hyperlink>
    </w:p>
    <w:p w:rsidR="008A4C37" w:rsidRDefault="00ED394A">
      <w:pPr>
        <w:pStyle w:val="TOC2"/>
        <w:rPr>
          <w:rFonts w:asciiTheme="minorHAnsi" w:eastAsiaTheme="minorEastAsia" w:hAnsiTheme="minorHAnsi"/>
          <w:iCs w:val="0"/>
          <w:sz w:val="22"/>
          <w:szCs w:val="22"/>
          <w:lang w:val="en-AU" w:eastAsia="en-AU"/>
        </w:rPr>
      </w:pPr>
      <w:hyperlink w:anchor="_Toc364945343" w:history="1">
        <w:r w:rsidR="008A4C37" w:rsidRPr="00732886">
          <w:rPr>
            <w:rStyle w:val="Hyperlink"/>
          </w:rPr>
          <w:t>7.2</w:t>
        </w:r>
        <w:r w:rsidR="008A4C37">
          <w:rPr>
            <w:rFonts w:asciiTheme="minorHAnsi" w:eastAsiaTheme="minorEastAsia" w:hAnsiTheme="minorHAnsi"/>
            <w:iCs w:val="0"/>
            <w:sz w:val="22"/>
            <w:szCs w:val="22"/>
            <w:lang w:val="en-AU" w:eastAsia="en-AU"/>
          </w:rPr>
          <w:tab/>
        </w:r>
        <w:r w:rsidR="008A4C37" w:rsidRPr="00732886">
          <w:rPr>
            <w:rStyle w:val="Hyperlink"/>
          </w:rPr>
          <w:t>Risk Profile and Assessment</w:t>
        </w:r>
        <w:r w:rsidR="008A4C37">
          <w:rPr>
            <w:webHidden/>
          </w:rPr>
          <w:tab/>
        </w:r>
        <w:r w:rsidR="008A4C37">
          <w:rPr>
            <w:webHidden/>
          </w:rPr>
          <w:fldChar w:fldCharType="begin"/>
        </w:r>
        <w:r w:rsidR="008A4C37">
          <w:rPr>
            <w:webHidden/>
          </w:rPr>
          <w:instrText xml:space="preserve"> PAGEREF _Toc364945343 \h </w:instrText>
        </w:r>
        <w:r w:rsidR="008A4C37">
          <w:rPr>
            <w:webHidden/>
          </w:rPr>
        </w:r>
        <w:r w:rsidR="008A4C37">
          <w:rPr>
            <w:webHidden/>
          </w:rPr>
          <w:fldChar w:fldCharType="separate"/>
        </w:r>
        <w:r w:rsidR="00557666">
          <w:rPr>
            <w:webHidden/>
          </w:rPr>
          <w:t>2</w:t>
        </w:r>
        <w:r w:rsidR="008A4C37">
          <w:rPr>
            <w:webHidden/>
          </w:rPr>
          <w:fldChar w:fldCharType="end"/>
        </w:r>
      </w:hyperlink>
    </w:p>
    <w:p w:rsidR="008A4C37" w:rsidRDefault="00ED394A">
      <w:pPr>
        <w:pStyle w:val="TOC2"/>
        <w:rPr>
          <w:rFonts w:asciiTheme="minorHAnsi" w:eastAsiaTheme="minorEastAsia" w:hAnsiTheme="minorHAnsi"/>
          <w:iCs w:val="0"/>
          <w:sz w:val="22"/>
          <w:szCs w:val="22"/>
          <w:lang w:val="en-AU" w:eastAsia="en-AU"/>
        </w:rPr>
      </w:pPr>
      <w:hyperlink w:anchor="_Toc364945344" w:history="1">
        <w:r w:rsidR="008A4C37" w:rsidRPr="00732886">
          <w:rPr>
            <w:rStyle w:val="Hyperlink"/>
          </w:rPr>
          <w:t>7.3</w:t>
        </w:r>
        <w:r w:rsidR="008A4C37">
          <w:rPr>
            <w:rFonts w:asciiTheme="minorHAnsi" w:eastAsiaTheme="minorEastAsia" w:hAnsiTheme="minorHAnsi"/>
            <w:iCs w:val="0"/>
            <w:sz w:val="22"/>
            <w:szCs w:val="22"/>
            <w:lang w:val="en-AU" w:eastAsia="en-AU"/>
          </w:rPr>
          <w:tab/>
        </w:r>
        <w:r w:rsidR="008A4C37" w:rsidRPr="00732886">
          <w:rPr>
            <w:rStyle w:val="Hyperlink"/>
          </w:rPr>
          <w:t>Risk Analysis</w:t>
        </w:r>
        <w:r w:rsidR="008A4C37">
          <w:rPr>
            <w:webHidden/>
          </w:rPr>
          <w:tab/>
        </w:r>
        <w:r w:rsidR="008A4C37">
          <w:rPr>
            <w:webHidden/>
          </w:rPr>
          <w:fldChar w:fldCharType="begin"/>
        </w:r>
        <w:r w:rsidR="008A4C37">
          <w:rPr>
            <w:webHidden/>
          </w:rPr>
          <w:instrText xml:space="preserve"> PAGEREF _Toc364945344 \h </w:instrText>
        </w:r>
        <w:r w:rsidR="008A4C37">
          <w:rPr>
            <w:webHidden/>
          </w:rPr>
        </w:r>
        <w:r w:rsidR="008A4C37">
          <w:rPr>
            <w:webHidden/>
          </w:rPr>
          <w:fldChar w:fldCharType="separate"/>
        </w:r>
        <w:r w:rsidR="00557666">
          <w:rPr>
            <w:webHidden/>
          </w:rPr>
          <w:t>2</w:t>
        </w:r>
        <w:r w:rsidR="008A4C37">
          <w:rPr>
            <w:webHidden/>
          </w:rPr>
          <w:fldChar w:fldCharType="end"/>
        </w:r>
      </w:hyperlink>
    </w:p>
    <w:p w:rsidR="008A4C37" w:rsidRDefault="00ED394A">
      <w:pPr>
        <w:pStyle w:val="TOC3"/>
        <w:rPr>
          <w:rFonts w:asciiTheme="minorHAnsi" w:eastAsiaTheme="minorEastAsia" w:hAnsiTheme="minorHAnsi"/>
          <w:iCs w:val="0"/>
          <w:sz w:val="22"/>
          <w:szCs w:val="22"/>
          <w:lang w:val="en-AU" w:eastAsia="en-AU"/>
        </w:rPr>
      </w:pPr>
      <w:hyperlink w:anchor="_Toc364945345" w:history="1">
        <w:r w:rsidR="008A4C37" w:rsidRPr="00732886">
          <w:rPr>
            <w:rStyle w:val="Hyperlink"/>
          </w:rPr>
          <w:t>7.3.1</w:t>
        </w:r>
        <w:r w:rsidR="008A4C37">
          <w:rPr>
            <w:rFonts w:asciiTheme="minorHAnsi" w:eastAsiaTheme="minorEastAsia" w:hAnsiTheme="minorHAnsi"/>
            <w:iCs w:val="0"/>
            <w:sz w:val="22"/>
            <w:szCs w:val="22"/>
            <w:lang w:val="en-AU" w:eastAsia="en-AU"/>
          </w:rPr>
          <w:tab/>
        </w:r>
        <w:r w:rsidR="008A4C37" w:rsidRPr="00732886">
          <w:rPr>
            <w:rStyle w:val="Hyperlink"/>
          </w:rPr>
          <w:t>Risk Probability Rating</w:t>
        </w:r>
        <w:r w:rsidR="008A4C37">
          <w:rPr>
            <w:webHidden/>
          </w:rPr>
          <w:tab/>
        </w:r>
        <w:r w:rsidR="008A4C37">
          <w:rPr>
            <w:webHidden/>
          </w:rPr>
          <w:fldChar w:fldCharType="begin"/>
        </w:r>
        <w:r w:rsidR="008A4C37">
          <w:rPr>
            <w:webHidden/>
          </w:rPr>
          <w:instrText xml:space="preserve"> PAGEREF _Toc364945345 \h </w:instrText>
        </w:r>
        <w:r w:rsidR="008A4C37">
          <w:rPr>
            <w:webHidden/>
          </w:rPr>
        </w:r>
        <w:r w:rsidR="008A4C37">
          <w:rPr>
            <w:webHidden/>
          </w:rPr>
          <w:fldChar w:fldCharType="separate"/>
        </w:r>
        <w:r w:rsidR="00557666">
          <w:rPr>
            <w:webHidden/>
          </w:rPr>
          <w:t>2</w:t>
        </w:r>
        <w:r w:rsidR="008A4C37">
          <w:rPr>
            <w:webHidden/>
          </w:rPr>
          <w:fldChar w:fldCharType="end"/>
        </w:r>
      </w:hyperlink>
    </w:p>
    <w:p w:rsidR="008A4C37" w:rsidRDefault="00ED394A">
      <w:pPr>
        <w:pStyle w:val="TOC2"/>
        <w:rPr>
          <w:rFonts w:asciiTheme="minorHAnsi" w:eastAsiaTheme="minorEastAsia" w:hAnsiTheme="minorHAnsi"/>
          <w:iCs w:val="0"/>
          <w:sz w:val="22"/>
          <w:szCs w:val="22"/>
          <w:lang w:val="en-AU" w:eastAsia="en-AU"/>
        </w:rPr>
      </w:pPr>
      <w:hyperlink w:anchor="_Toc364945346" w:history="1">
        <w:r w:rsidR="008A4C37" w:rsidRPr="00732886">
          <w:rPr>
            <w:rStyle w:val="Hyperlink"/>
          </w:rPr>
          <w:t>7.4</w:t>
        </w:r>
        <w:r w:rsidR="008A4C37">
          <w:rPr>
            <w:rFonts w:asciiTheme="minorHAnsi" w:eastAsiaTheme="minorEastAsia" w:hAnsiTheme="minorHAnsi"/>
            <w:iCs w:val="0"/>
            <w:sz w:val="22"/>
            <w:szCs w:val="22"/>
            <w:lang w:val="en-AU" w:eastAsia="en-AU"/>
          </w:rPr>
          <w:tab/>
        </w:r>
        <w:r w:rsidR="008A4C37" w:rsidRPr="00732886">
          <w:rPr>
            <w:rStyle w:val="Hyperlink"/>
          </w:rPr>
          <w:t>Risk Identification</w:t>
        </w:r>
        <w:r w:rsidR="008A4C37">
          <w:rPr>
            <w:webHidden/>
          </w:rPr>
          <w:tab/>
        </w:r>
        <w:r w:rsidR="008A4C37">
          <w:rPr>
            <w:webHidden/>
          </w:rPr>
          <w:fldChar w:fldCharType="begin"/>
        </w:r>
        <w:r w:rsidR="008A4C37">
          <w:rPr>
            <w:webHidden/>
          </w:rPr>
          <w:instrText xml:space="preserve"> PAGEREF _Toc364945346 \h </w:instrText>
        </w:r>
        <w:r w:rsidR="008A4C37">
          <w:rPr>
            <w:webHidden/>
          </w:rPr>
        </w:r>
        <w:r w:rsidR="008A4C37">
          <w:rPr>
            <w:webHidden/>
          </w:rPr>
          <w:fldChar w:fldCharType="separate"/>
        </w:r>
        <w:r w:rsidR="00557666">
          <w:rPr>
            <w:webHidden/>
          </w:rPr>
          <w:t>2</w:t>
        </w:r>
        <w:r w:rsidR="008A4C37">
          <w:rPr>
            <w:webHidden/>
          </w:rPr>
          <w:fldChar w:fldCharType="end"/>
        </w:r>
      </w:hyperlink>
    </w:p>
    <w:p w:rsidR="008A4C37" w:rsidRDefault="00ED394A">
      <w:pPr>
        <w:pStyle w:val="TOC3"/>
        <w:rPr>
          <w:rFonts w:asciiTheme="minorHAnsi" w:eastAsiaTheme="minorEastAsia" w:hAnsiTheme="minorHAnsi"/>
          <w:iCs w:val="0"/>
          <w:sz w:val="22"/>
          <w:szCs w:val="22"/>
          <w:lang w:val="en-AU" w:eastAsia="en-AU"/>
        </w:rPr>
      </w:pPr>
      <w:hyperlink w:anchor="_Toc364945347" w:history="1">
        <w:r w:rsidR="008A4C37" w:rsidRPr="00732886">
          <w:rPr>
            <w:rStyle w:val="Hyperlink"/>
          </w:rPr>
          <w:t>7.4.1</w:t>
        </w:r>
        <w:r w:rsidR="008A4C37">
          <w:rPr>
            <w:rFonts w:asciiTheme="minorHAnsi" w:eastAsiaTheme="minorEastAsia" w:hAnsiTheme="minorHAnsi"/>
            <w:iCs w:val="0"/>
            <w:sz w:val="22"/>
            <w:szCs w:val="22"/>
            <w:lang w:val="en-AU" w:eastAsia="en-AU"/>
          </w:rPr>
          <w:tab/>
        </w:r>
        <w:r w:rsidR="008A4C37" w:rsidRPr="00732886">
          <w:rPr>
            <w:rStyle w:val="Hyperlink"/>
          </w:rPr>
          <w:t>Buildings’ Risks</w:t>
        </w:r>
        <w:r w:rsidR="008A4C37">
          <w:rPr>
            <w:webHidden/>
          </w:rPr>
          <w:tab/>
        </w:r>
        <w:r w:rsidR="008A4C37">
          <w:rPr>
            <w:webHidden/>
          </w:rPr>
          <w:fldChar w:fldCharType="begin"/>
        </w:r>
        <w:r w:rsidR="008A4C37">
          <w:rPr>
            <w:webHidden/>
          </w:rPr>
          <w:instrText xml:space="preserve"> PAGEREF _Toc364945347 \h </w:instrText>
        </w:r>
        <w:r w:rsidR="008A4C37">
          <w:rPr>
            <w:webHidden/>
          </w:rPr>
        </w:r>
        <w:r w:rsidR="008A4C37">
          <w:rPr>
            <w:webHidden/>
          </w:rPr>
          <w:fldChar w:fldCharType="separate"/>
        </w:r>
        <w:r w:rsidR="00557666">
          <w:rPr>
            <w:webHidden/>
          </w:rPr>
          <w:t>2</w:t>
        </w:r>
        <w:r w:rsidR="008A4C37">
          <w:rPr>
            <w:webHidden/>
          </w:rPr>
          <w:fldChar w:fldCharType="end"/>
        </w:r>
      </w:hyperlink>
    </w:p>
    <w:p w:rsidR="008A4C37" w:rsidRDefault="00ED394A">
      <w:pPr>
        <w:pStyle w:val="TOC3"/>
        <w:rPr>
          <w:rFonts w:asciiTheme="minorHAnsi" w:eastAsiaTheme="minorEastAsia" w:hAnsiTheme="minorHAnsi"/>
          <w:iCs w:val="0"/>
          <w:sz w:val="22"/>
          <w:szCs w:val="22"/>
          <w:lang w:val="en-AU" w:eastAsia="en-AU"/>
        </w:rPr>
      </w:pPr>
      <w:hyperlink w:anchor="_Toc364945348" w:history="1">
        <w:r w:rsidR="008A4C37" w:rsidRPr="00732886">
          <w:rPr>
            <w:rStyle w:val="Hyperlink"/>
          </w:rPr>
          <w:t>7.4.2</w:t>
        </w:r>
        <w:r w:rsidR="008A4C37">
          <w:rPr>
            <w:rFonts w:asciiTheme="minorHAnsi" w:eastAsiaTheme="minorEastAsia" w:hAnsiTheme="minorHAnsi"/>
            <w:iCs w:val="0"/>
            <w:sz w:val="22"/>
            <w:szCs w:val="22"/>
            <w:lang w:val="en-AU" w:eastAsia="en-AU"/>
          </w:rPr>
          <w:tab/>
        </w:r>
        <w:r w:rsidR="008A4C37" w:rsidRPr="00732886">
          <w:rPr>
            <w:rStyle w:val="Hyperlink"/>
          </w:rPr>
          <w:t>Activity Risks</w:t>
        </w:r>
        <w:r w:rsidR="008A4C37">
          <w:rPr>
            <w:webHidden/>
          </w:rPr>
          <w:tab/>
        </w:r>
        <w:r w:rsidR="008A4C37">
          <w:rPr>
            <w:webHidden/>
          </w:rPr>
          <w:fldChar w:fldCharType="begin"/>
        </w:r>
        <w:r w:rsidR="008A4C37">
          <w:rPr>
            <w:webHidden/>
          </w:rPr>
          <w:instrText xml:space="preserve"> PAGEREF _Toc364945348 \h </w:instrText>
        </w:r>
        <w:r w:rsidR="008A4C37">
          <w:rPr>
            <w:webHidden/>
          </w:rPr>
        </w:r>
        <w:r w:rsidR="008A4C37">
          <w:rPr>
            <w:webHidden/>
          </w:rPr>
          <w:fldChar w:fldCharType="separate"/>
        </w:r>
        <w:r w:rsidR="00557666">
          <w:rPr>
            <w:webHidden/>
          </w:rPr>
          <w:t>2</w:t>
        </w:r>
        <w:r w:rsidR="008A4C37">
          <w:rPr>
            <w:webHidden/>
          </w:rPr>
          <w:fldChar w:fldCharType="end"/>
        </w:r>
      </w:hyperlink>
    </w:p>
    <w:p w:rsidR="008A4C37" w:rsidRDefault="00ED394A">
      <w:pPr>
        <w:pStyle w:val="TOC3"/>
        <w:rPr>
          <w:rFonts w:asciiTheme="minorHAnsi" w:eastAsiaTheme="minorEastAsia" w:hAnsiTheme="minorHAnsi"/>
          <w:iCs w:val="0"/>
          <w:sz w:val="22"/>
          <w:szCs w:val="22"/>
          <w:lang w:val="en-AU" w:eastAsia="en-AU"/>
        </w:rPr>
      </w:pPr>
      <w:hyperlink w:anchor="_Toc364945349" w:history="1">
        <w:r w:rsidR="008A4C37" w:rsidRPr="00732886">
          <w:rPr>
            <w:rStyle w:val="Hyperlink"/>
          </w:rPr>
          <w:t>7.4.3</w:t>
        </w:r>
        <w:r w:rsidR="008A4C37">
          <w:rPr>
            <w:rFonts w:asciiTheme="minorHAnsi" w:eastAsiaTheme="minorEastAsia" w:hAnsiTheme="minorHAnsi"/>
            <w:iCs w:val="0"/>
            <w:sz w:val="22"/>
            <w:szCs w:val="22"/>
            <w:lang w:val="en-AU" w:eastAsia="en-AU"/>
          </w:rPr>
          <w:tab/>
        </w:r>
        <w:r w:rsidR="008A4C37" w:rsidRPr="00732886">
          <w:rPr>
            <w:rStyle w:val="Hyperlink"/>
          </w:rPr>
          <w:t>Operational Risk</w:t>
        </w:r>
        <w:r w:rsidR="008A4C37">
          <w:rPr>
            <w:webHidden/>
          </w:rPr>
          <w:tab/>
        </w:r>
        <w:r w:rsidR="008A4C37">
          <w:rPr>
            <w:webHidden/>
          </w:rPr>
          <w:fldChar w:fldCharType="begin"/>
        </w:r>
        <w:r w:rsidR="008A4C37">
          <w:rPr>
            <w:webHidden/>
          </w:rPr>
          <w:instrText xml:space="preserve"> PAGEREF _Toc364945349 \h </w:instrText>
        </w:r>
        <w:r w:rsidR="008A4C37">
          <w:rPr>
            <w:webHidden/>
          </w:rPr>
        </w:r>
        <w:r w:rsidR="008A4C37">
          <w:rPr>
            <w:webHidden/>
          </w:rPr>
          <w:fldChar w:fldCharType="separate"/>
        </w:r>
        <w:r w:rsidR="00557666">
          <w:rPr>
            <w:webHidden/>
          </w:rPr>
          <w:t>2</w:t>
        </w:r>
        <w:r w:rsidR="008A4C37">
          <w:rPr>
            <w:webHidden/>
          </w:rPr>
          <w:fldChar w:fldCharType="end"/>
        </w:r>
      </w:hyperlink>
    </w:p>
    <w:p w:rsidR="008A4C37" w:rsidRDefault="00ED394A">
      <w:pPr>
        <w:pStyle w:val="TOC3"/>
        <w:rPr>
          <w:rFonts w:asciiTheme="minorHAnsi" w:eastAsiaTheme="minorEastAsia" w:hAnsiTheme="minorHAnsi"/>
          <w:iCs w:val="0"/>
          <w:sz w:val="22"/>
          <w:szCs w:val="22"/>
          <w:lang w:val="en-AU" w:eastAsia="en-AU"/>
        </w:rPr>
      </w:pPr>
      <w:hyperlink w:anchor="_Toc364945350" w:history="1">
        <w:r w:rsidR="008A4C37" w:rsidRPr="00732886">
          <w:rPr>
            <w:rStyle w:val="Hyperlink"/>
          </w:rPr>
          <w:t>7.4.4</w:t>
        </w:r>
        <w:r w:rsidR="008A4C37">
          <w:rPr>
            <w:rFonts w:asciiTheme="minorHAnsi" w:eastAsiaTheme="minorEastAsia" w:hAnsiTheme="minorHAnsi"/>
            <w:iCs w:val="0"/>
            <w:sz w:val="22"/>
            <w:szCs w:val="22"/>
            <w:lang w:val="en-AU" w:eastAsia="en-AU"/>
          </w:rPr>
          <w:tab/>
        </w:r>
        <w:r w:rsidR="008A4C37" w:rsidRPr="00732886">
          <w:rPr>
            <w:rStyle w:val="Hyperlink"/>
          </w:rPr>
          <w:t>Critical Assets</w:t>
        </w:r>
        <w:r w:rsidR="008A4C37">
          <w:rPr>
            <w:webHidden/>
          </w:rPr>
          <w:tab/>
        </w:r>
        <w:r w:rsidR="008A4C37">
          <w:rPr>
            <w:webHidden/>
          </w:rPr>
          <w:fldChar w:fldCharType="begin"/>
        </w:r>
        <w:r w:rsidR="008A4C37">
          <w:rPr>
            <w:webHidden/>
          </w:rPr>
          <w:instrText xml:space="preserve"> PAGEREF _Toc364945350 \h </w:instrText>
        </w:r>
        <w:r w:rsidR="008A4C37">
          <w:rPr>
            <w:webHidden/>
          </w:rPr>
        </w:r>
        <w:r w:rsidR="008A4C37">
          <w:rPr>
            <w:webHidden/>
          </w:rPr>
          <w:fldChar w:fldCharType="separate"/>
        </w:r>
        <w:r w:rsidR="00557666">
          <w:rPr>
            <w:webHidden/>
          </w:rPr>
          <w:t>2</w:t>
        </w:r>
        <w:r w:rsidR="008A4C37">
          <w:rPr>
            <w:webHidden/>
          </w:rPr>
          <w:fldChar w:fldCharType="end"/>
        </w:r>
      </w:hyperlink>
    </w:p>
    <w:p w:rsidR="008A4C37" w:rsidRDefault="00ED394A">
      <w:pPr>
        <w:pStyle w:val="TOC2"/>
        <w:rPr>
          <w:rFonts w:asciiTheme="minorHAnsi" w:eastAsiaTheme="minorEastAsia" w:hAnsiTheme="minorHAnsi"/>
          <w:iCs w:val="0"/>
          <w:sz w:val="22"/>
          <w:szCs w:val="22"/>
          <w:lang w:val="en-AU" w:eastAsia="en-AU"/>
        </w:rPr>
      </w:pPr>
      <w:hyperlink w:anchor="_Toc364945351" w:history="1">
        <w:r w:rsidR="008A4C37" w:rsidRPr="00732886">
          <w:rPr>
            <w:rStyle w:val="Hyperlink"/>
          </w:rPr>
          <w:t>7.5</w:t>
        </w:r>
        <w:r w:rsidR="008A4C37">
          <w:rPr>
            <w:rFonts w:asciiTheme="minorHAnsi" w:eastAsiaTheme="minorEastAsia" w:hAnsiTheme="minorHAnsi"/>
            <w:iCs w:val="0"/>
            <w:sz w:val="22"/>
            <w:szCs w:val="22"/>
            <w:lang w:val="en-AU" w:eastAsia="en-AU"/>
          </w:rPr>
          <w:tab/>
        </w:r>
        <w:r w:rsidR="008A4C37" w:rsidRPr="00732886">
          <w:rPr>
            <w:rStyle w:val="Hyperlink"/>
          </w:rPr>
          <w:t>Risk Management Strategies</w:t>
        </w:r>
        <w:r w:rsidR="008A4C37">
          <w:rPr>
            <w:webHidden/>
          </w:rPr>
          <w:tab/>
        </w:r>
        <w:r w:rsidR="008A4C37">
          <w:rPr>
            <w:webHidden/>
          </w:rPr>
          <w:fldChar w:fldCharType="begin"/>
        </w:r>
        <w:r w:rsidR="008A4C37">
          <w:rPr>
            <w:webHidden/>
          </w:rPr>
          <w:instrText xml:space="preserve"> PAGEREF _Toc364945351 \h </w:instrText>
        </w:r>
        <w:r w:rsidR="008A4C37">
          <w:rPr>
            <w:webHidden/>
          </w:rPr>
        </w:r>
        <w:r w:rsidR="008A4C37">
          <w:rPr>
            <w:webHidden/>
          </w:rPr>
          <w:fldChar w:fldCharType="separate"/>
        </w:r>
        <w:r w:rsidR="00557666">
          <w:rPr>
            <w:webHidden/>
          </w:rPr>
          <w:t>2</w:t>
        </w:r>
        <w:r w:rsidR="008A4C37">
          <w:rPr>
            <w:webHidden/>
          </w:rPr>
          <w:fldChar w:fldCharType="end"/>
        </w:r>
      </w:hyperlink>
    </w:p>
    <w:p w:rsidR="008A4C37" w:rsidRDefault="00ED394A">
      <w:pPr>
        <w:pStyle w:val="TOC1"/>
        <w:rPr>
          <w:rFonts w:asciiTheme="minorHAnsi" w:eastAsiaTheme="minorEastAsia" w:hAnsiTheme="minorHAnsi"/>
          <w:b w:val="0"/>
          <w:sz w:val="22"/>
          <w:szCs w:val="22"/>
        </w:rPr>
      </w:pPr>
      <w:hyperlink w:anchor="_Toc364945352" w:history="1">
        <w:r w:rsidR="008A4C37" w:rsidRPr="00732886">
          <w:rPr>
            <w:rStyle w:val="Hyperlink"/>
          </w:rPr>
          <w:t>8</w:t>
        </w:r>
        <w:r w:rsidR="008A4C37">
          <w:rPr>
            <w:rFonts w:asciiTheme="minorHAnsi" w:eastAsiaTheme="minorEastAsia" w:hAnsiTheme="minorHAnsi"/>
            <w:b w:val="0"/>
            <w:sz w:val="22"/>
            <w:szCs w:val="22"/>
          </w:rPr>
          <w:tab/>
        </w:r>
        <w:r w:rsidR="008A4C37" w:rsidRPr="00732886">
          <w:rPr>
            <w:rStyle w:val="Hyperlink"/>
          </w:rPr>
          <w:t>Asset Management Practices</w:t>
        </w:r>
        <w:r w:rsidR="008A4C37">
          <w:rPr>
            <w:webHidden/>
          </w:rPr>
          <w:tab/>
        </w:r>
        <w:r w:rsidR="008A4C37">
          <w:rPr>
            <w:webHidden/>
          </w:rPr>
          <w:fldChar w:fldCharType="begin"/>
        </w:r>
        <w:r w:rsidR="008A4C37">
          <w:rPr>
            <w:webHidden/>
          </w:rPr>
          <w:instrText xml:space="preserve"> PAGEREF _Toc364945352 \h </w:instrText>
        </w:r>
        <w:r w:rsidR="008A4C37">
          <w:rPr>
            <w:webHidden/>
          </w:rPr>
        </w:r>
        <w:r w:rsidR="008A4C37">
          <w:rPr>
            <w:webHidden/>
          </w:rPr>
          <w:fldChar w:fldCharType="separate"/>
        </w:r>
        <w:r w:rsidR="00557666">
          <w:rPr>
            <w:webHidden/>
          </w:rPr>
          <w:t>2</w:t>
        </w:r>
        <w:r w:rsidR="008A4C37">
          <w:rPr>
            <w:webHidden/>
          </w:rPr>
          <w:fldChar w:fldCharType="end"/>
        </w:r>
      </w:hyperlink>
    </w:p>
    <w:p w:rsidR="008A4C37" w:rsidRDefault="00ED394A">
      <w:pPr>
        <w:pStyle w:val="TOC2"/>
        <w:rPr>
          <w:rFonts w:asciiTheme="minorHAnsi" w:eastAsiaTheme="minorEastAsia" w:hAnsiTheme="minorHAnsi"/>
          <w:iCs w:val="0"/>
          <w:sz w:val="22"/>
          <w:szCs w:val="22"/>
          <w:lang w:val="en-AU" w:eastAsia="en-AU"/>
        </w:rPr>
      </w:pPr>
      <w:hyperlink w:anchor="_Toc364945353" w:history="1">
        <w:r w:rsidR="008A4C37" w:rsidRPr="00732886">
          <w:rPr>
            <w:rStyle w:val="Hyperlink"/>
          </w:rPr>
          <w:t>8.1</w:t>
        </w:r>
        <w:r w:rsidR="008A4C37">
          <w:rPr>
            <w:rFonts w:asciiTheme="minorHAnsi" w:eastAsiaTheme="minorEastAsia" w:hAnsiTheme="minorHAnsi"/>
            <w:iCs w:val="0"/>
            <w:sz w:val="22"/>
            <w:szCs w:val="22"/>
            <w:lang w:val="en-AU" w:eastAsia="en-AU"/>
          </w:rPr>
          <w:tab/>
        </w:r>
        <w:r w:rsidR="008A4C37" w:rsidRPr="00732886">
          <w:rPr>
            <w:rStyle w:val="Hyperlink"/>
          </w:rPr>
          <w:t>Overview</w:t>
        </w:r>
        <w:r w:rsidR="008A4C37">
          <w:rPr>
            <w:webHidden/>
          </w:rPr>
          <w:tab/>
        </w:r>
        <w:r w:rsidR="008A4C37">
          <w:rPr>
            <w:webHidden/>
          </w:rPr>
          <w:fldChar w:fldCharType="begin"/>
        </w:r>
        <w:r w:rsidR="008A4C37">
          <w:rPr>
            <w:webHidden/>
          </w:rPr>
          <w:instrText xml:space="preserve"> PAGEREF _Toc364945353 \h </w:instrText>
        </w:r>
        <w:r w:rsidR="008A4C37">
          <w:rPr>
            <w:webHidden/>
          </w:rPr>
        </w:r>
        <w:r w:rsidR="008A4C37">
          <w:rPr>
            <w:webHidden/>
          </w:rPr>
          <w:fldChar w:fldCharType="separate"/>
        </w:r>
        <w:r w:rsidR="00557666">
          <w:rPr>
            <w:webHidden/>
          </w:rPr>
          <w:t>2</w:t>
        </w:r>
        <w:r w:rsidR="008A4C37">
          <w:rPr>
            <w:webHidden/>
          </w:rPr>
          <w:fldChar w:fldCharType="end"/>
        </w:r>
      </w:hyperlink>
    </w:p>
    <w:p w:rsidR="008A4C37" w:rsidRDefault="00ED394A">
      <w:pPr>
        <w:pStyle w:val="TOC2"/>
        <w:rPr>
          <w:rFonts w:asciiTheme="minorHAnsi" w:eastAsiaTheme="minorEastAsia" w:hAnsiTheme="minorHAnsi"/>
          <w:iCs w:val="0"/>
          <w:sz w:val="22"/>
          <w:szCs w:val="22"/>
          <w:lang w:val="en-AU" w:eastAsia="en-AU"/>
        </w:rPr>
      </w:pPr>
      <w:hyperlink w:anchor="_Toc364945354" w:history="1">
        <w:r w:rsidR="008A4C37" w:rsidRPr="00732886">
          <w:rPr>
            <w:rStyle w:val="Hyperlink"/>
          </w:rPr>
          <w:t>8.2</w:t>
        </w:r>
        <w:r w:rsidR="008A4C37">
          <w:rPr>
            <w:rFonts w:asciiTheme="minorHAnsi" w:eastAsiaTheme="minorEastAsia" w:hAnsiTheme="minorHAnsi"/>
            <w:iCs w:val="0"/>
            <w:sz w:val="22"/>
            <w:szCs w:val="22"/>
            <w:lang w:val="en-AU" w:eastAsia="en-AU"/>
          </w:rPr>
          <w:tab/>
        </w:r>
        <w:r w:rsidR="008A4C37" w:rsidRPr="00732886">
          <w:rPr>
            <w:rStyle w:val="Hyperlink"/>
          </w:rPr>
          <w:t>Processes</w:t>
        </w:r>
        <w:r w:rsidR="008A4C37">
          <w:rPr>
            <w:webHidden/>
          </w:rPr>
          <w:tab/>
        </w:r>
        <w:r w:rsidR="008A4C37">
          <w:rPr>
            <w:webHidden/>
          </w:rPr>
          <w:fldChar w:fldCharType="begin"/>
        </w:r>
        <w:r w:rsidR="008A4C37">
          <w:rPr>
            <w:webHidden/>
          </w:rPr>
          <w:instrText xml:space="preserve"> PAGEREF _Toc364945354 \h </w:instrText>
        </w:r>
        <w:r w:rsidR="008A4C37">
          <w:rPr>
            <w:webHidden/>
          </w:rPr>
        </w:r>
        <w:r w:rsidR="008A4C37">
          <w:rPr>
            <w:webHidden/>
          </w:rPr>
          <w:fldChar w:fldCharType="separate"/>
        </w:r>
        <w:r w:rsidR="00557666">
          <w:rPr>
            <w:webHidden/>
          </w:rPr>
          <w:t>2</w:t>
        </w:r>
        <w:r w:rsidR="008A4C37">
          <w:rPr>
            <w:webHidden/>
          </w:rPr>
          <w:fldChar w:fldCharType="end"/>
        </w:r>
      </w:hyperlink>
    </w:p>
    <w:p w:rsidR="008A4C37" w:rsidRDefault="00ED394A">
      <w:pPr>
        <w:pStyle w:val="TOC2"/>
        <w:rPr>
          <w:rFonts w:asciiTheme="minorHAnsi" w:eastAsiaTheme="minorEastAsia" w:hAnsiTheme="minorHAnsi"/>
          <w:iCs w:val="0"/>
          <w:sz w:val="22"/>
          <w:szCs w:val="22"/>
          <w:lang w:val="en-AU" w:eastAsia="en-AU"/>
        </w:rPr>
      </w:pPr>
      <w:hyperlink w:anchor="_Toc364945355" w:history="1">
        <w:r w:rsidR="008A4C37" w:rsidRPr="00732886">
          <w:rPr>
            <w:rStyle w:val="Hyperlink"/>
          </w:rPr>
          <w:t>8.3</w:t>
        </w:r>
        <w:r w:rsidR="008A4C37">
          <w:rPr>
            <w:rFonts w:asciiTheme="minorHAnsi" w:eastAsiaTheme="minorEastAsia" w:hAnsiTheme="minorHAnsi"/>
            <w:iCs w:val="0"/>
            <w:sz w:val="22"/>
            <w:szCs w:val="22"/>
            <w:lang w:val="en-AU" w:eastAsia="en-AU"/>
          </w:rPr>
          <w:tab/>
        </w:r>
        <w:r w:rsidR="008A4C37" w:rsidRPr="00732886">
          <w:rPr>
            <w:rStyle w:val="Hyperlink"/>
          </w:rPr>
          <w:t>Systems and Data</w:t>
        </w:r>
        <w:r w:rsidR="008A4C37">
          <w:rPr>
            <w:webHidden/>
          </w:rPr>
          <w:tab/>
        </w:r>
        <w:r w:rsidR="008A4C37">
          <w:rPr>
            <w:webHidden/>
          </w:rPr>
          <w:fldChar w:fldCharType="begin"/>
        </w:r>
        <w:r w:rsidR="008A4C37">
          <w:rPr>
            <w:webHidden/>
          </w:rPr>
          <w:instrText xml:space="preserve"> PAGEREF _Toc364945355 \h </w:instrText>
        </w:r>
        <w:r w:rsidR="008A4C37">
          <w:rPr>
            <w:webHidden/>
          </w:rPr>
        </w:r>
        <w:r w:rsidR="008A4C37">
          <w:rPr>
            <w:webHidden/>
          </w:rPr>
          <w:fldChar w:fldCharType="separate"/>
        </w:r>
        <w:r w:rsidR="00557666">
          <w:rPr>
            <w:webHidden/>
          </w:rPr>
          <w:t>2</w:t>
        </w:r>
        <w:r w:rsidR="008A4C37">
          <w:rPr>
            <w:webHidden/>
          </w:rPr>
          <w:fldChar w:fldCharType="end"/>
        </w:r>
      </w:hyperlink>
    </w:p>
    <w:p w:rsidR="008A4C37" w:rsidRDefault="00ED394A">
      <w:pPr>
        <w:pStyle w:val="TOC1"/>
        <w:rPr>
          <w:rFonts w:asciiTheme="minorHAnsi" w:eastAsiaTheme="minorEastAsia" w:hAnsiTheme="minorHAnsi"/>
          <w:b w:val="0"/>
          <w:sz w:val="22"/>
          <w:szCs w:val="22"/>
        </w:rPr>
      </w:pPr>
      <w:hyperlink w:anchor="_Toc364945356" w:history="1">
        <w:r w:rsidR="008A4C37" w:rsidRPr="00732886">
          <w:rPr>
            <w:rStyle w:val="Hyperlink"/>
          </w:rPr>
          <w:t>9</w:t>
        </w:r>
        <w:r w:rsidR="008A4C37">
          <w:rPr>
            <w:rFonts w:asciiTheme="minorHAnsi" w:eastAsiaTheme="minorEastAsia" w:hAnsiTheme="minorHAnsi"/>
            <w:b w:val="0"/>
            <w:sz w:val="22"/>
            <w:szCs w:val="22"/>
          </w:rPr>
          <w:tab/>
        </w:r>
        <w:r w:rsidR="008A4C37" w:rsidRPr="00732886">
          <w:rPr>
            <w:rStyle w:val="Hyperlink"/>
          </w:rPr>
          <w:t>Improvement Plan and Monitoring</w:t>
        </w:r>
        <w:r w:rsidR="008A4C37">
          <w:rPr>
            <w:webHidden/>
          </w:rPr>
          <w:tab/>
        </w:r>
        <w:r w:rsidR="008A4C37">
          <w:rPr>
            <w:webHidden/>
          </w:rPr>
          <w:fldChar w:fldCharType="begin"/>
        </w:r>
        <w:r w:rsidR="008A4C37">
          <w:rPr>
            <w:webHidden/>
          </w:rPr>
          <w:instrText xml:space="preserve"> PAGEREF _Toc364945356 \h </w:instrText>
        </w:r>
        <w:r w:rsidR="008A4C37">
          <w:rPr>
            <w:webHidden/>
          </w:rPr>
        </w:r>
        <w:r w:rsidR="008A4C37">
          <w:rPr>
            <w:webHidden/>
          </w:rPr>
          <w:fldChar w:fldCharType="separate"/>
        </w:r>
        <w:r w:rsidR="00557666">
          <w:rPr>
            <w:webHidden/>
          </w:rPr>
          <w:t>2</w:t>
        </w:r>
        <w:r w:rsidR="008A4C37">
          <w:rPr>
            <w:webHidden/>
          </w:rPr>
          <w:fldChar w:fldCharType="end"/>
        </w:r>
      </w:hyperlink>
    </w:p>
    <w:p w:rsidR="008A4C37" w:rsidRDefault="00ED394A">
      <w:pPr>
        <w:pStyle w:val="TOC2"/>
        <w:rPr>
          <w:rFonts w:asciiTheme="minorHAnsi" w:eastAsiaTheme="minorEastAsia" w:hAnsiTheme="minorHAnsi"/>
          <w:iCs w:val="0"/>
          <w:sz w:val="22"/>
          <w:szCs w:val="22"/>
          <w:lang w:val="en-AU" w:eastAsia="en-AU"/>
        </w:rPr>
      </w:pPr>
      <w:hyperlink w:anchor="_Toc364945357" w:history="1">
        <w:r w:rsidR="008A4C37" w:rsidRPr="00732886">
          <w:rPr>
            <w:rStyle w:val="Hyperlink"/>
          </w:rPr>
          <w:t>9.1</w:t>
        </w:r>
        <w:r w:rsidR="008A4C37">
          <w:rPr>
            <w:rFonts w:asciiTheme="minorHAnsi" w:eastAsiaTheme="minorEastAsia" w:hAnsiTheme="minorHAnsi"/>
            <w:iCs w:val="0"/>
            <w:sz w:val="22"/>
            <w:szCs w:val="22"/>
            <w:lang w:val="en-AU" w:eastAsia="en-AU"/>
          </w:rPr>
          <w:tab/>
        </w:r>
        <w:r w:rsidR="008A4C37" w:rsidRPr="00732886">
          <w:rPr>
            <w:rStyle w:val="Hyperlink"/>
          </w:rPr>
          <w:t>Overview</w:t>
        </w:r>
        <w:r w:rsidR="008A4C37">
          <w:rPr>
            <w:webHidden/>
          </w:rPr>
          <w:tab/>
        </w:r>
        <w:r w:rsidR="008A4C37">
          <w:rPr>
            <w:webHidden/>
          </w:rPr>
          <w:fldChar w:fldCharType="begin"/>
        </w:r>
        <w:r w:rsidR="008A4C37">
          <w:rPr>
            <w:webHidden/>
          </w:rPr>
          <w:instrText xml:space="preserve"> PAGEREF _Toc364945357 \h </w:instrText>
        </w:r>
        <w:r w:rsidR="008A4C37">
          <w:rPr>
            <w:webHidden/>
          </w:rPr>
        </w:r>
        <w:r w:rsidR="008A4C37">
          <w:rPr>
            <w:webHidden/>
          </w:rPr>
          <w:fldChar w:fldCharType="separate"/>
        </w:r>
        <w:r w:rsidR="00557666">
          <w:rPr>
            <w:webHidden/>
          </w:rPr>
          <w:t>2</w:t>
        </w:r>
        <w:r w:rsidR="008A4C37">
          <w:rPr>
            <w:webHidden/>
          </w:rPr>
          <w:fldChar w:fldCharType="end"/>
        </w:r>
      </w:hyperlink>
    </w:p>
    <w:p w:rsidR="008A4C37" w:rsidRDefault="00ED394A">
      <w:pPr>
        <w:pStyle w:val="TOC2"/>
        <w:rPr>
          <w:rFonts w:asciiTheme="minorHAnsi" w:eastAsiaTheme="minorEastAsia" w:hAnsiTheme="minorHAnsi"/>
          <w:iCs w:val="0"/>
          <w:sz w:val="22"/>
          <w:szCs w:val="22"/>
          <w:lang w:val="en-AU" w:eastAsia="en-AU"/>
        </w:rPr>
      </w:pPr>
      <w:hyperlink w:anchor="_Toc364945358" w:history="1">
        <w:r w:rsidR="008A4C37" w:rsidRPr="00732886">
          <w:rPr>
            <w:rStyle w:val="Hyperlink"/>
          </w:rPr>
          <w:t>9.2</w:t>
        </w:r>
        <w:r w:rsidR="008A4C37">
          <w:rPr>
            <w:rFonts w:asciiTheme="minorHAnsi" w:eastAsiaTheme="minorEastAsia" w:hAnsiTheme="minorHAnsi"/>
            <w:iCs w:val="0"/>
            <w:sz w:val="22"/>
            <w:szCs w:val="22"/>
            <w:lang w:val="en-AU" w:eastAsia="en-AU"/>
          </w:rPr>
          <w:tab/>
        </w:r>
        <w:r w:rsidR="008A4C37" w:rsidRPr="00732886">
          <w:rPr>
            <w:rStyle w:val="Hyperlink"/>
          </w:rPr>
          <w:t>Improvement Plan</w:t>
        </w:r>
        <w:r w:rsidR="008A4C37">
          <w:rPr>
            <w:webHidden/>
          </w:rPr>
          <w:tab/>
        </w:r>
        <w:r w:rsidR="008A4C37">
          <w:rPr>
            <w:webHidden/>
          </w:rPr>
          <w:fldChar w:fldCharType="begin"/>
        </w:r>
        <w:r w:rsidR="008A4C37">
          <w:rPr>
            <w:webHidden/>
          </w:rPr>
          <w:instrText xml:space="preserve"> PAGEREF _Toc364945358 \h </w:instrText>
        </w:r>
        <w:r w:rsidR="008A4C37">
          <w:rPr>
            <w:webHidden/>
          </w:rPr>
        </w:r>
        <w:r w:rsidR="008A4C37">
          <w:rPr>
            <w:webHidden/>
          </w:rPr>
          <w:fldChar w:fldCharType="separate"/>
        </w:r>
        <w:r w:rsidR="00557666">
          <w:rPr>
            <w:webHidden/>
          </w:rPr>
          <w:t>2</w:t>
        </w:r>
        <w:r w:rsidR="008A4C37">
          <w:rPr>
            <w:webHidden/>
          </w:rPr>
          <w:fldChar w:fldCharType="end"/>
        </w:r>
      </w:hyperlink>
    </w:p>
    <w:p w:rsidR="008A4C37" w:rsidRDefault="00ED394A">
      <w:pPr>
        <w:pStyle w:val="TOC3"/>
        <w:rPr>
          <w:rFonts w:asciiTheme="minorHAnsi" w:eastAsiaTheme="minorEastAsia" w:hAnsiTheme="minorHAnsi"/>
          <w:iCs w:val="0"/>
          <w:sz w:val="22"/>
          <w:szCs w:val="22"/>
          <w:lang w:val="en-AU" w:eastAsia="en-AU"/>
        </w:rPr>
      </w:pPr>
      <w:hyperlink w:anchor="_Toc364945359" w:history="1">
        <w:r w:rsidR="008A4C37" w:rsidRPr="00732886">
          <w:rPr>
            <w:rStyle w:val="Hyperlink"/>
          </w:rPr>
          <w:t>9.2.1</w:t>
        </w:r>
        <w:r w:rsidR="008A4C37">
          <w:rPr>
            <w:rFonts w:asciiTheme="minorHAnsi" w:eastAsiaTheme="minorEastAsia" w:hAnsiTheme="minorHAnsi"/>
            <w:iCs w:val="0"/>
            <w:sz w:val="22"/>
            <w:szCs w:val="22"/>
            <w:lang w:val="en-AU" w:eastAsia="en-AU"/>
          </w:rPr>
          <w:tab/>
        </w:r>
        <w:r w:rsidR="008A4C37" w:rsidRPr="00732886">
          <w:rPr>
            <w:rStyle w:val="Hyperlink"/>
          </w:rPr>
          <w:t>Asset Management Processes</w:t>
        </w:r>
        <w:r w:rsidR="008A4C37">
          <w:rPr>
            <w:webHidden/>
          </w:rPr>
          <w:tab/>
        </w:r>
        <w:r w:rsidR="008A4C37">
          <w:rPr>
            <w:webHidden/>
          </w:rPr>
          <w:fldChar w:fldCharType="begin"/>
        </w:r>
        <w:r w:rsidR="008A4C37">
          <w:rPr>
            <w:webHidden/>
          </w:rPr>
          <w:instrText xml:space="preserve"> PAGEREF _Toc364945359 \h </w:instrText>
        </w:r>
        <w:r w:rsidR="008A4C37">
          <w:rPr>
            <w:webHidden/>
          </w:rPr>
        </w:r>
        <w:r w:rsidR="008A4C37">
          <w:rPr>
            <w:webHidden/>
          </w:rPr>
          <w:fldChar w:fldCharType="separate"/>
        </w:r>
        <w:r w:rsidR="00557666">
          <w:rPr>
            <w:webHidden/>
          </w:rPr>
          <w:t>2</w:t>
        </w:r>
        <w:r w:rsidR="008A4C37">
          <w:rPr>
            <w:webHidden/>
          </w:rPr>
          <w:fldChar w:fldCharType="end"/>
        </w:r>
      </w:hyperlink>
    </w:p>
    <w:p w:rsidR="008A4C37" w:rsidRDefault="00ED394A">
      <w:pPr>
        <w:pStyle w:val="TOC3"/>
        <w:rPr>
          <w:rFonts w:asciiTheme="minorHAnsi" w:eastAsiaTheme="minorEastAsia" w:hAnsiTheme="minorHAnsi"/>
          <w:iCs w:val="0"/>
          <w:sz w:val="22"/>
          <w:szCs w:val="22"/>
          <w:lang w:val="en-AU" w:eastAsia="en-AU"/>
        </w:rPr>
      </w:pPr>
      <w:hyperlink w:anchor="_Toc364945360" w:history="1">
        <w:r w:rsidR="008A4C37" w:rsidRPr="00732886">
          <w:rPr>
            <w:rStyle w:val="Hyperlink"/>
          </w:rPr>
          <w:t>9.2.2</w:t>
        </w:r>
        <w:r w:rsidR="008A4C37">
          <w:rPr>
            <w:rFonts w:asciiTheme="minorHAnsi" w:eastAsiaTheme="minorEastAsia" w:hAnsiTheme="minorHAnsi"/>
            <w:iCs w:val="0"/>
            <w:sz w:val="22"/>
            <w:szCs w:val="22"/>
            <w:lang w:val="en-AU" w:eastAsia="en-AU"/>
          </w:rPr>
          <w:tab/>
        </w:r>
        <w:r w:rsidR="008A4C37" w:rsidRPr="00732886">
          <w:rPr>
            <w:rStyle w:val="Hyperlink"/>
          </w:rPr>
          <w:t>Asset Management Systems</w:t>
        </w:r>
        <w:r w:rsidR="008A4C37">
          <w:rPr>
            <w:webHidden/>
          </w:rPr>
          <w:tab/>
        </w:r>
        <w:r w:rsidR="008A4C37">
          <w:rPr>
            <w:webHidden/>
          </w:rPr>
          <w:fldChar w:fldCharType="begin"/>
        </w:r>
        <w:r w:rsidR="008A4C37">
          <w:rPr>
            <w:webHidden/>
          </w:rPr>
          <w:instrText xml:space="preserve"> PAGEREF _Toc364945360 \h </w:instrText>
        </w:r>
        <w:r w:rsidR="008A4C37">
          <w:rPr>
            <w:webHidden/>
          </w:rPr>
        </w:r>
        <w:r w:rsidR="008A4C37">
          <w:rPr>
            <w:webHidden/>
          </w:rPr>
          <w:fldChar w:fldCharType="separate"/>
        </w:r>
        <w:r w:rsidR="00557666">
          <w:rPr>
            <w:webHidden/>
          </w:rPr>
          <w:t>2</w:t>
        </w:r>
        <w:r w:rsidR="008A4C37">
          <w:rPr>
            <w:webHidden/>
          </w:rPr>
          <w:fldChar w:fldCharType="end"/>
        </w:r>
      </w:hyperlink>
    </w:p>
    <w:p w:rsidR="008A4C37" w:rsidRDefault="00ED394A">
      <w:pPr>
        <w:pStyle w:val="TOC3"/>
        <w:rPr>
          <w:rFonts w:asciiTheme="minorHAnsi" w:eastAsiaTheme="minorEastAsia" w:hAnsiTheme="minorHAnsi"/>
          <w:iCs w:val="0"/>
          <w:sz w:val="22"/>
          <w:szCs w:val="22"/>
          <w:lang w:val="en-AU" w:eastAsia="en-AU"/>
        </w:rPr>
      </w:pPr>
      <w:hyperlink w:anchor="_Toc364945361" w:history="1">
        <w:r w:rsidR="008A4C37" w:rsidRPr="00732886">
          <w:rPr>
            <w:rStyle w:val="Hyperlink"/>
          </w:rPr>
          <w:t>9.2.3</w:t>
        </w:r>
        <w:r w:rsidR="008A4C37">
          <w:rPr>
            <w:rFonts w:asciiTheme="minorHAnsi" w:eastAsiaTheme="minorEastAsia" w:hAnsiTheme="minorHAnsi"/>
            <w:iCs w:val="0"/>
            <w:sz w:val="22"/>
            <w:szCs w:val="22"/>
            <w:lang w:val="en-AU" w:eastAsia="en-AU"/>
          </w:rPr>
          <w:tab/>
        </w:r>
        <w:r w:rsidR="008A4C37" w:rsidRPr="00732886">
          <w:rPr>
            <w:rStyle w:val="Hyperlink"/>
          </w:rPr>
          <w:t>Asset Management Data</w:t>
        </w:r>
        <w:r w:rsidR="008A4C37">
          <w:rPr>
            <w:webHidden/>
          </w:rPr>
          <w:tab/>
        </w:r>
        <w:r w:rsidR="008A4C37">
          <w:rPr>
            <w:webHidden/>
          </w:rPr>
          <w:fldChar w:fldCharType="begin"/>
        </w:r>
        <w:r w:rsidR="008A4C37">
          <w:rPr>
            <w:webHidden/>
          </w:rPr>
          <w:instrText xml:space="preserve"> PAGEREF _Toc364945361 \h </w:instrText>
        </w:r>
        <w:r w:rsidR="008A4C37">
          <w:rPr>
            <w:webHidden/>
          </w:rPr>
        </w:r>
        <w:r w:rsidR="008A4C37">
          <w:rPr>
            <w:webHidden/>
          </w:rPr>
          <w:fldChar w:fldCharType="separate"/>
        </w:r>
        <w:r w:rsidR="00557666">
          <w:rPr>
            <w:webHidden/>
          </w:rPr>
          <w:t>2</w:t>
        </w:r>
        <w:r w:rsidR="008A4C37">
          <w:rPr>
            <w:webHidden/>
          </w:rPr>
          <w:fldChar w:fldCharType="end"/>
        </w:r>
      </w:hyperlink>
    </w:p>
    <w:p w:rsidR="008A4C37" w:rsidRDefault="00ED394A">
      <w:pPr>
        <w:pStyle w:val="TOC3"/>
        <w:rPr>
          <w:rFonts w:asciiTheme="minorHAnsi" w:eastAsiaTheme="minorEastAsia" w:hAnsiTheme="minorHAnsi"/>
          <w:iCs w:val="0"/>
          <w:sz w:val="22"/>
          <w:szCs w:val="22"/>
          <w:lang w:val="en-AU" w:eastAsia="en-AU"/>
        </w:rPr>
      </w:pPr>
      <w:hyperlink w:anchor="_Toc364945362" w:history="1">
        <w:r w:rsidR="008A4C37" w:rsidRPr="00732886">
          <w:rPr>
            <w:rStyle w:val="Hyperlink"/>
          </w:rPr>
          <w:t>9.2.4</w:t>
        </w:r>
        <w:r w:rsidR="008A4C37">
          <w:rPr>
            <w:rFonts w:asciiTheme="minorHAnsi" w:eastAsiaTheme="minorEastAsia" w:hAnsiTheme="minorHAnsi"/>
            <w:iCs w:val="0"/>
            <w:sz w:val="22"/>
            <w:szCs w:val="22"/>
            <w:lang w:val="en-AU" w:eastAsia="en-AU"/>
          </w:rPr>
          <w:tab/>
        </w:r>
        <w:r w:rsidR="008A4C37" w:rsidRPr="00732886">
          <w:rPr>
            <w:rStyle w:val="Hyperlink"/>
          </w:rPr>
          <w:t>Organisational Capability</w:t>
        </w:r>
        <w:r w:rsidR="008A4C37">
          <w:rPr>
            <w:webHidden/>
          </w:rPr>
          <w:tab/>
        </w:r>
        <w:r w:rsidR="008A4C37">
          <w:rPr>
            <w:webHidden/>
          </w:rPr>
          <w:fldChar w:fldCharType="begin"/>
        </w:r>
        <w:r w:rsidR="008A4C37">
          <w:rPr>
            <w:webHidden/>
          </w:rPr>
          <w:instrText xml:space="preserve"> PAGEREF _Toc364945362 \h </w:instrText>
        </w:r>
        <w:r w:rsidR="008A4C37">
          <w:rPr>
            <w:webHidden/>
          </w:rPr>
        </w:r>
        <w:r w:rsidR="008A4C37">
          <w:rPr>
            <w:webHidden/>
          </w:rPr>
          <w:fldChar w:fldCharType="separate"/>
        </w:r>
        <w:r w:rsidR="00557666">
          <w:rPr>
            <w:webHidden/>
          </w:rPr>
          <w:t>2</w:t>
        </w:r>
        <w:r w:rsidR="008A4C37">
          <w:rPr>
            <w:webHidden/>
          </w:rPr>
          <w:fldChar w:fldCharType="end"/>
        </w:r>
      </w:hyperlink>
    </w:p>
    <w:p w:rsidR="008A4C37" w:rsidRDefault="00ED394A">
      <w:pPr>
        <w:pStyle w:val="TOC2"/>
        <w:rPr>
          <w:rFonts w:asciiTheme="minorHAnsi" w:eastAsiaTheme="minorEastAsia" w:hAnsiTheme="minorHAnsi"/>
          <w:iCs w:val="0"/>
          <w:sz w:val="22"/>
          <w:szCs w:val="22"/>
          <w:lang w:val="en-AU" w:eastAsia="en-AU"/>
        </w:rPr>
      </w:pPr>
      <w:hyperlink w:anchor="_Toc364945363" w:history="1">
        <w:r w:rsidR="008A4C37" w:rsidRPr="00732886">
          <w:rPr>
            <w:rStyle w:val="Hyperlink"/>
          </w:rPr>
          <w:t>9.3</w:t>
        </w:r>
        <w:r w:rsidR="008A4C37">
          <w:rPr>
            <w:rFonts w:asciiTheme="minorHAnsi" w:eastAsiaTheme="minorEastAsia" w:hAnsiTheme="minorHAnsi"/>
            <w:iCs w:val="0"/>
            <w:sz w:val="22"/>
            <w:szCs w:val="22"/>
            <w:lang w:val="en-AU" w:eastAsia="en-AU"/>
          </w:rPr>
          <w:tab/>
        </w:r>
        <w:r w:rsidR="008A4C37" w:rsidRPr="00732886">
          <w:rPr>
            <w:rStyle w:val="Hyperlink"/>
          </w:rPr>
          <w:t>Asset Management Improvement Plan</w:t>
        </w:r>
        <w:r w:rsidR="008A4C37">
          <w:rPr>
            <w:webHidden/>
          </w:rPr>
          <w:tab/>
        </w:r>
        <w:r w:rsidR="008A4C37">
          <w:rPr>
            <w:webHidden/>
          </w:rPr>
          <w:fldChar w:fldCharType="begin"/>
        </w:r>
        <w:r w:rsidR="008A4C37">
          <w:rPr>
            <w:webHidden/>
          </w:rPr>
          <w:instrText xml:space="preserve"> PAGEREF _Toc364945363 \h </w:instrText>
        </w:r>
        <w:r w:rsidR="008A4C37">
          <w:rPr>
            <w:webHidden/>
          </w:rPr>
        </w:r>
        <w:r w:rsidR="008A4C37">
          <w:rPr>
            <w:webHidden/>
          </w:rPr>
          <w:fldChar w:fldCharType="separate"/>
        </w:r>
        <w:r w:rsidR="00557666">
          <w:rPr>
            <w:webHidden/>
          </w:rPr>
          <w:t>2</w:t>
        </w:r>
        <w:r w:rsidR="008A4C37">
          <w:rPr>
            <w:webHidden/>
          </w:rPr>
          <w:fldChar w:fldCharType="end"/>
        </w:r>
      </w:hyperlink>
    </w:p>
    <w:p w:rsidR="008A4C37" w:rsidRDefault="00ED394A">
      <w:pPr>
        <w:pStyle w:val="TOC2"/>
        <w:rPr>
          <w:rFonts w:asciiTheme="minorHAnsi" w:eastAsiaTheme="minorEastAsia" w:hAnsiTheme="minorHAnsi"/>
          <w:iCs w:val="0"/>
          <w:sz w:val="22"/>
          <w:szCs w:val="22"/>
          <w:lang w:val="en-AU" w:eastAsia="en-AU"/>
        </w:rPr>
      </w:pPr>
      <w:hyperlink w:anchor="_Toc364945364" w:history="1">
        <w:r w:rsidR="008A4C37" w:rsidRPr="00732886">
          <w:rPr>
            <w:rStyle w:val="Hyperlink"/>
          </w:rPr>
          <w:t>9.4</w:t>
        </w:r>
        <w:r w:rsidR="008A4C37">
          <w:rPr>
            <w:rFonts w:asciiTheme="minorHAnsi" w:eastAsiaTheme="minorEastAsia" w:hAnsiTheme="minorHAnsi"/>
            <w:iCs w:val="0"/>
            <w:sz w:val="22"/>
            <w:szCs w:val="22"/>
            <w:lang w:val="en-AU" w:eastAsia="en-AU"/>
          </w:rPr>
          <w:tab/>
        </w:r>
        <w:r w:rsidR="008A4C37" w:rsidRPr="00732886">
          <w:rPr>
            <w:rStyle w:val="Hyperlink"/>
          </w:rPr>
          <w:t>Improvement Monitoring</w:t>
        </w:r>
        <w:r w:rsidR="008A4C37">
          <w:rPr>
            <w:webHidden/>
          </w:rPr>
          <w:tab/>
        </w:r>
        <w:r w:rsidR="008A4C37">
          <w:rPr>
            <w:webHidden/>
          </w:rPr>
          <w:fldChar w:fldCharType="begin"/>
        </w:r>
        <w:r w:rsidR="008A4C37">
          <w:rPr>
            <w:webHidden/>
          </w:rPr>
          <w:instrText xml:space="preserve"> PAGEREF _Toc364945364 \h </w:instrText>
        </w:r>
        <w:r w:rsidR="008A4C37">
          <w:rPr>
            <w:webHidden/>
          </w:rPr>
        </w:r>
        <w:r w:rsidR="008A4C37">
          <w:rPr>
            <w:webHidden/>
          </w:rPr>
          <w:fldChar w:fldCharType="separate"/>
        </w:r>
        <w:r w:rsidR="00557666">
          <w:rPr>
            <w:webHidden/>
          </w:rPr>
          <w:t>2</w:t>
        </w:r>
        <w:r w:rsidR="008A4C37">
          <w:rPr>
            <w:webHidden/>
          </w:rPr>
          <w:fldChar w:fldCharType="end"/>
        </w:r>
      </w:hyperlink>
    </w:p>
    <w:p w:rsidR="00CC614F" w:rsidRDefault="0090414C" w:rsidP="00CD3766">
      <w:pPr>
        <w:tabs>
          <w:tab w:val="right" w:pos="9027"/>
          <w:tab w:val="right" w:pos="9070"/>
        </w:tabs>
        <w:spacing w:before="60" w:after="60"/>
        <w:rPr>
          <w:rFonts w:cs="Arial"/>
          <w:noProof/>
          <w:lang w:eastAsia="en-US"/>
        </w:rPr>
      </w:pPr>
      <w:r>
        <w:rPr>
          <w:rFonts w:cs="Arial"/>
          <w:noProof/>
          <w:lang w:eastAsia="en-US"/>
        </w:rPr>
        <w:fldChar w:fldCharType="end"/>
      </w:r>
    </w:p>
    <w:p w:rsidR="009E73D6" w:rsidRDefault="009E73D6" w:rsidP="00CD3766">
      <w:pPr>
        <w:tabs>
          <w:tab w:val="right" w:pos="9027"/>
          <w:tab w:val="right" w:pos="9070"/>
        </w:tabs>
        <w:spacing w:before="60" w:after="60"/>
        <w:rPr>
          <w:rFonts w:cs="Arial"/>
          <w:noProof/>
          <w:lang w:eastAsia="en-US"/>
        </w:rPr>
      </w:pPr>
    </w:p>
    <w:p w:rsidR="009E73D6" w:rsidRDefault="009E73D6" w:rsidP="00CD3766">
      <w:pPr>
        <w:tabs>
          <w:tab w:val="right" w:pos="9027"/>
          <w:tab w:val="right" w:pos="9070"/>
        </w:tabs>
        <w:spacing w:before="60" w:after="60"/>
        <w:rPr>
          <w:rFonts w:cs="Arial"/>
          <w:noProof/>
          <w:lang w:eastAsia="en-US"/>
        </w:rPr>
      </w:pPr>
    </w:p>
    <w:p w:rsidR="00D70D72" w:rsidRDefault="00D70D72" w:rsidP="00CD3766">
      <w:pPr>
        <w:tabs>
          <w:tab w:val="right" w:pos="9027"/>
          <w:tab w:val="right" w:pos="9070"/>
        </w:tabs>
        <w:spacing w:before="60" w:after="60"/>
        <w:rPr>
          <w:rFonts w:cs="Arial"/>
          <w:noProof/>
          <w:lang w:eastAsia="en-US"/>
        </w:rPr>
        <w:sectPr w:rsidR="00D70D72" w:rsidSect="004247DA">
          <w:headerReference w:type="default" r:id="rId11"/>
          <w:footerReference w:type="default" r:id="rId12"/>
          <w:pgSz w:w="11906" w:h="16838" w:code="9"/>
          <w:pgMar w:top="1418" w:right="1418" w:bottom="851" w:left="1418" w:header="284" w:footer="312" w:gutter="0"/>
          <w:pgNumType w:fmt="lowerRoman" w:start="1"/>
          <w:cols w:space="720"/>
          <w:docGrid w:linePitch="360"/>
        </w:sectPr>
      </w:pPr>
    </w:p>
    <w:p w:rsidR="006107DD" w:rsidRPr="00222036" w:rsidRDefault="006107DD" w:rsidP="006107DD">
      <w:pPr>
        <w:pStyle w:val="IntenseQuote"/>
        <w:rPr>
          <w:color w:val="548DD4" w:themeColor="text2" w:themeTint="99"/>
        </w:rPr>
      </w:pPr>
      <w:r w:rsidRPr="00222036">
        <w:rPr>
          <w:color w:val="548DD4" w:themeColor="text2" w:themeTint="99"/>
        </w:rPr>
        <w:lastRenderedPageBreak/>
        <w:t>List of Figures</w:t>
      </w:r>
    </w:p>
    <w:p w:rsidR="008A4C37" w:rsidRDefault="0090414C">
      <w:pPr>
        <w:pStyle w:val="TableofFigures"/>
        <w:rPr>
          <w:rFonts w:asciiTheme="minorHAnsi" w:eastAsiaTheme="minorEastAsia" w:hAnsiTheme="minorHAnsi"/>
          <w:noProof/>
          <w:sz w:val="22"/>
          <w:szCs w:val="22"/>
        </w:rPr>
      </w:pPr>
      <w:r>
        <w:rPr>
          <w:rFonts w:cs="Arial"/>
        </w:rPr>
        <w:fldChar w:fldCharType="begin"/>
      </w:r>
      <w:r w:rsidR="006107DD">
        <w:rPr>
          <w:rFonts w:cs="Arial"/>
        </w:rPr>
        <w:instrText xml:space="preserve"> TOC \h \z \c "Figure" </w:instrText>
      </w:r>
      <w:r>
        <w:rPr>
          <w:rFonts w:cs="Arial"/>
        </w:rPr>
        <w:fldChar w:fldCharType="separate"/>
      </w:r>
      <w:hyperlink w:anchor="_Toc364945365" w:history="1">
        <w:r w:rsidR="008A4C37" w:rsidRPr="00502820">
          <w:rPr>
            <w:rStyle w:val="Hyperlink"/>
            <w:rFonts w:ascii="Arial" w:hAnsi="Arial"/>
            <w:noProof/>
            <w:lang w:val="en-AU"/>
          </w:rPr>
          <w:t>Figure 1:  Lifecycle Management</w:t>
        </w:r>
        <w:r w:rsidR="008A4C37">
          <w:rPr>
            <w:noProof/>
            <w:webHidden/>
          </w:rPr>
          <w:tab/>
        </w:r>
        <w:r w:rsidR="008A4C37">
          <w:rPr>
            <w:noProof/>
            <w:webHidden/>
          </w:rPr>
          <w:fldChar w:fldCharType="begin"/>
        </w:r>
        <w:r w:rsidR="008A4C37">
          <w:rPr>
            <w:noProof/>
            <w:webHidden/>
          </w:rPr>
          <w:instrText xml:space="preserve"> PAGEREF _Toc364945365 \h </w:instrText>
        </w:r>
        <w:r w:rsidR="008A4C37">
          <w:rPr>
            <w:noProof/>
            <w:webHidden/>
          </w:rPr>
        </w:r>
        <w:r w:rsidR="008A4C37">
          <w:rPr>
            <w:noProof/>
            <w:webHidden/>
          </w:rPr>
          <w:fldChar w:fldCharType="separate"/>
        </w:r>
        <w:r w:rsidR="00557666">
          <w:rPr>
            <w:noProof/>
            <w:webHidden/>
          </w:rPr>
          <w:t>2</w:t>
        </w:r>
        <w:r w:rsidR="008A4C37">
          <w:rPr>
            <w:noProof/>
            <w:webHidden/>
          </w:rPr>
          <w:fldChar w:fldCharType="end"/>
        </w:r>
      </w:hyperlink>
    </w:p>
    <w:p w:rsidR="008A4C37" w:rsidRDefault="00ED394A">
      <w:pPr>
        <w:pStyle w:val="TableofFigures"/>
        <w:rPr>
          <w:rFonts w:asciiTheme="minorHAnsi" w:eastAsiaTheme="minorEastAsia" w:hAnsiTheme="minorHAnsi"/>
          <w:noProof/>
          <w:sz w:val="22"/>
          <w:szCs w:val="22"/>
        </w:rPr>
      </w:pPr>
      <w:hyperlink w:anchor="_Toc364945366" w:history="1">
        <w:r w:rsidR="008A4C37" w:rsidRPr="00502820">
          <w:rPr>
            <w:rStyle w:val="Hyperlink"/>
            <w:rFonts w:ascii="Arial" w:hAnsi="Arial"/>
            <w:noProof/>
            <w:lang w:val="en-AU"/>
          </w:rPr>
          <w:t>Figure 2:  Building Condition Ratings</w:t>
        </w:r>
        <w:r w:rsidR="008A4C37">
          <w:rPr>
            <w:noProof/>
            <w:webHidden/>
          </w:rPr>
          <w:tab/>
        </w:r>
        <w:r w:rsidR="008A4C37">
          <w:rPr>
            <w:noProof/>
            <w:webHidden/>
          </w:rPr>
          <w:fldChar w:fldCharType="begin"/>
        </w:r>
        <w:r w:rsidR="008A4C37">
          <w:rPr>
            <w:noProof/>
            <w:webHidden/>
          </w:rPr>
          <w:instrText xml:space="preserve"> PAGEREF _Toc364945366 \h </w:instrText>
        </w:r>
        <w:r w:rsidR="008A4C37">
          <w:rPr>
            <w:noProof/>
            <w:webHidden/>
          </w:rPr>
        </w:r>
        <w:r w:rsidR="008A4C37">
          <w:rPr>
            <w:noProof/>
            <w:webHidden/>
          </w:rPr>
          <w:fldChar w:fldCharType="separate"/>
        </w:r>
        <w:r w:rsidR="00557666">
          <w:rPr>
            <w:noProof/>
            <w:webHidden/>
          </w:rPr>
          <w:t>2</w:t>
        </w:r>
        <w:r w:rsidR="008A4C37">
          <w:rPr>
            <w:noProof/>
            <w:webHidden/>
          </w:rPr>
          <w:fldChar w:fldCharType="end"/>
        </w:r>
      </w:hyperlink>
    </w:p>
    <w:p w:rsidR="008A4C37" w:rsidRDefault="00ED394A">
      <w:pPr>
        <w:pStyle w:val="TableofFigures"/>
        <w:rPr>
          <w:rFonts w:asciiTheme="minorHAnsi" w:eastAsiaTheme="minorEastAsia" w:hAnsiTheme="minorHAnsi"/>
          <w:noProof/>
          <w:sz w:val="22"/>
          <w:szCs w:val="22"/>
        </w:rPr>
      </w:pPr>
      <w:hyperlink w:anchor="_Toc364945367" w:history="1">
        <w:r w:rsidR="008A4C37" w:rsidRPr="00502820">
          <w:rPr>
            <w:rStyle w:val="Hyperlink"/>
            <w:rFonts w:ascii="Arial" w:hAnsi="Arial"/>
            <w:noProof/>
            <w:lang w:val="en-AU"/>
          </w:rPr>
          <w:t>Figure 3:  Fitness for Purpose Summary</w:t>
        </w:r>
        <w:r w:rsidR="008A4C37">
          <w:rPr>
            <w:noProof/>
            <w:webHidden/>
          </w:rPr>
          <w:tab/>
        </w:r>
        <w:r w:rsidR="008A4C37">
          <w:rPr>
            <w:noProof/>
            <w:webHidden/>
          </w:rPr>
          <w:fldChar w:fldCharType="begin"/>
        </w:r>
        <w:r w:rsidR="008A4C37">
          <w:rPr>
            <w:noProof/>
            <w:webHidden/>
          </w:rPr>
          <w:instrText xml:space="preserve"> PAGEREF _Toc364945367 \h </w:instrText>
        </w:r>
        <w:r w:rsidR="008A4C37">
          <w:rPr>
            <w:noProof/>
            <w:webHidden/>
          </w:rPr>
        </w:r>
        <w:r w:rsidR="008A4C37">
          <w:rPr>
            <w:noProof/>
            <w:webHidden/>
          </w:rPr>
          <w:fldChar w:fldCharType="separate"/>
        </w:r>
        <w:r w:rsidR="00557666">
          <w:rPr>
            <w:noProof/>
            <w:webHidden/>
          </w:rPr>
          <w:t>2</w:t>
        </w:r>
        <w:r w:rsidR="008A4C37">
          <w:rPr>
            <w:noProof/>
            <w:webHidden/>
          </w:rPr>
          <w:fldChar w:fldCharType="end"/>
        </w:r>
      </w:hyperlink>
    </w:p>
    <w:p w:rsidR="008A4C37" w:rsidRDefault="00ED394A">
      <w:pPr>
        <w:pStyle w:val="TableofFigures"/>
        <w:rPr>
          <w:rFonts w:asciiTheme="minorHAnsi" w:eastAsiaTheme="minorEastAsia" w:hAnsiTheme="minorHAnsi"/>
          <w:noProof/>
          <w:sz w:val="22"/>
          <w:szCs w:val="22"/>
        </w:rPr>
      </w:pPr>
      <w:hyperlink w:anchor="_Toc364945368" w:history="1">
        <w:r w:rsidR="008A4C37" w:rsidRPr="00502820">
          <w:rPr>
            <w:rStyle w:val="Hyperlink"/>
            <w:rFonts w:ascii="Arial" w:hAnsi="Arial"/>
            <w:noProof/>
            <w:lang w:val="en-AU"/>
          </w:rPr>
          <w:t>Figure 4:  Operational and Maintenance Expenditure</w:t>
        </w:r>
        <w:r w:rsidR="008A4C37">
          <w:rPr>
            <w:noProof/>
            <w:webHidden/>
          </w:rPr>
          <w:tab/>
        </w:r>
        <w:r w:rsidR="008A4C37">
          <w:rPr>
            <w:noProof/>
            <w:webHidden/>
          </w:rPr>
          <w:fldChar w:fldCharType="begin"/>
        </w:r>
        <w:r w:rsidR="008A4C37">
          <w:rPr>
            <w:noProof/>
            <w:webHidden/>
          </w:rPr>
          <w:instrText xml:space="preserve"> PAGEREF _Toc364945368 \h </w:instrText>
        </w:r>
        <w:r w:rsidR="008A4C37">
          <w:rPr>
            <w:noProof/>
            <w:webHidden/>
          </w:rPr>
        </w:r>
        <w:r w:rsidR="008A4C37">
          <w:rPr>
            <w:noProof/>
            <w:webHidden/>
          </w:rPr>
          <w:fldChar w:fldCharType="separate"/>
        </w:r>
        <w:r w:rsidR="00557666">
          <w:rPr>
            <w:noProof/>
            <w:webHidden/>
          </w:rPr>
          <w:t>2</w:t>
        </w:r>
        <w:r w:rsidR="008A4C37">
          <w:rPr>
            <w:noProof/>
            <w:webHidden/>
          </w:rPr>
          <w:fldChar w:fldCharType="end"/>
        </w:r>
      </w:hyperlink>
    </w:p>
    <w:p w:rsidR="008A4C37" w:rsidRDefault="00ED394A">
      <w:pPr>
        <w:pStyle w:val="TableofFigures"/>
        <w:rPr>
          <w:rFonts w:asciiTheme="minorHAnsi" w:eastAsiaTheme="minorEastAsia" w:hAnsiTheme="minorHAnsi"/>
          <w:noProof/>
          <w:sz w:val="22"/>
          <w:szCs w:val="22"/>
        </w:rPr>
      </w:pPr>
      <w:hyperlink w:anchor="_Toc364945369" w:history="1">
        <w:r w:rsidR="008A4C37" w:rsidRPr="00502820">
          <w:rPr>
            <w:rStyle w:val="Hyperlink"/>
            <w:rFonts w:ascii="Arial" w:hAnsi="Arial"/>
            <w:noProof/>
            <w:lang w:val="en-AU"/>
          </w:rPr>
          <w:t>Figure 5:  10 Year Operational and Maintenance Budget Projection</w:t>
        </w:r>
        <w:r w:rsidR="008A4C37">
          <w:rPr>
            <w:noProof/>
            <w:webHidden/>
          </w:rPr>
          <w:tab/>
        </w:r>
        <w:r w:rsidR="008A4C37">
          <w:rPr>
            <w:noProof/>
            <w:webHidden/>
          </w:rPr>
          <w:fldChar w:fldCharType="begin"/>
        </w:r>
        <w:r w:rsidR="008A4C37">
          <w:rPr>
            <w:noProof/>
            <w:webHidden/>
          </w:rPr>
          <w:instrText xml:space="preserve"> PAGEREF _Toc364945369 \h </w:instrText>
        </w:r>
        <w:r w:rsidR="008A4C37">
          <w:rPr>
            <w:noProof/>
            <w:webHidden/>
          </w:rPr>
        </w:r>
        <w:r w:rsidR="008A4C37">
          <w:rPr>
            <w:noProof/>
            <w:webHidden/>
          </w:rPr>
          <w:fldChar w:fldCharType="separate"/>
        </w:r>
        <w:r w:rsidR="00557666">
          <w:rPr>
            <w:noProof/>
            <w:webHidden/>
          </w:rPr>
          <w:t>2</w:t>
        </w:r>
        <w:r w:rsidR="008A4C37">
          <w:rPr>
            <w:noProof/>
            <w:webHidden/>
          </w:rPr>
          <w:fldChar w:fldCharType="end"/>
        </w:r>
      </w:hyperlink>
    </w:p>
    <w:p w:rsidR="008A4C37" w:rsidRDefault="00ED394A">
      <w:pPr>
        <w:pStyle w:val="TableofFigures"/>
        <w:rPr>
          <w:rFonts w:asciiTheme="minorHAnsi" w:eastAsiaTheme="minorEastAsia" w:hAnsiTheme="minorHAnsi"/>
          <w:noProof/>
          <w:sz w:val="22"/>
          <w:szCs w:val="22"/>
        </w:rPr>
      </w:pPr>
      <w:hyperlink w:anchor="_Toc364945370" w:history="1">
        <w:r w:rsidR="008A4C37" w:rsidRPr="00502820">
          <w:rPr>
            <w:rStyle w:val="Hyperlink"/>
            <w:rFonts w:ascii="Arial" w:hAnsi="Arial"/>
            <w:noProof/>
            <w:lang w:val="en-AU"/>
          </w:rPr>
          <w:t>Figure 6:  Renewal Budget Past 5 Years</w:t>
        </w:r>
        <w:r w:rsidR="008A4C37">
          <w:rPr>
            <w:noProof/>
            <w:webHidden/>
          </w:rPr>
          <w:tab/>
        </w:r>
        <w:r w:rsidR="008A4C37">
          <w:rPr>
            <w:noProof/>
            <w:webHidden/>
          </w:rPr>
          <w:fldChar w:fldCharType="begin"/>
        </w:r>
        <w:r w:rsidR="008A4C37">
          <w:rPr>
            <w:noProof/>
            <w:webHidden/>
          </w:rPr>
          <w:instrText xml:space="preserve"> PAGEREF _Toc364945370 \h </w:instrText>
        </w:r>
        <w:r w:rsidR="008A4C37">
          <w:rPr>
            <w:noProof/>
            <w:webHidden/>
          </w:rPr>
        </w:r>
        <w:r w:rsidR="008A4C37">
          <w:rPr>
            <w:noProof/>
            <w:webHidden/>
          </w:rPr>
          <w:fldChar w:fldCharType="separate"/>
        </w:r>
        <w:r w:rsidR="00557666">
          <w:rPr>
            <w:noProof/>
            <w:webHidden/>
          </w:rPr>
          <w:t>2</w:t>
        </w:r>
        <w:r w:rsidR="008A4C37">
          <w:rPr>
            <w:noProof/>
            <w:webHidden/>
          </w:rPr>
          <w:fldChar w:fldCharType="end"/>
        </w:r>
      </w:hyperlink>
    </w:p>
    <w:p w:rsidR="008A4C37" w:rsidRDefault="00ED394A">
      <w:pPr>
        <w:pStyle w:val="TableofFigures"/>
        <w:rPr>
          <w:rFonts w:asciiTheme="minorHAnsi" w:eastAsiaTheme="minorEastAsia" w:hAnsiTheme="minorHAnsi"/>
          <w:noProof/>
          <w:sz w:val="22"/>
          <w:szCs w:val="22"/>
        </w:rPr>
      </w:pPr>
      <w:hyperlink w:anchor="_Toc364945371" w:history="1">
        <w:r w:rsidR="008A4C37" w:rsidRPr="00502820">
          <w:rPr>
            <w:rStyle w:val="Hyperlink"/>
            <w:rFonts w:ascii="Arial" w:hAnsi="Arial"/>
            <w:noProof/>
            <w:lang w:val="en-AU"/>
          </w:rPr>
          <w:t>Figure 7:  10 Year Capital Works Renewal Budget</w:t>
        </w:r>
        <w:r w:rsidR="008A4C37">
          <w:rPr>
            <w:noProof/>
            <w:webHidden/>
          </w:rPr>
          <w:tab/>
        </w:r>
        <w:r w:rsidR="008A4C37">
          <w:rPr>
            <w:noProof/>
            <w:webHidden/>
          </w:rPr>
          <w:fldChar w:fldCharType="begin"/>
        </w:r>
        <w:r w:rsidR="008A4C37">
          <w:rPr>
            <w:noProof/>
            <w:webHidden/>
          </w:rPr>
          <w:instrText xml:space="preserve"> PAGEREF _Toc364945371 \h </w:instrText>
        </w:r>
        <w:r w:rsidR="008A4C37">
          <w:rPr>
            <w:noProof/>
            <w:webHidden/>
          </w:rPr>
        </w:r>
        <w:r w:rsidR="008A4C37">
          <w:rPr>
            <w:noProof/>
            <w:webHidden/>
          </w:rPr>
          <w:fldChar w:fldCharType="separate"/>
        </w:r>
        <w:r w:rsidR="00557666">
          <w:rPr>
            <w:noProof/>
            <w:webHidden/>
          </w:rPr>
          <w:t>2</w:t>
        </w:r>
        <w:r w:rsidR="008A4C37">
          <w:rPr>
            <w:noProof/>
            <w:webHidden/>
          </w:rPr>
          <w:fldChar w:fldCharType="end"/>
        </w:r>
      </w:hyperlink>
    </w:p>
    <w:p w:rsidR="008A4C37" w:rsidRDefault="00ED394A">
      <w:pPr>
        <w:pStyle w:val="TableofFigures"/>
        <w:rPr>
          <w:rFonts w:asciiTheme="minorHAnsi" w:eastAsiaTheme="minorEastAsia" w:hAnsiTheme="minorHAnsi"/>
          <w:noProof/>
          <w:sz w:val="22"/>
          <w:szCs w:val="22"/>
        </w:rPr>
      </w:pPr>
      <w:hyperlink w:anchor="_Toc364945372" w:history="1">
        <w:r w:rsidR="008A4C37" w:rsidRPr="00502820">
          <w:rPr>
            <w:rStyle w:val="Hyperlink"/>
            <w:rFonts w:ascii="Arial" w:hAnsi="Arial"/>
            <w:noProof/>
            <w:lang w:val="en-AU"/>
          </w:rPr>
          <w:t>Figure 8:  Proposed Buildings Capital Renewal Expenditure in line with 10 Year Financial Plan</w:t>
        </w:r>
        <w:r w:rsidR="008A4C37">
          <w:rPr>
            <w:noProof/>
            <w:webHidden/>
          </w:rPr>
          <w:tab/>
        </w:r>
        <w:r w:rsidR="008A4C37">
          <w:rPr>
            <w:noProof/>
            <w:webHidden/>
          </w:rPr>
          <w:fldChar w:fldCharType="begin"/>
        </w:r>
        <w:r w:rsidR="008A4C37">
          <w:rPr>
            <w:noProof/>
            <w:webHidden/>
          </w:rPr>
          <w:instrText xml:space="preserve"> PAGEREF _Toc364945372 \h </w:instrText>
        </w:r>
        <w:r w:rsidR="008A4C37">
          <w:rPr>
            <w:noProof/>
            <w:webHidden/>
          </w:rPr>
        </w:r>
        <w:r w:rsidR="008A4C37">
          <w:rPr>
            <w:noProof/>
            <w:webHidden/>
          </w:rPr>
          <w:fldChar w:fldCharType="separate"/>
        </w:r>
        <w:r w:rsidR="00557666">
          <w:rPr>
            <w:noProof/>
            <w:webHidden/>
          </w:rPr>
          <w:t>2</w:t>
        </w:r>
        <w:r w:rsidR="008A4C37">
          <w:rPr>
            <w:noProof/>
            <w:webHidden/>
          </w:rPr>
          <w:fldChar w:fldCharType="end"/>
        </w:r>
      </w:hyperlink>
    </w:p>
    <w:p w:rsidR="008A4C37" w:rsidRDefault="00ED394A">
      <w:pPr>
        <w:pStyle w:val="TableofFigures"/>
        <w:rPr>
          <w:rFonts w:asciiTheme="minorHAnsi" w:eastAsiaTheme="minorEastAsia" w:hAnsiTheme="minorHAnsi"/>
          <w:noProof/>
          <w:sz w:val="22"/>
          <w:szCs w:val="22"/>
        </w:rPr>
      </w:pPr>
      <w:hyperlink w:anchor="_Toc364945373" w:history="1">
        <w:r w:rsidR="008A4C37" w:rsidRPr="00502820">
          <w:rPr>
            <w:rStyle w:val="Hyperlink"/>
            <w:rFonts w:ascii="Arial" w:hAnsi="Arial"/>
            <w:noProof/>
            <w:lang w:val="en-AU"/>
          </w:rPr>
          <w:t>Figure 9:  Recommended Buildings Capital Works Renewal Expenditure</w:t>
        </w:r>
        <w:r w:rsidR="008A4C37">
          <w:rPr>
            <w:noProof/>
            <w:webHidden/>
          </w:rPr>
          <w:tab/>
        </w:r>
        <w:r w:rsidR="008A4C37">
          <w:rPr>
            <w:noProof/>
            <w:webHidden/>
          </w:rPr>
          <w:fldChar w:fldCharType="begin"/>
        </w:r>
        <w:r w:rsidR="008A4C37">
          <w:rPr>
            <w:noProof/>
            <w:webHidden/>
          </w:rPr>
          <w:instrText xml:space="preserve"> PAGEREF _Toc364945373 \h </w:instrText>
        </w:r>
        <w:r w:rsidR="008A4C37">
          <w:rPr>
            <w:noProof/>
            <w:webHidden/>
          </w:rPr>
        </w:r>
        <w:r w:rsidR="008A4C37">
          <w:rPr>
            <w:noProof/>
            <w:webHidden/>
          </w:rPr>
          <w:fldChar w:fldCharType="separate"/>
        </w:r>
        <w:r w:rsidR="00557666">
          <w:rPr>
            <w:noProof/>
            <w:webHidden/>
          </w:rPr>
          <w:t>2</w:t>
        </w:r>
        <w:r w:rsidR="008A4C37">
          <w:rPr>
            <w:noProof/>
            <w:webHidden/>
          </w:rPr>
          <w:fldChar w:fldCharType="end"/>
        </w:r>
      </w:hyperlink>
    </w:p>
    <w:p w:rsidR="008A4C37" w:rsidRDefault="00ED394A">
      <w:pPr>
        <w:pStyle w:val="TableofFigures"/>
        <w:rPr>
          <w:rFonts w:asciiTheme="minorHAnsi" w:eastAsiaTheme="minorEastAsia" w:hAnsiTheme="minorHAnsi"/>
          <w:noProof/>
          <w:sz w:val="22"/>
          <w:szCs w:val="22"/>
        </w:rPr>
      </w:pPr>
      <w:hyperlink w:anchor="_Toc364945374" w:history="1">
        <w:r w:rsidR="008A4C37" w:rsidRPr="00502820">
          <w:rPr>
            <w:rStyle w:val="Hyperlink"/>
            <w:rFonts w:ascii="Arial" w:hAnsi="Arial"/>
            <w:noProof/>
            <w:lang w:val="en-AU"/>
          </w:rPr>
          <w:t>Figure 10:  Capital Works Upgrade and New Works Past 5 Years</w:t>
        </w:r>
        <w:r w:rsidR="008A4C37">
          <w:rPr>
            <w:noProof/>
            <w:webHidden/>
          </w:rPr>
          <w:tab/>
        </w:r>
        <w:r w:rsidR="008A4C37">
          <w:rPr>
            <w:noProof/>
            <w:webHidden/>
          </w:rPr>
          <w:fldChar w:fldCharType="begin"/>
        </w:r>
        <w:r w:rsidR="008A4C37">
          <w:rPr>
            <w:noProof/>
            <w:webHidden/>
          </w:rPr>
          <w:instrText xml:space="preserve"> PAGEREF _Toc364945374 \h </w:instrText>
        </w:r>
        <w:r w:rsidR="008A4C37">
          <w:rPr>
            <w:noProof/>
            <w:webHidden/>
          </w:rPr>
        </w:r>
        <w:r w:rsidR="008A4C37">
          <w:rPr>
            <w:noProof/>
            <w:webHidden/>
          </w:rPr>
          <w:fldChar w:fldCharType="separate"/>
        </w:r>
        <w:r w:rsidR="00557666">
          <w:rPr>
            <w:noProof/>
            <w:webHidden/>
          </w:rPr>
          <w:t>2</w:t>
        </w:r>
        <w:r w:rsidR="008A4C37">
          <w:rPr>
            <w:noProof/>
            <w:webHidden/>
          </w:rPr>
          <w:fldChar w:fldCharType="end"/>
        </w:r>
      </w:hyperlink>
    </w:p>
    <w:p w:rsidR="008A4C37" w:rsidRDefault="00ED394A">
      <w:pPr>
        <w:pStyle w:val="TableofFigures"/>
        <w:rPr>
          <w:rFonts w:asciiTheme="minorHAnsi" w:eastAsiaTheme="minorEastAsia" w:hAnsiTheme="minorHAnsi"/>
          <w:noProof/>
          <w:sz w:val="22"/>
          <w:szCs w:val="22"/>
        </w:rPr>
      </w:pPr>
      <w:hyperlink w:anchor="_Toc364945375" w:history="1">
        <w:r w:rsidR="008A4C37" w:rsidRPr="00502820">
          <w:rPr>
            <w:rStyle w:val="Hyperlink"/>
            <w:rFonts w:ascii="Arial" w:hAnsi="Arial"/>
            <w:noProof/>
            <w:lang w:val="en-AU"/>
          </w:rPr>
          <w:t>Figure 11:  10 Year Capital New and Upgrading Forecasts</w:t>
        </w:r>
        <w:r w:rsidR="008A4C37">
          <w:rPr>
            <w:noProof/>
            <w:webHidden/>
          </w:rPr>
          <w:tab/>
        </w:r>
        <w:r w:rsidR="008A4C37">
          <w:rPr>
            <w:noProof/>
            <w:webHidden/>
          </w:rPr>
          <w:fldChar w:fldCharType="begin"/>
        </w:r>
        <w:r w:rsidR="008A4C37">
          <w:rPr>
            <w:noProof/>
            <w:webHidden/>
          </w:rPr>
          <w:instrText xml:space="preserve"> PAGEREF _Toc364945375 \h </w:instrText>
        </w:r>
        <w:r w:rsidR="008A4C37">
          <w:rPr>
            <w:noProof/>
            <w:webHidden/>
          </w:rPr>
        </w:r>
        <w:r w:rsidR="008A4C37">
          <w:rPr>
            <w:noProof/>
            <w:webHidden/>
          </w:rPr>
          <w:fldChar w:fldCharType="separate"/>
        </w:r>
        <w:r w:rsidR="00557666">
          <w:rPr>
            <w:noProof/>
            <w:webHidden/>
          </w:rPr>
          <w:t>2</w:t>
        </w:r>
        <w:r w:rsidR="008A4C37">
          <w:rPr>
            <w:noProof/>
            <w:webHidden/>
          </w:rPr>
          <w:fldChar w:fldCharType="end"/>
        </w:r>
      </w:hyperlink>
    </w:p>
    <w:p w:rsidR="008A4C37" w:rsidRDefault="00ED394A">
      <w:pPr>
        <w:pStyle w:val="TableofFigures"/>
        <w:rPr>
          <w:rFonts w:asciiTheme="minorHAnsi" w:eastAsiaTheme="minorEastAsia" w:hAnsiTheme="minorHAnsi"/>
          <w:noProof/>
          <w:sz w:val="22"/>
          <w:szCs w:val="22"/>
        </w:rPr>
      </w:pPr>
      <w:hyperlink w:anchor="_Toc364945376" w:history="1">
        <w:r w:rsidR="008A4C37" w:rsidRPr="00502820">
          <w:rPr>
            <w:rStyle w:val="Hyperlink"/>
            <w:rFonts w:ascii="Arial" w:hAnsi="Arial"/>
            <w:noProof/>
            <w:lang w:val="en-AU"/>
          </w:rPr>
          <w:t>Figure 12:  10 Year Buildings Total Expenditure</w:t>
        </w:r>
        <w:r w:rsidR="008A4C37">
          <w:rPr>
            <w:noProof/>
            <w:webHidden/>
          </w:rPr>
          <w:tab/>
        </w:r>
        <w:r w:rsidR="008A4C37">
          <w:rPr>
            <w:noProof/>
            <w:webHidden/>
          </w:rPr>
          <w:fldChar w:fldCharType="begin"/>
        </w:r>
        <w:r w:rsidR="008A4C37">
          <w:rPr>
            <w:noProof/>
            <w:webHidden/>
          </w:rPr>
          <w:instrText xml:space="preserve"> PAGEREF _Toc364945376 \h </w:instrText>
        </w:r>
        <w:r w:rsidR="008A4C37">
          <w:rPr>
            <w:noProof/>
            <w:webHidden/>
          </w:rPr>
        </w:r>
        <w:r w:rsidR="008A4C37">
          <w:rPr>
            <w:noProof/>
            <w:webHidden/>
          </w:rPr>
          <w:fldChar w:fldCharType="separate"/>
        </w:r>
        <w:r w:rsidR="00557666">
          <w:rPr>
            <w:noProof/>
            <w:webHidden/>
          </w:rPr>
          <w:t>2</w:t>
        </w:r>
        <w:r w:rsidR="008A4C37">
          <w:rPr>
            <w:noProof/>
            <w:webHidden/>
          </w:rPr>
          <w:fldChar w:fldCharType="end"/>
        </w:r>
      </w:hyperlink>
    </w:p>
    <w:p w:rsidR="008A4C37" w:rsidRDefault="00ED394A">
      <w:pPr>
        <w:pStyle w:val="TableofFigures"/>
        <w:rPr>
          <w:rFonts w:asciiTheme="minorHAnsi" w:eastAsiaTheme="minorEastAsia" w:hAnsiTheme="minorHAnsi"/>
          <w:noProof/>
          <w:sz w:val="22"/>
          <w:szCs w:val="22"/>
        </w:rPr>
      </w:pPr>
      <w:hyperlink w:anchor="_Toc364945377" w:history="1">
        <w:r w:rsidR="008A4C37" w:rsidRPr="00502820">
          <w:rPr>
            <w:rStyle w:val="Hyperlink"/>
            <w:rFonts w:ascii="Arial" w:hAnsi="Arial"/>
            <w:noProof/>
            <w:lang w:val="en-AU"/>
          </w:rPr>
          <w:t>Figure 13:  Relationship Between Planning Documents</w:t>
        </w:r>
        <w:r w:rsidR="008A4C37">
          <w:rPr>
            <w:noProof/>
            <w:webHidden/>
          </w:rPr>
          <w:tab/>
        </w:r>
        <w:r w:rsidR="008A4C37">
          <w:rPr>
            <w:noProof/>
            <w:webHidden/>
          </w:rPr>
          <w:fldChar w:fldCharType="begin"/>
        </w:r>
        <w:r w:rsidR="008A4C37">
          <w:rPr>
            <w:noProof/>
            <w:webHidden/>
          </w:rPr>
          <w:instrText xml:space="preserve"> PAGEREF _Toc364945377 \h </w:instrText>
        </w:r>
        <w:r w:rsidR="008A4C37">
          <w:rPr>
            <w:noProof/>
            <w:webHidden/>
          </w:rPr>
        </w:r>
        <w:r w:rsidR="008A4C37">
          <w:rPr>
            <w:noProof/>
            <w:webHidden/>
          </w:rPr>
          <w:fldChar w:fldCharType="separate"/>
        </w:r>
        <w:r w:rsidR="00557666">
          <w:rPr>
            <w:noProof/>
            <w:webHidden/>
          </w:rPr>
          <w:t>2</w:t>
        </w:r>
        <w:r w:rsidR="008A4C37">
          <w:rPr>
            <w:noProof/>
            <w:webHidden/>
          </w:rPr>
          <w:fldChar w:fldCharType="end"/>
        </w:r>
      </w:hyperlink>
    </w:p>
    <w:p w:rsidR="008A4C37" w:rsidRDefault="00ED394A">
      <w:pPr>
        <w:pStyle w:val="TableofFigures"/>
        <w:rPr>
          <w:rFonts w:asciiTheme="minorHAnsi" w:eastAsiaTheme="minorEastAsia" w:hAnsiTheme="minorHAnsi"/>
          <w:noProof/>
          <w:sz w:val="22"/>
          <w:szCs w:val="22"/>
        </w:rPr>
      </w:pPr>
      <w:hyperlink w:anchor="_Toc364945378" w:history="1">
        <w:r w:rsidR="008A4C37" w:rsidRPr="00502820">
          <w:rPr>
            <w:rStyle w:val="Hyperlink"/>
            <w:rFonts w:ascii="Arial" w:hAnsi="Arial"/>
            <w:noProof/>
            <w:lang w:val="en-AU"/>
          </w:rPr>
          <w:t>Figure 14:  Building Asset Management Plan Framework</w:t>
        </w:r>
        <w:r w:rsidR="008A4C37">
          <w:rPr>
            <w:noProof/>
            <w:webHidden/>
          </w:rPr>
          <w:tab/>
        </w:r>
        <w:r w:rsidR="008A4C37">
          <w:rPr>
            <w:noProof/>
            <w:webHidden/>
          </w:rPr>
          <w:fldChar w:fldCharType="begin"/>
        </w:r>
        <w:r w:rsidR="008A4C37">
          <w:rPr>
            <w:noProof/>
            <w:webHidden/>
          </w:rPr>
          <w:instrText xml:space="preserve"> PAGEREF _Toc364945378 \h </w:instrText>
        </w:r>
        <w:r w:rsidR="008A4C37">
          <w:rPr>
            <w:noProof/>
            <w:webHidden/>
          </w:rPr>
        </w:r>
        <w:r w:rsidR="008A4C37">
          <w:rPr>
            <w:noProof/>
            <w:webHidden/>
          </w:rPr>
          <w:fldChar w:fldCharType="separate"/>
        </w:r>
        <w:r w:rsidR="00557666">
          <w:rPr>
            <w:noProof/>
            <w:webHidden/>
          </w:rPr>
          <w:t>2</w:t>
        </w:r>
        <w:r w:rsidR="008A4C37">
          <w:rPr>
            <w:noProof/>
            <w:webHidden/>
          </w:rPr>
          <w:fldChar w:fldCharType="end"/>
        </w:r>
      </w:hyperlink>
    </w:p>
    <w:p w:rsidR="008A4C37" w:rsidRDefault="00ED394A">
      <w:pPr>
        <w:pStyle w:val="TableofFigures"/>
        <w:rPr>
          <w:rFonts w:asciiTheme="minorHAnsi" w:eastAsiaTheme="minorEastAsia" w:hAnsiTheme="minorHAnsi"/>
          <w:noProof/>
          <w:sz w:val="22"/>
          <w:szCs w:val="22"/>
        </w:rPr>
      </w:pPr>
      <w:hyperlink w:anchor="_Toc364945379" w:history="1">
        <w:r w:rsidR="008A4C37" w:rsidRPr="00502820">
          <w:rPr>
            <w:rStyle w:val="Hyperlink"/>
            <w:rFonts w:ascii="Arial" w:hAnsi="Arial"/>
            <w:noProof/>
            <w:lang w:val="en-AU"/>
          </w:rPr>
          <w:t>Figure 15:  Organisation Structure</w:t>
        </w:r>
        <w:r w:rsidR="008A4C37">
          <w:rPr>
            <w:noProof/>
            <w:webHidden/>
          </w:rPr>
          <w:tab/>
        </w:r>
        <w:r w:rsidR="008A4C37">
          <w:rPr>
            <w:noProof/>
            <w:webHidden/>
          </w:rPr>
          <w:fldChar w:fldCharType="begin"/>
        </w:r>
        <w:r w:rsidR="008A4C37">
          <w:rPr>
            <w:noProof/>
            <w:webHidden/>
          </w:rPr>
          <w:instrText xml:space="preserve"> PAGEREF _Toc364945379 \h </w:instrText>
        </w:r>
        <w:r w:rsidR="008A4C37">
          <w:rPr>
            <w:noProof/>
            <w:webHidden/>
          </w:rPr>
        </w:r>
        <w:r w:rsidR="008A4C37">
          <w:rPr>
            <w:noProof/>
            <w:webHidden/>
          </w:rPr>
          <w:fldChar w:fldCharType="separate"/>
        </w:r>
        <w:r w:rsidR="00557666">
          <w:rPr>
            <w:noProof/>
            <w:webHidden/>
          </w:rPr>
          <w:t>2</w:t>
        </w:r>
        <w:r w:rsidR="008A4C37">
          <w:rPr>
            <w:noProof/>
            <w:webHidden/>
          </w:rPr>
          <w:fldChar w:fldCharType="end"/>
        </w:r>
      </w:hyperlink>
    </w:p>
    <w:p w:rsidR="008A4C37" w:rsidRDefault="00ED394A">
      <w:pPr>
        <w:pStyle w:val="TableofFigures"/>
        <w:rPr>
          <w:rFonts w:asciiTheme="minorHAnsi" w:eastAsiaTheme="minorEastAsia" w:hAnsiTheme="minorHAnsi"/>
          <w:noProof/>
          <w:sz w:val="22"/>
          <w:szCs w:val="22"/>
        </w:rPr>
      </w:pPr>
      <w:hyperlink w:anchor="_Toc364945380" w:history="1">
        <w:r w:rsidR="008A4C37" w:rsidRPr="00502820">
          <w:rPr>
            <w:rStyle w:val="Hyperlink"/>
            <w:rFonts w:ascii="Arial" w:hAnsi="Arial"/>
            <w:noProof/>
            <w:lang w:val="en-AU"/>
          </w:rPr>
          <w:t>Figure 16:  Buildings and Property Branch Structure</w:t>
        </w:r>
        <w:r w:rsidR="008A4C37">
          <w:rPr>
            <w:noProof/>
            <w:webHidden/>
          </w:rPr>
          <w:tab/>
        </w:r>
        <w:r w:rsidR="008A4C37">
          <w:rPr>
            <w:noProof/>
            <w:webHidden/>
          </w:rPr>
          <w:fldChar w:fldCharType="begin"/>
        </w:r>
        <w:r w:rsidR="008A4C37">
          <w:rPr>
            <w:noProof/>
            <w:webHidden/>
          </w:rPr>
          <w:instrText xml:space="preserve"> PAGEREF _Toc364945380 \h </w:instrText>
        </w:r>
        <w:r w:rsidR="008A4C37">
          <w:rPr>
            <w:noProof/>
            <w:webHidden/>
          </w:rPr>
        </w:r>
        <w:r w:rsidR="008A4C37">
          <w:rPr>
            <w:noProof/>
            <w:webHidden/>
          </w:rPr>
          <w:fldChar w:fldCharType="separate"/>
        </w:r>
        <w:r w:rsidR="00557666">
          <w:rPr>
            <w:noProof/>
            <w:webHidden/>
          </w:rPr>
          <w:t>2</w:t>
        </w:r>
        <w:r w:rsidR="008A4C37">
          <w:rPr>
            <w:noProof/>
            <w:webHidden/>
          </w:rPr>
          <w:fldChar w:fldCharType="end"/>
        </w:r>
      </w:hyperlink>
    </w:p>
    <w:p w:rsidR="008A4C37" w:rsidRDefault="00ED394A">
      <w:pPr>
        <w:pStyle w:val="TableofFigures"/>
        <w:rPr>
          <w:rFonts w:asciiTheme="minorHAnsi" w:eastAsiaTheme="minorEastAsia" w:hAnsiTheme="minorHAnsi"/>
          <w:noProof/>
          <w:sz w:val="22"/>
          <w:szCs w:val="22"/>
        </w:rPr>
      </w:pPr>
      <w:hyperlink w:anchor="_Toc364945381" w:history="1">
        <w:r w:rsidR="008A4C37" w:rsidRPr="00502820">
          <w:rPr>
            <w:rStyle w:val="Hyperlink"/>
            <w:rFonts w:ascii="Arial" w:hAnsi="Arial"/>
            <w:noProof/>
            <w:lang w:val="en-AU"/>
          </w:rPr>
          <w:t>Figure 17:  Levels of Service Supporting Council’s Core Values</w:t>
        </w:r>
        <w:r w:rsidR="008A4C37">
          <w:rPr>
            <w:noProof/>
            <w:webHidden/>
          </w:rPr>
          <w:tab/>
        </w:r>
        <w:r w:rsidR="008A4C37">
          <w:rPr>
            <w:noProof/>
            <w:webHidden/>
          </w:rPr>
          <w:fldChar w:fldCharType="begin"/>
        </w:r>
        <w:r w:rsidR="008A4C37">
          <w:rPr>
            <w:noProof/>
            <w:webHidden/>
          </w:rPr>
          <w:instrText xml:space="preserve"> PAGEREF _Toc364945381 \h </w:instrText>
        </w:r>
        <w:r w:rsidR="008A4C37">
          <w:rPr>
            <w:noProof/>
            <w:webHidden/>
          </w:rPr>
        </w:r>
        <w:r w:rsidR="008A4C37">
          <w:rPr>
            <w:noProof/>
            <w:webHidden/>
          </w:rPr>
          <w:fldChar w:fldCharType="separate"/>
        </w:r>
        <w:r w:rsidR="00557666">
          <w:rPr>
            <w:noProof/>
            <w:webHidden/>
          </w:rPr>
          <w:t>2</w:t>
        </w:r>
        <w:r w:rsidR="008A4C37">
          <w:rPr>
            <w:noProof/>
            <w:webHidden/>
          </w:rPr>
          <w:fldChar w:fldCharType="end"/>
        </w:r>
      </w:hyperlink>
    </w:p>
    <w:p w:rsidR="008A4C37" w:rsidRDefault="00ED394A">
      <w:pPr>
        <w:pStyle w:val="TableofFigures"/>
        <w:rPr>
          <w:rFonts w:asciiTheme="minorHAnsi" w:eastAsiaTheme="minorEastAsia" w:hAnsiTheme="minorHAnsi"/>
          <w:noProof/>
          <w:sz w:val="22"/>
          <w:szCs w:val="22"/>
        </w:rPr>
      </w:pPr>
      <w:hyperlink w:anchor="_Toc364945382" w:history="1">
        <w:r w:rsidR="008A4C37" w:rsidRPr="00502820">
          <w:rPr>
            <w:rStyle w:val="Hyperlink"/>
            <w:rFonts w:ascii="Arial" w:hAnsi="Arial"/>
            <w:noProof/>
            <w:lang w:val="en-AU"/>
          </w:rPr>
          <w:t>Figure 18:  Level of Service Concept</w:t>
        </w:r>
        <w:r w:rsidR="008A4C37">
          <w:rPr>
            <w:noProof/>
            <w:webHidden/>
          </w:rPr>
          <w:tab/>
        </w:r>
        <w:r w:rsidR="008A4C37">
          <w:rPr>
            <w:noProof/>
            <w:webHidden/>
          </w:rPr>
          <w:fldChar w:fldCharType="begin"/>
        </w:r>
        <w:r w:rsidR="008A4C37">
          <w:rPr>
            <w:noProof/>
            <w:webHidden/>
          </w:rPr>
          <w:instrText xml:space="preserve"> PAGEREF _Toc364945382 \h </w:instrText>
        </w:r>
        <w:r w:rsidR="008A4C37">
          <w:rPr>
            <w:noProof/>
            <w:webHidden/>
          </w:rPr>
        </w:r>
        <w:r w:rsidR="008A4C37">
          <w:rPr>
            <w:noProof/>
            <w:webHidden/>
          </w:rPr>
          <w:fldChar w:fldCharType="separate"/>
        </w:r>
        <w:r w:rsidR="00557666">
          <w:rPr>
            <w:noProof/>
            <w:webHidden/>
          </w:rPr>
          <w:t>2</w:t>
        </w:r>
        <w:r w:rsidR="008A4C37">
          <w:rPr>
            <w:noProof/>
            <w:webHidden/>
          </w:rPr>
          <w:fldChar w:fldCharType="end"/>
        </w:r>
      </w:hyperlink>
    </w:p>
    <w:p w:rsidR="008A4C37" w:rsidRDefault="00ED394A">
      <w:pPr>
        <w:pStyle w:val="TableofFigures"/>
        <w:rPr>
          <w:rFonts w:asciiTheme="minorHAnsi" w:eastAsiaTheme="minorEastAsia" w:hAnsiTheme="minorHAnsi"/>
          <w:noProof/>
          <w:sz w:val="22"/>
          <w:szCs w:val="22"/>
        </w:rPr>
      </w:pPr>
      <w:hyperlink w:anchor="_Toc364945383" w:history="1">
        <w:r w:rsidR="008A4C37" w:rsidRPr="00502820">
          <w:rPr>
            <w:rStyle w:val="Hyperlink"/>
            <w:rFonts w:ascii="Arial" w:hAnsi="Arial"/>
            <w:noProof/>
            <w:lang w:val="en-AU"/>
          </w:rPr>
          <w:t>Figure 19:  Ward Map of Yarra City Council</w:t>
        </w:r>
        <w:r w:rsidR="008A4C37">
          <w:rPr>
            <w:noProof/>
            <w:webHidden/>
          </w:rPr>
          <w:tab/>
        </w:r>
        <w:r w:rsidR="008A4C37">
          <w:rPr>
            <w:noProof/>
            <w:webHidden/>
          </w:rPr>
          <w:fldChar w:fldCharType="begin"/>
        </w:r>
        <w:r w:rsidR="008A4C37">
          <w:rPr>
            <w:noProof/>
            <w:webHidden/>
          </w:rPr>
          <w:instrText xml:space="preserve"> PAGEREF _Toc364945383 \h </w:instrText>
        </w:r>
        <w:r w:rsidR="008A4C37">
          <w:rPr>
            <w:noProof/>
            <w:webHidden/>
          </w:rPr>
        </w:r>
        <w:r w:rsidR="008A4C37">
          <w:rPr>
            <w:noProof/>
            <w:webHidden/>
          </w:rPr>
          <w:fldChar w:fldCharType="separate"/>
        </w:r>
        <w:r w:rsidR="00557666">
          <w:rPr>
            <w:noProof/>
            <w:webHidden/>
          </w:rPr>
          <w:t>2</w:t>
        </w:r>
        <w:r w:rsidR="008A4C37">
          <w:rPr>
            <w:noProof/>
            <w:webHidden/>
          </w:rPr>
          <w:fldChar w:fldCharType="end"/>
        </w:r>
      </w:hyperlink>
    </w:p>
    <w:p w:rsidR="008A4C37" w:rsidRDefault="00ED394A">
      <w:pPr>
        <w:pStyle w:val="TableofFigures"/>
        <w:rPr>
          <w:rFonts w:asciiTheme="minorHAnsi" w:eastAsiaTheme="minorEastAsia" w:hAnsiTheme="minorHAnsi"/>
          <w:noProof/>
          <w:sz w:val="22"/>
          <w:szCs w:val="22"/>
        </w:rPr>
      </w:pPr>
      <w:hyperlink w:anchor="_Toc364945384" w:history="1">
        <w:r w:rsidR="008A4C37" w:rsidRPr="00502820">
          <w:rPr>
            <w:rStyle w:val="Hyperlink"/>
            <w:rFonts w:ascii="Arial" w:hAnsi="Arial"/>
            <w:noProof/>
            <w:lang w:val="en-AU"/>
          </w:rPr>
          <w:t>Figure 20:  Yarra’s Population Growth 2006-2031</w:t>
        </w:r>
        <w:r w:rsidR="008A4C37">
          <w:rPr>
            <w:noProof/>
            <w:webHidden/>
          </w:rPr>
          <w:tab/>
        </w:r>
        <w:r w:rsidR="008A4C37">
          <w:rPr>
            <w:noProof/>
            <w:webHidden/>
          </w:rPr>
          <w:fldChar w:fldCharType="begin"/>
        </w:r>
        <w:r w:rsidR="008A4C37">
          <w:rPr>
            <w:noProof/>
            <w:webHidden/>
          </w:rPr>
          <w:instrText xml:space="preserve"> PAGEREF _Toc364945384 \h </w:instrText>
        </w:r>
        <w:r w:rsidR="008A4C37">
          <w:rPr>
            <w:noProof/>
            <w:webHidden/>
          </w:rPr>
        </w:r>
        <w:r w:rsidR="008A4C37">
          <w:rPr>
            <w:noProof/>
            <w:webHidden/>
          </w:rPr>
          <w:fldChar w:fldCharType="separate"/>
        </w:r>
        <w:r w:rsidR="00557666">
          <w:rPr>
            <w:noProof/>
            <w:webHidden/>
          </w:rPr>
          <w:t>2</w:t>
        </w:r>
        <w:r w:rsidR="008A4C37">
          <w:rPr>
            <w:noProof/>
            <w:webHidden/>
          </w:rPr>
          <w:fldChar w:fldCharType="end"/>
        </w:r>
      </w:hyperlink>
    </w:p>
    <w:p w:rsidR="008A4C37" w:rsidRDefault="00ED394A">
      <w:pPr>
        <w:pStyle w:val="TableofFigures"/>
        <w:rPr>
          <w:rFonts w:asciiTheme="minorHAnsi" w:eastAsiaTheme="minorEastAsia" w:hAnsiTheme="minorHAnsi"/>
          <w:noProof/>
          <w:sz w:val="22"/>
          <w:szCs w:val="22"/>
        </w:rPr>
      </w:pPr>
      <w:hyperlink w:anchor="_Toc364945385" w:history="1">
        <w:r w:rsidR="008A4C37" w:rsidRPr="00502820">
          <w:rPr>
            <w:rStyle w:val="Hyperlink"/>
            <w:rFonts w:ascii="Arial" w:hAnsi="Arial"/>
            <w:noProof/>
            <w:lang w:val="en-AU"/>
          </w:rPr>
          <w:t>Figure 21:  Lifecycle for Asset Management</w:t>
        </w:r>
        <w:r w:rsidR="008A4C37">
          <w:rPr>
            <w:noProof/>
            <w:webHidden/>
          </w:rPr>
          <w:tab/>
        </w:r>
        <w:r w:rsidR="008A4C37">
          <w:rPr>
            <w:noProof/>
            <w:webHidden/>
          </w:rPr>
          <w:fldChar w:fldCharType="begin"/>
        </w:r>
        <w:r w:rsidR="008A4C37">
          <w:rPr>
            <w:noProof/>
            <w:webHidden/>
          </w:rPr>
          <w:instrText xml:space="preserve"> PAGEREF _Toc364945385 \h </w:instrText>
        </w:r>
        <w:r w:rsidR="008A4C37">
          <w:rPr>
            <w:noProof/>
            <w:webHidden/>
          </w:rPr>
        </w:r>
        <w:r w:rsidR="008A4C37">
          <w:rPr>
            <w:noProof/>
            <w:webHidden/>
          </w:rPr>
          <w:fldChar w:fldCharType="separate"/>
        </w:r>
        <w:r w:rsidR="00557666">
          <w:rPr>
            <w:noProof/>
            <w:webHidden/>
          </w:rPr>
          <w:t>2</w:t>
        </w:r>
        <w:r w:rsidR="008A4C37">
          <w:rPr>
            <w:noProof/>
            <w:webHidden/>
          </w:rPr>
          <w:fldChar w:fldCharType="end"/>
        </w:r>
      </w:hyperlink>
    </w:p>
    <w:p w:rsidR="008A4C37" w:rsidRDefault="00ED394A">
      <w:pPr>
        <w:pStyle w:val="TableofFigures"/>
        <w:rPr>
          <w:rFonts w:asciiTheme="minorHAnsi" w:eastAsiaTheme="minorEastAsia" w:hAnsiTheme="minorHAnsi"/>
          <w:noProof/>
          <w:sz w:val="22"/>
          <w:szCs w:val="22"/>
        </w:rPr>
      </w:pPr>
      <w:hyperlink w:anchor="_Toc364945386" w:history="1">
        <w:r w:rsidR="008A4C37" w:rsidRPr="00502820">
          <w:rPr>
            <w:rStyle w:val="Hyperlink"/>
            <w:rFonts w:ascii="Arial" w:hAnsi="Arial"/>
            <w:noProof/>
            <w:lang w:val="en-AU"/>
          </w:rPr>
          <w:t>Figure 22:  Building Components</w:t>
        </w:r>
        <w:r w:rsidR="008A4C37">
          <w:rPr>
            <w:noProof/>
            <w:webHidden/>
          </w:rPr>
          <w:tab/>
        </w:r>
        <w:r w:rsidR="008A4C37">
          <w:rPr>
            <w:noProof/>
            <w:webHidden/>
          </w:rPr>
          <w:fldChar w:fldCharType="begin"/>
        </w:r>
        <w:r w:rsidR="008A4C37">
          <w:rPr>
            <w:noProof/>
            <w:webHidden/>
          </w:rPr>
          <w:instrText xml:space="preserve"> PAGEREF _Toc364945386 \h </w:instrText>
        </w:r>
        <w:r w:rsidR="008A4C37">
          <w:rPr>
            <w:noProof/>
            <w:webHidden/>
          </w:rPr>
        </w:r>
        <w:r w:rsidR="008A4C37">
          <w:rPr>
            <w:noProof/>
            <w:webHidden/>
          </w:rPr>
          <w:fldChar w:fldCharType="separate"/>
        </w:r>
        <w:r w:rsidR="00557666">
          <w:rPr>
            <w:noProof/>
            <w:webHidden/>
          </w:rPr>
          <w:t>2</w:t>
        </w:r>
        <w:r w:rsidR="008A4C37">
          <w:rPr>
            <w:noProof/>
            <w:webHidden/>
          </w:rPr>
          <w:fldChar w:fldCharType="end"/>
        </w:r>
      </w:hyperlink>
    </w:p>
    <w:p w:rsidR="008A4C37" w:rsidRDefault="00ED394A">
      <w:pPr>
        <w:pStyle w:val="TableofFigures"/>
        <w:rPr>
          <w:rFonts w:asciiTheme="minorHAnsi" w:eastAsiaTheme="minorEastAsia" w:hAnsiTheme="minorHAnsi"/>
          <w:noProof/>
          <w:sz w:val="22"/>
          <w:szCs w:val="22"/>
        </w:rPr>
      </w:pPr>
      <w:hyperlink w:anchor="_Toc364945387" w:history="1">
        <w:r w:rsidR="008A4C37" w:rsidRPr="00502820">
          <w:rPr>
            <w:rStyle w:val="Hyperlink"/>
            <w:rFonts w:ascii="Arial" w:hAnsi="Arial"/>
            <w:noProof/>
            <w:lang w:val="en-AU"/>
          </w:rPr>
          <w:t>Figure 23:  Buildings Condition Profile</w:t>
        </w:r>
        <w:r w:rsidR="008A4C37">
          <w:rPr>
            <w:noProof/>
            <w:webHidden/>
          </w:rPr>
          <w:tab/>
        </w:r>
        <w:r w:rsidR="008A4C37">
          <w:rPr>
            <w:noProof/>
            <w:webHidden/>
          </w:rPr>
          <w:fldChar w:fldCharType="begin"/>
        </w:r>
        <w:r w:rsidR="008A4C37">
          <w:rPr>
            <w:noProof/>
            <w:webHidden/>
          </w:rPr>
          <w:instrText xml:space="preserve"> PAGEREF _Toc364945387 \h </w:instrText>
        </w:r>
        <w:r w:rsidR="008A4C37">
          <w:rPr>
            <w:noProof/>
            <w:webHidden/>
          </w:rPr>
        </w:r>
        <w:r w:rsidR="008A4C37">
          <w:rPr>
            <w:noProof/>
            <w:webHidden/>
          </w:rPr>
          <w:fldChar w:fldCharType="separate"/>
        </w:r>
        <w:r w:rsidR="00557666">
          <w:rPr>
            <w:noProof/>
            <w:webHidden/>
          </w:rPr>
          <w:t>2</w:t>
        </w:r>
        <w:r w:rsidR="008A4C37">
          <w:rPr>
            <w:noProof/>
            <w:webHidden/>
          </w:rPr>
          <w:fldChar w:fldCharType="end"/>
        </w:r>
      </w:hyperlink>
    </w:p>
    <w:p w:rsidR="008A4C37" w:rsidRDefault="00ED394A">
      <w:pPr>
        <w:pStyle w:val="TableofFigures"/>
        <w:rPr>
          <w:rFonts w:asciiTheme="minorHAnsi" w:eastAsiaTheme="minorEastAsia" w:hAnsiTheme="minorHAnsi"/>
          <w:noProof/>
          <w:sz w:val="22"/>
          <w:szCs w:val="22"/>
        </w:rPr>
      </w:pPr>
      <w:hyperlink w:anchor="_Toc364945388" w:history="1">
        <w:r w:rsidR="008A4C37" w:rsidRPr="00502820">
          <w:rPr>
            <w:rStyle w:val="Hyperlink"/>
            <w:rFonts w:ascii="Arial" w:hAnsi="Arial"/>
            <w:noProof/>
            <w:lang w:val="en-AU"/>
          </w:rPr>
          <w:t>Figure 24:  Fitness for Purpose Assessment</w:t>
        </w:r>
        <w:r w:rsidR="008A4C37">
          <w:rPr>
            <w:noProof/>
            <w:webHidden/>
          </w:rPr>
          <w:tab/>
        </w:r>
        <w:r w:rsidR="008A4C37">
          <w:rPr>
            <w:noProof/>
            <w:webHidden/>
          </w:rPr>
          <w:fldChar w:fldCharType="begin"/>
        </w:r>
        <w:r w:rsidR="008A4C37">
          <w:rPr>
            <w:noProof/>
            <w:webHidden/>
          </w:rPr>
          <w:instrText xml:space="preserve"> PAGEREF _Toc364945388 \h </w:instrText>
        </w:r>
        <w:r w:rsidR="008A4C37">
          <w:rPr>
            <w:noProof/>
            <w:webHidden/>
          </w:rPr>
        </w:r>
        <w:r w:rsidR="008A4C37">
          <w:rPr>
            <w:noProof/>
            <w:webHidden/>
          </w:rPr>
          <w:fldChar w:fldCharType="separate"/>
        </w:r>
        <w:r w:rsidR="00557666">
          <w:rPr>
            <w:noProof/>
            <w:webHidden/>
          </w:rPr>
          <w:t>2</w:t>
        </w:r>
        <w:r w:rsidR="008A4C37">
          <w:rPr>
            <w:noProof/>
            <w:webHidden/>
          </w:rPr>
          <w:fldChar w:fldCharType="end"/>
        </w:r>
      </w:hyperlink>
    </w:p>
    <w:p w:rsidR="008A4C37" w:rsidRDefault="00ED394A">
      <w:pPr>
        <w:pStyle w:val="TableofFigures"/>
        <w:rPr>
          <w:rFonts w:asciiTheme="minorHAnsi" w:eastAsiaTheme="minorEastAsia" w:hAnsiTheme="minorHAnsi"/>
          <w:noProof/>
          <w:sz w:val="22"/>
          <w:szCs w:val="22"/>
        </w:rPr>
      </w:pPr>
      <w:hyperlink w:anchor="_Toc364945389" w:history="1">
        <w:r w:rsidR="008A4C37" w:rsidRPr="00502820">
          <w:rPr>
            <w:rStyle w:val="Hyperlink"/>
            <w:rFonts w:ascii="Arial" w:hAnsi="Arial"/>
            <w:noProof/>
            <w:lang w:val="en-AU"/>
          </w:rPr>
          <w:t>Figure 25:  Expenditure by Activities (2011-2012)</w:t>
        </w:r>
        <w:r w:rsidR="008A4C37">
          <w:rPr>
            <w:noProof/>
            <w:webHidden/>
          </w:rPr>
          <w:tab/>
        </w:r>
        <w:r w:rsidR="008A4C37">
          <w:rPr>
            <w:noProof/>
            <w:webHidden/>
          </w:rPr>
          <w:fldChar w:fldCharType="begin"/>
        </w:r>
        <w:r w:rsidR="008A4C37">
          <w:rPr>
            <w:noProof/>
            <w:webHidden/>
          </w:rPr>
          <w:instrText xml:space="preserve"> PAGEREF _Toc364945389 \h </w:instrText>
        </w:r>
        <w:r w:rsidR="008A4C37">
          <w:rPr>
            <w:noProof/>
            <w:webHidden/>
          </w:rPr>
        </w:r>
        <w:r w:rsidR="008A4C37">
          <w:rPr>
            <w:noProof/>
            <w:webHidden/>
          </w:rPr>
          <w:fldChar w:fldCharType="separate"/>
        </w:r>
        <w:r w:rsidR="00557666">
          <w:rPr>
            <w:noProof/>
            <w:webHidden/>
          </w:rPr>
          <w:t>2</w:t>
        </w:r>
        <w:r w:rsidR="008A4C37">
          <w:rPr>
            <w:noProof/>
            <w:webHidden/>
          </w:rPr>
          <w:fldChar w:fldCharType="end"/>
        </w:r>
      </w:hyperlink>
    </w:p>
    <w:p w:rsidR="008A4C37" w:rsidRDefault="00ED394A">
      <w:pPr>
        <w:pStyle w:val="TableofFigures"/>
        <w:rPr>
          <w:rFonts w:asciiTheme="minorHAnsi" w:eastAsiaTheme="minorEastAsia" w:hAnsiTheme="minorHAnsi"/>
          <w:noProof/>
          <w:sz w:val="22"/>
          <w:szCs w:val="22"/>
        </w:rPr>
      </w:pPr>
      <w:hyperlink w:anchor="_Toc364945390" w:history="1">
        <w:r w:rsidR="008A4C37" w:rsidRPr="00502820">
          <w:rPr>
            <w:rStyle w:val="Hyperlink"/>
            <w:rFonts w:ascii="Arial" w:hAnsi="Arial"/>
            <w:noProof/>
            <w:lang w:val="en-AU"/>
          </w:rPr>
          <w:t>Figure 26:  10 Year Maintenance and Operational Budget Projection</w:t>
        </w:r>
        <w:r w:rsidR="008A4C37">
          <w:rPr>
            <w:noProof/>
            <w:webHidden/>
          </w:rPr>
          <w:tab/>
        </w:r>
        <w:r w:rsidR="008A4C37">
          <w:rPr>
            <w:noProof/>
            <w:webHidden/>
          </w:rPr>
          <w:fldChar w:fldCharType="begin"/>
        </w:r>
        <w:r w:rsidR="008A4C37">
          <w:rPr>
            <w:noProof/>
            <w:webHidden/>
          </w:rPr>
          <w:instrText xml:space="preserve"> PAGEREF _Toc364945390 \h </w:instrText>
        </w:r>
        <w:r w:rsidR="008A4C37">
          <w:rPr>
            <w:noProof/>
            <w:webHidden/>
          </w:rPr>
        </w:r>
        <w:r w:rsidR="008A4C37">
          <w:rPr>
            <w:noProof/>
            <w:webHidden/>
          </w:rPr>
          <w:fldChar w:fldCharType="separate"/>
        </w:r>
        <w:r w:rsidR="00557666">
          <w:rPr>
            <w:noProof/>
            <w:webHidden/>
          </w:rPr>
          <w:t>2</w:t>
        </w:r>
        <w:r w:rsidR="008A4C37">
          <w:rPr>
            <w:noProof/>
            <w:webHidden/>
          </w:rPr>
          <w:fldChar w:fldCharType="end"/>
        </w:r>
      </w:hyperlink>
    </w:p>
    <w:p w:rsidR="008A4C37" w:rsidRDefault="00ED394A">
      <w:pPr>
        <w:pStyle w:val="TableofFigures"/>
        <w:rPr>
          <w:rFonts w:asciiTheme="minorHAnsi" w:eastAsiaTheme="minorEastAsia" w:hAnsiTheme="minorHAnsi"/>
          <w:noProof/>
          <w:sz w:val="22"/>
          <w:szCs w:val="22"/>
        </w:rPr>
      </w:pPr>
      <w:hyperlink w:anchor="_Toc364945391" w:history="1">
        <w:r w:rsidR="008A4C37" w:rsidRPr="00502820">
          <w:rPr>
            <w:rStyle w:val="Hyperlink"/>
            <w:rFonts w:ascii="Arial" w:hAnsi="Arial"/>
            <w:noProof/>
            <w:lang w:val="en-AU"/>
          </w:rPr>
          <w:t>Figure 27:  Renewal Capital Works Budget 2008-2014</w:t>
        </w:r>
        <w:r w:rsidR="008A4C37">
          <w:rPr>
            <w:noProof/>
            <w:webHidden/>
          </w:rPr>
          <w:tab/>
        </w:r>
        <w:r w:rsidR="008A4C37">
          <w:rPr>
            <w:noProof/>
            <w:webHidden/>
          </w:rPr>
          <w:fldChar w:fldCharType="begin"/>
        </w:r>
        <w:r w:rsidR="008A4C37">
          <w:rPr>
            <w:noProof/>
            <w:webHidden/>
          </w:rPr>
          <w:instrText xml:space="preserve"> PAGEREF _Toc364945391 \h </w:instrText>
        </w:r>
        <w:r w:rsidR="008A4C37">
          <w:rPr>
            <w:noProof/>
            <w:webHidden/>
          </w:rPr>
        </w:r>
        <w:r w:rsidR="008A4C37">
          <w:rPr>
            <w:noProof/>
            <w:webHidden/>
          </w:rPr>
          <w:fldChar w:fldCharType="separate"/>
        </w:r>
        <w:r w:rsidR="00557666">
          <w:rPr>
            <w:noProof/>
            <w:webHidden/>
          </w:rPr>
          <w:t>2</w:t>
        </w:r>
        <w:r w:rsidR="008A4C37">
          <w:rPr>
            <w:noProof/>
            <w:webHidden/>
          </w:rPr>
          <w:fldChar w:fldCharType="end"/>
        </w:r>
      </w:hyperlink>
    </w:p>
    <w:p w:rsidR="008A4C37" w:rsidRDefault="00ED394A">
      <w:pPr>
        <w:pStyle w:val="TableofFigures"/>
        <w:rPr>
          <w:rFonts w:asciiTheme="minorHAnsi" w:eastAsiaTheme="minorEastAsia" w:hAnsiTheme="minorHAnsi"/>
          <w:noProof/>
          <w:sz w:val="22"/>
          <w:szCs w:val="22"/>
        </w:rPr>
      </w:pPr>
      <w:hyperlink w:anchor="_Toc364945392" w:history="1">
        <w:r w:rsidR="008A4C37" w:rsidRPr="00502820">
          <w:rPr>
            <w:rStyle w:val="Hyperlink"/>
            <w:rFonts w:ascii="Arial" w:hAnsi="Arial"/>
            <w:noProof/>
            <w:lang w:val="en-AU"/>
          </w:rPr>
          <w:t>Figure 28:  10 Year Capital Works Renewal Budget</w:t>
        </w:r>
        <w:r w:rsidR="008A4C37">
          <w:rPr>
            <w:noProof/>
            <w:webHidden/>
          </w:rPr>
          <w:tab/>
        </w:r>
        <w:r w:rsidR="008A4C37">
          <w:rPr>
            <w:noProof/>
            <w:webHidden/>
          </w:rPr>
          <w:fldChar w:fldCharType="begin"/>
        </w:r>
        <w:r w:rsidR="008A4C37">
          <w:rPr>
            <w:noProof/>
            <w:webHidden/>
          </w:rPr>
          <w:instrText xml:space="preserve"> PAGEREF _Toc364945392 \h </w:instrText>
        </w:r>
        <w:r w:rsidR="008A4C37">
          <w:rPr>
            <w:noProof/>
            <w:webHidden/>
          </w:rPr>
        </w:r>
        <w:r w:rsidR="008A4C37">
          <w:rPr>
            <w:noProof/>
            <w:webHidden/>
          </w:rPr>
          <w:fldChar w:fldCharType="separate"/>
        </w:r>
        <w:r w:rsidR="00557666">
          <w:rPr>
            <w:noProof/>
            <w:webHidden/>
          </w:rPr>
          <w:t>2</w:t>
        </w:r>
        <w:r w:rsidR="008A4C37">
          <w:rPr>
            <w:noProof/>
            <w:webHidden/>
          </w:rPr>
          <w:fldChar w:fldCharType="end"/>
        </w:r>
      </w:hyperlink>
    </w:p>
    <w:p w:rsidR="008A4C37" w:rsidRDefault="00ED394A">
      <w:pPr>
        <w:pStyle w:val="TableofFigures"/>
        <w:rPr>
          <w:rFonts w:asciiTheme="minorHAnsi" w:eastAsiaTheme="minorEastAsia" w:hAnsiTheme="minorHAnsi"/>
          <w:noProof/>
          <w:sz w:val="22"/>
          <w:szCs w:val="22"/>
        </w:rPr>
      </w:pPr>
      <w:hyperlink w:anchor="_Toc364945393" w:history="1">
        <w:r w:rsidR="008A4C37" w:rsidRPr="00502820">
          <w:rPr>
            <w:rStyle w:val="Hyperlink"/>
            <w:rFonts w:ascii="Arial" w:hAnsi="Arial"/>
            <w:noProof/>
            <w:lang w:val="en-AU"/>
          </w:rPr>
          <w:t>Figure 29:  Current Renewal Funding Profile in 10 Year Financial Plan</w:t>
        </w:r>
        <w:r w:rsidR="008A4C37">
          <w:rPr>
            <w:noProof/>
            <w:webHidden/>
          </w:rPr>
          <w:tab/>
        </w:r>
        <w:r w:rsidR="008A4C37">
          <w:rPr>
            <w:noProof/>
            <w:webHidden/>
          </w:rPr>
          <w:fldChar w:fldCharType="begin"/>
        </w:r>
        <w:r w:rsidR="008A4C37">
          <w:rPr>
            <w:noProof/>
            <w:webHidden/>
          </w:rPr>
          <w:instrText xml:space="preserve"> PAGEREF _Toc364945393 \h </w:instrText>
        </w:r>
        <w:r w:rsidR="008A4C37">
          <w:rPr>
            <w:noProof/>
            <w:webHidden/>
          </w:rPr>
        </w:r>
        <w:r w:rsidR="008A4C37">
          <w:rPr>
            <w:noProof/>
            <w:webHidden/>
          </w:rPr>
          <w:fldChar w:fldCharType="separate"/>
        </w:r>
        <w:r w:rsidR="00557666">
          <w:rPr>
            <w:noProof/>
            <w:webHidden/>
          </w:rPr>
          <w:t>2</w:t>
        </w:r>
        <w:r w:rsidR="008A4C37">
          <w:rPr>
            <w:noProof/>
            <w:webHidden/>
          </w:rPr>
          <w:fldChar w:fldCharType="end"/>
        </w:r>
      </w:hyperlink>
    </w:p>
    <w:p w:rsidR="008A4C37" w:rsidRDefault="00ED394A">
      <w:pPr>
        <w:pStyle w:val="TableofFigures"/>
        <w:rPr>
          <w:rFonts w:asciiTheme="minorHAnsi" w:eastAsiaTheme="minorEastAsia" w:hAnsiTheme="minorHAnsi"/>
          <w:noProof/>
          <w:sz w:val="22"/>
          <w:szCs w:val="22"/>
        </w:rPr>
      </w:pPr>
      <w:hyperlink w:anchor="_Toc364945394" w:history="1">
        <w:r w:rsidR="008A4C37" w:rsidRPr="00502820">
          <w:rPr>
            <w:rStyle w:val="Hyperlink"/>
            <w:rFonts w:ascii="Arial" w:hAnsi="Arial"/>
            <w:noProof/>
            <w:lang w:val="en-AU"/>
          </w:rPr>
          <w:t>Figure 30:  Required Renewal Funding Profile Based on Current Condition Data</w:t>
        </w:r>
        <w:r w:rsidR="008A4C37">
          <w:rPr>
            <w:noProof/>
            <w:webHidden/>
          </w:rPr>
          <w:tab/>
        </w:r>
        <w:r w:rsidR="008A4C37">
          <w:rPr>
            <w:noProof/>
            <w:webHidden/>
          </w:rPr>
          <w:fldChar w:fldCharType="begin"/>
        </w:r>
        <w:r w:rsidR="008A4C37">
          <w:rPr>
            <w:noProof/>
            <w:webHidden/>
          </w:rPr>
          <w:instrText xml:space="preserve"> PAGEREF _Toc364945394 \h </w:instrText>
        </w:r>
        <w:r w:rsidR="008A4C37">
          <w:rPr>
            <w:noProof/>
            <w:webHidden/>
          </w:rPr>
        </w:r>
        <w:r w:rsidR="008A4C37">
          <w:rPr>
            <w:noProof/>
            <w:webHidden/>
          </w:rPr>
          <w:fldChar w:fldCharType="separate"/>
        </w:r>
        <w:r w:rsidR="00557666">
          <w:rPr>
            <w:noProof/>
            <w:webHidden/>
          </w:rPr>
          <w:t>2</w:t>
        </w:r>
        <w:r w:rsidR="008A4C37">
          <w:rPr>
            <w:noProof/>
            <w:webHidden/>
          </w:rPr>
          <w:fldChar w:fldCharType="end"/>
        </w:r>
      </w:hyperlink>
    </w:p>
    <w:p w:rsidR="008A4C37" w:rsidRDefault="00ED394A">
      <w:pPr>
        <w:pStyle w:val="TableofFigures"/>
        <w:rPr>
          <w:rFonts w:asciiTheme="minorHAnsi" w:eastAsiaTheme="minorEastAsia" w:hAnsiTheme="minorHAnsi"/>
          <w:noProof/>
          <w:sz w:val="22"/>
          <w:szCs w:val="22"/>
        </w:rPr>
      </w:pPr>
      <w:hyperlink w:anchor="_Toc364945395" w:history="1">
        <w:r w:rsidR="008A4C37" w:rsidRPr="00502820">
          <w:rPr>
            <w:rStyle w:val="Hyperlink"/>
            <w:rFonts w:ascii="Arial" w:hAnsi="Arial"/>
            <w:noProof/>
            <w:lang w:val="en-AU"/>
          </w:rPr>
          <w:t>Figure 31:  10 Year New Capital Works Programme for Upgrade and New Works</w:t>
        </w:r>
        <w:r w:rsidR="008A4C37">
          <w:rPr>
            <w:noProof/>
            <w:webHidden/>
          </w:rPr>
          <w:tab/>
        </w:r>
        <w:r w:rsidR="008A4C37">
          <w:rPr>
            <w:noProof/>
            <w:webHidden/>
          </w:rPr>
          <w:fldChar w:fldCharType="begin"/>
        </w:r>
        <w:r w:rsidR="008A4C37">
          <w:rPr>
            <w:noProof/>
            <w:webHidden/>
          </w:rPr>
          <w:instrText xml:space="preserve"> PAGEREF _Toc364945395 \h </w:instrText>
        </w:r>
        <w:r w:rsidR="008A4C37">
          <w:rPr>
            <w:noProof/>
            <w:webHidden/>
          </w:rPr>
        </w:r>
        <w:r w:rsidR="008A4C37">
          <w:rPr>
            <w:noProof/>
            <w:webHidden/>
          </w:rPr>
          <w:fldChar w:fldCharType="separate"/>
        </w:r>
        <w:r w:rsidR="00557666">
          <w:rPr>
            <w:noProof/>
            <w:webHidden/>
          </w:rPr>
          <w:t>2</w:t>
        </w:r>
        <w:r w:rsidR="008A4C37">
          <w:rPr>
            <w:noProof/>
            <w:webHidden/>
          </w:rPr>
          <w:fldChar w:fldCharType="end"/>
        </w:r>
      </w:hyperlink>
    </w:p>
    <w:p w:rsidR="008A4C37" w:rsidRDefault="00ED394A">
      <w:pPr>
        <w:pStyle w:val="TableofFigures"/>
        <w:rPr>
          <w:rFonts w:asciiTheme="minorHAnsi" w:eastAsiaTheme="minorEastAsia" w:hAnsiTheme="minorHAnsi"/>
          <w:noProof/>
          <w:sz w:val="22"/>
          <w:szCs w:val="22"/>
        </w:rPr>
      </w:pPr>
      <w:hyperlink w:anchor="_Toc364945396" w:history="1">
        <w:r w:rsidR="008A4C37" w:rsidRPr="00502820">
          <w:rPr>
            <w:rStyle w:val="Hyperlink"/>
            <w:rFonts w:ascii="Arial" w:hAnsi="Arial"/>
            <w:noProof/>
            <w:lang w:val="en-AU"/>
          </w:rPr>
          <w:t>Figure 32:  Proposed Renewal Expenditure Against Predicted Renewal Expenditure</w:t>
        </w:r>
        <w:r w:rsidR="008A4C37">
          <w:rPr>
            <w:noProof/>
            <w:webHidden/>
          </w:rPr>
          <w:tab/>
        </w:r>
        <w:r w:rsidR="008A4C37">
          <w:rPr>
            <w:noProof/>
            <w:webHidden/>
          </w:rPr>
          <w:fldChar w:fldCharType="begin"/>
        </w:r>
        <w:r w:rsidR="008A4C37">
          <w:rPr>
            <w:noProof/>
            <w:webHidden/>
          </w:rPr>
          <w:instrText xml:space="preserve"> PAGEREF _Toc364945396 \h </w:instrText>
        </w:r>
        <w:r w:rsidR="008A4C37">
          <w:rPr>
            <w:noProof/>
            <w:webHidden/>
          </w:rPr>
        </w:r>
        <w:r w:rsidR="008A4C37">
          <w:rPr>
            <w:noProof/>
            <w:webHidden/>
          </w:rPr>
          <w:fldChar w:fldCharType="separate"/>
        </w:r>
        <w:r w:rsidR="00557666">
          <w:rPr>
            <w:noProof/>
            <w:webHidden/>
          </w:rPr>
          <w:t>2</w:t>
        </w:r>
        <w:r w:rsidR="008A4C37">
          <w:rPr>
            <w:noProof/>
            <w:webHidden/>
          </w:rPr>
          <w:fldChar w:fldCharType="end"/>
        </w:r>
      </w:hyperlink>
    </w:p>
    <w:p w:rsidR="008A4C37" w:rsidRDefault="00ED394A">
      <w:pPr>
        <w:pStyle w:val="TableofFigures"/>
        <w:rPr>
          <w:rFonts w:asciiTheme="minorHAnsi" w:eastAsiaTheme="minorEastAsia" w:hAnsiTheme="minorHAnsi"/>
          <w:noProof/>
          <w:sz w:val="22"/>
          <w:szCs w:val="22"/>
        </w:rPr>
      </w:pPr>
      <w:hyperlink w:anchor="_Toc364945397" w:history="1">
        <w:r w:rsidR="008A4C37" w:rsidRPr="00502820">
          <w:rPr>
            <w:rStyle w:val="Hyperlink"/>
            <w:rFonts w:ascii="Arial" w:hAnsi="Arial"/>
            <w:noProof/>
            <w:lang w:val="en-AU"/>
          </w:rPr>
          <w:t>Figure 33:  Current 10 Year Capital Works Expenditure</w:t>
        </w:r>
        <w:r w:rsidR="008A4C37">
          <w:rPr>
            <w:noProof/>
            <w:webHidden/>
          </w:rPr>
          <w:tab/>
        </w:r>
        <w:r w:rsidR="008A4C37">
          <w:rPr>
            <w:noProof/>
            <w:webHidden/>
          </w:rPr>
          <w:fldChar w:fldCharType="begin"/>
        </w:r>
        <w:r w:rsidR="008A4C37">
          <w:rPr>
            <w:noProof/>
            <w:webHidden/>
          </w:rPr>
          <w:instrText xml:space="preserve"> PAGEREF _Toc364945397 \h </w:instrText>
        </w:r>
        <w:r w:rsidR="008A4C37">
          <w:rPr>
            <w:noProof/>
            <w:webHidden/>
          </w:rPr>
        </w:r>
        <w:r w:rsidR="008A4C37">
          <w:rPr>
            <w:noProof/>
            <w:webHidden/>
          </w:rPr>
          <w:fldChar w:fldCharType="separate"/>
        </w:r>
        <w:r w:rsidR="00557666">
          <w:rPr>
            <w:noProof/>
            <w:webHidden/>
          </w:rPr>
          <w:t>2</w:t>
        </w:r>
        <w:r w:rsidR="008A4C37">
          <w:rPr>
            <w:noProof/>
            <w:webHidden/>
          </w:rPr>
          <w:fldChar w:fldCharType="end"/>
        </w:r>
      </w:hyperlink>
    </w:p>
    <w:p w:rsidR="008A4C37" w:rsidRDefault="00ED394A">
      <w:pPr>
        <w:pStyle w:val="TableofFigures"/>
        <w:rPr>
          <w:rFonts w:asciiTheme="minorHAnsi" w:eastAsiaTheme="minorEastAsia" w:hAnsiTheme="minorHAnsi"/>
          <w:noProof/>
          <w:sz w:val="22"/>
          <w:szCs w:val="22"/>
        </w:rPr>
      </w:pPr>
      <w:hyperlink w:anchor="_Toc364945398" w:history="1">
        <w:r w:rsidR="008A4C37" w:rsidRPr="00502820">
          <w:rPr>
            <w:rStyle w:val="Hyperlink"/>
            <w:rFonts w:ascii="Arial" w:hAnsi="Arial"/>
            <w:noProof/>
            <w:lang w:val="en-AU"/>
          </w:rPr>
          <w:t>Figure 34:  Risk Levels</w:t>
        </w:r>
        <w:r w:rsidR="008A4C37">
          <w:rPr>
            <w:noProof/>
            <w:webHidden/>
          </w:rPr>
          <w:tab/>
        </w:r>
        <w:r w:rsidR="008A4C37">
          <w:rPr>
            <w:noProof/>
            <w:webHidden/>
          </w:rPr>
          <w:fldChar w:fldCharType="begin"/>
        </w:r>
        <w:r w:rsidR="008A4C37">
          <w:rPr>
            <w:noProof/>
            <w:webHidden/>
          </w:rPr>
          <w:instrText xml:space="preserve"> PAGEREF _Toc364945398 \h </w:instrText>
        </w:r>
        <w:r w:rsidR="008A4C37">
          <w:rPr>
            <w:noProof/>
            <w:webHidden/>
          </w:rPr>
        </w:r>
        <w:r w:rsidR="008A4C37">
          <w:rPr>
            <w:noProof/>
            <w:webHidden/>
          </w:rPr>
          <w:fldChar w:fldCharType="separate"/>
        </w:r>
        <w:r w:rsidR="00557666">
          <w:rPr>
            <w:noProof/>
            <w:webHidden/>
          </w:rPr>
          <w:t>2</w:t>
        </w:r>
        <w:r w:rsidR="008A4C37">
          <w:rPr>
            <w:noProof/>
            <w:webHidden/>
          </w:rPr>
          <w:fldChar w:fldCharType="end"/>
        </w:r>
      </w:hyperlink>
    </w:p>
    <w:p w:rsidR="008A4C37" w:rsidRDefault="00ED394A">
      <w:pPr>
        <w:pStyle w:val="TableofFigures"/>
        <w:rPr>
          <w:rFonts w:asciiTheme="minorHAnsi" w:eastAsiaTheme="minorEastAsia" w:hAnsiTheme="minorHAnsi"/>
          <w:noProof/>
          <w:sz w:val="22"/>
          <w:szCs w:val="22"/>
        </w:rPr>
      </w:pPr>
      <w:hyperlink w:anchor="_Toc364945399" w:history="1">
        <w:r w:rsidR="008A4C37" w:rsidRPr="00502820">
          <w:rPr>
            <w:rStyle w:val="Hyperlink"/>
            <w:rFonts w:ascii="Arial" w:hAnsi="Arial"/>
            <w:noProof/>
            <w:lang w:val="en-AU"/>
          </w:rPr>
          <w:t>Figure 35:  Risk Management Process</w:t>
        </w:r>
        <w:r w:rsidR="008A4C37">
          <w:rPr>
            <w:noProof/>
            <w:webHidden/>
          </w:rPr>
          <w:tab/>
        </w:r>
        <w:r w:rsidR="008A4C37">
          <w:rPr>
            <w:noProof/>
            <w:webHidden/>
          </w:rPr>
          <w:fldChar w:fldCharType="begin"/>
        </w:r>
        <w:r w:rsidR="008A4C37">
          <w:rPr>
            <w:noProof/>
            <w:webHidden/>
          </w:rPr>
          <w:instrText xml:space="preserve"> PAGEREF _Toc364945399 \h </w:instrText>
        </w:r>
        <w:r w:rsidR="008A4C37">
          <w:rPr>
            <w:noProof/>
            <w:webHidden/>
          </w:rPr>
        </w:r>
        <w:r w:rsidR="008A4C37">
          <w:rPr>
            <w:noProof/>
            <w:webHidden/>
          </w:rPr>
          <w:fldChar w:fldCharType="separate"/>
        </w:r>
        <w:r w:rsidR="00557666">
          <w:rPr>
            <w:noProof/>
            <w:webHidden/>
          </w:rPr>
          <w:t>2</w:t>
        </w:r>
        <w:r w:rsidR="008A4C37">
          <w:rPr>
            <w:noProof/>
            <w:webHidden/>
          </w:rPr>
          <w:fldChar w:fldCharType="end"/>
        </w:r>
      </w:hyperlink>
    </w:p>
    <w:p w:rsidR="008A4C37" w:rsidRDefault="00ED394A">
      <w:pPr>
        <w:pStyle w:val="TableofFigures"/>
        <w:rPr>
          <w:rFonts w:asciiTheme="minorHAnsi" w:eastAsiaTheme="minorEastAsia" w:hAnsiTheme="minorHAnsi"/>
          <w:noProof/>
          <w:sz w:val="22"/>
          <w:szCs w:val="22"/>
        </w:rPr>
      </w:pPr>
      <w:hyperlink w:anchor="_Toc364945400" w:history="1">
        <w:r w:rsidR="008A4C37" w:rsidRPr="00502820">
          <w:rPr>
            <w:rStyle w:val="Hyperlink"/>
            <w:rFonts w:ascii="Arial" w:hAnsi="Arial"/>
            <w:noProof/>
            <w:lang w:val="en-AU"/>
          </w:rPr>
          <w:t>Figure 36:  Types of Risks</w:t>
        </w:r>
        <w:r w:rsidR="008A4C37">
          <w:rPr>
            <w:noProof/>
            <w:webHidden/>
          </w:rPr>
          <w:tab/>
        </w:r>
        <w:r w:rsidR="008A4C37">
          <w:rPr>
            <w:noProof/>
            <w:webHidden/>
          </w:rPr>
          <w:fldChar w:fldCharType="begin"/>
        </w:r>
        <w:r w:rsidR="008A4C37">
          <w:rPr>
            <w:noProof/>
            <w:webHidden/>
          </w:rPr>
          <w:instrText xml:space="preserve"> PAGEREF _Toc364945400 \h </w:instrText>
        </w:r>
        <w:r w:rsidR="008A4C37">
          <w:rPr>
            <w:noProof/>
            <w:webHidden/>
          </w:rPr>
        </w:r>
        <w:r w:rsidR="008A4C37">
          <w:rPr>
            <w:noProof/>
            <w:webHidden/>
          </w:rPr>
          <w:fldChar w:fldCharType="separate"/>
        </w:r>
        <w:r w:rsidR="00557666">
          <w:rPr>
            <w:noProof/>
            <w:webHidden/>
          </w:rPr>
          <w:t>2</w:t>
        </w:r>
        <w:r w:rsidR="008A4C37">
          <w:rPr>
            <w:noProof/>
            <w:webHidden/>
          </w:rPr>
          <w:fldChar w:fldCharType="end"/>
        </w:r>
      </w:hyperlink>
    </w:p>
    <w:p w:rsidR="008A4C37" w:rsidRDefault="00ED394A">
      <w:pPr>
        <w:pStyle w:val="TableofFigures"/>
        <w:rPr>
          <w:rFonts w:asciiTheme="minorHAnsi" w:eastAsiaTheme="minorEastAsia" w:hAnsiTheme="minorHAnsi"/>
          <w:noProof/>
          <w:sz w:val="22"/>
          <w:szCs w:val="22"/>
        </w:rPr>
      </w:pPr>
      <w:hyperlink w:anchor="_Toc364945401" w:history="1">
        <w:r w:rsidR="008A4C37" w:rsidRPr="00502820">
          <w:rPr>
            <w:rStyle w:val="Hyperlink"/>
            <w:rFonts w:ascii="Arial" w:hAnsi="Arial"/>
            <w:noProof/>
            <w:lang w:val="en-AU"/>
          </w:rPr>
          <w:t>Figure 37:  Assessment of Maturity Level of Asset Management Processes</w:t>
        </w:r>
        <w:r w:rsidR="008A4C37">
          <w:rPr>
            <w:noProof/>
            <w:webHidden/>
          </w:rPr>
          <w:tab/>
        </w:r>
        <w:r w:rsidR="008A4C37">
          <w:rPr>
            <w:noProof/>
            <w:webHidden/>
          </w:rPr>
          <w:fldChar w:fldCharType="begin"/>
        </w:r>
        <w:r w:rsidR="008A4C37">
          <w:rPr>
            <w:noProof/>
            <w:webHidden/>
          </w:rPr>
          <w:instrText xml:space="preserve"> PAGEREF _Toc364945401 \h </w:instrText>
        </w:r>
        <w:r w:rsidR="008A4C37">
          <w:rPr>
            <w:noProof/>
            <w:webHidden/>
          </w:rPr>
        </w:r>
        <w:r w:rsidR="008A4C37">
          <w:rPr>
            <w:noProof/>
            <w:webHidden/>
          </w:rPr>
          <w:fldChar w:fldCharType="separate"/>
        </w:r>
        <w:r w:rsidR="00557666">
          <w:rPr>
            <w:noProof/>
            <w:webHidden/>
          </w:rPr>
          <w:t>2</w:t>
        </w:r>
        <w:r w:rsidR="008A4C37">
          <w:rPr>
            <w:noProof/>
            <w:webHidden/>
          </w:rPr>
          <w:fldChar w:fldCharType="end"/>
        </w:r>
      </w:hyperlink>
    </w:p>
    <w:p w:rsidR="008A4C37" w:rsidRDefault="00ED394A">
      <w:pPr>
        <w:pStyle w:val="TableofFigures"/>
        <w:rPr>
          <w:rFonts w:asciiTheme="minorHAnsi" w:eastAsiaTheme="minorEastAsia" w:hAnsiTheme="minorHAnsi"/>
          <w:noProof/>
          <w:sz w:val="22"/>
          <w:szCs w:val="22"/>
        </w:rPr>
      </w:pPr>
      <w:hyperlink w:anchor="_Toc364945402" w:history="1">
        <w:r w:rsidR="008A4C37" w:rsidRPr="00502820">
          <w:rPr>
            <w:rStyle w:val="Hyperlink"/>
            <w:rFonts w:ascii="Arial" w:hAnsi="Arial"/>
            <w:noProof/>
            <w:lang w:val="en-AU"/>
          </w:rPr>
          <w:t>Figure 38:  Assessment of Maturity Level of Asset Management Systems</w:t>
        </w:r>
        <w:r w:rsidR="008A4C37">
          <w:rPr>
            <w:noProof/>
            <w:webHidden/>
          </w:rPr>
          <w:tab/>
        </w:r>
        <w:r w:rsidR="008A4C37">
          <w:rPr>
            <w:noProof/>
            <w:webHidden/>
          </w:rPr>
          <w:fldChar w:fldCharType="begin"/>
        </w:r>
        <w:r w:rsidR="008A4C37">
          <w:rPr>
            <w:noProof/>
            <w:webHidden/>
          </w:rPr>
          <w:instrText xml:space="preserve"> PAGEREF _Toc364945402 \h </w:instrText>
        </w:r>
        <w:r w:rsidR="008A4C37">
          <w:rPr>
            <w:noProof/>
            <w:webHidden/>
          </w:rPr>
        </w:r>
        <w:r w:rsidR="008A4C37">
          <w:rPr>
            <w:noProof/>
            <w:webHidden/>
          </w:rPr>
          <w:fldChar w:fldCharType="separate"/>
        </w:r>
        <w:r w:rsidR="00557666">
          <w:rPr>
            <w:noProof/>
            <w:webHidden/>
          </w:rPr>
          <w:t>2</w:t>
        </w:r>
        <w:r w:rsidR="008A4C37">
          <w:rPr>
            <w:noProof/>
            <w:webHidden/>
          </w:rPr>
          <w:fldChar w:fldCharType="end"/>
        </w:r>
      </w:hyperlink>
    </w:p>
    <w:p w:rsidR="008A4C37" w:rsidRDefault="00ED394A">
      <w:pPr>
        <w:pStyle w:val="TableofFigures"/>
        <w:rPr>
          <w:rFonts w:asciiTheme="minorHAnsi" w:eastAsiaTheme="minorEastAsia" w:hAnsiTheme="minorHAnsi"/>
          <w:noProof/>
          <w:sz w:val="22"/>
          <w:szCs w:val="22"/>
        </w:rPr>
      </w:pPr>
      <w:hyperlink w:anchor="_Toc364945403" w:history="1">
        <w:r w:rsidR="008A4C37" w:rsidRPr="00502820">
          <w:rPr>
            <w:rStyle w:val="Hyperlink"/>
            <w:rFonts w:ascii="Arial" w:hAnsi="Arial"/>
            <w:noProof/>
            <w:lang w:val="en-AU"/>
          </w:rPr>
          <w:t>Figure 39:  Assessment of Maturity Level of Asset Management Data</w:t>
        </w:r>
        <w:r w:rsidR="008A4C37">
          <w:rPr>
            <w:noProof/>
            <w:webHidden/>
          </w:rPr>
          <w:tab/>
        </w:r>
        <w:r w:rsidR="008A4C37">
          <w:rPr>
            <w:noProof/>
            <w:webHidden/>
          </w:rPr>
          <w:fldChar w:fldCharType="begin"/>
        </w:r>
        <w:r w:rsidR="008A4C37">
          <w:rPr>
            <w:noProof/>
            <w:webHidden/>
          </w:rPr>
          <w:instrText xml:space="preserve"> PAGEREF _Toc364945403 \h </w:instrText>
        </w:r>
        <w:r w:rsidR="008A4C37">
          <w:rPr>
            <w:noProof/>
            <w:webHidden/>
          </w:rPr>
        </w:r>
        <w:r w:rsidR="008A4C37">
          <w:rPr>
            <w:noProof/>
            <w:webHidden/>
          </w:rPr>
          <w:fldChar w:fldCharType="separate"/>
        </w:r>
        <w:r w:rsidR="00557666">
          <w:rPr>
            <w:noProof/>
            <w:webHidden/>
          </w:rPr>
          <w:t>2</w:t>
        </w:r>
        <w:r w:rsidR="008A4C37">
          <w:rPr>
            <w:noProof/>
            <w:webHidden/>
          </w:rPr>
          <w:fldChar w:fldCharType="end"/>
        </w:r>
      </w:hyperlink>
    </w:p>
    <w:p w:rsidR="008A4C37" w:rsidRDefault="00ED394A">
      <w:pPr>
        <w:pStyle w:val="TableofFigures"/>
        <w:rPr>
          <w:rFonts w:asciiTheme="minorHAnsi" w:eastAsiaTheme="minorEastAsia" w:hAnsiTheme="minorHAnsi"/>
          <w:noProof/>
          <w:sz w:val="22"/>
          <w:szCs w:val="22"/>
        </w:rPr>
      </w:pPr>
      <w:hyperlink w:anchor="_Toc364945404" w:history="1">
        <w:r w:rsidR="008A4C37" w:rsidRPr="00502820">
          <w:rPr>
            <w:rStyle w:val="Hyperlink"/>
            <w:rFonts w:ascii="Arial" w:hAnsi="Arial"/>
            <w:noProof/>
            <w:lang w:val="en-AU"/>
          </w:rPr>
          <w:t>Figure 40:  Assessment of Maturity Level of Organisational Capability</w:t>
        </w:r>
        <w:r w:rsidR="008A4C37">
          <w:rPr>
            <w:noProof/>
            <w:webHidden/>
          </w:rPr>
          <w:tab/>
        </w:r>
        <w:r w:rsidR="008A4C37">
          <w:rPr>
            <w:noProof/>
            <w:webHidden/>
          </w:rPr>
          <w:fldChar w:fldCharType="begin"/>
        </w:r>
        <w:r w:rsidR="008A4C37">
          <w:rPr>
            <w:noProof/>
            <w:webHidden/>
          </w:rPr>
          <w:instrText xml:space="preserve"> PAGEREF _Toc364945404 \h </w:instrText>
        </w:r>
        <w:r w:rsidR="008A4C37">
          <w:rPr>
            <w:noProof/>
            <w:webHidden/>
          </w:rPr>
        </w:r>
        <w:r w:rsidR="008A4C37">
          <w:rPr>
            <w:noProof/>
            <w:webHidden/>
          </w:rPr>
          <w:fldChar w:fldCharType="separate"/>
        </w:r>
        <w:r w:rsidR="00557666">
          <w:rPr>
            <w:noProof/>
            <w:webHidden/>
          </w:rPr>
          <w:t>2</w:t>
        </w:r>
        <w:r w:rsidR="008A4C37">
          <w:rPr>
            <w:noProof/>
            <w:webHidden/>
          </w:rPr>
          <w:fldChar w:fldCharType="end"/>
        </w:r>
      </w:hyperlink>
    </w:p>
    <w:p w:rsidR="00897C2D" w:rsidRDefault="0090414C" w:rsidP="006107DD">
      <w:pPr>
        <w:tabs>
          <w:tab w:val="right" w:pos="9027"/>
          <w:tab w:val="right" w:pos="9070"/>
        </w:tabs>
        <w:spacing w:before="60" w:after="60"/>
        <w:rPr>
          <w:rFonts w:cs="Arial"/>
        </w:rPr>
        <w:sectPr w:rsidR="00897C2D" w:rsidSect="00252A9E">
          <w:type w:val="oddPage"/>
          <w:pgSz w:w="11906" w:h="16838" w:code="9"/>
          <w:pgMar w:top="1418" w:right="1418" w:bottom="851" w:left="1418" w:header="284" w:footer="312" w:gutter="0"/>
          <w:pgNumType w:fmt="lowerRoman"/>
          <w:cols w:space="720"/>
          <w:docGrid w:linePitch="360"/>
        </w:sectPr>
      </w:pPr>
      <w:r>
        <w:rPr>
          <w:rFonts w:cs="Arial"/>
        </w:rPr>
        <w:fldChar w:fldCharType="end"/>
      </w:r>
    </w:p>
    <w:p w:rsidR="006107DD" w:rsidRDefault="006107DD" w:rsidP="006107DD">
      <w:pPr>
        <w:tabs>
          <w:tab w:val="right" w:pos="9027"/>
          <w:tab w:val="right" w:pos="9070"/>
        </w:tabs>
        <w:spacing w:before="60" w:after="60"/>
        <w:rPr>
          <w:rFonts w:cs="Arial"/>
        </w:rPr>
      </w:pPr>
    </w:p>
    <w:p w:rsidR="006107DD" w:rsidRPr="00222036" w:rsidRDefault="006107DD" w:rsidP="006107DD">
      <w:pPr>
        <w:pStyle w:val="IntenseQuote"/>
        <w:rPr>
          <w:color w:val="548DD4" w:themeColor="text2" w:themeTint="99"/>
        </w:rPr>
      </w:pPr>
      <w:r w:rsidRPr="00222036">
        <w:rPr>
          <w:color w:val="548DD4" w:themeColor="text2" w:themeTint="99"/>
        </w:rPr>
        <w:t>List of Tables</w:t>
      </w:r>
    </w:p>
    <w:p w:rsidR="008A4C37" w:rsidRDefault="0090414C">
      <w:pPr>
        <w:pStyle w:val="TableofFigures"/>
        <w:rPr>
          <w:rFonts w:asciiTheme="minorHAnsi" w:eastAsiaTheme="minorEastAsia" w:hAnsiTheme="minorHAnsi"/>
          <w:noProof/>
          <w:sz w:val="22"/>
          <w:szCs w:val="22"/>
        </w:rPr>
      </w:pPr>
      <w:r>
        <w:rPr>
          <w:rFonts w:ascii="Verdana" w:hAnsi="Verdana"/>
        </w:rPr>
        <w:fldChar w:fldCharType="begin"/>
      </w:r>
      <w:r w:rsidR="003619B7">
        <w:instrText xml:space="preserve"> TOC \h \z \c "Table" </w:instrText>
      </w:r>
      <w:r>
        <w:rPr>
          <w:rFonts w:ascii="Verdana" w:hAnsi="Verdana"/>
        </w:rPr>
        <w:fldChar w:fldCharType="separate"/>
      </w:r>
      <w:hyperlink w:anchor="_Toc364945405" w:history="1">
        <w:r w:rsidR="008A4C37" w:rsidRPr="00141358">
          <w:rPr>
            <w:rStyle w:val="Hyperlink"/>
            <w:rFonts w:ascii="Arial" w:hAnsi="Arial"/>
            <w:noProof/>
            <w:lang w:val="en-AU"/>
          </w:rPr>
          <w:t>Table 1:  Strategic Priorities and Status</w:t>
        </w:r>
        <w:r w:rsidR="008A4C37">
          <w:rPr>
            <w:noProof/>
            <w:webHidden/>
          </w:rPr>
          <w:tab/>
        </w:r>
        <w:r w:rsidR="008A4C37">
          <w:rPr>
            <w:noProof/>
            <w:webHidden/>
          </w:rPr>
          <w:fldChar w:fldCharType="begin"/>
        </w:r>
        <w:r w:rsidR="008A4C37">
          <w:rPr>
            <w:noProof/>
            <w:webHidden/>
          </w:rPr>
          <w:instrText xml:space="preserve"> PAGEREF _Toc364945405 \h </w:instrText>
        </w:r>
        <w:r w:rsidR="008A4C37">
          <w:rPr>
            <w:noProof/>
            <w:webHidden/>
          </w:rPr>
        </w:r>
        <w:r w:rsidR="008A4C37">
          <w:rPr>
            <w:noProof/>
            <w:webHidden/>
          </w:rPr>
          <w:fldChar w:fldCharType="separate"/>
        </w:r>
        <w:r w:rsidR="00557666">
          <w:rPr>
            <w:noProof/>
            <w:webHidden/>
          </w:rPr>
          <w:t>2</w:t>
        </w:r>
        <w:r w:rsidR="008A4C37">
          <w:rPr>
            <w:noProof/>
            <w:webHidden/>
          </w:rPr>
          <w:fldChar w:fldCharType="end"/>
        </w:r>
      </w:hyperlink>
    </w:p>
    <w:p w:rsidR="008A4C37" w:rsidRDefault="00ED394A">
      <w:pPr>
        <w:pStyle w:val="TableofFigures"/>
        <w:rPr>
          <w:rFonts w:asciiTheme="minorHAnsi" w:eastAsiaTheme="minorEastAsia" w:hAnsiTheme="minorHAnsi"/>
          <w:noProof/>
          <w:sz w:val="22"/>
          <w:szCs w:val="22"/>
        </w:rPr>
      </w:pPr>
      <w:hyperlink w:anchor="_Toc364945406" w:history="1">
        <w:r w:rsidR="008A4C37" w:rsidRPr="00141358">
          <w:rPr>
            <w:rStyle w:val="Hyperlink"/>
            <w:rFonts w:ascii="Arial" w:hAnsi="Arial"/>
            <w:noProof/>
            <w:lang w:val="en-AU"/>
          </w:rPr>
          <w:t>Table 2:  Schedule of Significant Matters</w:t>
        </w:r>
        <w:r w:rsidR="008A4C37">
          <w:rPr>
            <w:noProof/>
            <w:webHidden/>
          </w:rPr>
          <w:tab/>
        </w:r>
        <w:r w:rsidR="008A4C37">
          <w:rPr>
            <w:noProof/>
            <w:webHidden/>
          </w:rPr>
          <w:fldChar w:fldCharType="begin"/>
        </w:r>
        <w:r w:rsidR="008A4C37">
          <w:rPr>
            <w:noProof/>
            <w:webHidden/>
          </w:rPr>
          <w:instrText xml:space="preserve"> PAGEREF _Toc364945406 \h </w:instrText>
        </w:r>
        <w:r w:rsidR="008A4C37">
          <w:rPr>
            <w:noProof/>
            <w:webHidden/>
          </w:rPr>
        </w:r>
        <w:r w:rsidR="008A4C37">
          <w:rPr>
            <w:noProof/>
            <w:webHidden/>
          </w:rPr>
          <w:fldChar w:fldCharType="separate"/>
        </w:r>
        <w:r w:rsidR="00557666">
          <w:rPr>
            <w:noProof/>
            <w:webHidden/>
          </w:rPr>
          <w:t>2</w:t>
        </w:r>
        <w:r w:rsidR="008A4C37">
          <w:rPr>
            <w:noProof/>
            <w:webHidden/>
          </w:rPr>
          <w:fldChar w:fldCharType="end"/>
        </w:r>
      </w:hyperlink>
    </w:p>
    <w:p w:rsidR="008A4C37" w:rsidRDefault="00ED394A">
      <w:pPr>
        <w:pStyle w:val="TableofFigures"/>
        <w:rPr>
          <w:rFonts w:asciiTheme="minorHAnsi" w:eastAsiaTheme="minorEastAsia" w:hAnsiTheme="minorHAnsi"/>
          <w:noProof/>
          <w:sz w:val="22"/>
          <w:szCs w:val="22"/>
        </w:rPr>
      </w:pPr>
      <w:hyperlink w:anchor="_Toc364945407" w:history="1">
        <w:r w:rsidR="008A4C37" w:rsidRPr="00141358">
          <w:rPr>
            <w:rStyle w:val="Hyperlink"/>
            <w:rFonts w:ascii="Arial" w:hAnsi="Arial"/>
            <w:noProof/>
            <w:lang w:val="en-AU"/>
          </w:rPr>
          <w:t>Table 3:  Acts, Strategies and Plans</w:t>
        </w:r>
        <w:r w:rsidR="008A4C37">
          <w:rPr>
            <w:noProof/>
            <w:webHidden/>
          </w:rPr>
          <w:tab/>
        </w:r>
        <w:r w:rsidR="008A4C37">
          <w:rPr>
            <w:noProof/>
            <w:webHidden/>
          </w:rPr>
          <w:fldChar w:fldCharType="begin"/>
        </w:r>
        <w:r w:rsidR="008A4C37">
          <w:rPr>
            <w:noProof/>
            <w:webHidden/>
          </w:rPr>
          <w:instrText xml:space="preserve"> PAGEREF _Toc364945407 \h </w:instrText>
        </w:r>
        <w:r w:rsidR="008A4C37">
          <w:rPr>
            <w:noProof/>
            <w:webHidden/>
          </w:rPr>
        </w:r>
        <w:r w:rsidR="008A4C37">
          <w:rPr>
            <w:noProof/>
            <w:webHidden/>
          </w:rPr>
          <w:fldChar w:fldCharType="separate"/>
        </w:r>
        <w:r w:rsidR="00557666">
          <w:rPr>
            <w:noProof/>
            <w:webHidden/>
          </w:rPr>
          <w:t>2</w:t>
        </w:r>
        <w:r w:rsidR="008A4C37">
          <w:rPr>
            <w:noProof/>
            <w:webHidden/>
          </w:rPr>
          <w:fldChar w:fldCharType="end"/>
        </w:r>
      </w:hyperlink>
    </w:p>
    <w:p w:rsidR="008A4C37" w:rsidRDefault="00ED394A">
      <w:pPr>
        <w:pStyle w:val="TableofFigures"/>
        <w:rPr>
          <w:rFonts w:asciiTheme="minorHAnsi" w:eastAsiaTheme="minorEastAsia" w:hAnsiTheme="minorHAnsi"/>
          <w:noProof/>
          <w:sz w:val="22"/>
          <w:szCs w:val="22"/>
        </w:rPr>
      </w:pPr>
      <w:hyperlink w:anchor="_Toc364945408" w:history="1">
        <w:r w:rsidR="008A4C37" w:rsidRPr="00141358">
          <w:rPr>
            <w:rStyle w:val="Hyperlink"/>
            <w:rFonts w:ascii="Arial" w:hAnsi="Arial"/>
            <w:noProof/>
            <w:lang w:val="en-AU"/>
          </w:rPr>
          <w:t>Table 4:  Council Strategic Objectives</w:t>
        </w:r>
        <w:r w:rsidR="008A4C37">
          <w:rPr>
            <w:noProof/>
            <w:webHidden/>
          </w:rPr>
          <w:tab/>
        </w:r>
        <w:r w:rsidR="008A4C37">
          <w:rPr>
            <w:noProof/>
            <w:webHidden/>
          </w:rPr>
          <w:fldChar w:fldCharType="begin"/>
        </w:r>
        <w:r w:rsidR="008A4C37">
          <w:rPr>
            <w:noProof/>
            <w:webHidden/>
          </w:rPr>
          <w:instrText xml:space="preserve"> PAGEREF _Toc364945408 \h </w:instrText>
        </w:r>
        <w:r w:rsidR="008A4C37">
          <w:rPr>
            <w:noProof/>
            <w:webHidden/>
          </w:rPr>
        </w:r>
        <w:r w:rsidR="008A4C37">
          <w:rPr>
            <w:noProof/>
            <w:webHidden/>
          </w:rPr>
          <w:fldChar w:fldCharType="separate"/>
        </w:r>
        <w:r w:rsidR="00557666">
          <w:rPr>
            <w:noProof/>
            <w:webHidden/>
          </w:rPr>
          <w:t>2</w:t>
        </w:r>
        <w:r w:rsidR="008A4C37">
          <w:rPr>
            <w:noProof/>
            <w:webHidden/>
          </w:rPr>
          <w:fldChar w:fldCharType="end"/>
        </w:r>
      </w:hyperlink>
    </w:p>
    <w:p w:rsidR="008A4C37" w:rsidRDefault="00ED394A">
      <w:pPr>
        <w:pStyle w:val="TableofFigures"/>
        <w:rPr>
          <w:rFonts w:asciiTheme="minorHAnsi" w:eastAsiaTheme="minorEastAsia" w:hAnsiTheme="minorHAnsi"/>
          <w:noProof/>
          <w:sz w:val="22"/>
          <w:szCs w:val="22"/>
        </w:rPr>
      </w:pPr>
      <w:hyperlink w:anchor="_Toc364945409" w:history="1">
        <w:r w:rsidR="008A4C37" w:rsidRPr="00141358">
          <w:rPr>
            <w:rStyle w:val="Hyperlink"/>
            <w:rFonts w:ascii="Arial" w:hAnsi="Arial"/>
            <w:noProof/>
            <w:lang w:val="en-AU"/>
          </w:rPr>
          <w:t>Table 5:  Summary of Building Assets Portfolio</w:t>
        </w:r>
        <w:r w:rsidR="008A4C37">
          <w:rPr>
            <w:noProof/>
            <w:webHidden/>
          </w:rPr>
          <w:tab/>
        </w:r>
        <w:r w:rsidR="008A4C37">
          <w:rPr>
            <w:noProof/>
            <w:webHidden/>
          </w:rPr>
          <w:fldChar w:fldCharType="begin"/>
        </w:r>
        <w:r w:rsidR="008A4C37">
          <w:rPr>
            <w:noProof/>
            <w:webHidden/>
          </w:rPr>
          <w:instrText xml:space="preserve"> PAGEREF _Toc364945409 \h </w:instrText>
        </w:r>
        <w:r w:rsidR="008A4C37">
          <w:rPr>
            <w:noProof/>
            <w:webHidden/>
          </w:rPr>
        </w:r>
        <w:r w:rsidR="008A4C37">
          <w:rPr>
            <w:noProof/>
            <w:webHidden/>
          </w:rPr>
          <w:fldChar w:fldCharType="separate"/>
        </w:r>
        <w:r w:rsidR="00557666">
          <w:rPr>
            <w:noProof/>
            <w:webHidden/>
          </w:rPr>
          <w:t>2</w:t>
        </w:r>
        <w:r w:rsidR="008A4C37">
          <w:rPr>
            <w:noProof/>
            <w:webHidden/>
          </w:rPr>
          <w:fldChar w:fldCharType="end"/>
        </w:r>
      </w:hyperlink>
    </w:p>
    <w:p w:rsidR="008A4C37" w:rsidRDefault="00ED394A">
      <w:pPr>
        <w:pStyle w:val="TableofFigures"/>
        <w:rPr>
          <w:rFonts w:asciiTheme="minorHAnsi" w:eastAsiaTheme="minorEastAsia" w:hAnsiTheme="minorHAnsi"/>
          <w:noProof/>
          <w:sz w:val="22"/>
          <w:szCs w:val="22"/>
        </w:rPr>
      </w:pPr>
      <w:hyperlink w:anchor="_Toc364945410" w:history="1">
        <w:r w:rsidR="008A4C37" w:rsidRPr="00141358">
          <w:rPr>
            <w:rStyle w:val="Hyperlink"/>
            <w:rFonts w:ascii="Arial" w:hAnsi="Arial"/>
            <w:noProof/>
            <w:lang w:val="en-AU"/>
          </w:rPr>
          <w:t>Table 6:  Levels of Service and Performance Measures</w:t>
        </w:r>
        <w:r w:rsidR="008A4C37">
          <w:rPr>
            <w:noProof/>
            <w:webHidden/>
          </w:rPr>
          <w:tab/>
        </w:r>
        <w:r w:rsidR="008A4C37">
          <w:rPr>
            <w:noProof/>
            <w:webHidden/>
          </w:rPr>
          <w:fldChar w:fldCharType="begin"/>
        </w:r>
        <w:r w:rsidR="008A4C37">
          <w:rPr>
            <w:noProof/>
            <w:webHidden/>
          </w:rPr>
          <w:instrText xml:space="preserve"> PAGEREF _Toc364945410 \h </w:instrText>
        </w:r>
        <w:r w:rsidR="008A4C37">
          <w:rPr>
            <w:noProof/>
            <w:webHidden/>
          </w:rPr>
        </w:r>
        <w:r w:rsidR="008A4C37">
          <w:rPr>
            <w:noProof/>
            <w:webHidden/>
          </w:rPr>
          <w:fldChar w:fldCharType="separate"/>
        </w:r>
        <w:r w:rsidR="00557666">
          <w:rPr>
            <w:noProof/>
            <w:webHidden/>
          </w:rPr>
          <w:t>2</w:t>
        </w:r>
        <w:r w:rsidR="008A4C37">
          <w:rPr>
            <w:noProof/>
            <w:webHidden/>
          </w:rPr>
          <w:fldChar w:fldCharType="end"/>
        </w:r>
      </w:hyperlink>
    </w:p>
    <w:p w:rsidR="008A4C37" w:rsidRDefault="00ED394A">
      <w:pPr>
        <w:pStyle w:val="TableofFigures"/>
        <w:rPr>
          <w:rFonts w:asciiTheme="minorHAnsi" w:eastAsiaTheme="minorEastAsia" w:hAnsiTheme="minorHAnsi"/>
          <w:noProof/>
          <w:sz w:val="22"/>
          <w:szCs w:val="22"/>
        </w:rPr>
      </w:pPr>
      <w:hyperlink w:anchor="_Toc364945411" w:history="1">
        <w:r w:rsidR="008A4C37" w:rsidRPr="00141358">
          <w:rPr>
            <w:rStyle w:val="Hyperlink"/>
            <w:rFonts w:ascii="Arial" w:hAnsi="Arial"/>
            <w:noProof/>
            <w:lang w:val="en-AU"/>
          </w:rPr>
          <w:t>Table 7:  Building Maintenance Activities</w:t>
        </w:r>
        <w:r w:rsidR="008A4C37">
          <w:rPr>
            <w:noProof/>
            <w:webHidden/>
          </w:rPr>
          <w:tab/>
        </w:r>
        <w:r w:rsidR="008A4C37">
          <w:rPr>
            <w:noProof/>
            <w:webHidden/>
          </w:rPr>
          <w:fldChar w:fldCharType="begin"/>
        </w:r>
        <w:r w:rsidR="008A4C37">
          <w:rPr>
            <w:noProof/>
            <w:webHidden/>
          </w:rPr>
          <w:instrText xml:space="preserve"> PAGEREF _Toc364945411 \h </w:instrText>
        </w:r>
        <w:r w:rsidR="008A4C37">
          <w:rPr>
            <w:noProof/>
            <w:webHidden/>
          </w:rPr>
        </w:r>
        <w:r w:rsidR="008A4C37">
          <w:rPr>
            <w:noProof/>
            <w:webHidden/>
          </w:rPr>
          <w:fldChar w:fldCharType="separate"/>
        </w:r>
        <w:r w:rsidR="00557666">
          <w:rPr>
            <w:noProof/>
            <w:webHidden/>
          </w:rPr>
          <w:t>2</w:t>
        </w:r>
        <w:r w:rsidR="008A4C37">
          <w:rPr>
            <w:noProof/>
            <w:webHidden/>
          </w:rPr>
          <w:fldChar w:fldCharType="end"/>
        </w:r>
      </w:hyperlink>
    </w:p>
    <w:p w:rsidR="008A4C37" w:rsidRDefault="00ED394A">
      <w:pPr>
        <w:pStyle w:val="TableofFigures"/>
        <w:rPr>
          <w:rFonts w:asciiTheme="minorHAnsi" w:eastAsiaTheme="minorEastAsia" w:hAnsiTheme="minorHAnsi"/>
          <w:noProof/>
          <w:sz w:val="22"/>
          <w:szCs w:val="22"/>
        </w:rPr>
      </w:pPr>
      <w:hyperlink w:anchor="_Toc364945412" w:history="1">
        <w:r w:rsidR="008A4C37" w:rsidRPr="00141358">
          <w:rPr>
            <w:rStyle w:val="Hyperlink"/>
            <w:rFonts w:ascii="Arial" w:hAnsi="Arial"/>
            <w:noProof/>
            <w:lang w:val="en-AU"/>
          </w:rPr>
          <w:t>Table 8:  Building Maintenance Strategies</w:t>
        </w:r>
        <w:r w:rsidR="008A4C37">
          <w:rPr>
            <w:noProof/>
            <w:webHidden/>
          </w:rPr>
          <w:tab/>
        </w:r>
        <w:r w:rsidR="008A4C37">
          <w:rPr>
            <w:noProof/>
            <w:webHidden/>
          </w:rPr>
          <w:fldChar w:fldCharType="begin"/>
        </w:r>
        <w:r w:rsidR="008A4C37">
          <w:rPr>
            <w:noProof/>
            <w:webHidden/>
          </w:rPr>
          <w:instrText xml:space="preserve"> PAGEREF _Toc364945412 \h </w:instrText>
        </w:r>
        <w:r w:rsidR="008A4C37">
          <w:rPr>
            <w:noProof/>
            <w:webHidden/>
          </w:rPr>
        </w:r>
        <w:r w:rsidR="008A4C37">
          <w:rPr>
            <w:noProof/>
            <w:webHidden/>
          </w:rPr>
          <w:fldChar w:fldCharType="separate"/>
        </w:r>
        <w:r w:rsidR="00557666">
          <w:rPr>
            <w:noProof/>
            <w:webHidden/>
          </w:rPr>
          <w:t>2</w:t>
        </w:r>
        <w:r w:rsidR="008A4C37">
          <w:rPr>
            <w:noProof/>
            <w:webHidden/>
          </w:rPr>
          <w:fldChar w:fldCharType="end"/>
        </w:r>
      </w:hyperlink>
    </w:p>
    <w:p w:rsidR="008A4C37" w:rsidRDefault="00ED394A">
      <w:pPr>
        <w:pStyle w:val="TableofFigures"/>
        <w:rPr>
          <w:rFonts w:asciiTheme="minorHAnsi" w:eastAsiaTheme="minorEastAsia" w:hAnsiTheme="minorHAnsi"/>
          <w:noProof/>
          <w:sz w:val="22"/>
          <w:szCs w:val="22"/>
        </w:rPr>
      </w:pPr>
      <w:hyperlink w:anchor="_Toc364945413" w:history="1">
        <w:r w:rsidR="008A4C37" w:rsidRPr="00141358">
          <w:rPr>
            <w:rStyle w:val="Hyperlink"/>
            <w:rFonts w:ascii="Arial" w:hAnsi="Arial"/>
            <w:noProof/>
            <w:lang w:val="en-AU"/>
          </w:rPr>
          <w:t>Table 9:  Critical Lifecycle Management Processes</w:t>
        </w:r>
        <w:r w:rsidR="008A4C37">
          <w:rPr>
            <w:noProof/>
            <w:webHidden/>
          </w:rPr>
          <w:tab/>
        </w:r>
        <w:r w:rsidR="008A4C37">
          <w:rPr>
            <w:noProof/>
            <w:webHidden/>
          </w:rPr>
          <w:fldChar w:fldCharType="begin"/>
        </w:r>
        <w:r w:rsidR="008A4C37">
          <w:rPr>
            <w:noProof/>
            <w:webHidden/>
          </w:rPr>
          <w:instrText xml:space="preserve"> PAGEREF _Toc364945413 \h </w:instrText>
        </w:r>
        <w:r w:rsidR="008A4C37">
          <w:rPr>
            <w:noProof/>
            <w:webHidden/>
          </w:rPr>
        </w:r>
        <w:r w:rsidR="008A4C37">
          <w:rPr>
            <w:noProof/>
            <w:webHidden/>
          </w:rPr>
          <w:fldChar w:fldCharType="separate"/>
        </w:r>
        <w:r w:rsidR="00557666">
          <w:rPr>
            <w:noProof/>
            <w:webHidden/>
          </w:rPr>
          <w:t>2</w:t>
        </w:r>
        <w:r w:rsidR="008A4C37">
          <w:rPr>
            <w:noProof/>
            <w:webHidden/>
          </w:rPr>
          <w:fldChar w:fldCharType="end"/>
        </w:r>
      </w:hyperlink>
    </w:p>
    <w:p w:rsidR="008A4C37" w:rsidRDefault="00ED394A">
      <w:pPr>
        <w:pStyle w:val="TableofFigures"/>
        <w:rPr>
          <w:rFonts w:asciiTheme="minorHAnsi" w:eastAsiaTheme="minorEastAsia" w:hAnsiTheme="minorHAnsi"/>
          <w:noProof/>
          <w:sz w:val="22"/>
          <w:szCs w:val="22"/>
        </w:rPr>
      </w:pPr>
      <w:hyperlink w:anchor="_Toc364945414" w:history="1">
        <w:r w:rsidR="008A4C37" w:rsidRPr="00141358">
          <w:rPr>
            <w:rStyle w:val="Hyperlink"/>
            <w:rFonts w:ascii="Arial" w:hAnsi="Arial"/>
            <w:noProof/>
            <w:lang w:val="en-AU"/>
          </w:rPr>
          <w:t>Table 10:  Critical Lifecycle Management Systems</w:t>
        </w:r>
        <w:r w:rsidR="008A4C37">
          <w:rPr>
            <w:noProof/>
            <w:webHidden/>
          </w:rPr>
          <w:tab/>
        </w:r>
        <w:r w:rsidR="008A4C37">
          <w:rPr>
            <w:noProof/>
            <w:webHidden/>
          </w:rPr>
          <w:fldChar w:fldCharType="begin"/>
        </w:r>
        <w:r w:rsidR="008A4C37">
          <w:rPr>
            <w:noProof/>
            <w:webHidden/>
          </w:rPr>
          <w:instrText xml:space="preserve"> PAGEREF _Toc364945414 \h </w:instrText>
        </w:r>
        <w:r w:rsidR="008A4C37">
          <w:rPr>
            <w:noProof/>
            <w:webHidden/>
          </w:rPr>
        </w:r>
        <w:r w:rsidR="008A4C37">
          <w:rPr>
            <w:noProof/>
            <w:webHidden/>
          </w:rPr>
          <w:fldChar w:fldCharType="separate"/>
        </w:r>
        <w:r w:rsidR="00557666">
          <w:rPr>
            <w:noProof/>
            <w:webHidden/>
          </w:rPr>
          <w:t>2</w:t>
        </w:r>
        <w:r w:rsidR="008A4C37">
          <w:rPr>
            <w:noProof/>
            <w:webHidden/>
          </w:rPr>
          <w:fldChar w:fldCharType="end"/>
        </w:r>
      </w:hyperlink>
    </w:p>
    <w:p w:rsidR="008A4C37" w:rsidRDefault="00ED394A">
      <w:pPr>
        <w:pStyle w:val="TableofFigures"/>
        <w:rPr>
          <w:rFonts w:asciiTheme="minorHAnsi" w:eastAsiaTheme="minorEastAsia" w:hAnsiTheme="minorHAnsi"/>
          <w:noProof/>
          <w:sz w:val="22"/>
          <w:szCs w:val="22"/>
        </w:rPr>
      </w:pPr>
      <w:hyperlink w:anchor="_Toc364945415" w:history="1">
        <w:r w:rsidR="008A4C37" w:rsidRPr="00141358">
          <w:rPr>
            <w:rStyle w:val="Hyperlink"/>
            <w:rFonts w:ascii="Arial" w:hAnsi="Arial"/>
            <w:noProof/>
            <w:lang w:val="en-AU"/>
          </w:rPr>
          <w:t>Table 11:  Critical Lifecycle Management Data</w:t>
        </w:r>
        <w:r w:rsidR="008A4C37">
          <w:rPr>
            <w:noProof/>
            <w:webHidden/>
          </w:rPr>
          <w:tab/>
        </w:r>
        <w:r w:rsidR="008A4C37">
          <w:rPr>
            <w:noProof/>
            <w:webHidden/>
          </w:rPr>
          <w:fldChar w:fldCharType="begin"/>
        </w:r>
        <w:r w:rsidR="008A4C37">
          <w:rPr>
            <w:noProof/>
            <w:webHidden/>
          </w:rPr>
          <w:instrText xml:space="preserve"> PAGEREF _Toc364945415 \h </w:instrText>
        </w:r>
        <w:r w:rsidR="008A4C37">
          <w:rPr>
            <w:noProof/>
            <w:webHidden/>
          </w:rPr>
        </w:r>
        <w:r w:rsidR="008A4C37">
          <w:rPr>
            <w:noProof/>
            <w:webHidden/>
          </w:rPr>
          <w:fldChar w:fldCharType="separate"/>
        </w:r>
        <w:r w:rsidR="00557666">
          <w:rPr>
            <w:noProof/>
            <w:webHidden/>
          </w:rPr>
          <w:t>2</w:t>
        </w:r>
        <w:r w:rsidR="008A4C37">
          <w:rPr>
            <w:noProof/>
            <w:webHidden/>
          </w:rPr>
          <w:fldChar w:fldCharType="end"/>
        </w:r>
      </w:hyperlink>
    </w:p>
    <w:p w:rsidR="008A4C37" w:rsidRDefault="00ED394A">
      <w:pPr>
        <w:pStyle w:val="TableofFigures"/>
        <w:rPr>
          <w:rFonts w:asciiTheme="minorHAnsi" w:eastAsiaTheme="minorEastAsia" w:hAnsiTheme="minorHAnsi"/>
          <w:noProof/>
          <w:sz w:val="22"/>
          <w:szCs w:val="22"/>
        </w:rPr>
      </w:pPr>
      <w:hyperlink w:anchor="_Toc364945416" w:history="1">
        <w:r w:rsidR="008A4C37" w:rsidRPr="00141358">
          <w:rPr>
            <w:rStyle w:val="Hyperlink"/>
            <w:rFonts w:ascii="Arial" w:hAnsi="Arial"/>
            <w:noProof/>
            <w:lang w:val="en-AU"/>
          </w:rPr>
          <w:t>Table 12:  Corporate Risks as at April 2012</w:t>
        </w:r>
        <w:r w:rsidR="008A4C37">
          <w:rPr>
            <w:noProof/>
            <w:webHidden/>
          </w:rPr>
          <w:tab/>
        </w:r>
        <w:r w:rsidR="008A4C37">
          <w:rPr>
            <w:noProof/>
            <w:webHidden/>
          </w:rPr>
          <w:fldChar w:fldCharType="begin"/>
        </w:r>
        <w:r w:rsidR="008A4C37">
          <w:rPr>
            <w:noProof/>
            <w:webHidden/>
          </w:rPr>
          <w:instrText xml:space="preserve"> PAGEREF _Toc364945416 \h </w:instrText>
        </w:r>
        <w:r w:rsidR="008A4C37">
          <w:rPr>
            <w:noProof/>
            <w:webHidden/>
          </w:rPr>
        </w:r>
        <w:r w:rsidR="008A4C37">
          <w:rPr>
            <w:noProof/>
            <w:webHidden/>
          </w:rPr>
          <w:fldChar w:fldCharType="separate"/>
        </w:r>
        <w:r w:rsidR="00557666">
          <w:rPr>
            <w:noProof/>
            <w:webHidden/>
          </w:rPr>
          <w:t>2</w:t>
        </w:r>
        <w:r w:rsidR="008A4C37">
          <w:rPr>
            <w:noProof/>
            <w:webHidden/>
          </w:rPr>
          <w:fldChar w:fldCharType="end"/>
        </w:r>
      </w:hyperlink>
    </w:p>
    <w:p w:rsidR="008A4C37" w:rsidRDefault="00ED394A">
      <w:pPr>
        <w:pStyle w:val="TableofFigures"/>
        <w:rPr>
          <w:rFonts w:asciiTheme="minorHAnsi" w:eastAsiaTheme="minorEastAsia" w:hAnsiTheme="minorHAnsi"/>
          <w:noProof/>
          <w:sz w:val="22"/>
          <w:szCs w:val="22"/>
        </w:rPr>
      </w:pPr>
      <w:hyperlink w:anchor="_Toc364945417" w:history="1">
        <w:r w:rsidR="008A4C37" w:rsidRPr="00141358">
          <w:rPr>
            <w:rStyle w:val="Hyperlink"/>
            <w:rFonts w:ascii="Arial" w:hAnsi="Arial"/>
            <w:noProof/>
            <w:lang w:val="en-AU"/>
          </w:rPr>
          <w:t>Table 13: Funding of Building Portfolio</w:t>
        </w:r>
        <w:r w:rsidR="008A4C37">
          <w:rPr>
            <w:noProof/>
            <w:webHidden/>
          </w:rPr>
          <w:tab/>
        </w:r>
        <w:r w:rsidR="008A4C37">
          <w:rPr>
            <w:noProof/>
            <w:webHidden/>
          </w:rPr>
          <w:fldChar w:fldCharType="begin"/>
        </w:r>
        <w:r w:rsidR="008A4C37">
          <w:rPr>
            <w:noProof/>
            <w:webHidden/>
          </w:rPr>
          <w:instrText xml:space="preserve"> PAGEREF _Toc364945417 \h </w:instrText>
        </w:r>
        <w:r w:rsidR="008A4C37">
          <w:rPr>
            <w:noProof/>
            <w:webHidden/>
          </w:rPr>
        </w:r>
        <w:r w:rsidR="008A4C37">
          <w:rPr>
            <w:noProof/>
            <w:webHidden/>
          </w:rPr>
          <w:fldChar w:fldCharType="separate"/>
        </w:r>
        <w:r w:rsidR="00557666">
          <w:rPr>
            <w:noProof/>
            <w:webHidden/>
          </w:rPr>
          <w:t>2</w:t>
        </w:r>
        <w:r w:rsidR="008A4C37">
          <w:rPr>
            <w:noProof/>
            <w:webHidden/>
          </w:rPr>
          <w:fldChar w:fldCharType="end"/>
        </w:r>
      </w:hyperlink>
    </w:p>
    <w:p w:rsidR="008A4C37" w:rsidRDefault="00ED394A">
      <w:pPr>
        <w:pStyle w:val="TableofFigures"/>
        <w:rPr>
          <w:rFonts w:asciiTheme="minorHAnsi" w:eastAsiaTheme="minorEastAsia" w:hAnsiTheme="minorHAnsi"/>
          <w:noProof/>
          <w:sz w:val="22"/>
          <w:szCs w:val="22"/>
        </w:rPr>
      </w:pPr>
      <w:hyperlink w:anchor="_Toc364945418" w:history="1">
        <w:r w:rsidR="008A4C37" w:rsidRPr="00141358">
          <w:rPr>
            <w:rStyle w:val="Hyperlink"/>
            <w:rFonts w:ascii="Arial" w:hAnsi="Arial"/>
            <w:noProof/>
            <w:lang w:val="en-AU"/>
          </w:rPr>
          <w:t>Table 14:  Improvement Plan</w:t>
        </w:r>
        <w:r w:rsidR="008A4C37">
          <w:rPr>
            <w:noProof/>
            <w:webHidden/>
          </w:rPr>
          <w:tab/>
        </w:r>
        <w:r w:rsidR="008A4C37">
          <w:rPr>
            <w:noProof/>
            <w:webHidden/>
          </w:rPr>
          <w:fldChar w:fldCharType="begin"/>
        </w:r>
        <w:r w:rsidR="008A4C37">
          <w:rPr>
            <w:noProof/>
            <w:webHidden/>
          </w:rPr>
          <w:instrText xml:space="preserve"> PAGEREF _Toc364945418 \h </w:instrText>
        </w:r>
        <w:r w:rsidR="008A4C37">
          <w:rPr>
            <w:noProof/>
            <w:webHidden/>
          </w:rPr>
        </w:r>
        <w:r w:rsidR="008A4C37">
          <w:rPr>
            <w:noProof/>
            <w:webHidden/>
          </w:rPr>
          <w:fldChar w:fldCharType="separate"/>
        </w:r>
        <w:r w:rsidR="00557666">
          <w:rPr>
            <w:noProof/>
            <w:webHidden/>
          </w:rPr>
          <w:t>2</w:t>
        </w:r>
        <w:r w:rsidR="008A4C37">
          <w:rPr>
            <w:noProof/>
            <w:webHidden/>
          </w:rPr>
          <w:fldChar w:fldCharType="end"/>
        </w:r>
      </w:hyperlink>
    </w:p>
    <w:p w:rsidR="008A4C37" w:rsidRDefault="00ED394A">
      <w:pPr>
        <w:pStyle w:val="TableofFigures"/>
        <w:rPr>
          <w:rFonts w:asciiTheme="minorHAnsi" w:eastAsiaTheme="minorEastAsia" w:hAnsiTheme="minorHAnsi"/>
          <w:noProof/>
          <w:sz w:val="22"/>
          <w:szCs w:val="22"/>
        </w:rPr>
      </w:pPr>
      <w:hyperlink w:anchor="_Toc364945419" w:history="1">
        <w:r w:rsidR="008A4C37" w:rsidRPr="00141358">
          <w:rPr>
            <w:rStyle w:val="Hyperlink"/>
            <w:rFonts w:ascii="Arial" w:hAnsi="Arial"/>
            <w:noProof/>
            <w:lang w:val="en-AU"/>
          </w:rPr>
          <w:t>Table 15:  Plan Review and Monitoring Activities</w:t>
        </w:r>
        <w:r w:rsidR="008A4C37">
          <w:rPr>
            <w:noProof/>
            <w:webHidden/>
          </w:rPr>
          <w:tab/>
        </w:r>
        <w:r w:rsidR="008A4C37">
          <w:rPr>
            <w:noProof/>
            <w:webHidden/>
          </w:rPr>
          <w:fldChar w:fldCharType="begin"/>
        </w:r>
        <w:r w:rsidR="008A4C37">
          <w:rPr>
            <w:noProof/>
            <w:webHidden/>
          </w:rPr>
          <w:instrText xml:space="preserve"> PAGEREF _Toc364945419 \h </w:instrText>
        </w:r>
        <w:r w:rsidR="008A4C37">
          <w:rPr>
            <w:noProof/>
            <w:webHidden/>
          </w:rPr>
        </w:r>
        <w:r w:rsidR="008A4C37">
          <w:rPr>
            <w:noProof/>
            <w:webHidden/>
          </w:rPr>
          <w:fldChar w:fldCharType="separate"/>
        </w:r>
        <w:r w:rsidR="00557666">
          <w:rPr>
            <w:noProof/>
            <w:webHidden/>
          </w:rPr>
          <w:t>2</w:t>
        </w:r>
        <w:r w:rsidR="008A4C37">
          <w:rPr>
            <w:noProof/>
            <w:webHidden/>
          </w:rPr>
          <w:fldChar w:fldCharType="end"/>
        </w:r>
      </w:hyperlink>
    </w:p>
    <w:p w:rsidR="008A4C37" w:rsidRDefault="00ED394A">
      <w:pPr>
        <w:pStyle w:val="TableofFigures"/>
        <w:rPr>
          <w:rFonts w:asciiTheme="minorHAnsi" w:eastAsiaTheme="minorEastAsia" w:hAnsiTheme="minorHAnsi"/>
          <w:noProof/>
          <w:sz w:val="22"/>
          <w:szCs w:val="22"/>
        </w:rPr>
      </w:pPr>
      <w:hyperlink w:anchor="_Toc364945420" w:history="1">
        <w:r w:rsidR="008A4C37" w:rsidRPr="00141358">
          <w:rPr>
            <w:rStyle w:val="Hyperlink"/>
            <w:rFonts w:ascii="Arial" w:hAnsi="Arial"/>
            <w:noProof/>
            <w:lang w:val="en-AU"/>
          </w:rPr>
          <w:t>Table 16:  Alignment of Facility Goals and Strategic Objectives</w:t>
        </w:r>
        <w:r w:rsidR="008A4C37">
          <w:rPr>
            <w:noProof/>
            <w:webHidden/>
          </w:rPr>
          <w:tab/>
        </w:r>
        <w:r w:rsidR="008A4C37">
          <w:rPr>
            <w:noProof/>
            <w:webHidden/>
          </w:rPr>
          <w:fldChar w:fldCharType="begin"/>
        </w:r>
        <w:r w:rsidR="008A4C37">
          <w:rPr>
            <w:noProof/>
            <w:webHidden/>
          </w:rPr>
          <w:instrText xml:space="preserve"> PAGEREF _Toc364945420 \h </w:instrText>
        </w:r>
        <w:r w:rsidR="008A4C37">
          <w:rPr>
            <w:noProof/>
            <w:webHidden/>
          </w:rPr>
        </w:r>
        <w:r w:rsidR="008A4C37">
          <w:rPr>
            <w:noProof/>
            <w:webHidden/>
          </w:rPr>
          <w:fldChar w:fldCharType="separate"/>
        </w:r>
        <w:r w:rsidR="00557666">
          <w:rPr>
            <w:noProof/>
            <w:webHidden/>
          </w:rPr>
          <w:t>2</w:t>
        </w:r>
        <w:r w:rsidR="008A4C37">
          <w:rPr>
            <w:noProof/>
            <w:webHidden/>
          </w:rPr>
          <w:fldChar w:fldCharType="end"/>
        </w:r>
      </w:hyperlink>
    </w:p>
    <w:p w:rsidR="008A4C37" w:rsidRDefault="00ED394A">
      <w:pPr>
        <w:pStyle w:val="TableofFigures"/>
        <w:rPr>
          <w:rFonts w:asciiTheme="minorHAnsi" w:eastAsiaTheme="minorEastAsia" w:hAnsiTheme="minorHAnsi"/>
          <w:noProof/>
          <w:sz w:val="22"/>
          <w:szCs w:val="22"/>
        </w:rPr>
      </w:pPr>
      <w:hyperlink w:anchor="_Toc364945421" w:history="1">
        <w:r w:rsidR="008A4C37" w:rsidRPr="00141358">
          <w:rPr>
            <w:rStyle w:val="Hyperlink"/>
            <w:rFonts w:ascii="Arial" w:hAnsi="Arial"/>
            <w:noProof/>
            <w:lang w:val="en-AU"/>
          </w:rPr>
          <w:t>Table 17:  Definition of Building Categories</w:t>
        </w:r>
        <w:r w:rsidR="008A4C37">
          <w:rPr>
            <w:noProof/>
            <w:webHidden/>
          </w:rPr>
          <w:tab/>
        </w:r>
        <w:r w:rsidR="008A4C37">
          <w:rPr>
            <w:noProof/>
            <w:webHidden/>
          </w:rPr>
          <w:fldChar w:fldCharType="begin"/>
        </w:r>
        <w:r w:rsidR="008A4C37">
          <w:rPr>
            <w:noProof/>
            <w:webHidden/>
          </w:rPr>
          <w:instrText xml:space="preserve"> PAGEREF _Toc364945421 \h </w:instrText>
        </w:r>
        <w:r w:rsidR="008A4C37">
          <w:rPr>
            <w:noProof/>
            <w:webHidden/>
          </w:rPr>
        </w:r>
        <w:r w:rsidR="008A4C37">
          <w:rPr>
            <w:noProof/>
            <w:webHidden/>
          </w:rPr>
          <w:fldChar w:fldCharType="separate"/>
        </w:r>
        <w:r w:rsidR="00557666">
          <w:rPr>
            <w:noProof/>
            <w:webHidden/>
          </w:rPr>
          <w:t>2</w:t>
        </w:r>
        <w:r w:rsidR="008A4C37">
          <w:rPr>
            <w:noProof/>
            <w:webHidden/>
          </w:rPr>
          <w:fldChar w:fldCharType="end"/>
        </w:r>
      </w:hyperlink>
    </w:p>
    <w:p w:rsidR="008A4C37" w:rsidRDefault="00ED394A">
      <w:pPr>
        <w:pStyle w:val="TableofFigures"/>
        <w:rPr>
          <w:rFonts w:asciiTheme="minorHAnsi" w:eastAsiaTheme="minorEastAsia" w:hAnsiTheme="minorHAnsi"/>
          <w:noProof/>
          <w:sz w:val="22"/>
          <w:szCs w:val="22"/>
        </w:rPr>
      </w:pPr>
      <w:hyperlink w:anchor="_Toc364945422" w:history="1">
        <w:r w:rsidR="008A4C37" w:rsidRPr="00141358">
          <w:rPr>
            <w:rStyle w:val="Hyperlink"/>
            <w:rFonts w:ascii="Arial" w:hAnsi="Arial"/>
            <w:noProof/>
            <w:lang w:val="en-AU"/>
          </w:rPr>
          <w:t>Table 18:  Asset Classes and Associated Buildings</w:t>
        </w:r>
        <w:r w:rsidR="008A4C37">
          <w:rPr>
            <w:noProof/>
            <w:webHidden/>
          </w:rPr>
          <w:tab/>
        </w:r>
        <w:r w:rsidR="008A4C37">
          <w:rPr>
            <w:noProof/>
            <w:webHidden/>
          </w:rPr>
          <w:fldChar w:fldCharType="begin"/>
        </w:r>
        <w:r w:rsidR="008A4C37">
          <w:rPr>
            <w:noProof/>
            <w:webHidden/>
          </w:rPr>
          <w:instrText xml:space="preserve"> PAGEREF _Toc364945422 \h </w:instrText>
        </w:r>
        <w:r w:rsidR="008A4C37">
          <w:rPr>
            <w:noProof/>
            <w:webHidden/>
          </w:rPr>
        </w:r>
        <w:r w:rsidR="008A4C37">
          <w:rPr>
            <w:noProof/>
            <w:webHidden/>
          </w:rPr>
          <w:fldChar w:fldCharType="separate"/>
        </w:r>
        <w:r w:rsidR="00557666">
          <w:rPr>
            <w:noProof/>
            <w:webHidden/>
          </w:rPr>
          <w:t>2</w:t>
        </w:r>
        <w:r w:rsidR="008A4C37">
          <w:rPr>
            <w:noProof/>
            <w:webHidden/>
          </w:rPr>
          <w:fldChar w:fldCharType="end"/>
        </w:r>
      </w:hyperlink>
    </w:p>
    <w:p w:rsidR="008A4C37" w:rsidRDefault="00ED394A">
      <w:pPr>
        <w:pStyle w:val="TableofFigures"/>
        <w:rPr>
          <w:rFonts w:asciiTheme="minorHAnsi" w:eastAsiaTheme="minorEastAsia" w:hAnsiTheme="minorHAnsi"/>
          <w:noProof/>
          <w:sz w:val="22"/>
          <w:szCs w:val="22"/>
        </w:rPr>
      </w:pPr>
      <w:hyperlink w:anchor="_Toc364945423" w:history="1">
        <w:r w:rsidR="008A4C37" w:rsidRPr="00141358">
          <w:rPr>
            <w:rStyle w:val="Hyperlink"/>
            <w:rFonts w:ascii="Arial" w:hAnsi="Arial"/>
            <w:noProof/>
            <w:lang w:val="en-AU"/>
          </w:rPr>
          <w:t>Table 19:  Non-Council Owned Assets, Maintained by Council</w:t>
        </w:r>
        <w:r w:rsidR="008A4C37">
          <w:rPr>
            <w:noProof/>
            <w:webHidden/>
          </w:rPr>
          <w:tab/>
        </w:r>
        <w:r w:rsidR="008A4C37">
          <w:rPr>
            <w:noProof/>
            <w:webHidden/>
          </w:rPr>
          <w:fldChar w:fldCharType="begin"/>
        </w:r>
        <w:r w:rsidR="008A4C37">
          <w:rPr>
            <w:noProof/>
            <w:webHidden/>
          </w:rPr>
          <w:instrText xml:space="preserve"> PAGEREF _Toc364945423 \h </w:instrText>
        </w:r>
        <w:r w:rsidR="008A4C37">
          <w:rPr>
            <w:noProof/>
            <w:webHidden/>
          </w:rPr>
        </w:r>
        <w:r w:rsidR="008A4C37">
          <w:rPr>
            <w:noProof/>
            <w:webHidden/>
          </w:rPr>
          <w:fldChar w:fldCharType="separate"/>
        </w:r>
        <w:r w:rsidR="00557666">
          <w:rPr>
            <w:noProof/>
            <w:webHidden/>
          </w:rPr>
          <w:t>2</w:t>
        </w:r>
        <w:r w:rsidR="008A4C37">
          <w:rPr>
            <w:noProof/>
            <w:webHidden/>
          </w:rPr>
          <w:fldChar w:fldCharType="end"/>
        </w:r>
      </w:hyperlink>
    </w:p>
    <w:p w:rsidR="008A4C37" w:rsidRDefault="00ED394A">
      <w:pPr>
        <w:pStyle w:val="TableofFigures"/>
        <w:rPr>
          <w:rFonts w:asciiTheme="minorHAnsi" w:eastAsiaTheme="minorEastAsia" w:hAnsiTheme="minorHAnsi"/>
          <w:noProof/>
          <w:sz w:val="22"/>
          <w:szCs w:val="22"/>
        </w:rPr>
      </w:pPr>
      <w:hyperlink w:anchor="_Toc364945424" w:history="1">
        <w:r w:rsidR="008A4C37" w:rsidRPr="00141358">
          <w:rPr>
            <w:rStyle w:val="Hyperlink"/>
            <w:rFonts w:ascii="Arial" w:hAnsi="Arial"/>
            <w:noProof/>
            <w:lang w:val="en-AU"/>
          </w:rPr>
          <w:t>Table 20:  Services Provided by Council</w:t>
        </w:r>
        <w:r w:rsidR="008A4C37">
          <w:rPr>
            <w:noProof/>
            <w:webHidden/>
          </w:rPr>
          <w:tab/>
        </w:r>
        <w:r w:rsidR="008A4C37">
          <w:rPr>
            <w:noProof/>
            <w:webHidden/>
          </w:rPr>
          <w:fldChar w:fldCharType="begin"/>
        </w:r>
        <w:r w:rsidR="008A4C37">
          <w:rPr>
            <w:noProof/>
            <w:webHidden/>
          </w:rPr>
          <w:instrText xml:space="preserve"> PAGEREF _Toc364945424 \h </w:instrText>
        </w:r>
        <w:r w:rsidR="008A4C37">
          <w:rPr>
            <w:noProof/>
            <w:webHidden/>
          </w:rPr>
        </w:r>
        <w:r w:rsidR="008A4C37">
          <w:rPr>
            <w:noProof/>
            <w:webHidden/>
          </w:rPr>
          <w:fldChar w:fldCharType="separate"/>
        </w:r>
        <w:r w:rsidR="00557666">
          <w:rPr>
            <w:noProof/>
            <w:webHidden/>
          </w:rPr>
          <w:t>2</w:t>
        </w:r>
        <w:r w:rsidR="008A4C37">
          <w:rPr>
            <w:noProof/>
            <w:webHidden/>
          </w:rPr>
          <w:fldChar w:fldCharType="end"/>
        </w:r>
      </w:hyperlink>
    </w:p>
    <w:p w:rsidR="008A4C37" w:rsidRDefault="00ED394A">
      <w:pPr>
        <w:pStyle w:val="TableofFigures"/>
        <w:rPr>
          <w:rFonts w:asciiTheme="minorHAnsi" w:eastAsiaTheme="minorEastAsia" w:hAnsiTheme="minorHAnsi"/>
          <w:noProof/>
          <w:sz w:val="22"/>
          <w:szCs w:val="22"/>
        </w:rPr>
      </w:pPr>
      <w:hyperlink w:anchor="_Toc364945425" w:history="1">
        <w:r w:rsidR="008A4C37" w:rsidRPr="00141358">
          <w:rPr>
            <w:rStyle w:val="Hyperlink"/>
            <w:rFonts w:ascii="Arial" w:hAnsi="Arial"/>
            <w:noProof/>
            <w:lang w:val="en-AU"/>
          </w:rPr>
          <w:t>Table 21:  Basis for Establishing Levels of Service</w:t>
        </w:r>
        <w:r w:rsidR="008A4C37">
          <w:rPr>
            <w:noProof/>
            <w:webHidden/>
          </w:rPr>
          <w:tab/>
        </w:r>
        <w:r w:rsidR="008A4C37">
          <w:rPr>
            <w:noProof/>
            <w:webHidden/>
          </w:rPr>
          <w:fldChar w:fldCharType="begin"/>
        </w:r>
        <w:r w:rsidR="008A4C37">
          <w:rPr>
            <w:noProof/>
            <w:webHidden/>
          </w:rPr>
          <w:instrText xml:space="preserve"> PAGEREF _Toc364945425 \h </w:instrText>
        </w:r>
        <w:r w:rsidR="008A4C37">
          <w:rPr>
            <w:noProof/>
            <w:webHidden/>
          </w:rPr>
        </w:r>
        <w:r w:rsidR="008A4C37">
          <w:rPr>
            <w:noProof/>
            <w:webHidden/>
          </w:rPr>
          <w:fldChar w:fldCharType="separate"/>
        </w:r>
        <w:r w:rsidR="00557666">
          <w:rPr>
            <w:noProof/>
            <w:webHidden/>
          </w:rPr>
          <w:t>2</w:t>
        </w:r>
        <w:r w:rsidR="008A4C37">
          <w:rPr>
            <w:noProof/>
            <w:webHidden/>
          </w:rPr>
          <w:fldChar w:fldCharType="end"/>
        </w:r>
      </w:hyperlink>
    </w:p>
    <w:p w:rsidR="008A4C37" w:rsidRDefault="00ED394A">
      <w:pPr>
        <w:pStyle w:val="TableofFigures"/>
        <w:rPr>
          <w:rFonts w:asciiTheme="minorHAnsi" w:eastAsiaTheme="minorEastAsia" w:hAnsiTheme="minorHAnsi"/>
          <w:noProof/>
          <w:sz w:val="22"/>
          <w:szCs w:val="22"/>
        </w:rPr>
      </w:pPr>
      <w:hyperlink w:anchor="_Toc364945426" w:history="1">
        <w:r w:rsidR="008A4C37" w:rsidRPr="00141358">
          <w:rPr>
            <w:rStyle w:val="Hyperlink"/>
            <w:rFonts w:ascii="Arial" w:hAnsi="Arial"/>
            <w:noProof/>
            <w:lang w:val="en-AU"/>
          </w:rPr>
          <w:t>Table 22:  List of Stakeholders</w:t>
        </w:r>
        <w:r w:rsidR="008A4C37">
          <w:rPr>
            <w:noProof/>
            <w:webHidden/>
          </w:rPr>
          <w:tab/>
        </w:r>
        <w:r w:rsidR="008A4C37">
          <w:rPr>
            <w:noProof/>
            <w:webHidden/>
          </w:rPr>
          <w:fldChar w:fldCharType="begin"/>
        </w:r>
        <w:r w:rsidR="008A4C37">
          <w:rPr>
            <w:noProof/>
            <w:webHidden/>
          </w:rPr>
          <w:instrText xml:space="preserve"> PAGEREF _Toc364945426 \h </w:instrText>
        </w:r>
        <w:r w:rsidR="008A4C37">
          <w:rPr>
            <w:noProof/>
            <w:webHidden/>
          </w:rPr>
        </w:r>
        <w:r w:rsidR="008A4C37">
          <w:rPr>
            <w:noProof/>
            <w:webHidden/>
          </w:rPr>
          <w:fldChar w:fldCharType="separate"/>
        </w:r>
        <w:r w:rsidR="00557666">
          <w:rPr>
            <w:noProof/>
            <w:webHidden/>
          </w:rPr>
          <w:t>2</w:t>
        </w:r>
        <w:r w:rsidR="008A4C37">
          <w:rPr>
            <w:noProof/>
            <w:webHidden/>
          </w:rPr>
          <w:fldChar w:fldCharType="end"/>
        </w:r>
      </w:hyperlink>
    </w:p>
    <w:p w:rsidR="008A4C37" w:rsidRDefault="00ED394A">
      <w:pPr>
        <w:pStyle w:val="TableofFigures"/>
        <w:rPr>
          <w:rFonts w:asciiTheme="minorHAnsi" w:eastAsiaTheme="minorEastAsia" w:hAnsiTheme="minorHAnsi"/>
          <w:noProof/>
          <w:sz w:val="22"/>
          <w:szCs w:val="22"/>
        </w:rPr>
      </w:pPr>
      <w:hyperlink w:anchor="_Toc364945427" w:history="1">
        <w:r w:rsidR="008A4C37" w:rsidRPr="00141358">
          <w:rPr>
            <w:rStyle w:val="Hyperlink"/>
            <w:rFonts w:ascii="Arial" w:hAnsi="Arial"/>
            <w:noProof/>
            <w:lang w:val="en-AU"/>
          </w:rPr>
          <w:t>Table 23:  Stakeholder Expectations</w:t>
        </w:r>
        <w:r w:rsidR="008A4C37">
          <w:rPr>
            <w:noProof/>
            <w:webHidden/>
          </w:rPr>
          <w:tab/>
        </w:r>
        <w:r w:rsidR="008A4C37">
          <w:rPr>
            <w:noProof/>
            <w:webHidden/>
          </w:rPr>
          <w:fldChar w:fldCharType="begin"/>
        </w:r>
        <w:r w:rsidR="008A4C37">
          <w:rPr>
            <w:noProof/>
            <w:webHidden/>
          </w:rPr>
          <w:instrText xml:space="preserve"> PAGEREF _Toc364945427 \h </w:instrText>
        </w:r>
        <w:r w:rsidR="008A4C37">
          <w:rPr>
            <w:noProof/>
            <w:webHidden/>
          </w:rPr>
        </w:r>
        <w:r w:rsidR="008A4C37">
          <w:rPr>
            <w:noProof/>
            <w:webHidden/>
          </w:rPr>
          <w:fldChar w:fldCharType="separate"/>
        </w:r>
        <w:r w:rsidR="00557666">
          <w:rPr>
            <w:noProof/>
            <w:webHidden/>
          </w:rPr>
          <w:t>2</w:t>
        </w:r>
        <w:r w:rsidR="008A4C37">
          <w:rPr>
            <w:noProof/>
            <w:webHidden/>
          </w:rPr>
          <w:fldChar w:fldCharType="end"/>
        </w:r>
      </w:hyperlink>
    </w:p>
    <w:p w:rsidR="008A4C37" w:rsidRDefault="00ED394A">
      <w:pPr>
        <w:pStyle w:val="TableofFigures"/>
        <w:rPr>
          <w:rFonts w:asciiTheme="minorHAnsi" w:eastAsiaTheme="minorEastAsia" w:hAnsiTheme="minorHAnsi"/>
          <w:noProof/>
          <w:sz w:val="22"/>
          <w:szCs w:val="22"/>
        </w:rPr>
      </w:pPr>
      <w:hyperlink w:anchor="_Toc364945428" w:history="1">
        <w:r w:rsidR="008A4C37" w:rsidRPr="00141358">
          <w:rPr>
            <w:rStyle w:val="Hyperlink"/>
            <w:rFonts w:ascii="Arial" w:hAnsi="Arial"/>
            <w:noProof/>
            <w:lang w:val="en-AU"/>
          </w:rPr>
          <w:t>Table 24:  Legislative Requirements</w:t>
        </w:r>
        <w:r w:rsidR="008A4C37">
          <w:rPr>
            <w:noProof/>
            <w:webHidden/>
          </w:rPr>
          <w:tab/>
        </w:r>
        <w:r w:rsidR="008A4C37">
          <w:rPr>
            <w:noProof/>
            <w:webHidden/>
          </w:rPr>
          <w:fldChar w:fldCharType="begin"/>
        </w:r>
        <w:r w:rsidR="008A4C37">
          <w:rPr>
            <w:noProof/>
            <w:webHidden/>
          </w:rPr>
          <w:instrText xml:space="preserve"> PAGEREF _Toc364945428 \h </w:instrText>
        </w:r>
        <w:r w:rsidR="008A4C37">
          <w:rPr>
            <w:noProof/>
            <w:webHidden/>
          </w:rPr>
        </w:r>
        <w:r w:rsidR="008A4C37">
          <w:rPr>
            <w:noProof/>
            <w:webHidden/>
          </w:rPr>
          <w:fldChar w:fldCharType="separate"/>
        </w:r>
        <w:r w:rsidR="00557666">
          <w:rPr>
            <w:noProof/>
            <w:webHidden/>
          </w:rPr>
          <w:t>2</w:t>
        </w:r>
        <w:r w:rsidR="008A4C37">
          <w:rPr>
            <w:noProof/>
            <w:webHidden/>
          </w:rPr>
          <w:fldChar w:fldCharType="end"/>
        </w:r>
      </w:hyperlink>
    </w:p>
    <w:p w:rsidR="008A4C37" w:rsidRDefault="00ED394A">
      <w:pPr>
        <w:pStyle w:val="TableofFigures"/>
        <w:rPr>
          <w:rFonts w:asciiTheme="minorHAnsi" w:eastAsiaTheme="minorEastAsia" w:hAnsiTheme="minorHAnsi"/>
          <w:noProof/>
          <w:sz w:val="22"/>
          <w:szCs w:val="22"/>
        </w:rPr>
      </w:pPr>
      <w:hyperlink w:anchor="_Toc364945429" w:history="1">
        <w:r w:rsidR="008A4C37" w:rsidRPr="00141358">
          <w:rPr>
            <w:rStyle w:val="Hyperlink"/>
            <w:rFonts w:ascii="Arial" w:hAnsi="Arial"/>
            <w:noProof/>
            <w:lang w:val="en-AU"/>
          </w:rPr>
          <w:t>Table 25:  Industry Standards and Guidelines</w:t>
        </w:r>
        <w:r w:rsidR="008A4C37">
          <w:rPr>
            <w:noProof/>
            <w:webHidden/>
          </w:rPr>
          <w:tab/>
        </w:r>
        <w:r w:rsidR="008A4C37">
          <w:rPr>
            <w:noProof/>
            <w:webHidden/>
          </w:rPr>
          <w:fldChar w:fldCharType="begin"/>
        </w:r>
        <w:r w:rsidR="008A4C37">
          <w:rPr>
            <w:noProof/>
            <w:webHidden/>
          </w:rPr>
          <w:instrText xml:space="preserve"> PAGEREF _Toc364945429 \h </w:instrText>
        </w:r>
        <w:r w:rsidR="008A4C37">
          <w:rPr>
            <w:noProof/>
            <w:webHidden/>
          </w:rPr>
        </w:r>
        <w:r w:rsidR="008A4C37">
          <w:rPr>
            <w:noProof/>
            <w:webHidden/>
          </w:rPr>
          <w:fldChar w:fldCharType="separate"/>
        </w:r>
        <w:r w:rsidR="00557666">
          <w:rPr>
            <w:noProof/>
            <w:webHidden/>
          </w:rPr>
          <w:t>2</w:t>
        </w:r>
        <w:r w:rsidR="008A4C37">
          <w:rPr>
            <w:noProof/>
            <w:webHidden/>
          </w:rPr>
          <w:fldChar w:fldCharType="end"/>
        </w:r>
      </w:hyperlink>
    </w:p>
    <w:p w:rsidR="008A4C37" w:rsidRDefault="00ED394A">
      <w:pPr>
        <w:pStyle w:val="TableofFigures"/>
        <w:rPr>
          <w:rFonts w:asciiTheme="minorHAnsi" w:eastAsiaTheme="minorEastAsia" w:hAnsiTheme="minorHAnsi"/>
          <w:noProof/>
          <w:sz w:val="22"/>
          <w:szCs w:val="22"/>
        </w:rPr>
      </w:pPr>
      <w:hyperlink w:anchor="_Toc364945430" w:history="1">
        <w:r w:rsidR="008A4C37" w:rsidRPr="00141358">
          <w:rPr>
            <w:rStyle w:val="Hyperlink"/>
            <w:rFonts w:ascii="Arial" w:hAnsi="Arial"/>
            <w:noProof/>
            <w:lang w:val="en-AU"/>
          </w:rPr>
          <w:t>Table 26:  Link between Strategic Objectives and Building Assets Management Plan</w:t>
        </w:r>
        <w:r w:rsidR="008A4C37">
          <w:rPr>
            <w:noProof/>
            <w:webHidden/>
          </w:rPr>
          <w:tab/>
        </w:r>
        <w:r w:rsidR="008A4C37">
          <w:rPr>
            <w:noProof/>
            <w:webHidden/>
          </w:rPr>
          <w:fldChar w:fldCharType="begin"/>
        </w:r>
        <w:r w:rsidR="008A4C37">
          <w:rPr>
            <w:noProof/>
            <w:webHidden/>
          </w:rPr>
          <w:instrText xml:space="preserve"> PAGEREF _Toc364945430 \h </w:instrText>
        </w:r>
        <w:r w:rsidR="008A4C37">
          <w:rPr>
            <w:noProof/>
            <w:webHidden/>
          </w:rPr>
        </w:r>
        <w:r w:rsidR="008A4C37">
          <w:rPr>
            <w:noProof/>
            <w:webHidden/>
          </w:rPr>
          <w:fldChar w:fldCharType="separate"/>
        </w:r>
        <w:r w:rsidR="00557666">
          <w:rPr>
            <w:noProof/>
            <w:webHidden/>
          </w:rPr>
          <w:t>2</w:t>
        </w:r>
        <w:r w:rsidR="008A4C37">
          <w:rPr>
            <w:noProof/>
            <w:webHidden/>
          </w:rPr>
          <w:fldChar w:fldCharType="end"/>
        </w:r>
      </w:hyperlink>
    </w:p>
    <w:p w:rsidR="008A4C37" w:rsidRDefault="00ED394A">
      <w:pPr>
        <w:pStyle w:val="TableofFigures"/>
        <w:rPr>
          <w:rFonts w:asciiTheme="minorHAnsi" w:eastAsiaTheme="minorEastAsia" w:hAnsiTheme="minorHAnsi"/>
          <w:noProof/>
          <w:sz w:val="22"/>
          <w:szCs w:val="22"/>
        </w:rPr>
      </w:pPr>
      <w:hyperlink w:anchor="_Toc364945431" w:history="1">
        <w:r w:rsidR="008A4C37" w:rsidRPr="00141358">
          <w:rPr>
            <w:rStyle w:val="Hyperlink"/>
            <w:rFonts w:ascii="Arial" w:hAnsi="Arial"/>
            <w:noProof/>
            <w:lang w:val="en-AU"/>
          </w:rPr>
          <w:t>Table 27:  Levels of Service and Performance Measures</w:t>
        </w:r>
        <w:r w:rsidR="008A4C37">
          <w:rPr>
            <w:noProof/>
            <w:webHidden/>
          </w:rPr>
          <w:tab/>
        </w:r>
        <w:r w:rsidR="008A4C37">
          <w:rPr>
            <w:noProof/>
            <w:webHidden/>
          </w:rPr>
          <w:fldChar w:fldCharType="begin"/>
        </w:r>
        <w:r w:rsidR="008A4C37">
          <w:rPr>
            <w:noProof/>
            <w:webHidden/>
          </w:rPr>
          <w:instrText xml:space="preserve"> PAGEREF _Toc364945431 \h </w:instrText>
        </w:r>
        <w:r w:rsidR="008A4C37">
          <w:rPr>
            <w:noProof/>
            <w:webHidden/>
          </w:rPr>
        </w:r>
        <w:r w:rsidR="008A4C37">
          <w:rPr>
            <w:noProof/>
            <w:webHidden/>
          </w:rPr>
          <w:fldChar w:fldCharType="separate"/>
        </w:r>
        <w:r w:rsidR="00557666">
          <w:rPr>
            <w:noProof/>
            <w:webHidden/>
          </w:rPr>
          <w:t>2</w:t>
        </w:r>
        <w:r w:rsidR="008A4C37">
          <w:rPr>
            <w:noProof/>
            <w:webHidden/>
          </w:rPr>
          <w:fldChar w:fldCharType="end"/>
        </w:r>
      </w:hyperlink>
    </w:p>
    <w:p w:rsidR="008A4C37" w:rsidRDefault="00ED394A">
      <w:pPr>
        <w:pStyle w:val="TableofFigures"/>
        <w:rPr>
          <w:rFonts w:asciiTheme="minorHAnsi" w:eastAsiaTheme="minorEastAsia" w:hAnsiTheme="minorHAnsi"/>
          <w:noProof/>
          <w:sz w:val="22"/>
          <w:szCs w:val="22"/>
        </w:rPr>
      </w:pPr>
      <w:hyperlink w:anchor="_Toc364945432" w:history="1">
        <w:r w:rsidR="008A4C37" w:rsidRPr="00141358">
          <w:rPr>
            <w:rStyle w:val="Hyperlink"/>
            <w:rFonts w:ascii="Arial" w:hAnsi="Arial"/>
            <w:noProof/>
            <w:lang w:val="en-AU"/>
          </w:rPr>
          <w:t>Table 28:  Service/Asset Classes</w:t>
        </w:r>
        <w:r w:rsidR="008A4C37">
          <w:rPr>
            <w:noProof/>
            <w:webHidden/>
          </w:rPr>
          <w:tab/>
        </w:r>
        <w:r w:rsidR="008A4C37">
          <w:rPr>
            <w:noProof/>
            <w:webHidden/>
          </w:rPr>
          <w:fldChar w:fldCharType="begin"/>
        </w:r>
        <w:r w:rsidR="008A4C37">
          <w:rPr>
            <w:noProof/>
            <w:webHidden/>
          </w:rPr>
          <w:instrText xml:space="preserve"> PAGEREF _Toc364945432 \h </w:instrText>
        </w:r>
        <w:r w:rsidR="008A4C37">
          <w:rPr>
            <w:noProof/>
            <w:webHidden/>
          </w:rPr>
        </w:r>
        <w:r w:rsidR="008A4C37">
          <w:rPr>
            <w:noProof/>
            <w:webHidden/>
          </w:rPr>
          <w:fldChar w:fldCharType="separate"/>
        </w:r>
        <w:r w:rsidR="00557666">
          <w:rPr>
            <w:noProof/>
            <w:webHidden/>
          </w:rPr>
          <w:t>2</w:t>
        </w:r>
        <w:r w:rsidR="008A4C37">
          <w:rPr>
            <w:noProof/>
            <w:webHidden/>
          </w:rPr>
          <w:fldChar w:fldCharType="end"/>
        </w:r>
      </w:hyperlink>
    </w:p>
    <w:p w:rsidR="008A4C37" w:rsidRDefault="00ED394A">
      <w:pPr>
        <w:pStyle w:val="TableofFigures"/>
        <w:rPr>
          <w:rFonts w:asciiTheme="minorHAnsi" w:eastAsiaTheme="minorEastAsia" w:hAnsiTheme="minorHAnsi"/>
          <w:noProof/>
          <w:sz w:val="22"/>
          <w:szCs w:val="22"/>
        </w:rPr>
      </w:pPr>
      <w:hyperlink w:anchor="_Toc364945433" w:history="1">
        <w:r w:rsidR="008A4C37" w:rsidRPr="00141358">
          <w:rPr>
            <w:rStyle w:val="Hyperlink"/>
            <w:rFonts w:ascii="Arial" w:hAnsi="Arial"/>
            <w:noProof/>
            <w:lang w:val="en-AU"/>
          </w:rPr>
          <w:t>Table 29:  Buildings Primary Use and Replacement Value</w:t>
        </w:r>
        <w:r w:rsidR="008A4C37">
          <w:rPr>
            <w:noProof/>
            <w:webHidden/>
          </w:rPr>
          <w:tab/>
        </w:r>
        <w:r w:rsidR="008A4C37">
          <w:rPr>
            <w:noProof/>
            <w:webHidden/>
          </w:rPr>
          <w:fldChar w:fldCharType="begin"/>
        </w:r>
        <w:r w:rsidR="008A4C37">
          <w:rPr>
            <w:noProof/>
            <w:webHidden/>
          </w:rPr>
          <w:instrText xml:space="preserve"> PAGEREF _Toc364945433 \h </w:instrText>
        </w:r>
        <w:r w:rsidR="008A4C37">
          <w:rPr>
            <w:noProof/>
            <w:webHidden/>
          </w:rPr>
        </w:r>
        <w:r w:rsidR="008A4C37">
          <w:rPr>
            <w:noProof/>
            <w:webHidden/>
          </w:rPr>
          <w:fldChar w:fldCharType="separate"/>
        </w:r>
        <w:r w:rsidR="00557666">
          <w:rPr>
            <w:noProof/>
            <w:webHidden/>
          </w:rPr>
          <w:t>2</w:t>
        </w:r>
        <w:r w:rsidR="008A4C37">
          <w:rPr>
            <w:noProof/>
            <w:webHidden/>
          </w:rPr>
          <w:fldChar w:fldCharType="end"/>
        </w:r>
      </w:hyperlink>
    </w:p>
    <w:p w:rsidR="008A4C37" w:rsidRDefault="00ED394A">
      <w:pPr>
        <w:pStyle w:val="TableofFigures"/>
        <w:rPr>
          <w:rFonts w:asciiTheme="minorHAnsi" w:eastAsiaTheme="minorEastAsia" w:hAnsiTheme="minorHAnsi"/>
          <w:noProof/>
          <w:sz w:val="22"/>
          <w:szCs w:val="22"/>
        </w:rPr>
      </w:pPr>
      <w:hyperlink w:anchor="_Toc364945434" w:history="1">
        <w:r w:rsidR="008A4C37" w:rsidRPr="00141358">
          <w:rPr>
            <w:rStyle w:val="Hyperlink"/>
            <w:rFonts w:ascii="Arial" w:hAnsi="Arial"/>
            <w:noProof/>
            <w:lang w:val="en-AU"/>
          </w:rPr>
          <w:t>Table 30:  Building Significance Hierarchy</w:t>
        </w:r>
        <w:r w:rsidR="008A4C37">
          <w:rPr>
            <w:noProof/>
            <w:webHidden/>
          </w:rPr>
          <w:tab/>
        </w:r>
        <w:r w:rsidR="008A4C37">
          <w:rPr>
            <w:noProof/>
            <w:webHidden/>
          </w:rPr>
          <w:fldChar w:fldCharType="begin"/>
        </w:r>
        <w:r w:rsidR="008A4C37">
          <w:rPr>
            <w:noProof/>
            <w:webHidden/>
          </w:rPr>
          <w:instrText xml:space="preserve"> PAGEREF _Toc364945434 \h </w:instrText>
        </w:r>
        <w:r w:rsidR="008A4C37">
          <w:rPr>
            <w:noProof/>
            <w:webHidden/>
          </w:rPr>
        </w:r>
        <w:r w:rsidR="008A4C37">
          <w:rPr>
            <w:noProof/>
            <w:webHidden/>
          </w:rPr>
          <w:fldChar w:fldCharType="separate"/>
        </w:r>
        <w:r w:rsidR="00557666">
          <w:rPr>
            <w:noProof/>
            <w:webHidden/>
          </w:rPr>
          <w:t>2</w:t>
        </w:r>
        <w:r w:rsidR="008A4C37">
          <w:rPr>
            <w:noProof/>
            <w:webHidden/>
          </w:rPr>
          <w:fldChar w:fldCharType="end"/>
        </w:r>
      </w:hyperlink>
    </w:p>
    <w:p w:rsidR="008A4C37" w:rsidRDefault="00ED394A">
      <w:pPr>
        <w:pStyle w:val="TableofFigures"/>
        <w:rPr>
          <w:rFonts w:asciiTheme="minorHAnsi" w:eastAsiaTheme="minorEastAsia" w:hAnsiTheme="minorHAnsi"/>
          <w:noProof/>
          <w:sz w:val="22"/>
          <w:szCs w:val="22"/>
        </w:rPr>
      </w:pPr>
      <w:hyperlink w:anchor="_Toc364945435" w:history="1">
        <w:r w:rsidR="008A4C37" w:rsidRPr="00141358">
          <w:rPr>
            <w:rStyle w:val="Hyperlink"/>
            <w:rFonts w:ascii="Arial" w:hAnsi="Arial"/>
            <w:noProof/>
            <w:lang w:val="en-AU"/>
          </w:rPr>
          <w:t>Table 31:  Heritage Listed Buildings</w:t>
        </w:r>
        <w:r w:rsidR="008A4C37">
          <w:rPr>
            <w:noProof/>
            <w:webHidden/>
          </w:rPr>
          <w:tab/>
        </w:r>
        <w:r w:rsidR="008A4C37">
          <w:rPr>
            <w:noProof/>
            <w:webHidden/>
          </w:rPr>
          <w:fldChar w:fldCharType="begin"/>
        </w:r>
        <w:r w:rsidR="008A4C37">
          <w:rPr>
            <w:noProof/>
            <w:webHidden/>
          </w:rPr>
          <w:instrText xml:space="preserve"> PAGEREF _Toc364945435 \h </w:instrText>
        </w:r>
        <w:r w:rsidR="008A4C37">
          <w:rPr>
            <w:noProof/>
            <w:webHidden/>
          </w:rPr>
        </w:r>
        <w:r w:rsidR="008A4C37">
          <w:rPr>
            <w:noProof/>
            <w:webHidden/>
          </w:rPr>
          <w:fldChar w:fldCharType="separate"/>
        </w:r>
        <w:r w:rsidR="00557666">
          <w:rPr>
            <w:noProof/>
            <w:webHidden/>
          </w:rPr>
          <w:t>2</w:t>
        </w:r>
        <w:r w:rsidR="008A4C37">
          <w:rPr>
            <w:noProof/>
            <w:webHidden/>
          </w:rPr>
          <w:fldChar w:fldCharType="end"/>
        </w:r>
      </w:hyperlink>
    </w:p>
    <w:p w:rsidR="008A4C37" w:rsidRDefault="00ED394A">
      <w:pPr>
        <w:pStyle w:val="TableofFigures"/>
        <w:rPr>
          <w:rFonts w:asciiTheme="minorHAnsi" w:eastAsiaTheme="minorEastAsia" w:hAnsiTheme="minorHAnsi"/>
          <w:noProof/>
          <w:sz w:val="22"/>
          <w:szCs w:val="22"/>
        </w:rPr>
      </w:pPr>
      <w:hyperlink w:anchor="_Toc364945436" w:history="1">
        <w:r w:rsidR="008A4C37" w:rsidRPr="00141358">
          <w:rPr>
            <w:rStyle w:val="Hyperlink"/>
            <w:rFonts w:ascii="Arial" w:hAnsi="Arial"/>
            <w:noProof/>
            <w:lang w:val="en-AU"/>
          </w:rPr>
          <w:t>Table 32:  Fitness for Purpose Criteria</w:t>
        </w:r>
        <w:r w:rsidR="008A4C37">
          <w:rPr>
            <w:noProof/>
            <w:webHidden/>
          </w:rPr>
          <w:tab/>
        </w:r>
        <w:r w:rsidR="008A4C37">
          <w:rPr>
            <w:noProof/>
            <w:webHidden/>
          </w:rPr>
          <w:fldChar w:fldCharType="begin"/>
        </w:r>
        <w:r w:rsidR="008A4C37">
          <w:rPr>
            <w:noProof/>
            <w:webHidden/>
          </w:rPr>
          <w:instrText xml:space="preserve"> PAGEREF _Toc364945436 \h </w:instrText>
        </w:r>
        <w:r w:rsidR="008A4C37">
          <w:rPr>
            <w:noProof/>
            <w:webHidden/>
          </w:rPr>
        </w:r>
        <w:r w:rsidR="008A4C37">
          <w:rPr>
            <w:noProof/>
            <w:webHidden/>
          </w:rPr>
          <w:fldChar w:fldCharType="separate"/>
        </w:r>
        <w:r w:rsidR="00557666">
          <w:rPr>
            <w:noProof/>
            <w:webHidden/>
          </w:rPr>
          <w:t>2</w:t>
        </w:r>
        <w:r w:rsidR="008A4C37">
          <w:rPr>
            <w:noProof/>
            <w:webHidden/>
          </w:rPr>
          <w:fldChar w:fldCharType="end"/>
        </w:r>
      </w:hyperlink>
    </w:p>
    <w:p w:rsidR="008A4C37" w:rsidRDefault="00ED394A">
      <w:pPr>
        <w:pStyle w:val="TableofFigures"/>
        <w:rPr>
          <w:rFonts w:asciiTheme="minorHAnsi" w:eastAsiaTheme="minorEastAsia" w:hAnsiTheme="minorHAnsi"/>
          <w:noProof/>
          <w:sz w:val="22"/>
          <w:szCs w:val="22"/>
        </w:rPr>
      </w:pPr>
      <w:hyperlink w:anchor="_Toc364945437" w:history="1">
        <w:r w:rsidR="008A4C37" w:rsidRPr="00141358">
          <w:rPr>
            <w:rStyle w:val="Hyperlink"/>
            <w:rFonts w:ascii="Arial" w:hAnsi="Arial"/>
            <w:noProof/>
            <w:lang w:val="en-AU"/>
          </w:rPr>
          <w:t>Table 33:  Generalised Generic Description of Asset Condition</w:t>
        </w:r>
        <w:r w:rsidR="008A4C37">
          <w:rPr>
            <w:noProof/>
            <w:webHidden/>
          </w:rPr>
          <w:tab/>
        </w:r>
        <w:r w:rsidR="008A4C37">
          <w:rPr>
            <w:noProof/>
            <w:webHidden/>
          </w:rPr>
          <w:fldChar w:fldCharType="begin"/>
        </w:r>
        <w:r w:rsidR="008A4C37">
          <w:rPr>
            <w:noProof/>
            <w:webHidden/>
          </w:rPr>
          <w:instrText xml:space="preserve"> PAGEREF _Toc364945437 \h </w:instrText>
        </w:r>
        <w:r w:rsidR="008A4C37">
          <w:rPr>
            <w:noProof/>
            <w:webHidden/>
          </w:rPr>
        </w:r>
        <w:r w:rsidR="008A4C37">
          <w:rPr>
            <w:noProof/>
            <w:webHidden/>
          </w:rPr>
          <w:fldChar w:fldCharType="separate"/>
        </w:r>
        <w:r w:rsidR="00557666">
          <w:rPr>
            <w:noProof/>
            <w:webHidden/>
          </w:rPr>
          <w:t>2</w:t>
        </w:r>
        <w:r w:rsidR="008A4C37">
          <w:rPr>
            <w:noProof/>
            <w:webHidden/>
          </w:rPr>
          <w:fldChar w:fldCharType="end"/>
        </w:r>
      </w:hyperlink>
    </w:p>
    <w:p w:rsidR="008A4C37" w:rsidRDefault="00ED394A">
      <w:pPr>
        <w:pStyle w:val="TableofFigures"/>
        <w:rPr>
          <w:rFonts w:asciiTheme="minorHAnsi" w:eastAsiaTheme="minorEastAsia" w:hAnsiTheme="minorHAnsi"/>
          <w:noProof/>
          <w:sz w:val="22"/>
          <w:szCs w:val="22"/>
        </w:rPr>
      </w:pPr>
      <w:hyperlink w:anchor="_Toc364945438" w:history="1">
        <w:r w:rsidR="008A4C37" w:rsidRPr="00141358">
          <w:rPr>
            <w:rStyle w:val="Hyperlink"/>
            <w:rFonts w:ascii="Arial" w:hAnsi="Arial"/>
            <w:noProof/>
            <w:lang w:val="en-AU"/>
          </w:rPr>
          <w:t>Table 34:  Buildings with Low Condition Rating</w:t>
        </w:r>
        <w:r w:rsidR="008A4C37">
          <w:rPr>
            <w:noProof/>
            <w:webHidden/>
          </w:rPr>
          <w:tab/>
        </w:r>
        <w:r w:rsidR="008A4C37">
          <w:rPr>
            <w:noProof/>
            <w:webHidden/>
          </w:rPr>
          <w:fldChar w:fldCharType="begin"/>
        </w:r>
        <w:r w:rsidR="008A4C37">
          <w:rPr>
            <w:noProof/>
            <w:webHidden/>
          </w:rPr>
          <w:instrText xml:space="preserve"> PAGEREF _Toc364945438 \h </w:instrText>
        </w:r>
        <w:r w:rsidR="008A4C37">
          <w:rPr>
            <w:noProof/>
            <w:webHidden/>
          </w:rPr>
        </w:r>
        <w:r w:rsidR="008A4C37">
          <w:rPr>
            <w:noProof/>
            <w:webHidden/>
          </w:rPr>
          <w:fldChar w:fldCharType="separate"/>
        </w:r>
        <w:r w:rsidR="00557666">
          <w:rPr>
            <w:noProof/>
            <w:webHidden/>
          </w:rPr>
          <w:t>2</w:t>
        </w:r>
        <w:r w:rsidR="008A4C37">
          <w:rPr>
            <w:noProof/>
            <w:webHidden/>
          </w:rPr>
          <w:fldChar w:fldCharType="end"/>
        </w:r>
      </w:hyperlink>
    </w:p>
    <w:p w:rsidR="008A4C37" w:rsidRDefault="00ED394A">
      <w:pPr>
        <w:pStyle w:val="TableofFigures"/>
        <w:rPr>
          <w:rFonts w:asciiTheme="minorHAnsi" w:eastAsiaTheme="minorEastAsia" w:hAnsiTheme="minorHAnsi"/>
          <w:noProof/>
          <w:sz w:val="22"/>
          <w:szCs w:val="22"/>
        </w:rPr>
      </w:pPr>
      <w:hyperlink w:anchor="_Toc364945439" w:history="1">
        <w:r w:rsidR="008A4C37" w:rsidRPr="00141358">
          <w:rPr>
            <w:rStyle w:val="Hyperlink"/>
            <w:rFonts w:ascii="Arial" w:hAnsi="Arial"/>
            <w:noProof/>
            <w:lang w:val="en-AU"/>
          </w:rPr>
          <w:t>Table 35:  Buildings with Low Fitness for Purpose Ratings</w:t>
        </w:r>
        <w:r w:rsidR="008A4C37">
          <w:rPr>
            <w:noProof/>
            <w:webHidden/>
          </w:rPr>
          <w:tab/>
        </w:r>
        <w:r w:rsidR="008A4C37">
          <w:rPr>
            <w:noProof/>
            <w:webHidden/>
          </w:rPr>
          <w:fldChar w:fldCharType="begin"/>
        </w:r>
        <w:r w:rsidR="008A4C37">
          <w:rPr>
            <w:noProof/>
            <w:webHidden/>
          </w:rPr>
          <w:instrText xml:space="preserve"> PAGEREF _Toc364945439 \h </w:instrText>
        </w:r>
        <w:r w:rsidR="008A4C37">
          <w:rPr>
            <w:noProof/>
            <w:webHidden/>
          </w:rPr>
        </w:r>
        <w:r w:rsidR="008A4C37">
          <w:rPr>
            <w:noProof/>
            <w:webHidden/>
          </w:rPr>
          <w:fldChar w:fldCharType="separate"/>
        </w:r>
        <w:r w:rsidR="00557666">
          <w:rPr>
            <w:noProof/>
            <w:webHidden/>
          </w:rPr>
          <w:t>2</w:t>
        </w:r>
        <w:r w:rsidR="008A4C37">
          <w:rPr>
            <w:noProof/>
            <w:webHidden/>
          </w:rPr>
          <w:fldChar w:fldCharType="end"/>
        </w:r>
      </w:hyperlink>
    </w:p>
    <w:p w:rsidR="008A4C37" w:rsidRDefault="00ED394A">
      <w:pPr>
        <w:pStyle w:val="TableofFigures"/>
        <w:rPr>
          <w:rFonts w:asciiTheme="minorHAnsi" w:eastAsiaTheme="minorEastAsia" w:hAnsiTheme="minorHAnsi"/>
          <w:noProof/>
          <w:sz w:val="22"/>
          <w:szCs w:val="22"/>
        </w:rPr>
      </w:pPr>
      <w:hyperlink w:anchor="_Toc364945440" w:history="1">
        <w:r w:rsidR="008A4C37" w:rsidRPr="00141358">
          <w:rPr>
            <w:rStyle w:val="Hyperlink"/>
            <w:rFonts w:ascii="Arial" w:hAnsi="Arial"/>
            <w:noProof/>
            <w:lang w:val="en-AU"/>
          </w:rPr>
          <w:t>Table 36:  Historical Operations Expenditure</w:t>
        </w:r>
        <w:r w:rsidR="008A4C37">
          <w:rPr>
            <w:noProof/>
            <w:webHidden/>
          </w:rPr>
          <w:tab/>
        </w:r>
        <w:r w:rsidR="008A4C37">
          <w:rPr>
            <w:noProof/>
            <w:webHidden/>
          </w:rPr>
          <w:fldChar w:fldCharType="begin"/>
        </w:r>
        <w:r w:rsidR="008A4C37">
          <w:rPr>
            <w:noProof/>
            <w:webHidden/>
          </w:rPr>
          <w:instrText xml:space="preserve"> PAGEREF _Toc364945440 \h </w:instrText>
        </w:r>
        <w:r w:rsidR="008A4C37">
          <w:rPr>
            <w:noProof/>
            <w:webHidden/>
          </w:rPr>
        </w:r>
        <w:r w:rsidR="008A4C37">
          <w:rPr>
            <w:noProof/>
            <w:webHidden/>
          </w:rPr>
          <w:fldChar w:fldCharType="separate"/>
        </w:r>
        <w:r w:rsidR="00557666">
          <w:rPr>
            <w:noProof/>
            <w:webHidden/>
          </w:rPr>
          <w:t>2</w:t>
        </w:r>
        <w:r w:rsidR="008A4C37">
          <w:rPr>
            <w:noProof/>
            <w:webHidden/>
          </w:rPr>
          <w:fldChar w:fldCharType="end"/>
        </w:r>
      </w:hyperlink>
    </w:p>
    <w:p w:rsidR="008A4C37" w:rsidRDefault="00ED394A">
      <w:pPr>
        <w:pStyle w:val="TableofFigures"/>
        <w:rPr>
          <w:rFonts w:asciiTheme="minorHAnsi" w:eastAsiaTheme="minorEastAsia" w:hAnsiTheme="minorHAnsi"/>
          <w:noProof/>
          <w:sz w:val="22"/>
          <w:szCs w:val="22"/>
        </w:rPr>
      </w:pPr>
      <w:hyperlink w:anchor="_Toc364945441" w:history="1">
        <w:r w:rsidR="008A4C37" w:rsidRPr="00141358">
          <w:rPr>
            <w:rStyle w:val="Hyperlink"/>
            <w:rFonts w:ascii="Arial" w:hAnsi="Arial"/>
            <w:noProof/>
            <w:lang w:val="en-AU"/>
          </w:rPr>
          <w:t>Table 37:  Maintenance Activities</w:t>
        </w:r>
        <w:r w:rsidR="008A4C37">
          <w:rPr>
            <w:noProof/>
            <w:webHidden/>
          </w:rPr>
          <w:tab/>
        </w:r>
        <w:r w:rsidR="008A4C37">
          <w:rPr>
            <w:noProof/>
            <w:webHidden/>
          </w:rPr>
          <w:fldChar w:fldCharType="begin"/>
        </w:r>
        <w:r w:rsidR="008A4C37">
          <w:rPr>
            <w:noProof/>
            <w:webHidden/>
          </w:rPr>
          <w:instrText xml:space="preserve"> PAGEREF _Toc364945441 \h </w:instrText>
        </w:r>
        <w:r w:rsidR="008A4C37">
          <w:rPr>
            <w:noProof/>
            <w:webHidden/>
          </w:rPr>
        </w:r>
        <w:r w:rsidR="008A4C37">
          <w:rPr>
            <w:noProof/>
            <w:webHidden/>
          </w:rPr>
          <w:fldChar w:fldCharType="separate"/>
        </w:r>
        <w:r w:rsidR="00557666">
          <w:rPr>
            <w:noProof/>
            <w:webHidden/>
          </w:rPr>
          <w:t>2</w:t>
        </w:r>
        <w:r w:rsidR="008A4C37">
          <w:rPr>
            <w:noProof/>
            <w:webHidden/>
          </w:rPr>
          <w:fldChar w:fldCharType="end"/>
        </w:r>
      </w:hyperlink>
    </w:p>
    <w:p w:rsidR="008A4C37" w:rsidRDefault="00ED394A">
      <w:pPr>
        <w:pStyle w:val="TableofFigures"/>
        <w:rPr>
          <w:rFonts w:asciiTheme="minorHAnsi" w:eastAsiaTheme="minorEastAsia" w:hAnsiTheme="minorHAnsi"/>
          <w:noProof/>
          <w:sz w:val="22"/>
          <w:szCs w:val="22"/>
        </w:rPr>
      </w:pPr>
      <w:hyperlink w:anchor="_Toc364945442" w:history="1">
        <w:r w:rsidR="008A4C37" w:rsidRPr="00141358">
          <w:rPr>
            <w:rStyle w:val="Hyperlink"/>
            <w:rFonts w:ascii="Arial" w:hAnsi="Arial"/>
            <w:noProof/>
            <w:lang w:val="en-AU"/>
          </w:rPr>
          <w:t>Table 38: Historical Maintenance Expenditure</w:t>
        </w:r>
        <w:r w:rsidR="008A4C37">
          <w:rPr>
            <w:noProof/>
            <w:webHidden/>
          </w:rPr>
          <w:tab/>
        </w:r>
        <w:r w:rsidR="008A4C37">
          <w:rPr>
            <w:noProof/>
            <w:webHidden/>
          </w:rPr>
          <w:fldChar w:fldCharType="begin"/>
        </w:r>
        <w:r w:rsidR="008A4C37">
          <w:rPr>
            <w:noProof/>
            <w:webHidden/>
          </w:rPr>
          <w:instrText xml:space="preserve"> PAGEREF _Toc364945442 \h </w:instrText>
        </w:r>
        <w:r w:rsidR="008A4C37">
          <w:rPr>
            <w:noProof/>
            <w:webHidden/>
          </w:rPr>
        </w:r>
        <w:r w:rsidR="008A4C37">
          <w:rPr>
            <w:noProof/>
            <w:webHidden/>
          </w:rPr>
          <w:fldChar w:fldCharType="separate"/>
        </w:r>
        <w:r w:rsidR="00557666">
          <w:rPr>
            <w:noProof/>
            <w:webHidden/>
          </w:rPr>
          <w:t>2</w:t>
        </w:r>
        <w:r w:rsidR="008A4C37">
          <w:rPr>
            <w:noProof/>
            <w:webHidden/>
          </w:rPr>
          <w:fldChar w:fldCharType="end"/>
        </w:r>
      </w:hyperlink>
    </w:p>
    <w:p w:rsidR="008A4C37" w:rsidRDefault="00ED394A">
      <w:pPr>
        <w:pStyle w:val="TableofFigures"/>
        <w:rPr>
          <w:rFonts w:asciiTheme="minorHAnsi" w:eastAsiaTheme="minorEastAsia" w:hAnsiTheme="minorHAnsi"/>
          <w:noProof/>
          <w:sz w:val="22"/>
          <w:szCs w:val="22"/>
        </w:rPr>
      </w:pPr>
      <w:hyperlink w:anchor="_Toc364945443" w:history="1">
        <w:r w:rsidR="008A4C37" w:rsidRPr="00141358">
          <w:rPr>
            <w:rStyle w:val="Hyperlink"/>
            <w:rFonts w:ascii="Arial" w:hAnsi="Arial"/>
            <w:noProof/>
            <w:lang w:val="en-AU"/>
          </w:rPr>
          <w:t>Table 39:  Response Time Regime</w:t>
        </w:r>
        <w:r w:rsidR="008A4C37">
          <w:rPr>
            <w:noProof/>
            <w:webHidden/>
          </w:rPr>
          <w:tab/>
        </w:r>
        <w:r w:rsidR="008A4C37">
          <w:rPr>
            <w:noProof/>
            <w:webHidden/>
          </w:rPr>
          <w:fldChar w:fldCharType="begin"/>
        </w:r>
        <w:r w:rsidR="008A4C37">
          <w:rPr>
            <w:noProof/>
            <w:webHidden/>
          </w:rPr>
          <w:instrText xml:space="preserve"> PAGEREF _Toc364945443 \h </w:instrText>
        </w:r>
        <w:r w:rsidR="008A4C37">
          <w:rPr>
            <w:noProof/>
            <w:webHidden/>
          </w:rPr>
        </w:r>
        <w:r w:rsidR="008A4C37">
          <w:rPr>
            <w:noProof/>
            <w:webHidden/>
          </w:rPr>
          <w:fldChar w:fldCharType="separate"/>
        </w:r>
        <w:r w:rsidR="00557666">
          <w:rPr>
            <w:noProof/>
            <w:webHidden/>
          </w:rPr>
          <w:t>2</w:t>
        </w:r>
        <w:r w:rsidR="008A4C37">
          <w:rPr>
            <w:noProof/>
            <w:webHidden/>
          </w:rPr>
          <w:fldChar w:fldCharType="end"/>
        </w:r>
      </w:hyperlink>
    </w:p>
    <w:p w:rsidR="008A4C37" w:rsidRDefault="00ED394A">
      <w:pPr>
        <w:pStyle w:val="TableofFigures"/>
        <w:rPr>
          <w:rFonts w:asciiTheme="minorHAnsi" w:eastAsiaTheme="minorEastAsia" w:hAnsiTheme="minorHAnsi"/>
          <w:noProof/>
          <w:sz w:val="22"/>
          <w:szCs w:val="22"/>
        </w:rPr>
      </w:pPr>
      <w:hyperlink w:anchor="_Toc364945444" w:history="1">
        <w:r w:rsidR="008A4C37" w:rsidRPr="00141358">
          <w:rPr>
            <w:rStyle w:val="Hyperlink"/>
            <w:rFonts w:ascii="Arial" w:hAnsi="Arial"/>
            <w:noProof/>
            <w:lang w:val="en-AU"/>
          </w:rPr>
          <w:t>Table 40:  Maintenance Strategy Priorities</w:t>
        </w:r>
        <w:r w:rsidR="008A4C37">
          <w:rPr>
            <w:noProof/>
            <w:webHidden/>
          </w:rPr>
          <w:tab/>
        </w:r>
        <w:r w:rsidR="008A4C37">
          <w:rPr>
            <w:noProof/>
            <w:webHidden/>
          </w:rPr>
          <w:fldChar w:fldCharType="begin"/>
        </w:r>
        <w:r w:rsidR="008A4C37">
          <w:rPr>
            <w:noProof/>
            <w:webHidden/>
          </w:rPr>
          <w:instrText xml:space="preserve"> PAGEREF _Toc364945444 \h </w:instrText>
        </w:r>
        <w:r w:rsidR="008A4C37">
          <w:rPr>
            <w:noProof/>
            <w:webHidden/>
          </w:rPr>
        </w:r>
        <w:r w:rsidR="008A4C37">
          <w:rPr>
            <w:noProof/>
            <w:webHidden/>
          </w:rPr>
          <w:fldChar w:fldCharType="separate"/>
        </w:r>
        <w:r w:rsidR="00557666">
          <w:rPr>
            <w:noProof/>
            <w:webHidden/>
          </w:rPr>
          <w:t>2</w:t>
        </w:r>
        <w:r w:rsidR="008A4C37">
          <w:rPr>
            <w:noProof/>
            <w:webHidden/>
          </w:rPr>
          <w:fldChar w:fldCharType="end"/>
        </w:r>
      </w:hyperlink>
    </w:p>
    <w:p w:rsidR="008A4C37" w:rsidRDefault="00ED394A">
      <w:pPr>
        <w:pStyle w:val="TableofFigures"/>
        <w:rPr>
          <w:rFonts w:asciiTheme="minorHAnsi" w:eastAsiaTheme="minorEastAsia" w:hAnsiTheme="minorHAnsi"/>
          <w:noProof/>
          <w:sz w:val="22"/>
          <w:szCs w:val="22"/>
        </w:rPr>
      </w:pPr>
      <w:hyperlink w:anchor="_Toc364945445" w:history="1">
        <w:r w:rsidR="008A4C37" w:rsidRPr="00141358">
          <w:rPr>
            <w:rStyle w:val="Hyperlink"/>
            <w:rFonts w:ascii="Arial" w:hAnsi="Arial"/>
            <w:noProof/>
            <w:lang w:val="en-AU"/>
          </w:rPr>
          <w:t>Table 41:  Current Contracted Services</w:t>
        </w:r>
        <w:r w:rsidR="008A4C37">
          <w:rPr>
            <w:noProof/>
            <w:webHidden/>
          </w:rPr>
          <w:tab/>
        </w:r>
        <w:r w:rsidR="008A4C37">
          <w:rPr>
            <w:noProof/>
            <w:webHidden/>
          </w:rPr>
          <w:fldChar w:fldCharType="begin"/>
        </w:r>
        <w:r w:rsidR="008A4C37">
          <w:rPr>
            <w:noProof/>
            <w:webHidden/>
          </w:rPr>
          <w:instrText xml:space="preserve"> PAGEREF _Toc364945445 \h </w:instrText>
        </w:r>
        <w:r w:rsidR="008A4C37">
          <w:rPr>
            <w:noProof/>
            <w:webHidden/>
          </w:rPr>
        </w:r>
        <w:r w:rsidR="008A4C37">
          <w:rPr>
            <w:noProof/>
            <w:webHidden/>
          </w:rPr>
          <w:fldChar w:fldCharType="separate"/>
        </w:r>
        <w:r w:rsidR="00557666">
          <w:rPr>
            <w:noProof/>
            <w:webHidden/>
          </w:rPr>
          <w:t>2</w:t>
        </w:r>
        <w:r w:rsidR="008A4C37">
          <w:rPr>
            <w:noProof/>
            <w:webHidden/>
          </w:rPr>
          <w:fldChar w:fldCharType="end"/>
        </w:r>
      </w:hyperlink>
    </w:p>
    <w:p w:rsidR="008A4C37" w:rsidRDefault="00ED394A">
      <w:pPr>
        <w:pStyle w:val="TableofFigures"/>
        <w:rPr>
          <w:rFonts w:asciiTheme="minorHAnsi" w:eastAsiaTheme="minorEastAsia" w:hAnsiTheme="minorHAnsi"/>
          <w:noProof/>
          <w:sz w:val="22"/>
          <w:szCs w:val="22"/>
        </w:rPr>
      </w:pPr>
      <w:hyperlink w:anchor="_Toc364945446" w:history="1">
        <w:r w:rsidR="008A4C37" w:rsidRPr="00141358">
          <w:rPr>
            <w:rStyle w:val="Hyperlink"/>
            <w:rFonts w:ascii="Arial" w:hAnsi="Arial"/>
            <w:noProof/>
            <w:lang w:val="en-AU"/>
          </w:rPr>
          <w:t>Table 42:  Facility Audit/Condition Assessment Frequency</w:t>
        </w:r>
        <w:r w:rsidR="008A4C37">
          <w:rPr>
            <w:noProof/>
            <w:webHidden/>
          </w:rPr>
          <w:tab/>
        </w:r>
        <w:r w:rsidR="008A4C37">
          <w:rPr>
            <w:noProof/>
            <w:webHidden/>
          </w:rPr>
          <w:fldChar w:fldCharType="begin"/>
        </w:r>
        <w:r w:rsidR="008A4C37">
          <w:rPr>
            <w:noProof/>
            <w:webHidden/>
          </w:rPr>
          <w:instrText xml:space="preserve"> PAGEREF _Toc364945446 \h </w:instrText>
        </w:r>
        <w:r w:rsidR="008A4C37">
          <w:rPr>
            <w:noProof/>
            <w:webHidden/>
          </w:rPr>
        </w:r>
        <w:r w:rsidR="008A4C37">
          <w:rPr>
            <w:noProof/>
            <w:webHidden/>
          </w:rPr>
          <w:fldChar w:fldCharType="separate"/>
        </w:r>
        <w:r w:rsidR="00557666">
          <w:rPr>
            <w:noProof/>
            <w:webHidden/>
          </w:rPr>
          <w:t>2</w:t>
        </w:r>
        <w:r w:rsidR="008A4C37">
          <w:rPr>
            <w:noProof/>
            <w:webHidden/>
          </w:rPr>
          <w:fldChar w:fldCharType="end"/>
        </w:r>
      </w:hyperlink>
    </w:p>
    <w:p w:rsidR="008A4C37" w:rsidRDefault="00ED394A">
      <w:pPr>
        <w:pStyle w:val="TableofFigures"/>
        <w:rPr>
          <w:rFonts w:asciiTheme="minorHAnsi" w:eastAsiaTheme="minorEastAsia" w:hAnsiTheme="minorHAnsi"/>
          <w:noProof/>
          <w:sz w:val="22"/>
          <w:szCs w:val="22"/>
        </w:rPr>
      </w:pPr>
      <w:hyperlink w:anchor="_Toc364945447" w:history="1">
        <w:r w:rsidR="008A4C37" w:rsidRPr="00141358">
          <w:rPr>
            <w:rStyle w:val="Hyperlink"/>
            <w:rFonts w:ascii="Arial" w:hAnsi="Arial"/>
            <w:noProof/>
            <w:lang w:val="en-AU"/>
          </w:rPr>
          <w:t>Table 43:  Funding for Upgrades and New Works</w:t>
        </w:r>
        <w:r w:rsidR="008A4C37">
          <w:rPr>
            <w:noProof/>
            <w:webHidden/>
          </w:rPr>
          <w:tab/>
        </w:r>
        <w:r w:rsidR="008A4C37">
          <w:rPr>
            <w:noProof/>
            <w:webHidden/>
          </w:rPr>
          <w:fldChar w:fldCharType="begin"/>
        </w:r>
        <w:r w:rsidR="008A4C37">
          <w:rPr>
            <w:noProof/>
            <w:webHidden/>
          </w:rPr>
          <w:instrText xml:space="preserve"> PAGEREF _Toc364945447 \h </w:instrText>
        </w:r>
        <w:r w:rsidR="008A4C37">
          <w:rPr>
            <w:noProof/>
            <w:webHidden/>
          </w:rPr>
        </w:r>
        <w:r w:rsidR="008A4C37">
          <w:rPr>
            <w:noProof/>
            <w:webHidden/>
          </w:rPr>
          <w:fldChar w:fldCharType="separate"/>
        </w:r>
        <w:r w:rsidR="00557666">
          <w:rPr>
            <w:noProof/>
            <w:webHidden/>
          </w:rPr>
          <w:t>2</w:t>
        </w:r>
        <w:r w:rsidR="008A4C37">
          <w:rPr>
            <w:noProof/>
            <w:webHidden/>
          </w:rPr>
          <w:fldChar w:fldCharType="end"/>
        </w:r>
      </w:hyperlink>
    </w:p>
    <w:p w:rsidR="008A4C37" w:rsidRDefault="00ED394A">
      <w:pPr>
        <w:pStyle w:val="TableofFigures"/>
        <w:rPr>
          <w:rFonts w:asciiTheme="minorHAnsi" w:eastAsiaTheme="minorEastAsia" w:hAnsiTheme="minorHAnsi"/>
          <w:noProof/>
          <w:sz w:val="22"/>
          <w:szCs w:val="22"/>
        </w:rPr>
      </w:pPr>
      <w:hyperlink w:anchor="_Toc364945448" w:history="1">
        <w:r w:rsidR="008A4C37" w:rsidRPr="00141358">
          <w:rPr>
            <w:rStyle w:val="Hyperlink"/>
            <w:rFonts w:ascii="Arial" w:hAnsi="Arial"/>
            <w:noProof/>
            <w:lang w:val="en-AU"/>
          </w:rPr>
          <w:t>Table 44:  Buildings Primary Use and Replacement Value</w:t>
        </w:r>
        <w:r w:rsidR="008A4C37">
          <w:rPr>
            <w:noProof/>
            <w:webHidden/>
          </w:rPr>
          <w:tab/>
        </w:r>
        <w:r w:rsidR="008A4C37">
          <w:rPr>
            <w:noProof/>
            <w:webHidden/>
          </w:rPr>
          <w:fldChar w:fldCharType="begin"/>
        </w:r>
        <w:r w:rsidR="008A4C37">
          <w:rPr>
            <w:noProof/>
            <w:webHidden/>
          </w:rPr>
          <w:instrText xml:space="preserve"> PAGEREF _Toc364945448 \h </w:instrText>
        </w:r>
        <w:r w:rsidR="008A4C37">
          <w:rPr>
            <w:noProof/>
            <w:webHidden/>
          </w:rPr>
        </w:r>
        <w:r w:rsidR="008A4C37">
          <w:rPr>
            <w:noProof/>
            <w:webHidden/>
          </w:rPr>
          <w:fldChar w:fldCharType="separate"/>
        </w:r>
        <w:r w:rsidR="00557666">
          <w:rPr>
            <w:noProof/>
            <w:webHidden/>
          </w:rPr>
          <w:t>2</w:t>
        </w:r>
        <w:r w:rsidR="008A4C37">
          <w:rPr>
            <w:noProof/>
            <w:webHidden/>
          </w:rPr>
          <w:fldChar w:fldCharType="end"/>
        </w:r>
      </w:hyperlink>
    </w:p>
    <w:p w:rsidR="008A4C37" w:rsidRDefault="00ED394A">
      <w:pPr>
        <w:pStyle w:val="TableofFigures"/>
        <w:rPr>
          <w:rFonts w:asciiTheme="minorHAnsi" w:eastAsiaTheme="minorEastAsia" w:hAnsiTheme="minorHAnsi"/>
          <w:noProof/>
          <w:sz w:val="22"/>
          <w:szCs w:val="22"/>
        </w:rPr>
      </w:pPr>
      <w:hyperlink w:anchor="_Toc364945449" w:history="1">
        <w:r w:rsidR="008A4C37" w:rsidRPr="00141358">
          <w:rPr>
            <w:rStyle w:val="Hyperlink"/>
            <w:rFonts w:ascii="Arial" w:hAnsi="Arial"/>
            <w:noProof/>
            <w:lang w:val="en-AU"/>
          </w:rPr>
          <w:t>Table 45:  Total Operations and Maintenance Expenditure</w:t>
        </w:r>
        <w:r w:rsidR="008A4C37">
          <w:rPr>
            <w:noProof/>
            <w:webHidden/>
          </w:rPr>
          <w:tab/>
        </w:r>
        <w:r w:rsidR="008A4C37">
          <w:rPr>
            <w:noProof/>
            <w:webHidden/>
          </w:rPr>
          <w:fldChar w:fldCharType="begin"/>
        </w:r>
        <w:r w:rsidR="008A4C37">
          <w:rPr>
            <w:noProof/>
            <w:webHidden/>
          </w:rPr>
          <w:instrText xml:space="preserve"> PAGEREF _Toc364945449 \h </w:instrText>
        </w:r>
        <w:r w:rsidR="008A4C37">
          <w:rPr>
            <w:noProof/>
            <w:webHidden/>
          </w:rPr>
        </w:r>
        <w:r w:rsidR="008A4C37">
          <w:rPr>
            <w:noProof/>
            <w:webHidden/>
          </w:rPr>
          <w:fldChar w:fldCharType="separate"/>
        </w:r>
        <w:r w:rsidR="00557666">
          <w:rPr>
            <w:noProof/>
            <w:webHidden/>
          </w:rPr>
          <w:t>2</w:t>
        </w:r>
        <w:r w:rsidR="008A4C37">
          <w:rPr>
            <w:noProof/>
            <w:webHidden/>
          </w:rPr>
          <w:fldChar w:fldCharType="end"/>
        </w:r>
      </w:hyperlink>
    </w:p>
    <w:p w:rsidR="008A4C37" w:rsidRDefault="00ED394A">
      <w:pPr>
        <w:pStyle w:val="TableofFigures"/>
        <w:rPr>
          <w:rFonts w:asciiTheme="minorHAnsi" w:eastAsiaTheme="minorEastAsia" w:hAnsiTheme="minorHAnsi"/>
          <w:noProof/>
          <w:sz w:val="22"/>
          <w:szCs w:val="22"/>
        </w:rPr>
      </w:pPr>
      <w:hyperlink w:anchor="_Toc364945450" w:history="1">
        <w:r w:rsidR="008A4C37" w:rsidRPr="00141358">
          <w:rPr>
            <w:rStyle w:val="Hyperlink"/>
            <w:rFonts w:ascii="Arial" w:hAnsi="Arial"/>
            <w:noProof/>
            <w:lang w:val="en-AU"/>
          </w:rPr>
          <w:t>Table 46:  Confidence Level Rating Criteria</w:t>
        </w:r>
        <w:r w:rsidR="008A4C37">
          <w:rPr>
            <w:noProof/>
            <w:webHidden/>
          </w:rPr>
          <w:tab/>
        </w:r>
        <w:r w:rsidR="008A4C37">
          <w:rPr>
            <w:noProof/>
            <w:webHidden/>
          </w:rPr>
          <w:fldChar w:fldCharType="begin"/>
        </w:r>
        <w:r w:rsidR="008A4C37">
          <w:rPr>
            <w:noProof/>
            <w:webHidden/>
          </w:rPr>
          <w:instrText xml:space="preserve"> PAGEREF _Toc364945450 \h </w:instrText>
        </w:r>
        <w:r w:rsidR="008A4C37">
          <w:rPr>
            <w:noProof/>
            <w:webHidden/>
          </w:rPr>
        </w:r>
        <w:r w:rsidR="008A4C37">
          <w:rPr>
            <w:noProof/>
            <w:webHidden/>
          </w:rPr>
          <w:fldChar w:fldCharType="separate"/>
        </w:r>
        <w:r w:rsidR="00557666">
          <w:rPr>
            <w:noProof/>
            <w:webHidden/>
          </w:rPr>
          <w:t>2</w:t>
        </w:r>
        <w:r w:rsidR="008A4C37">
          <w:rPr>
            <w:noProof/>
            <w:webHidden/>
          </w:rPr>
          <w:fldChar w:fldCharType="end"/>
        </w:r>
      </w:hyperlink>
    </w:p>
    <w:p w:rsidR="008A4C37" w:rsidRDefault="00ED394A">
      <w:pPr>
        <w:pStyle w:val="TableofFigures"/>
        <w:rPr>
          <w:rFonts w:asciiTheme="minorHAnsi" w:eastAsiaTheme="minorEastAsia" w:hAnsiTheme="minorHAnsi"/>
          <w:noProof/>
          <w:sz w:val="22"/>
          <w:szCs w:val="22"/>
        </w:rPr>
      </w:pPr>
      <w:hyperlink w:anchor="_Toc364945451" w:history="1">
        <w:r w:rsidR="008A4C37" w:rsidRPr="00141358">
          <w:rPr>
            <w:rStyle w:val="Hyperlink"/>
            <w:rFonts w:ascii="Arial" w:hAnsi="Arial"/>
            <w:noProof/>
            <w:lang w:val="en-AU"/>
          </w:rPr>
          <w:t>Table 47:  Financial Forecast Confidence Level Rating Assessment</w:t>
        </w:r>
        <w:r w:rsidR="008A4C37">
          <w:rPr>
            <w:noProof/>
            <w:webHidden/>
          </w:rPr>
          <w:tab/>
        </w:r>
        <w:r w:rsidR="008A4C37">
          <w:rPr>
            <w:noProof/>
            <w:webHidden/>
          </w:rPr>
          <w:fldChar w:fldCharType="begin"/>
        </w:r>
        <w:r w:rsidR="008A4C37">
          <w:rPr>
            <w:noProof/>
            <w:webHidden/>
          </w:rPr>
          <w:instrText xml:space="preserve"> PAGEREF _Toc364945451 \h </w:instrText>
        </w:r>
        <w:r w:rsidR="008A4C37">
          <w:rPr>
            <w:noProof/>
            <w:webHidden/>
          </w:rPr>
        </w:r>
        <w:r w:rsidR="008A4C37">
          <w:rPr>
            <w:noProof/>
            <w:webHidden/>
          </w:rPr>
          <w:fldChar w:fldCharType="separate"/>
        </w:r>
        <w:r w:rsidR="00557666">
          <w:rPr>
            <w:noProof/>
            <w:webHidden/>
          </w:rPr>
          <w:t>2</w:t>
        </w:r>
        <w:r w:rsidR="008A4C37">
          <w:rPr>
            <w:noProof/>
            <w:webHidden/>
          </w:rPr>
          <w:fldChar w:fldCharType="end"/>
        </w:r>
      </w:hyperlink>
    </w:p>
    <w:p w:rsidR="008A4C37" w:rsidRDefault="00ED394A">
      <w:pPr>
        <w:pStyle w:val="TableofFigures"/>
        <w:rPr>
          <w:rFonts w:asciiTheme="minorHAnsi" w:eastAsiaTheme="minorEastAsia" w:hAnsiTheme="minorHAnsi"/>
          <w:noProof/>
          <w:sz w:val="22"/>
          <w:szCs w:val="22"/>
        </w:rPr>
      </w:pPr>
      <w:hyperlink w:anchor="_Toc364945452" w:history="1">
        <w:r w:rsidR="008A4C37" w:rsidRPr="00141358">
          <w:rPr>
            <w:rStyle w:val="Hyperlink"/>
            <w:rFonts w:ascii="Arial" w:hAnsi="Arial"/>
            <w:noProof/>
            <w:lang w:val="en-AU"/>
          </w:rPr>
          <w:t>Table 48:  Risk Analysis</w:t>
        </w:r>
        <w:r w:rsidR="008A4C37">
          <w:rPr>
            <w:noProof/>
            <w:webHidden/>
          </w:rPr>
          <w:tab/>
        </w:r>
        <w:r w:rsidR="008A4C37">
          <w:rPr>
            <w:noProof/>
            <w:webHidden/>
          </w:rPr>
          <w:fldChar w:fldCharType="begin"/>
        </w:r>
        <w:r w:rsidR="008A4C37">
          <w:rPr>
            <w:noProof/>
            <w:webHidden/>
          </w:rPr>
          <w:instrText xml:space="preserve"> PAGEREF _Toc364945452 \h </w:instrText>
        </w:r>
        <w:r w:rsidR="008A4C37">
          <w:rPr>
            <w:noProof/>
            <w:webHidden/>
          </w:rPr>
        </w:r>
        <w:r w:rsidR="008A4C37">
          <w:rPr>
            <w:noProof/>
            <w:webHidden/>
          </w:rPr>
          <w:fldChar w:fldCharType="separate"/>
        </w:r>
        <w:r w:rsidR="00557666">
          <w:rPr>
            <w:noProof/>
            <w:webHidden/>
          </w:rPr>
          <w:t>2</w:t>
        </w:r>
        <w:r w:rsidR="008A4C37">
          <w:rPr>
            <w:noProof/>
            <w:webHidden/>
          </w:rPr>
          <w:fldChar w:fldCharType="end"/>
        </w:r>
      </w:hyperlink>
    </w:p>
    <w:p w:rsidR="008A4C37" w:rsidRDefault="00ED394A">
      <w:pPr>
        <w:pStyle w:val="TableofFigures"/>
        <w:rPr>
          <w:rFonts w:asciiTheme="minorHAnsi" w:eastAsiaTheme="minorEastAsia" w:hAnsiTheme="minorHAnsi"/>
          <w:noProof/>
          <w:sz w:val="22"/>
          <w:szCs w:val="22"/>
        </w:rPr>
      </w:pPr>
      <w:hyperlink w:anchor="_Toc364945453" w:history="1">
        <w:r w:rsidR="008A4C37" w:rsidRPr="00141358">
          <w:rPr>
            <w:rStyle w:val="Hyperlink"/>
            <w:rFonts w:ascii="Arial" w:hAnsi="Arial"/>
            <w:noProof/>
            <w:lang w:val="en-AU"/>
          </w:rPr>
          <w:t>Table 49:  Risk Consequence Rating Criteria</w:t>
        </w:r>
        <w:r w:rsidR="008A4C37">
          <w:rPr>
            <w:noProof/>
            <w:webHidden/>
          </w:rPr>
          <w:tab/>
        </w:r>
        <w:r w:rsidR="008A4C37">
          <w:rPr>
            <w:noProof/>
            <w:webHidden/>
          </w:rPr>
          <w:fldChar w:fldCharType="begin"/>
        </w:r>
        <w:r w:rsidR="008A4C37">
          <w:rPr>
            <w:noProof/>
            <w:webHidden/>
          </w:rPr>
          <w:instrText xml:space="preserve"> PAGEREF _Toc364945453 \h </w:instrText>
        </w:r>
        <w:r w:rsidR="008A4C37">
          <w:rPr>
            <w:noProof/>
            <w:webHidden/>
          </w:rPr>
        </w:r>
        <w:r w:rsidR="008A4C37">
          <w:rPr>
            <w:noProof/>
            <w:webHidden/>
          </w:rPr>
          <w:fldChar w:fldCharType="separate"/>
        </w:r>
        <w:r w:rsidR="00557666">
          <w:rPr>
            <w:noProof/>
            <w:webHidden/>
          </w:rPr>
          <w:t>2</w:t>
        </w:r>
        <w:r w:rsidR="008A4C37">
          <w:rPr>
            <w:noProof/>
            <w:webHidden/>
          </w:rPr>
          <w:fldChar w:fldCharType="end"/>
        </w:r>
      </w:hyperlink>
    </w:p>
    <w:p w:rsidR="008A4C37" w:rsidRDefault="00ED394A">
      <w:pPr>
        <w:pStyle w:val="TableofFigures"/>
        <w:rPr>
          <w:rFonts w:asciiTheme="minorHAnsi" w:eastAsiaTheme="minorEastAsia" w:hAnsiTheme="minorHAnsi"/>
          <w:noProof/>
          <w:sz w:val="22"/>
          <w:szCs w:val="22"/>
        </w:rPr>
      </w:pPr>
      <w:hyperlink w:anchor="_Toc364945454" w:history="1">
        <w:r w:rsidR="008A4C37" w:rsidRPr="00141358">
          <w:rPr>
            <w:rStyle w:val="Hyperlink"/>
            <w:rFonts w:ascii="Arial" w:hAnsi="Arial"/>
            <w:noProof/>
            <w:lang w:val="en-AU"/>
          </w:rPr>
          <w:t>Table 50:  Risk Probability Rating Criteria</w:t>
        </w:r>
        <w:r w:rsidR="008A4C37">
          <w:rPr>
            <w:noProof/>
            <w:webHidden/>
          </w:rPr>
          <w:tab/>
        </w:r>
        <w:r w:rsidR="008A4C37">
          <w:rPr>
            <w:noProof/>
            <w:webHidden/>
          </w:rPr>
          <w:fldChar w:fldCharType="begin"/>
        </w:r>
        <w:r w:rsidR="008A4C37">
          <w:rPr>
            <w:noProof/>
            <w:webHidden/>
          </w:rPr>
          <w:instrText xml:space="preserve"> PAGEREF _Toc364945454 \h </w:instrText>
        </w:r>
        <w:r w:rsidR="008A4C37">
          <w:rPr>
            <w:noProof/>
            <w:webHidden/>
          </w:rPr>
        </w:r>
        <w:r w:rsidR="008A4C37">
          <w:rPr>
            <w:noProof/>
            <w:webHidden/>
          </w:rPr>
          <w:fldChar w:fldCharType="separate"/>
        </w:r>
        <w:r w:rsidR="00557666">
          <w:rPr>
            <w:noProof/>
            <w:webHidden/>
          </w:rPr>
          <w:t>2</w:t>
        </w:r>
        <w:r w:rsidR="008A4C37">
          <w:rPr>
            <w:noProof/>
            <w:webHidden/>
          </w:rPr>
          <w:fldChar w:fldCharType="end"/>
        </w:r>
      </w:hyperlink>
    </w:p>
    <w:p w:rsidR="008A4C37" w:rsidRDefault="00ED394A">
      <w:pPr>
        <w:pStyle w:val="TableofFigures"/>
        <w:rPr>
          <w:rFonts w:asciiTheme="minorHAnsi" w:eastAsiaTheme="minorEastAsia" w:hAnsiTheme="minorHAnsi"/>
          <w:noProof/>
          <w:sz w:val="22"/>
          <w:szCs w:val="22"/>
        </w:rPr>
      </w:pPr>
      <w:hyperlink w:anchor="_Toc364945455" w:history="1">
        <w:r w:rsidR="008A4C37" w:rsidRPr="00141358">
          <w:rPr>
            <w:rStyle w:val="Hyperlink"/>
            <w:rFonts w:ascii="Arial" w:hAnsi="Arial"/>
            <w:noProof/>
            <w:lang w:val="en-AU"/>
          </w:rPr>
          <w:t>Table 51:  Comparative Level of Risk</w:t>
        </w:r>
        <w:r w:rsidR="008A4C37">
          <w:rPr>
            <w:noProof/>
            <w:webHidden/>
          </w:rPr>
          <w:tab/>
        </w:r>
        <w:r w:rsidR="008A4C37">
          <w:rPr>
            <w:noProof/>
            <w:webHidden/>
          </w:rPr>
          <w:fldChar w:fldCharType="begin"/>
        </w:r>
        <w:r w:rsidR="008A4C37">
          <w:rPr>
            <w:noProof/>
            <w:webHidden/>
          </w:rPr>
          <w:instrText xml:space="preserve"> PAGEREF _Toc364945455 \h </w:instrText>
        </w:r>
        <w:r w:rsidR="008A4C37">
          <w:rPr>
            <w:noProof/>
            <w:webHidden/>
          </w:rPr>
        </w:r>
        <w:r w:rsidR="008A4C37">
          <w:rPr>
            <w:noProof/>
            <w:webHidden/>
          </w:rPr>
          <w:fldChar w:fldCharType="separate"/>
        </w:r>
        <w:r w:rsidR="00557666">
          <w:rPr>
            <w:noProof/>
            <w:webHidden/>
          </w:rPr>
          <w:t>2</w:t>
        </w:r>
        <w:r w:rsidR="008A4C37">
          <w:rPr>
            <w:noProof/>
            <w:webHidden/>
          </w:rPr>
          <w:fldChar w:fldCharType="end"/>
        </w:r>
      </w:hyperlink>
    </w:p>
    <w:p w:rsidR="008A4C37" w:rsidRDefault="00ED394A">
      <w:pPr>
        <w:pStyle w:val="TableofFigures"/>
        <w:rPr>
          <w:rFonts w:asciiTheme="minorHAnsi" w:eastAsiaTheme="minorEastAsia" w:hAnsiTheme="minorHAnsi"/>
          <w:noProof/>
          <w:sz w:val="22"/>
          <w:szCs w:val="22"/>
        </w:rPr>
      </w:pPr>
      <w:hyperlink w:anchor="_Toc364945456" w:history="1">
        <w:r w:rsidR="008A4C37" w:rsidRPr="00141358">
          <w:rPr>
            <w:rStyle w:val="Hyperlink"/>
            <w:rFonts w:ascii="Arial" w:hAnsi="Arial"/>
            <w:noProof/>
            <w:lang w:val="en-AU"/>
          </w:rPr>
          <w:t>Table 52:  Risk Assessment Matrix</w:t>
        </w:r>
        <w:r w:rsidR="008A4C37">
          <w:rPr>
            <w:noProof/>
            <w:webHidden/>
          </w:rPr>
          <w:tab/>
        </w:r>
        <w:r w:rsidR="008A4C37">
          <w:rPr>
            <w:noProof/>
            <w:webHidden/>
          </w:rPr>
          <w:fldChar w:fldCharType="begin"/>
        </w:r>
        <w:r w:rsidR="008A4C37">
          <w:rPr>
            <w:noProof/>
            <w:webHidden/>
          </w:rPr>
          <w:instrText xml:space="preserve"> PAGEREF _Toc364945456 \h </w:instrText>
        </w:r>
        <w:r w:rsidR="008A4C37">
          <w:rPr>
            <w:noProof/>
            <w:webHidden/>
          </w:rPr>
        </w:r>
        <w:r w:rsidR="008A4C37">
          <w:rPr>
            <w:noProof/>
            <w:webHidden/>
          </w:rPr>
          <w:fldChar w:fldCharType="separate"/>
        </w:r>
        <w:r w:rsidR="00557666">
          <w:rPr>
            <w:noProof/>
            <w:webHidden/>
          </w:rPr>
          <w:t>2</w:t>
        </w:r>
        <w:r w:rsidR="008A4C37">
          <w:rPr>
            <w:noProof/>
            <w:webHidden/>
          </w:rPr>
          <w:fldChar w:fldCharType="end"/>
        </w:r>
      </w:hyperlink>
    </w:p>
    <w:p w:rsidR="008A4C37" w:rsidRDefault="00ED394A">
      <w:pPr>
        <w:pStyle w:val="TableofFigures"/>
        <w:rPr>
          <w:rFonts w:asciiTheme="minorHAnsi" w:eastAsiaTheme="minorEastAsia" w:hAnsiTheme="minorHAnsi"/>
          <w:noProof/>
          <w:sz w:val="22"/>
          <w:szCs w:val="22"/>
        </w:rPr>
      </w:pPr>
      <w:hyperlink w:anchor="_Toc364945457" w:history="1">
        <w:r w:rsidR="008A4C37" w:rsidRPr="00141358">
          <w:rPr>
            <w:rStyle w:val="Hyperlink"/>
            <w:rFonts w:ascii="Arial" w:hAnsi="Arial"/>
            <w:noProof/>
            <w:lang w:val="en-AU"/>
          </w:rPr>
          <w:t>Table 53:  Tolerance Levels</w:t>
        </w:r>
        <w:r w:rsidR="008A4C37">
          <w:rPr>
            <w:noProof/>
            <w:webHidden/>
          </w:rPr>
          <w:tab/>
        </w:r>
        <w:r w:rsidR="008A4C37">
          <w:rPr>
            <w:noProof/>
            <w:webHidden/>
          </w:rPr>
          <w:fldChar w:fldCharType="begin"/>
        </w:r>
        <w:r w:rsidR="008A4C37">
          <w:rPr>
            <w:noProof/>
            <w:webHidden/>
          </w:rPr>
          <w:instrText xml:space="preserve"> PAGEREF _Toc364945457 \h </w:instrText>
        </w:r>
        <w:r w:rsidR="008A4C37">
          <w:rPr>
            <w:noProof/>
            <w:webHidden/>
          </w:rPr>
        </w:r>
        <w:r w:rsidR="008A4C37">
          <w:rPr>
            <w:noProof/>
            <w:webHidden/>
          </w:rPr>
          <w:fldChar w:fldCharType="separate"/>
        </w:r>
        <w:r w:rsidR="00557666">
          <w:rPr>
            <w:noProof/>
            <w:webHidden/>
          </w:rPr>
          <w:t>2</w:t>
        </w:r>
        <w:r w:rsidR="008A4C37">
          <w:rPr>
            <w:noProof/>
            <w:webHidden/>
          </w:rPr>
          <w:fldChar w:fldCharType="end"/>
        </w:r>
      </w:hyperlink>
    </w:p>
    <w:p w:rsidR="008A4C37" w:rsidRDefault="00ED394A">
      <w:pPr>
        <w:pStyle w:val="TableofFigures"/>
        <w:rPr>
          <w:rFonts w:asciiTheme="minorHAnsi" w:eastAsiaTheme="minorEastAsia" w:hAnsiTheme="minorHAnsi"/>
          <w:noProof/>
          <w:sz w:val="22"/>
          <w:szCs w:val="22"/>
        </w:rPr>
      </w:pPr>
      <w:hyperlink w:anchor="_Toc364945458" w:history="1">
        <w:r w:rsidR="008A4C37" w:rsidRPr="00141358">
          <w:rPr>
            <w:rStyle w:val="Hyperlink"/>
            <w:rFonts w:ascii="Arial" w:hAnsi="Arial"/>
            <w:noProof/>
            <w:lang w:val="en-AU"/>
          </w:rPr>
          <w:t>Table 54:  Building Significance Hierarchy</w:t>
        </w:r>
        <w:r w:rsidR="008A4C37">
          <w:rPr>
            <w:noProof/>
            <w:webHidden/>
          </w:rPr>
          <w:tab/>
        </w:r>
        <w:r w:rsidR="008A4C37">
          <w:rPr>
            <w:noProof/>
            <w:webHidden/>
          </w:rPr>
          <w:fldChar w:fldCharType="begin"/>
        </w:r>
        <w:r w:rsidR="008A4C37">
          <w:rPr>
            <w:noProof/>
            <w:webHidden/>
          </w:rPr>
          <w:instrText xml:space="preserve"> PAGEREF _Toc364945458 \h </w:instrText>
        </w:r>
        <w:r w:rsidR="008A4C37">
          <w:rPr>
            <w:noProof/>
            <w:webHidden/>
          </w:rPr>
        </w:r>
        <w:r w:rsidR="008A4C37">
          <w:rPr>
            <w:noProof/>
            <w:webHidden/>
          </w:rPr>
          <w:fldChar w:fldCharType="separate"/>
        </w:r>
        <w:r w:rsidR="00557666">
          <w:rPr>
            <w:noProof/>
            <w:webHidden/>
          </w:rPr>
          <w:t>2</w:t>
        </w:r>
        <w:r w:rsidR="008A4C37">
          <w:rPr>
            <w:noProof/>
            <w:webHidden/>
          </w:rPr>
          <w:fldChar w:fldCharType="end"/>
        </w:r>
      </w:hyperlink>
    </w:p>
    <w:p w:rsidR="008A4C37" w:rsidRDefault="00ED394A">
      <w:pPr>
        <w:pStyle w:val="TableofFigures"/>
        <w:rPr>
          <w:rFonts w:asciiTheme="minorHAnsi" w:eastAsiaTheme="minorEastAsia" w:hAnsiTheme="minorHAnsi"/>
          <w:noProof/>
          <w:sz w:val="22"/>
          <w:szCs w:val="22"/>
        </w:rPr>
      </w:pPr>
      <w:hyperlink w:anchor="_Toc364945459" w:history="1">
        <w:r w:rsidR="008A4C37" w:rsidRPr="00141358">
          <w:rPr>
            <w:rStyle w:val="Hyperlink"/>
            <w:rFonts w:ascii="Arial" w:hAnsi="Arial"/>
            <w:noProof/>
            <w:lang w:val="en-AU"/>
          </w:rPr>
          <w:t>Table 55:  Operational Risks as at April 2012</w:t>
        </w:r>
        <w:r w:rsidR="008A4C37">
          <w:rPr>
            <w:noProof/>
            <w:webHidden/>
          </w:rPr>
          <w:tab/>
        </w:r>
        <w:r w:rsidR="008A4C37">
          <w:rPr>
            <w:noProof/>
            <w:webHidden/>
          </w:rPr>
          <w:fldChar w:fldCharType="begin"/>
        </w:r>
        <w:r w:rsidR="008A4C37">
          <w:rPr>
            <w:noProof/>
            <w:webHidden/>
          </w:rPr>
          <w:instrText xml:space="preserve"> PAGEREF _Toc364945459 \h </w:instrText>
        </w:r>
        <w:r w:rsidR="008A4C37">
          <w:rPr>
            <w:noProof/>
            <w:webHidden/>
          </w:rPr>
        </w:r>
        <w:r w:rsidR="008A4C37">
          <w:rPr>
            <w:noProof/>
            <w:webHidden/>
          </w:rPr>
          <w:fldChar w:fldCharType="separate"/>
        </w:r>
        <w:r w:rsidR="00557666">
          <w:rPr>
            <w:noProof/>
            <w:webHidden/>
          </w:rPr>
          <w:t>2</w:t>
        </w:r>
        <w:r w:rsidR="008A4C37">
          <w:rPr>
            <w:noProof/>
            <w:webHidden/>
          </w:rPr>
          <w:fldChar w:fldCharType="end"/>
        </w:r>
      </w:hyperlink>
    </w:p>
    <w:p w:rsidR="008A4C37" w:rsidRDefault="00ED394A">
      <w:pPr>
        <w:pStyle w:val="TableofFigures"/>
        <w:rPr>
          <w:rFonts w:asciiTheme="minorHAnsi" w:eastAsiaTheme="minorEastAsia" w:hAnsiTheme="minorHAnsi"/>
          <w:noProof/>
          <w:sz w:val="22"/>
          <w:szCs w:val="22"/>
        </w:rPr>
      </w:pPr>
      <w:hyperlink w:anchor="_Toc364945460" w:history="1">
        <w:r w:rsidR="008A4C37" w:rsidRPr="00141358">
          <w:rPr>
            <w:rStyle w:val="Hyperlink"/>
            <w:rFonts w:ascii="Arial" w:hAnsi="Arial"/>
            <w:noProof/>
            <w:lang w:val="en-AU"/>
          </w:rPr>
          <w:t>Table 56:  Current Status of Asset Management Processes</w:t>
        </w:r>
        <w:r w:rsidR="008A4C37">
          <w:rPr>
            <w:noProof/>
            <w:webHidden/>
          </w:rPr>
          <w:tab/>
        </w:r>
        <w:r w:rsidR="008A4C37">
          <w:rPr>
            <w:noProof/>
            <w:webHidden/>
          </w:rPr>
          <w:fldChar w:fldCharType="begin"/>
        </w:r>
        <w:r w:rsidR="008A4C37">
          <w:rPr>
            <w:noProof/>
            <w:webHidden/>
          </w:rPr>
          <w:instrText xml:space="preserve"> PAGEREF _Toc364945460 \h </w:instrText>
        </w:r>
        <w:r w:rsidR="008A4C37">
          <w:rPr>
            <w:noProof/>
            <w:webHidden/>
          </w:rPr>
        </w:r>
        <w:r w:rsidR="008A4C37">
          <w:rPr>
            <w:noProof/>
            <w:webHidden/>
          </w:rPr>
          <w:fldChar w:fldCharType="separate"/>
        </w:r>
        <w:r w:rsidR="00557666">
          <w:rPr>
            <w:noProof/>
            <w:webHidden/>
          </w:rPr>
          <w:t>2</w:t>
        </w:r>
        <w:r w:rsidR="008A4C37">
          <w:rPr>
            <w:noProof/>
            <w:webHidden/>
          </w:rPr>
          <w:fldChar w:fldCharType="end"/>
        </w:r>
      </w:hyperlink>
    </w:p>
    <w:p w:rsidR="008A4C37" w:rsidRDefault="00ED394A">
      <w:pPr>
        <w:pStyle w:val="TableofFigures"/>
        <w:rPr>
          <w:rFonts w:asciiTheme="minorHAnsi" w:eastAsiaTheme="minorEastAsia" w:hAnsiTheme="minorHAnsi"/>
          <w:noProof/>
          <w:sz w:val="22"/>
          <w:szCs w:val="22"/>
        </w:rPr>
      </w:pPr>
      <w:hyperlink w:anchor="_Toc364945461" w:history="1">
        <w:r w:rsidR="008A4C37" w:rsidRPr="00141358">
          <w:rPr>
            <w:rStyle w:val="Hyperlink"/>
            <w:rFonts w:ascii="Arial" w:hAnsi="Arial"/>
            <w:noProof/>
            <w:lang w:val="en-AU"/>
          </w:rPr>
          <w:t>Table 57:  Current Status of Asset Management Related Systems</w:t>
        </w:r>
        <w:r w:rsidR="008A4C37">
          <w:rPr>
            <w:noProof/>
            <w:webHidden/>
          </w:rPr>
          <w:tab/>
        </w:r>
        <w:r w:rsidR="008A4C37">
          <w:rPr>
            <w:noProof/>
            <w:webHidden/>
          </w:rPr>
          <w:fldChar w:fldCharType="begin"/>
        </w:r>
        <w:r w:rsidR="008A4C37">
          <w:rPr>
            <w:noProof/>
            <w:webHidden/>
          </w:rPr>
          <w:instrText xml:space="preserve"> PAGEREF _Toc364945461 \h </w:instrText>
        </w:r>
        <w:r w:rsidR="008A4C37">
          <w:rPr>
            <w:noProof/>
            <w:webHidden/>
          </w:rPr>
        </w:r>
        <w:r w:rsidR="008A4C37">
          <w:rPr>
            <w:noProof/>
            <w:webHidden/>
          </w:rPr>
          <w:fldChar w:fldCharType="separate"/>
        </w:r>
        <w:r w:rsidR="00557666">
          <w:rPr>
            <w:noProof/>
            <w:webHidden/>
          </w:rPr>
          <w:t>2</w:t>
        </w:r>
        <w:r w:rsidR="008A4C37">
          <w:rPr>
            <w:noProof/>
            <w:webHidden/>
          </w:rPr>
          <w:fldChar w:fldCharType="end"/>
        </w:r>
      </w:hyperlink>
    </w:p>
    <w:p w:rsidR="008A4C37" w:rsidRDefault="00ED394A">
      <w:pPr>
        <w:pStyle w:val="TableofFigures"/>
        <w:rPr>
          <w:rFonts w:asciiTheme="minorHAnsi" w:eastAsiaTheme="minorEastAsia" w:hAnsiTheme="minorHAnsi"/>
          <w:noProof/>
          <w:sz w:val="22"/>
          <w:szCs w:val="22"/>
        </w:rPr>
      </w:pPr>
      <w:hyperlink w:anchor="_Toc364945462" w:history="1">
        <w:r w:rsidR="008A4C37" w:rsidRPr="00141358">
          <w:rPr>
            <w:rStyle w:val="Hyperlink"/>
            <w:rFonts w:ascii="Arial" w:hAnsi="Arial"/>
            <w:noProof/>
            <w:lang w:val="en-AU"/>
          </w:rPr>
          <w:t>Table 58:  Data Accuracy Grading</w:t>
        </w:r>
        <w:r w:rsidR="008A4C37">
          <w:rPr>
            <w:noProof/>
            <w:webHidden/>
          </w:rPr>
          <w:tab/>
        </w:r>
        <w:r w:rsidR="008A4C37">
          <w:rPr>
            <w:noProof/>
            <w:webHidden/>
          </w:rPr>
          <w:fldChar w:fldCharType="begin"/>
        </w:r>
        <w:r w:rsidR="008A4C37">
          <w:rPr>
            <w:noProof/>
            <w:webHidden/>
          </w:rPr>
          <w:instrText xml:space="preserve"> PAGEREF _Toc364945462 \h </w:instrText>
        </w:r>
        <w:r w:rsidR="008A4C37">
          <w:rPr>
            <w:noProof/>
            <w:webHidden/>
          </w:rPr>
        </w:r>
        <w:r w:rsidR="008A4C37">
          <w:rPr>
            <w:noProof/>
            <w:webHidden/>
          </w:rPr>
          <w:fldChar w:fldCharType="separate"/>
        </w:r>
        <w:r w:rsidR="00557666">
          <w:rPr>
            <w:noProof/>
            <w:webHidden/>
          </w:rPr>
          <w:t>2</w:t>
        </w:r>
        <w:r w:rsidR="008A4C37">
          <w:rPr>
            <w:noProof/>
            <w:webHidden/>
          </w:rPr>
          <w:fldChar w:fldCharType="end"/>
        </w:r>
      </w:hyperlink>
    </w:p>
    <w:p w:rsidR="008A4C37" w:rsidRDefault="00ED394A">
      <w:pPr>
        <w:pStyle w:val="TableofFigures"/>
        <w:rPr>
          <w:rFonts w:asciiTheme="minorHAnsi" w:eastAsiaTheme="minorEastAsia" w:hAnsiTheme="minorHAnsi"/>
          <w:noProof/>
          <w:sz w:val="22"/>
          <w:szCs w:val="22"/>
        </w:rPr>
      </w:pPr>
      <w:hyperlink w:anchor="_Toc364945463" w:history="1">
        <w:r w:rsidR="008A4C37" w:rsidRPr="00141358">
          <w:rPr>
            <w:rStyle w:val="Hyperlink"/>
            <w:rFonts w:ascii="Arial" w:hAnsi="Arial"/>
            <w:noProof/>
            <w:lang w:val="en-AU"/>
          </w:rPr>
          <w:t>Table 59: Confidence Level Rating</w:t>
        </w:r>
        <w:r w:rsidR="008A4C37">
          <w:rPr>
            <w:noProof/>
            <w:webHidden/>
          </w:rPr>
          <w:tab/>
        </w:r>
        <w:r w:rsidR="008A4C37">
          <w:rPr>
            <w:noProof/>
            <w:webHidden/>
          </w:rPr>
          <w:fldChar w:fldCharType="begin"/>
        </w:r>
        <w:r w:rsidR="008A4C37">
          <w:rPr>
            <w:noProof/>
            <w:webHidden/>
          </w:rPr>
          <w:instrText xml:space="preserve"> PAGEREF _Toc364945463 \h </w:instrText>
        </w:r>
        <w:r w:rsidR="008A4C37">
          <w:rPr>
            <w:noProof/>
            <w:webHidden/>
          </w:rPr>
        </w:r>
        <w:r w:rsidR="008A4C37">
          <w:rPr>
            <w:noProof/>
            <w:webHidden/>
          </w:rPr>
          <w:fldChar w:fldCharType="separate"/>
        </w:r>
        <w:r w:rsidR="00557666">
          <w:rPr>
            <w:noProof/>
            <w:webHidden/>
          </w:rPr>
          <w:t>2</w:t>
        </w:r>
        <w:r w:rsidR="008A4C37">
          <w:rPr>
            <w:noProof/>
            <w:webHidden/>
          </w:rPr>
          <w:fldChar w:fldCharType="end"/>
        </w:r>
      </w:hyperlink>
    </w:p>
    <w:p w:rsidR="008A4C37" w:rsidRDefault="00ED394A">
      <w:pPr>
        <w:pStyle w:val="TableofFigures"/>
        <w:rPr>
          <w:rFonts w:asciiTheme="minorHAnsi" w:eastAsiaTheme="minorEastAsia" w:hAnsiTheme="minorHAnsi"/>
          <w:noProof/>
          <w:sz w:val="22"/>
          <w:szCs w:val="22"/>
        </w:rPr>
      </w:pPr>
      <w:hyperlink w:anchor="_Toc364945464" w:history="1">
        <w:r w:rsidR="008A4C37" w:rsidRPr="00141358">
          <w:rPr>
            <w:rStyle w:val="Hyperlink"/>
            <w:rFonts w:ascii="Arial" w:hAnsi="Arial"/>
            <w:noProof/>
            <w:lang w:val="en-AU"/>
          </w:rPr>
          <w:t>Table 60:  4 Year Improvement Plan</w:t>
        </w:r>
        <w:r w:rsidR="008A4C37">
          <w:rPr>
            <w:noProof/>
            <w:webHidden/>
          </w:rPr>
          <w:tab/>
        </w:r>
        <w:r w:rsidR="008A4C37">
          <w:rPr>
            <w:noProof/>
            <w:webHidden/>
          </w:rPr>
          <w:fldChar w:fldCharType="begin"/>
        </w:r>
        <w:r w:rsidR="008A4C37">
          <w:rPr>
            <w:noProof/>
            <w:webHidden/>
          </w:rPr>
          <w:instrText xml:space="preserve"> PAGEREF _Toc364945464 \h </w:instrText>
        </w:r>
        <w:r w:rsidR="008A4C37">
          <w:rPr>
            <w:noProof/>
            <w:webHidden/>
          </w:rPr>
        </w:r>
        <w:r w:rsidR="008A4C37">
          <w:rPr>
            <w:noProof/>
            <w:webHidden/>
          </w:rPr>
          <w:fldChar w:fldCharType="separate"/>
        </w:r>
        <w:r w:rsidR="00557666">
          <w:rPr>
            <w:noProof/>
            <w:webHidden/>
          </w:rPr>
          <w:t>2</w:t>
        </w:r>
        <w:r w:rsidR="008A4C37">
          <w:rPr>
            <w:noProof/>
            <w:webHidden/>
          </w:rPr>
          <w:fldChar w:fldCharType="end"/>
        </w:r>
      </w:hyperlink>
    </w:p>
    <w:p w:rsidR="008A4C37" w:rsidRDefault="00ED394A">
      <w:pPr>
        <w:pStyle w:val="TableofFigures"/>
        <w:rPr>
          <w:rFonts w:asciiTheme="minorHAnsi" w:eastAsiaTheme="minorEastAsia" w:hAnsiTheme="minorHAnsi"/>
          <w:noProof/>
          <w:sz w:val="22"/>
          <w:szCs w:val="22"/>
        </w:rPr>
      </w:pPr>
      <w:hyperlink w:anchor="_Toc364945465" w:history="1">
        <w:r w:rsidR="008A4C37" w:rsidRPr="00141358">
          <w:rPr>
            <w:rStyle w:val="Hyperlink"/>
            <w:rFonts w:ascii="Arial" w:hAnsi="Arial"/>
            <w:noProof/>
            <w:lang w:val="en-AU"/>
          </w:rPr>
          <w:t>Table 61:  Performance Monitoring</w:t>
        </w:r>
        <w:r w:rsidR="008A4C37">
          <w:rPr>
            <w:noProof/>
            <w:webHidden/>
          </w:rPr>
          <w:tab/>
        </w:r>
        <w:r w:rsidR="008A4C37">
          <w:rPr>
            <w:noProof/>
            <w:webHidden/>
          </w:rPr>
          <w:fldChar w:fldCharType="begin"/>
        </w:r>
        <w:r w:rsidR="008A4C37">
          <w:rPr>
            <w:noProof/>
            <w:webHidden/>
          </w:rPr>
          <w:instrText xml:space="preserve"> PAGEREF _Toc364945465 \h </w:instrText>
        </w:r>
        <w:r w:rsidR="008A4C37">
          <w:rPr>
            <w:noProof/>
            <w:webHidden/>
          </w:rPr>
        </w:r>
        <w:r w:rsidR="008A4C37">
          <w:rPr>
            <w:noProof/>
            <w:webHidden/>
          </w:rPr>
          <w:fldChar w:fldCharType="separate"/>
        </w:r>
        <w:r w:rsidR="00557666">
          <w:rPr>
            <w:noProof/>
            <w:webHidden/>
          </w:rPr>
          <w:t>2</w:t>
        </w:r>
        <w:r w:rsidR="008A4C37">
          <w:rPr>
            <w:noProof/>
            <w:webHidden/>
          </w:rPr>
          <w:fldChar w:fldCharType="end"/>
        </w:r>
      </w:hyperlink>
    </w:p>
    <w:p w:rsidR="003619B7" w:rsidRDefault="0090414C" w:rsidP="00CD3766">
      <w:pPr>
        <w:tabs>
          <w:tab w:val="right" w:pos="9027"/>
          <w:tab w:val="right" w:pos="9070"/>
        </w:tabs>
      </w:pPr>
      <w:r>
        <w:fldChar w:fldCharType="end"/>
      </w:r>
    </w:p>
    <w:p w:rsidR="004B1B4F" w:rsidRPr="00CD7D4F" w:rsidRDefault="004B1B4F" w:rsidP="00CD3766">
      <w:pPr>
        <w:tabs>
          <w:tab w:val="right" w:pos="9027"/>
          <w:tab w:val="right" w:pos="9070"/>
        </w:tabs>
      </w:pPr>
    </w:p>
    <w:p w:rsidR="0067372F" w:rsidRPr="00094746" w:rsidRDefault="0067372F" w:rsidP="0067372F">
      <w:pPr>
        <w:pStyle w:val="IntenseQuote"/>
        <w:rPr>
          <w:color w:val="548DD4" w:themeColor="text2" w:themeTint="99"/>
        </w:rPr>
      </w:pPr>
      <w:r w:rsidRPr="00094746">
        <w:rPr>
          <w:color w:val="548DD4" w:themeColor="text2" w:themeTint="99"/>
        </w:rPr>
        <w:t>List of Attachments</w:t>
      </w:r>
    </w:p>
    <w:p w:rsidR="003A45AA" w:rsidRDefault="00A1477A" w:rsidP="00CD3766">
      <w:pPr>
        <w:tabs>
          <w:tab w:val="right" w:pos="9027"/>
          <w:tab w:val="right" w:pos="9070"/>
        </w:tabs>
        <w:rPr>
          <w:iCs/>
        </w:rPr>
      </w:pPr>
      <w:r w:rsidRPr="00094746">
        <w:rPr>
          <w:iCs/>
        </w:rPr>
        <w:fldChar w:fldCharType="begin"/>
      </w:r>
      <w:r w:rsidRPr="00094746">
        <w:rPr>
          <w:iCs/>
        </w:rPr>
        <w:instrText xml:space="preserve"> REF _Ref361081612 \h </w:instrText>
      </w:r>
      <w:r w:rsidR="00094746">
        <w:rPr>
          <w:iCs/>
        </w:rPr>
        <w:instrText xml:space="preserve"> \* MERGEFORMAT </w:instrText>
      </w:r>
      <w:r w:rsidRPr="00094746">
        <w:rPr>
          <w:iCs/>
        </w:rPr>
      </w:r>
      <w:r w:rsidRPr="00094746">
        <w:rPr>
          <w:iCs/>
        </w:rPr>
        <w:fldChar w:fldCharType="separate"/>
      </w:r>
      <w:r w:rsidR="00751CEC" w:rsidRPr="00113665">
        <w:t xml:space="preserve">Attachment A:  </w:t>
      </w:r>
      <w:r w:rsidR="00751CEC">
        <w:t>List of Council-</w:t>
      </w:r>
      <w:r w:rsidR="00751CEC" w:rsidRPr="00113665">
        <w:t>Owned Properties</w:t>
      </w:r>
      <w:r w:rsidRPr="00094746">
        <w:rPr>
          <w:iCs/>
        </w:rPr>
        <w:fldChar w:fldCharType="end"/>
      </w:r>
    </w:p>
    <w:p w:rsidR="00A1477A" w:rsidRDefault="00A1477A" w:rsidP="00CD3766">
      <w:pPr>
        <w:tabs>
          <w:tab w:val="right" w:pos="9027"/>
          <w:tab w:val="right" w:pos="9070"/>
        </w:tabs>
        <w:rPr>
          <w:iCs/>
        </w:rPr>
      </w:pPr>
      <w:r>
        <w:rPr>
          <w:iCs/>
        </w:rPr>
        <w:fldChar w:fldCharType="begin"/>
      </w:r>
      <w:r>
        <w:rPr>
          <w:iCs/>
        </w:rPr>
        <w:instrText xml:space="preserve"> REF _Ref361081623 \h </w:instrText>
      </w:r>
      <w:r>
        <w:rPr>
          <w:iCs/>
        </w:rPr>
      </w:r>
      <w:r>
        <w:rPr>
          <w:iCs/>
        </w:rPr>
        <w:fldChar w:fldCharType="separate"/>
      </w:r>
      <w:r w:rsidR="00751CEC">
        <w:t xml:space="preserve">Attachment B:  </w:t>
      </w:r>
      <w:r w:rsidR="00751CEC" w:rsidRPr="00327C54">
        <w:t>Asset Management Practice Review (Detailed Gap Analysis)</w:t>
      </w:r>
      <w:r>
        <w:rPr>
          <w:iCs/>
        </w:rPr>
        <w:fldChar w:fldCharType="end"/>
      </w:r>
    </w:p>
    <w:p w:rsidR="0067372F" w:rsidRDefault="00C663BE" w:rsidP="00CD3766">
      <w:pPr>
        <w:tabs>
          <w:tab w:val="right" w:pos="9027"/>
          <w:tab w:val="right" w:pos="9070"/>
        </w:tabs>
      </w:pPr>
      <w:r>
        <w:rPr>
          <w:iCs/>
        </w:rPr>
        <w:fldChar w:fldCharType="begin"/>
      </w:r>
      <w:r>
        <w:instrText xml:space="preserve"> REF _Ref364943402 \h </w:instrText>
      </w:r>
      <w:r>
        <w:rPr>
          <w:iCs/>
        </w:rPr>
      </w:r>
      <w:r>
        <w:rPr>
          <w:iCs/>
        </w:rPr>
        <w:fldChar w:fldCharType="separate"/>
      </w:r>
      <w:r w:rsidR="00751CEC">
        <w:t>Attachment C:  Heritage Controls on Yarra City Council-Owned Properties</w:t>
      </w:r>
      <w:r>
        <w:rPr>
          <w:iCs/>
        </w:rPr>
        <w:fldChar w:fldCharType="end"/>
      </w:r>
      <w:r>
        <w:t xml:space="preserve"> </w:t>
      </w:r>
    </w:p>
    <w:p w:rsidR="0067372F" w:rsidRDefault="0067372F" w:rsidP="00CD3766">
      <w:pPr>
        <w:tabs>
          <w:tab w:val="right" w:pos="9027"/>
          <w:tab w:val="right" w:pos="9070"/>
        </w:tabs>
      </w:pPr>
    </w:p>
    <w:p w:rsidR="0067372F" w:rsidRDefault="0067372F" w:rsidP="00CD3766">
      <w:pPr>
        <w:tabs>
          <w:tab w:val="right" w:pos="9027"/>
          <w:tab w:val="right" w:pos="9070"/>
        </w:tabs>
      </w:pPr>
    </w:p>
    <w:p w:rsidR="0067372F" w:rsidRDefault="0067372F" w:rsidP="00CD3766">
      <w:pPr>
        <w:tabs>
          <w:tab w:val="right" w:pos="9027"/>
          <w:tab w:val="right" w:pos="9070"/>
        </w:tabs>
        <w:sectPr w:rsidR="0067372F" w:rsidSect="00252A9E">
          <w:type w:val="oddPage"/>
          <w:pgSz w:w="11906" w:h="16838" w:code="9"/>
          <w:pgMar w:top="1418" w:right="1418" w:bottom="851" w:left="1418" w:header="284" w:footer="312" w:gutter="0"/>
          <w:pgNumType w:fmt="lowerRoman"/>
          <w:cols w:space="720"/>
          <w:docGrid w:linePitch="360"/>
        </w:sectPr>
      </w:pPr>
    </w:p>
    <w:p w:rsidR="00E96F28" w:rsidRPr="00222036" w:rsidRDefault="00E96F28" w:rsidP="009550B0">
      <w:pPr>
        <w:pStyle w:val="Title"/>
        <w:spacing w:before="240" w:after="240"/>
        <w:jc w:val="left"/>
        <w:rPr>
          <w:rFonts w:cs="Arial"/>
          <w:color w:val="548DD4" w:themeColor="text2" w:themeTint="99"/>
          <w:sz w:val="36"/>
          <w:szCs w:val="36"/>
        </w:rPr>
      </w:pPr>
      <w:bookmarkStart w:id="1" w:name="Classification"/>
      <w:bookmarkStart w:id="2" w:name="_Ref96157288"/>
      <w:bookmarkStart w:id="3" w:name="_Ref99166450"/>
      <w:bookmarkEnd w:id="1"/>
      <w:r w:rsidRPr="00222036">
        <w:rPr>
          <w:rFonts w:cs="Arial"/>
          <w:color w:val="548DD4" w:themeColor="text2" w:themeTint="99"/>
          <w:sz w:val="36"/>
          <w:szCs w:val="36"/>
        </w:rPr>
        <w:lastRenderedPageBreak/>
        <w:t>A</w:t>
      </w:r>
      <w:r w:rsidR="00222036" w:rsidRPr="00222036">
        <w:rPr>
          <w:rFonts w:cs="Arial"/>
          <w:color w:val="548DD4" w:themeColor="text2" w:themeTint="99"/>
          <w:sz w:val="36"/>
          <w:szCs w:val="36"/>
        </w:rPr>
        <w:t>bout This Plan</w:t>
      </w:r>
    </w:p>
    <w:p w:rsidR="00EE73E2" w:rsidRPr="00EE0F60" w:rsidRDefault="00EE73E2" w:rsidP="002F775C">
      <w:pPr>
        <w:rPr>
          <w:b/>
        </w:rPr>
      </w:pPr>
      <w:r w:rsidRPr="00EE0F60">
        <w:rPr>
          <w:b/>
        </w:rPr>
        <w:t>Background</w:t>
      </w:r>
    </w:p>
    <w:p w:rsidR="00EE73E2" w:rsidRPr="00CD7D4F" w:rsidRDefault="00EE73E2" w:rsidP="006E1DC9"/>
    <w:p w:rsidR="00EE73E2" w:rsidRDefault="00EE73E2" w:rsidP="006E1DC9">
      <w:r w:rsidRPr="00365BAF">
        <w:t xml:space="preserve">This </w:t>
      </w:r>
      <w:r w:rsidR="008A4815" w:rsidRPr="00365BAF">
        <w:t xml:space="preserve">Buildings </w:t>
      </w:r>
      <w:r w:rsidRPr="00365BAF">
        <w:t>Asset Management Plan (</w:t>
      </w:r>
      <w:r w:rsidR="00A40530" w:rsidRPr="00365BAF">
        <w:t>B</w:t>
      </w:r>
      <w:r w:rsidRPr="00365BAF">
        <w:t>AMP) spans a ten</w:t>
      </w:r>
      <w:r w:rsidR="00A40530" w:rsidRPr="00365BAF">
        <w:t xml:space="preserve"> </w:t>
      </w:r>
      <w:r w:rsidRPr="00365BAF">
        <w:t>year timeframe from 201</w:t>
      </w:r>
      <w:r w:rsidR="008C4775" w:rsidRPr="00365BAF">
        <w:t>3</w:t>
      </w:r>
      <w:r w:rsidRPr="00365BAF">
        <w:t xml:space="preserve"> to 202</w:t>
      </w:r>
      <w:r w:rsidR="008C4775" w:rsidRPr="00365BAF">
        <w:t>3</w:t>
      </w:r>
      <w:r w:rsidRPr="00365BAF">
        <w:t xml:space="preserve"> and covers all </w:t>
      </w:r>
      <w:r w:rsidR="00250198">
        <w:t xml:space="preserve">Council-owned and associated </w:t>
      </w:r>
      <w:r w:rsidRPr="00365BAF">
        <w:t>asset</w:t>
      </w:r>
      <w:r w:rsidR="00250198">
        <w:t xml:space="preserve"> management </w:t>
      </w:r>
      <w:r w:rsidRPr="00365BAF">
        <w:t xml:space="preserve">activities. </w:t>
      </w:r>
      <w:r w:rsidRPr="006E1DC9">
        <w:rPr>
          <w:bCs/>
        </w:rPr>
        <w:t>A</w:t>
      </w:r>
      <w:r w:rsidRPr="00365BAF">
        <w:t xml:space="preserve">long with a number of other </w:t>
      </w:r>
      <w:r w:rsidR="009F4819">
        <w:t xml:space="preserve">infrastructure </w:t>
      </w:r>
      <w:r w:rsidRPr="00365BAF">
        <w:t>plans and strategies, th</w:t>
      </w:r>
      <w:r w:rsidR="009F4819">
        <w:t>e</w:t>
      </w:r>
      <w:r w:rsidRPr="00365BAF">
        <w:t xml:space="preserve"> </w:t>
      </w:r>
      <w:r w:rsidR="00A40530" w:rsidRPr="00365BAF">
        <w:t>B</w:t>
      </w:r>
      <w:r w:rsidR="009F4819">
        <w:t xml:space="preserve">AMP supports Council services and is funded by </w:t>
      </w:r>
      <w:r w:rsidRPr="00365BAF">
        <w:t xml:space="preserve">the </w:t>
      </w:r>
      <w:r w:rsidR="00182E00" w:rsidRPr="00365BAF">
        <w:t>Long Term Financial Plan</w:t>
      </w:r>
      <w:r w:rsidRPr="00365BAF">
        <w:t xml:space="preserve"> 201</w:t>
      </w:r>
      <w:r w:rsidR="008C4775" w:rsidRPr="00365BAF">
        <w:t>3</w:t>
      </w:r>
      <w:r w:rsidRPr="00365BAF">
        <w:t xml:space="preserve"> – 202</w:t>
      </w:r>
      <w:r w:rsidR="008C4775" w:rsidRPr="00365BAF">
        <w:t>3</w:t>
      </w:r>
      <w:r w:rsidRPr="00365BAF">
        <w:t>.</w:t>
      </w:r>
    </w:p>
    <w:p w:rsidR="00EE0F60" w:rsidRPr="00365BAF" w:rsidRDefault="00EE0F60" w:rsidP="006E1DC9"/>
    <w:p w:rsidR="00EE73E2" w:rsidRPr="00365BAF" w:rsidRDefault="00EE73E2" w:rsidP="006E1DC9">
      <w:pPr>
        <w:rPr>
          <w:rFonts w:cs="Arial"/>
        </w:rPr>
      </w:pPr>
      <w:r w:rsidRPr="00365BAF">
        <w:rPr>
          <w:rFonts w:cs="Arial"/>
        </w:rPr>
        <w:t xml:space="preserve">The primary purpose of </w:t>
      </w:r>
      <w:r w:rsidR="009F4819">
        <w:rPr>
          <w:rFonts w:cs="Arial"/>
        </w:rPr>
        <w:t xml:space="preserve">the BAMP </w:t>
      </w:r>
      <w:r w:rsidRPr="00365BAF">
        <w:rPr>
          <w:rFonts w:cs="Arial"/>
        </w:rPr>
        <w:t>is to ensure that present and future service requirements are met while managing assets in the most cost effective</w:t>
      </w:r>
      <w:r w:rsidR="00A04ADF" w:rsidRPr="00365BAF">
        <w:rPr>
          <w:rFonts w:cs="Arial"/>
        </w:rPr>
        <w:t xml:space="preserve"> </w:t>
      </w:r>
      <w:r w:rsidR="00927AFA">
        <w:rPr>
          <w:rFonts w:cs="Arial"/>
        </w:rPr>
        <w:t>and</w:t>
      </w:r>
      <w:r w:rsidR="00A04ADF" w:rsidRPr="00365BAF">
        <w:rPr>
          <w:rFonts w:cs="Arial"/>
        </w:rPr>
        <w:t xml:space="preserve"> efficient</w:t>
      </w:r>
      <w:r w:rsidRPr="00365BAF">
        <w:rPr>
          <w:rFonts w:cs="Arial"/>
        </w:rPr>
        <w:t xml:space="preserve"> manner.</w:t>
      </w:r>
    </w:p>
    <w:p w:rsidR="00EE73E2" w:rsidRDefault="00EE73E2" w:rsidP="006E1DC9">
      <w:pPr>
        <w:rPr>
          <w:rFonts w:cs="Arial"/>
        </w:rPr>
      </w:pPr>
      <w:r w:rsidRPr="00365BAF">
        <w:rPr>
          <w:rFonts w:cs="Arial"/>
        </w:rPr>
        <w:t>Th</w:t>
      </w:r>
      <w:r w:rsidR="009F4819">
        <w:rPr>
          <w:rFonts w:cs="Arial"/>
        </w:rPr>
        <w:t>e</w:t>
      </w:r>
      <w:r w:rsidRPr="00365BAF">
        <w:rPr>
          <w:rFonts w:cs="Arial"/>
        </w:rPr>
        <w:t xml:space="preserve"> </w:t>
      </w:r>
      <w:r w:rsidR="00A40530" w:rsidRPr="00365BAF">
        <w:rPr>
          <w:rFonts w:cs="Arial"/>
        </w:rPr>
        <w:t>B</w:t>
      </w:r>
      <w:r w:rsidRPr="00365BAF">
        <w:rPr>
          <w:rFonts w:cs="Arial"/>
        </w:rPr>
        <w:t xml:space="preserve">AMP </w:t>
      </w:r>
      <w:r w:rsidR="009F4819">
        <w:rPr>
          <w:rFonts w:cs="Arial"/>
        </w:rPr>
        <w:t>includ</w:t>
      </w:r>
      <w:r w:rsidRPr="00365BAF">
        <w:rPr>
          <w:rFonts w:cs="Arial"/>
        </w:rPr>
        <w:t>es</w:t>
      </w:r>
      <w:r w:rsidR="009F4819">
        <w:rPr>
          <w:rFonts w:cs="Arial"/>
        </w:rPr>
        <w:t xml:space="preserve"> the following key areas</w:t>
      </w:r>
      <w:r w:rsidRPr="00365BAF">
        <w:rPr>
          <w:rFonts w:cs="Arial"/>
        </w:rPr>
        <w:t>:</w:t>
      </w:r>
    </w:p>
    <w:p w:rsidR="00271668" w:rsidRPr="00365BAF" w:rsidRDefault="00271668" w:rsidP="006E1DC9">
      <w:pPr>
        <w:rPr>
          <w:rFonts w:cs="Arial"/>
        </w:rPr>
      </w:pPr>
    </w:p>
    <w:p w:rsidR="00EE73E2" w:rsidRPr="00271668" w:rsidRDefault="00EE73E2" w:rsidP="008348B5">
      <w:pPr>
        <w:pStyle w:val="ListParagraph"/>
        <w:numPr>
          <w:ilvl w:val="0"/>
          <w:numId w:val="36"/>
        </w:numPr>
        <w:rPr>
          <w:rFonts w:ascii="Arial" w:hAnsi="Arial" w:cs="Arial"/>
          <w:sz w:val="20"/>
          <w:szCs w:val="20"/>
        </w:rPr>
      </w:pPr>
      <w:r w:rsidRPr="00271668">
        <w:rPr>
          <w:rFonts w:ascii="Arial" w:hAnsi="Arial" w:cs="Arial"/>
          <w:sz w:val="20"/>
          <w:szCs w:val="20"/>
        </w:rPr>
        <w:t xml:space="preserve">the levels of service standards, </w:t>
      </w:r>
      <w:r w:rsidR="002C24B0" w:rsidRPr="00271668">
        <w:rPr>
          <w:rFonts w:ascii="Arial" w:hAnsi="Arial" w:cs="Arial"/>
          <w:sz w:val="20"/>
          <w:szCs w:val="20"/>
        </w:rPr>
        <w:t xml:space="preserve">key </w:t>
      </w:r>
      <w:r w:rsidRPr="00271668">
        <w:rPr>
          <w:rFonts w:ascii="Arial" w:hAnsi="Arial" w:cs="Arial"/>
          <w:sz w:val="20"/>
          <w:szCs w:val="20"/>
        </w:rPr>
        <w:t>performance measures and targets and key related strategies used to manage the performance of th</w:t>
      </w:r>
      <w:r w:rsidR="008A4815" w:rsidRPr="00271668">
        <w:rPr>
          <w:rFonts w:ascii="Arial" w:hAnsi="Arial" w:cs="Arial"/>
          <w:sz w:val="20"/>
          <w:szCs w:val="20"/>
        </w:rPr>
        <w:t>e building assets;</w:t>
      </w:r>
    </w:p>
    <w:p w:rsidR="00EE73E2" w:rsidRPr="00271668" w:rsidRDefault="00EE73E2" w:rsidP="008348B5">
      <w:pPr>
        <w:pStyle w:val="ListParagraph"/>
        <w:numPr>
          <w:ilvl w:val="0"/>
          <w:numId w:val="36"/>
        </w:numPr>
        <w:rPr>
          <w:rFonts w:ascii="Arial" w:hAnsi="Arial" w:cs="Arial"/>
          <w:sz w:val="20"/>
          <w:szCs w:val="20"/>
        </w:rPr>
      </w:pPr>
      <w:r w:rsidRPr="00271668">
        <w:rPr>
          <w:rFonts w:ascii="Arial" w:hAnsi="Arial" w:cs="Arial"/>
          <w:sz w:val="20"/>
          <w:szCs w:val="20"/>
        </w:rPr>
        <w:t>the asset management processes, systems and data sets currently used</w:t>
      </w:r>
      <w:r w:rsidR="008A4815" w:rsidRPr="00271668">
        <w:rPr>
          <w:rFonts w:ascii="Arial" w:hAnsi="Arial" w:cs="Arial"/>
          <w:sz w:val="20"/>
          <w:szCs w:val="20"/>
        </w:rPr>
        <w:t>;</w:t>
      </w:r>
    </w:p>
    <w:p w:rsidR="00EE73E2" w:rsidRPr="00271668" w:rsidRDefault="00EE73E2" w:rsidP="008348B5">
      <w:pPr>
        <w:pStyle w:val="ListParagraph"/>
        <w:numPr>
          <w:ilvl w:val="0"/>
          <w:numId w:val="36"/>
        </w:numPr>
        <w:rPr>
          <w:rFonts w:ascii="Arial" w:hAnsi="Arial" w:cs="Arial"/>
          <w:sz w:val="20"/>
          <w:szCs w:val="20"/>
        </w:rPr>
      </w:pPr>
      <w:r w:rsidRPr="00271668">
        <w:rPr>
          <w:rFonts w:ascii="Arial" w:hAnsi="Arial" w:cs="Arial"/>
          <w:sz w:val="20"/>
          <w:szCs w:val="20"/>
        </w:rPr>
        <w:t xml:space="preserve">the strategies for maintaining the levels of service over the lifecycle of the </w:t>
      </w:r>
      <w:r w:rsidR="008A4815" w:rsidRPr="00271668">
        <w:rPr>
          <w:rFonts w:ascii="Arial" w:hAnsi="Arial" w:cs="Arial"/>
          <w:sz w:val="20"/>
          <w:szCs w:val="20"/>
        </w:rPr>
        <w:t xml:space="preserve">building </w:t>
      </w:r>
      <w:r w:rsidRPr="00271668">
        <w:rPr>
          <w:rFonts w:ascii="Arial" w:hAnsi="Arial" w:cs="Arial"/>
          <w:sz w:val="20"/>
          <w:szCs w:val="20"/>
        </w:rPr>
        <w:t>assets</w:t>
      </w:r>
      <w:r w:rsidR="008A4815" w:rsidRPr="00271668">
        <w:rPr>
          <w:rFonts w:ascii="Arial" w:hAnsi="Arial" w:cs="Arial"/>
          <w:sz w:val="20"/>
          <w:szCs w:val="20"/>
        </w:rPr>
        <w:t>;</w:t>
      </w:r>
    </w:p>
    <w:p w:rsidR="00EE73E2" w:rsidRPr="00271668" w:rsidRDefault="00EE73E2" w:rsidP="008348B5">
      <w:pPr>
        <w:pStyle w:val="ListParagraph"/>
        <w:numPr>
          <w:ilvl w:val="0"/>
          <w:numId w:val="36"/>
        </w:numPr>
        <w:rPr>
          <w:rFonts w:ascii="Arial" w:hAnsi="Arial" w:cs="Arial"/>
          <w:sz w:val="20"/>
          <w:szCs w:val="20"/>
        </w:rPr>
      </w:pPr>
      <w:r w:rsidRPr="00271668">
        <w:rPr>
          <w:rFonts w:ascii="Arial" w:hAnsi="Arial" w:cs="Arial"/>
          <w:sz w:val="20"/>
          <w:szCs w:val="20"/>
        </w:rPr>
        <w:t>the major impacts of growth and trends in demand on management of assets and the key strategies identified to manage this demand</w:t>
      </w:r>
      <w:r w:rsidR="008A4815" w:rsidRPr="00271668">
        <w:rPr>
          <w:rFonts w:ascii="Arial" w:hAnsi="Arial" w:cs="Arial"/>
          <w:sz w:val="20"/>
          <w:szCs w:val="20"/>
        </w:rPr>
        <w:t>;</w:t>
      </w:r>
    </w:p>
    <w:p w:rsidR="00EE73E2" w:rsidRPr="00271668" w:rsidRDefault="00EE73E2" w:rsidP="008348B5">
      <w:pPr>
        <w:pStyle w:val="ListParagraph"/>
        <w:numPr>
          <w:ilvl w:val="0"/>
          <w:numId w:val="36"/>
        </w:numPr>
        <w:rPr>
          <w:rFonts w:ascii="Arial" w:hAnsi="Arial" w:cs="Arial"/>
          <w:sz w:val="20"/>
          <w:szCs w:val="20"/>
        </w:rPr>
      </w:pPr>
      <w:r w:rsidRPr="00271668">
        <w:rPr>
          <w:rFonts w:ascii="Arial" w:hAnsi="Arial" w:cs="Arial"/>
          <w:sz w:val="20"/>
          <w:szCs w:val="20"/>
        </w:rPr>
        <w:t>the financial implications of delivering the level</w:t>
      </w:r>
      <w:r w:rsidR="008A4815" w:rsidRPr="00271668">
        <w:rPr>
          <w:rFonts w:ascii="Arial" w:hAnsi="Arial" w:cs="Arial"/>
          <w:sz w:val="20"/>
          <w:szCs w:val="20"/>
        </w:rPr>
        <w:t>s of service;</w:t>
      </w:r>
    </w:p>
    <w:p w:rsidR="00EE73E2" w:rsidRPr="00271668" w:rsidRDefault="00EE73E2" w:rsidP="008348B5">
      <w:pPr>
        <w:pStyle w:val="ListParagraph"/>
        <w:numPr>
          <w:ilvl w:val="0"/>
          <w:numId w:val="36"/>
        </w:numPr>
        <w:rPr>
          <w:rFonts w:ascii="Arial" w:hAnsi="Arial" w:cs="Arial"/>
          <w:sz w:val="20"/>
          <w:szCs w:val="20"/>
        </w:rPr>
      </w:pPr>
      <w:r w:rsidRPr="00271668">
        <w:rPr>
          <w:rFonts w:ascii="Arial" w:hAnsi="Arial" w:cs="Arial"/>
          <w:sz w:val="20"/>
          <w:szCs w:val="20"/>
        </w:rPr>
        <w:t>the management of environmental and financial risks of asset failure</w:t>
      </w:r>
      <w:r w:rsidR="008A4815" w:rsidRPr="00271668">
        <w:rPr>
          <w:rFonts w:ascii="Arial" w:hAnsi="Arial" w:cs="Arial"/>
          <w:sz w:val="20"/>
          <w:szCs w:val="20"/>
        </w:rPr>
        <w:t>;</w:t>
      </w:r>
    </w:p>
    <w:p w:rsidR="00EE73E2" w:rsidRPr="00271668" w:rsidRDefault="00EE73E2" w:rsidP="008348B5">
      <w:pPr>
        <w:pStyle w:val="ListParagraph"/>
        <w:numPr>
          <w:ilvl w:val="0"/>
          <w:numId w:val="36"/>
        </w:numPr>
        <w:rPr>
          <w:rFonts w:ascii="Arial" w:hAnsi="Arial" w:cs="Arial"/>
          <w:sz w:val="20"/>
          <w:szCs w:val="20"/>
        </w:rPr>
      </w:pPr>
      <w:r w:rsidRPr="00271668">
        <w:rPr>
          <w:rFonts w:ascii="Arial" w:hAnsi="Arial" w:cs="Arial"/>
          <w:sz w:val="20"/>
          <w:szCs w:val="20"/>
        </w:rPr>
        <w:t>the key sustainability efforts employed for levels of service delivery in line with</w:t>
      </w:r>
      <w:r w:rsidR="00D57F95">
        <w:rPr>
          <w:rFonts w:ascii="Arial" w:hAnsi="Arial" w:cs="Arial"/>
          <w:sz w:val="20"/>
          <w:szCs w:val="20"/>
        </w:rPr>
        <w:t xml:space="preserve"> </w:t>
      </w:r>
      <w:r w:rsidR="00D57F95" w:rsidRPr="00D57F95">
        <w:rPr>
          <w:rFonts w:ascii="Arial" w:hAnsi="Arial" w:cs="Arial"/>
          <w:sz w:val="20"/>
          <w:szCs w:val="20"/>
        </w:rPr>
        <w:t>Yarra City Council`s</w:t>
      </w:r>
      <w:r w:rsidRPr="00271668">
        <w:rPr>
          <w:rFonts w:ascii="Arial" w:hAnsi="Arial" w:cs="Arial"/>
          <w:sz w:val="20"/>
          <w:szCs w:val="20"/>
        </w:rPr>
        <w:t xml:space="preserve"> </w:t>
      </w:r>
      <w:r w:rsidR="008A4815" w:rsidRPr="00271668">
        <w:rPr>
          <w:rFonts w:ascii="Arial" w:hAnsi="Arial" w:cs="Arial"/>
          <w:sz w:val="20"/>
          <w:szCs w:val="20"/>
        </w:rPr>
        <w:t>Environment Strategy and E</w:t>
      </w:r>
      <w:r w:rsidR="00242822">
        <w:rPr>
          <w:rFonts w:ascii="Arial" w:hAnsi="Arial" w:cs="Arial"/>
          <w:sz w:val="20"/>
          <w:szCs w:val="20"/>
        </w:rPr>
        <w:t xml:space="preserve">nvironmental </w:t>
      </w:r>
      <w:r w:rsidR="008A4815" w:rsidRPr="00271668">
        <w:rPr>
          <w:rFonts w:ascii="Arial" w:hAnsi="Arial" w:cs="Arial"/>
          <w:sz w:val="20"/>
          <w:szCs w:val="20"/>
        </w:rPr>
        <w:t>S</w:t>
      </w:r>
      <w:r w:rsidR="00242822">
        <w:rPr>
          <w:rFonts w:ascii="Arial" w:hAnsi="Arial" w:cs="Arial"/>
          <w:sz w:val="20"/>
          <w:szCs w:val="20"/>
        </w:rPr>
        <w:t xml:space="preserve">ustainability and </w:t>
      </w:r>
      <w:r w:rsidR="008A4815" w:rsidRPr="00271668">
        <w:rPr>
          <w:rFonts w:ascii="Arial" w:hAnsi="Arial" w:cs="Arial"/>
          <w:sz w:val="20"/>
          <w:szCs w:val="20"/>
        </w:rPr>
        <w:t>D</w:t>
      </w:r>
      <w:r w:rsidR="00242822">
        <w:rPr>
          <w:rFonts w:ascii="Arial" w:hAnsi="Arial" w:cs="Arial"/>
          <w:sz w:val="20"/>
          <w:szCs w:val="20"/>
        </w:rPr>
        <w:t>esign (ESD)</w:t>
      </w:r>
      <w:r w:rsidR="008A4815" w:rsidRPr="00271668">
        <w:rPr>
          <w:rFonts w:ascii="Arial" w:hAnsi="Arial" w:cs="Arial"/>
          <w:sz w:val="20"/>
          <w:szCs w:val="20"/>
        </w:rPr>
        <w:t xml:space="preserve"> Policy</w:t>
      </w:r>
    </w:p>
    <w:p w:rsidR="00EE73E2" w:rsidRPr="00271668" w:rsidRDefault="00EE73E2" w:rsidP="008348B5">
      <w:pPr>
        <w:pStyle w:val="ListParagraph"/>
        <w:numPr>
          <w:ilvl w:val="0"/>
          <w:numId w:val="36"/>
        </w:numPr>
        <w:rPr>
          <w:rFonts w:ascii="Arial" w:hAnsi="Arial" w:cs="Arial"/>
          <w:sz w:val="20"/>
          <w:szCs w:val="20"/>
        </w:rPr>
      </w:pPr>
      <w:r w:rsidRPr="00271668">
        <w:rPr>
          <w:rFonts w:ascii="Arial" w:hAnsi="Arial" w:cs="Arial"/>
          <w:sz w:val="20"/>
          <w:szCs w:val="20"/>
        </w:rPr>
        <w:t>the efforts to ensure the optimal utilisation and rationalisation of assets in line with service delivery</w:t>
      </w:r>
      <w:r w:rsidR="008A4815" w:rsidRPr="00271668">
        <w:rPr>
          <w:rFonts w:ascii="Arial" w:hAnsi="Arial" w:cs="Arial"/>
          <w:sz w:val="20"/>
          <w:szCs w:val="20"/>
        </w:rPr>
        <w:t>;</w:t>
      </w:r>
    </w:p>
    <w:p w:rsidR="00EE73E2" w:rsidRPr="00271668" w:rsidRDefault="00EE73E2" w:rsidP="008348B5">
      <w:pPr>
        <w:pStyle w:val="ListParagraph"/>
        <w:numPr>
          <w:ilvl w:val="0"/>
          <w:numId w:val="36"/>
        </w:numPr>
        <w:rPr>
          <w:rFonts w:ascii="Arial" w:hAnsi="Arial" w:cs="Arial"/>
          <w:sz w:val="20"/>
          <w:szCs w:val="20"/>
        </w:rPr>
      </w:pPr>
      <w:r w:rsidRPr="00271668">
        <w:rPr>
          <w:rFonts w:ascii="Arial" w:hAnsi="Arial" w:cs="Arial"/>
          <w:sz w:val="20"/>
          <w:szCs w:val="20"/>
        </w:rPr>
        <w:t>the compliance with any related Statutory Requirements and legislation</w:t>
      </w:r>
      <w:r w:rsidR="008A4815" w:rsidRPr="00271668">
        <w:rPr>
          <w:rFonts w:ascii="Arial" w:hAnsi="Arial" w:cs="Arial"/>
          <w:sz w:val="20"/>
          <w:szCs w:val="20"/>
        </w:rPr>
        <w:t>; and</w:t>
      </w:r>
    </w:p>
    <w:p w:rsidR="00EE73E2" w:rsidRPr="00271668" w:rsidRDefault="00EE73E2" w:rsidP="008348B5">
      <w:pPr>
        <w:pStyle w:val="ListParagraph"/>
        <w:numPr>
          <w:ilvl w:val="0"/>
          <w:numId w:val="36"/>
        </w:numPr>
        <w:rPr>
          <w:rFonts w:ascii="Arial" w:hAnsi="Arial" w:cs="Arial"/>
          <w:sz w:val="20"/>
          <w:szCs w:val="20"/>
        </w:rPr>
      </w:pPr>
      <w:r w:rsidRPr="00271668">
        <w:rPr>
          <w:rFonts w:ascii="Arial" w:hAnsi="Arial" w:cs="Arial"/>
          <w:sz w:val="20"/>
          <w:szCs w:val="20"/>
        </w:rPr>
        <w:t>the key areas of improvement and an outline of how those areas will be addressed</w:t>
      </w:r>
    </w:p>
    <w:p w:rsidR="00EE73E2" w:rsidRPr="00365BAF" w:rsidRDefault="00EE73E2" w:rsidP="002F775C">
      <w:pPr>
        <w:rPr>
          <w:rFonts w:cs="Arial"/>
        </w:rPr>
      </w:pPr>
    </w:p>
    <w:p w:rsidR="00EE73E2" w:rsidRPr="00365BAF" w:rsidRDefault="00EE73E2" w:rsidP="002F775C">
      <w:pPr>
        <w:rPr>
          <w:rFonts w:cs="Arial"/>
        </w:rPr>
      </w:pPr>
      <w:r w:rsidRPr="00365BAF">
        <w:rPr>
          <w:rFonts w:cs="Arial"/>
        </w:rPr>
        <w:t>Th</w:t>
      </w:r>
      <w:r w:rsidR="009F4819">
        <w:rPr>
          <w:rFonts w:cs="Arial"/>
        </w:rPr>
        <w:t>e</w:t>
      </w:r>
      <w:r w:rsidRPr="00365BAF">
        <w:rPr>
          <w:rFonts w:cs="Arial"/>
        </w:rPr>
        <w:t xml:space="preserve"> </w:t>
      </w:r>
      <w:r w:rsidR="00A40530" w:rsidRPr="00365BAF">
        <w:rPr>
          <w:rFonts w:cs="Arial"/>
        </w:rPr>
        <w:t>B</w:t>
      </w:r>
      <w:r w:rsidRPr="00365BAF">
        <w:rPr>
          <w:rFonts w:cs="Arial"/>
        </w:rPr>
        <w:t xml:space="preserve">AMP has been developed using the </w:t>
      </w:r>
      <w:r w:rsidR="00A40530" w:rsidRPr="00365BAF">
        <w:rPr>
          <w:rFonts w:cs="Arial"/>
        </w:rPr>
        <w:t>Y</w:t>
      </w:r>
      <w:r w:rsidR="006A6C2D" w:rsidRPr="00365BAF">
        <w:rPr>
          <w:rFonts w:cs="Arial"/>
        </w:rPr>
        <w:t>arra</w:t>
      </w:r>
      <w:r w:rsidRPr="00365BAF">
        <w:rPr>
          <w:rFonts w:cs="Arial"/>
        </w:rPr>
        <w:t xml:space="preserve"> </w:t>
      </w:r>
      <w:r w:rsidR="00A40530" w:rsidRPr="00365BAF">
        <w:rPr>
          <w:rFonts w:cs="Arial"/>
        </w:rPr>
        <w:t xml:space="preserve">City Council`s </w:t>
      </w:r>
      <w:r w:rsidRPr="00365BAF">
        <w:rPr>
          <w:rFonts w:cs="Arial"/>
        </w:rPr>
        <w:t xml:space="preserve">Asset Management Framework which has been implemented to ensure that asset management is undertaken in a structured and coordinated manner across the whole organisation. The framework is based on </w:t>
      </w:r>
      <w:r w:rsidR="002C24B0" w:rsidRPr="00365BAF">
        <w:rPr>
          <w:rFonts w:cs="Arial"/>
        </w:rPr>
        <w:t>International</w:t>
      </w:r>
      <w:r w:rsidR="009F4819">
        <w:rPr>
          <w:rFonts w:cs="Arial"/>
        </w:rPr>
        <w:t xml:space="preserve"> Infrastructure</w:t>
      </w:r>
      <w:r w:rsidR="002C24B0" w:rsidRPr="00365BAF">
        <w:rPr>
          <w:rFonts w:cs="Arial"/>
        </w:rPr>
        <w:t xml:space="preserve"> Management Manual (IIMM)</w:t>
      </w:r>
      <w:r w:rsidR="00CB19E2" w:rsidRPr="00365BAF">
        <w:rPr>
          <w:rFonts w:cs="Arial"/>
        </w:rPr>
        <w:t xml:space="preserve">, </w:t>
      </w:r>
      <w:r w:rsidR="002C24B0" w:rsidRPr="00365BAF">
        <w:rPr>
          <w:rFonts w:cs="Arial"/>
        </w:rPr>
        <w:t>National Asset Management Assessment Framework (NAMAF)</w:t>
      </w:r>
      <w:r w:rsidRPr="00365BAF">
        <w:rPr>
          <w:rFonts w:cs="Arial"/>
        </w:rPr>
        <w:t xml:space="preserve"> guidelines and asset management best practice principles.</w:t>
      </w:r>
    </w:p>
    <w:p w:rsidR="008A4815" w:rsidRPr="00365BAF" w:rsidRDefault="008A4815" w:rsidP="002F775C">
      <w:pPr>
        <w:rPr>
          <w:rFonts w:cs="Arial"/>
        </w:rPr>
      </w:pPr>
    </w:p>
    <w:p w:rsidR="00EE73E2" w:rsidRPr="00EE0F60" w:rsidRDefault="00EE73E2" w:rsidP="002F775C">
      <w:pPr>
        <w:rPr>
          <w:rFonts w:cs="Arial"/>
          <w:b/>
        </w:rPr>
      </w:pPr>
      <w:r w:rsidRPr="00EE0F60">
        <w:rPr>
          <w:rFonts w:cs="Arial"/>
          <w:b/>
        </w:rPr>
        <w:t>Basis of preparation</w:t>
      </w:r>
    </w:p>
    <w:p w:rsidR="00EE0F60" w:rsidRPr="00365BAF" w:rsidRDefault="00EE0F60" w:rsidP="002F775C">
      <w:pPr>
        <w:rPr>
          <w:rFonts w:cs="Arial"/>
        </w:rPr>
      </w:pPr>
    </w:p>
    <w:p w:rsidR="00727E08" w:rsidRDefault="00EE73E2" w:rsidP="002F775C">
      <w:pPr>
        <w:rPr>
          <w:rFonts w:cs="Arial"/>
        </w:rPr>
      </w:pPr>
      <w:r w:rsidRPr="00365BAF">
        <w:rPr>
          <w:rFonts w:cs="Arial"/>
        </w:rPr>
        <w:t>Th</w:t>
      </w:r>
      <w:r w:rsidR="009F4819">
        <w:rPr>
          <w:rFonts w:cs="Arial"/>
        </w:rPr>
        <w:t>e</w:t>
      </w:r>
      <w:r w:rsidRPr="00365BAF">
        <w:rPr>
          <w:rFonts w:cs="Arial"/>
        </w:rPr>
        <w:t xml:space="preserve"> </w:t>
      </w:r>
      <w:r w:rsidR="00A40530" w:rsidRPr="00365BAF">
        <w:rPr>
          <w:rFonts w:cs="Arial"/>
        </w:rPr>
        <w:t>B</w:t>
      </w:r>
      <w:r w:rsidRPr="00365BAF">
        <w:rPr>
          <w:rFonts w:cs="Arial"/>
        </w:rPr>
        <w:t xml:space="preserve">AMP is based on an integration of information </w:t>
      </w:r>
      <w:r w:rsidR="008A4815" w:rsidRPr="00365BAF">
        <w:rPr>
          <w:rFonts w:cs="Arial"/>
        </w:rPr>
        <w:t xml:space="preserve">of </w:t>
      </w:r>
      <w:r w:rsidR="00C0201E" w:rsidRPr="00365BAF">
        <w:rPr>
          <w:rFonts w:cs="Arial"/>
        </w:rPr>
        <w:t>Council</w:t>
      </w:r>
      <w:r w:rsidR="009F4819">
        <w:rPr>
          <w:rFonts w:cs="Arial"/>
        </w:rPr>
        <w:t>-</w:t>
      </w:r>
      <w:r w:rsidR="00C0201E" w:rsidRPr="00365BAF">
        <w:rPr>
          <w:rFonts w:cs="Arial"/>
        </w:rPr>
        <w:t xml:space="preserve"> </w:t>
      </w:r>
      <w:r w:rsidR="008A4815" w:rsidRPr="00365BAF">
        <w:rPr>
          <w:rFonts w:cs="Arial"/>
        </w:rPr>
        <w:t xml:space="preserve">owned and leased building </w:t>
      </w:r>
      <w:r w:rsidR="00CB19E2" w:rsidRPr="00365BAF">
        <w:rPr>
          <w:rFonts w:cs="Arial"/>
        </w:rPr>
        <w:t>asset</w:t>
      </w:r>
      <w:r w:rsidR="00C0201E" w:rsidRPr="00365BAF">
        <w:rPr>
          <w:rFonts w:cs="Arial"/>
        </w:rPr>
        <w:t>s</w:t>
      </w:r>
      <w:r w:rsidRPr="00365BAF">
        <w:rPr>
          <w:rFonts w:cs="Arial"/>
        </w:rPr>
        <w:t xml:space="preserve"> and includes input from a range of stakeholders, both external and interna</w:t>
      </w:r>
      <w:r w:rsidR="00A40530" w:rsidRPr="00365BAF">
        <w:rPr>
          <w:rFonts w:cs="Arial"/>
        </w:rPr>
        <w:t>l.</w:t>
      </w:r>
      <w:r w:rsidR="007612EB" w:rsidRPr="00365BAF">
        <w:rPr>
          <w:rFonts w:cs="Arial"/>
        </w:rPr>
        <w:t xml:space="preserve"> </w:t>
      </w:r>
      <w:r w:rsidR="00A40530" w:rsidRPr="00365BAF">
        <w:rPr>
          <w:rFonts w:cs="Arial"/>
        </w:rPr>
        <w:t>It</w:t>
      </w:r>
      <w:r w:rsidR="00503FDF" w:rsidRPr="00365BAF">
        <w:rPr>
          <w:rFonts w:cs="Arial"/>
        </w:rPr>
        <w:t xml:space="preserve"> has been compiled </w:t>
      </w:r>
      <w:r w:rsidR="00CC3E9D" w:rsidRPr="00365BAF">
        <w:rPr>
          <w:rFonts w:cs="Arial"/>
        </w:rPr>
        <w:t xml:space="preserve">to ensure </w:t>
      </w:r>
      <w:r w:rsidR="00CB19E2" w:rsidRPr="00365BAF">
        <w:rPr>
          <w:rFonts w:cs="Arial"/>
        </w:rPr>
        <w:t xml:space="preserve">that </w:t>
      </w:r>
      <w:r w:rsidR="00A40530" w:rsidRPr="00365BAF">
        <w:rPr>
          <w:rFonts w:cs="Arial"/>
        </w:rPr>
        <w:t>Yarra City Council</w:t>
      </w:r>
      <w:r w:rsidR="00CC3E9D" w:rsidRPr="00365BAF">
        <w:rPr>
          <w:rFonts w:cs="Arial"/>
        </w:rPr>
        <w:t xml:space="preserve"> me</w:t>
      </w:r>
      <w:r w:rsidR="00503FDF" w:rsidRPr="00365BAF">
        <w:rPr>
          <w:rFonts w:cs="Arial"/>
        </w:rPr>
        <w:t>e</w:t>
      </w:r>
      <w:r w:rsidR="00CC3E9D" w:rsidRPr="00365BAF">
        <w:rPr>
          <w:rFonts w:cs="Arial"/>
        </w:rPr>
        <w:t>t</w:t>
      </w:r>
      <w:r w:rsidR="00503FDF" w:rsidRPr="00365BAF">
        <w:rPr>
          <w:rFonts w:cs="Arial"/>
        </w:rPr>
        <w:t>s</w:t>
      </w:r>
      <w:r w:rsidR="00CC3E9D" w:rsidRPr="00365BAF">
        <w:rPr>
          <w:rFonts w:cs="Arial"/>
        </w:rPr>
        <w:t xml:space="preserve"> legislative requirements</w:t>
      </w:r>
      <w:r w:rsidR="00503FDF" w:rsidRPr="00365BAF">
        <w:rPr>
          <w:rFonts w:cs="Arial"/>
        </w:rPr>
        <w:t>, is based on the</w:t>
      </w:r>
      <w:r w:rsidR="00CC3E9D" w:rsidRPr="00365BAF">
        <w:rPr>
          <w:rFonts w:cs="Arial"/>
        </w:rPr>
        <w:t xml:space="preserve"> 2013 Long Term </w:t>
      </w:r>
      <w:r w:rsidR="00570C90" w:rsidRPr="00365BAF">
        <w:rPr>
          <w:rFonts w:cs="Arial"/>
        </w:rPr>
        <w:t xml:space="preserve">Financial </w:t>
      </w:r>
      <w:r w:rsidR="00CC3E9D" w:rsidRPr="00365BAF">
        <w:rPr>
          <w:rFonts w:cs="Arial"/>
        </w:rPr>
        <w:t>Plan (LT</w:t>
      </w:r>
      <w:r w:rsidR="00570C90" w:rsidRPr="00365BAF">
        <w:rPr>
          <w:rFonts w:cs="Arial"/>
        </w:rPr>
        <w:t>F</w:t>
      </w:r>
      <w:r w:rsidR="00503FDF" w:rsidRPr="00365BAF">
        <w:rPr>
          <w:rFonts w:cs="Arial"/>
        </w:rPr>
        <w:t>P) and Council Plan. O</w:t>
      </w:r>
      <w:r w:rsidR="00727E08" w:rsidRPr="00365BAF">
        <w:rPr>
          <w:rFonts w:cs="Arial"/>
        </w:rPr>
        <w:t xml:space="preserve">ther documents </w:t>
      </w:r>
      <w:r w:rsidR="00622DC3">
        <w:rPr>
          <w:rFonts w:cs="Arial"/>
        </w:rPr>
        <w:t>Y</w:t>
      </w:r>
      <w:r w:rsidR="00CB19E2" w:rsidRPr="00365BAF">
        <w:rPr>
          <w:rFonts w:cs="Arial"/>
        </w:rPr>
        <w:t xml:space="preserve">arra </w:t>
      </w:r>
      <w:r w:rsidR="00622DC3">
        <w:rPr>
          <w:rFonts w:cs="Arial"/>
        </w:rPr>
        <w:t xml:space="preserve">City Council </w:t>
      </w:r>
      <w:r w:rsidR="009F4819">
        <w:rPr>
          <w:rFonts w:cs="Arial"/>
        </w:rPr>
        <w:t>are</w:t>
      </w:r>
      <w:r w:rsidR="00727E08" w:rsidRPr="00365BAF">
        <w:rPr>
          <w:rFonts w:cs="Arial"/>
        </w:rPr>
        <w:t xml:space="preserve"> referenced as appropriate</w:t>
      </w:r>
      <w:r w:rsidR="00503FDF" w:rsidRPr="00365BAF">
        <w:rPr>
          <w:rFonts w:cs="Arial"/>
        </w:rPr>
        <w:t xml:space="preserve">. </w:t>
      </w:r>
      <w:r w:rsidR="007B2F6C" w:rsidRPr="00365BAF">
        <w:rPr>
          <w:rFonts w:cs="Arial"/>
        </w:rPr>
        <w:t>The BAMP</w:t>
      </w:r>
      <w:r w:rsidR="00503FDF" w:rsidRPr="00365BAF">
        <w:rPr>
          <w:rFonts w:cs="Arial"/>
        </w:rPr>
        <w:t xml:space="preserve"> meets the requirements for core competency </w:t>
      </w:r>
      <w:r w:rsidR="007B2F6C" w:rsidRPr="00365BAF">
        <w:rPr>
          <w:rFonts w:cs="Arial"/>
        </w:rPr>
        <w:t xml:space="preserve">of the NAMAF and makes progress towards </w:t>
      </w:r>
      <w:r w:rsidR="009F4819">
        <w:rPr>
          <w:rFonts w:cs="Arial"/>
        </w:rPr>
        <w:t xml:space="preserve">an </w:t>
      </w:r>
      <w:r w:rsidR="007B2F6C" w:rsidRPr="00365BAF">
        <w:rPr>
          <w:rFonts w:cs="Arial"/>
        </w:rPr>
        <w:t>advanced rating of that framework.</w:t>
      </w:r>
    </w:p>
    <w:p w:rsidR="00EE0F60" w:rsidRPr="00365BAF" w:rsidRDefault="00EE0F60" w:rsidP="002F775C">
      <w:pPr>
        <w:rPr>
          <w:rFonts w:cs="Arial"/>
        </w:rPr>
      </w:pPr>
    </w:p>
    <w:p w:rsidR="00EE73E2" w:rsidRDefault="00C91464" w:rsidP="00185B47">
      <w:r w:rsidRPr="00365BAF">
        <w:t xml:space="preserve">A key part of this plan is the inclusion of an Improvement Plan that identifies existing gaps and the key actions to address these gaps. The </w:t>
      </w:r>
      <w:r w:rsidR="00A40530" w:rsidRPr="00365BAF">
        <w:t>B</w:t>
      </w:r>
      <w:r w:rsidR="008A4815" w:rsidRPr="00365BAF">
        <w:t>AMP</w:t>
      </w:r>
      <w:r w:rsidRPr="00365BAF">
        <w:t xml:space="preserve"> will </w:t>
      </w:r>
      <w:r w:rsidR="008A4815" w:rsidRPr="00365BAF">
        <w:t xml:space="preserve">be </w:t>
      </w:r>
      <w:r w:rsidRPr="00365BAF">
        <w:t>regularly review</w:t>
      </w:r>
      <w:r w:rsidR="008A4815" w:rsidRPr="00365BAF">
        <w:t>ed,</w:t>
      </w:r>
      <w:r w:rsidRPr="00365BAF">
        <w:t xml:space="preserve"> and progress made against the Improvement Plan </w:t>
      </w:r>
      <w:r w:rsidR="008A4815" w:rsidRPr="00365BAF">
        <w:t xml:space="preserve">monitored </w:t>
      </w:r>
      <w:r w:rsidRPr="00365BAF">
        <w:t>to ensure actions are being implemented effectively.</w:t>
      </w:r>
    </w:p>
    <w:p w:rsidR="00D70D72" w:rsidRDefault="00D70D72" w:rsidP="00185B47"/>
    <w:p w:rsidR="00D70D72" w:rsidRDefault="00D70D72" w:rsidP="00185B47"/>
    <w:p w:rsidR="00D70D72" w:rsidRDefault="00D70D72" w:rsidP="00185B47">
      <w:pPr>
        <w:sectPr w:rsidR="00D70D72" w:rsidSect="00252A9E">
          <w:footerReference w:type="default" r:id="rId13"/>
          <w:type w:val="oddPage"/>
          <w:pgSz w:w="11906" w:h="16838" w:code="9"/>
          <w:pgMar w:top="1418" w:right="1418" w:bottom="851" w:left="1418" w:header="284" w:footer="312" w:gutter="0"/>
          <w:pgNumType w:start="1"/>
          <w:cols w:space="720"/>
          <w:docGrid w:linePitch="360"/>
        </w:sectPr>
      </w:pPr>
    </w:p>
    <w:p w:rsidR="006724AD" w:rsidRPr="00222036" w:rsidRDefault="006724AD" w:rsidP="0098598A">
      <w:pPr>
        <w:pStyle w:val="Title"/>
        <w:widowControl w:val="0"/>
        <w:spacing w:before="240" w:after="240"/>
        <w:jc w:val="left"/>
        <w:rPr>
          <w:rFonts w:cs="Arial"/>
          <w:color w:val="4F81BD"/>
          <w:sz w:val="36"/>
          <w:szCs w:val="36"/>
        </w:rPr>
      </w:pPr>
      <w:bookmarkStart w:id="4" w:name="_Toc345057484"/>
      <w:r w:rsidRPr="00222036">
        <w:rPr>
          <w:rFonts w:cs="Arial"/>
          <w:color w:val="4F81BD"/>
          <w:sz w:val="36"/>
          <w:szCs w:val="36"/>
        </w:rPr>
        <w:lastRenderedPageBreak/>
        <w:t>Glossary of Terms</w:t>
      </w:r>
      <w:bookmarkEnd w:id="4"/>
    </w:p>
    <w:tbl>
      <w:tblPr>
        <w:tblW w:w="926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747"/>
        <w:gridCol w:w="6519"/>
      </w:tblGrid>
      <w:tr w:rsidR="0098598A" w:rsidRPr="006F599F" w:rsidTr="0098598A">
        <w:trPr>
          <w:cantSplit/>
          <w:tblHeader/>
          <w:jc w:val="center"/>
        </w:trPr>
        <w:tc>
          <w:tcPr>
            <w:tcW w:w="2747" w:type="dxa"/>
            <w:shd w:val="clear" w:color="auto" w:fill="95B3D7" w:themeFill="accent1" w:themeFillTint="99"/>
            <w:vAlign w:val="center"/>
          </w:tcPr>
          <w:p w:rsidR="0098598A" w:rsidRPr="006F599F" w:rsidRDefault="0098598A" w:rsidP="006F599F">
            <w:pPr>
              <w:pStyle w:val="TableText1"/>
              <w:widowControl w:val="0"/>
              <w:spacing w:before="120" w:after="120"/>
              <w:jc w:val="left"/>
              <w:rPr>
                <w:rFonts w:cs="Arial"/>
                <w:b/>
                <w:sz w:val="20"/>
              </w:rPr>
            </w:pPr>
            <w:r w:rsidRPr="006F599F">
              <w:rPr>
                <w:rFonts w:cs="Arial"/>
                <w:b/>
                <w:sz w:val="20"/>
              </w:rPr>
              <w:t>Term</w:t>
            </w:r>
          </w:p>
        </w:tc>
        <w:tc>
          <w:tcPr>
            <w:tcW w:w="6519" w:type="dxa"/>
            <w:shd w:val="clear" w:color="auto" w:fill="95B3D7" w:themeFill="accent1" w:themeFillTint="99"/>
            <w:vAlign w:val="center"/>
          </w:tcPr>
          <w:p w:rsidR="0098598A" w:rsidRPr="006F599F" w:rsidRDefault="0098598A" w:rsidP="006F599F">
            <w:pPr>
              <w:pStyle w:val="TableText1"/>
              <w:widowControl w:val="0"/>
              <w:spacing w:before="120" w:after="120"/>
              <w:jc w:val="left"/>
              <w:rPr>
                <w:rFonts w:cs="Arial"/>
                <w:b/>
                <w:sz w:val="20"/>
              </w:rPr>
            </w:pPr>
            <w:r w:rsidRPr="006F599F">
              <w:rPr>
                <w:rFonts w:cs="Arial"/>
                <w:b/>
                <w:sz w:val="20"/>
              </w:rPr>
              <w:t>Definition</w:t>
            </w:r>
          </w:p>
        </w:tc>
      </w:tr>
      <w:tr w:rsidR="0098598A" w:rsidRPr="006F599F" w:rsidTr="0098598A">
        <w:trPr>
          <w:cantSplit/>
          <w:jc w:val="center"/>
        </w:trPr>
        <w:tc>
          <w:tcPr>
            <w:tcW w:w="2747" w:type="dxa"/>
          </w:tcPr>
          <w:p w:rsidR="0098598A" w:rsidRPr="006F599F" w:rsidRDefault="0098598A" w:rsidP="006F599F">
            <w:pPr>
              <w:pStyle w:val="TableText1"/>
              <w:widowControl w:val="0"/>
              <w:spacing w:before="120" w:after="120"/>
              <w:jc w:val="left"/>
              <w:rPr>
                <w:rFonts w:cs="Arial"/>
                <w:sz w:val="20"/>
              </w:rPr>
            </w:pPr>
            <w:r w:rsidRPr="006F599F">
              <w:rPr>
                <w:rFonts w:cs="Arial"/>
                <w:sz w:val="20"/>
              </w:rPr>
              <w:t>Accessibility</w:t>
            </w:r>
          </w:p>
        </w:tc>
        <w:tc>
          <w:tcPr>
            <w:tcW w:w="6519" w:type="dxa"/>
          </w:tcPr>
          <w:p w:rsidR="0098598A" w:rsidRPr="006F599F" w:rsidRDefault="0098598A" w:rsidP="006F599F">
            <w:pPr>
              <w:pStyle w:val="TableText1"/>
              <w:widowControl w:val="0"/>
              <w:spacing w:before="120" w:after="120"/>
              <w:jc w:val="left"/>
              <w:rPr>
                <w:rFonts w:cs="Arial"/>
                <w:sz w:val="20"/>
              </w:rPr>
            </w:pPr>
            <w:r w:rsidRPr="006F599F">
              <w:rPr>
                <w:rFonts w:cs="Arial"/>
                <w:sz w:val="20"/>
              </w:rPr>
              <w:t>Accessibility is understood as freedom to independent access to buildings, premises, information and services by people with disabilities.  For example, IT equipment, systems and software that allow people with visual impairment (i.e. using adaptive software) to access these resources; a step free entry that ensures people using wheelchairs or scooters, the elderly or parents with pushers can access the premises.</w:t>
            </w:r>
          </w:p>
        </w:tc>
      </w:tr>
      <w:tr w:rsidR="0098598A" w:rsidRPr="006F599F" w:rsidTr="0098598A">
        <w:trPr>
          <w:cantSplit/>
          <w:jc w:val="center"/>
        </w:trPr>
        <w:tc>
          <w:tcPr>
            <w:tcW w:w="2747" w:type="dxa"/>
          </w:tcPr>
          <w:p w:rsidR="0098598A" w:rsidRPr="006F599F" w:rsidRDefault="0098598A" w:rsidP="006F599F">
            <w:pPr>
              <w:pStyle w:val="TableText1"/>
              <w:widowControl w:val="0"/>
              <w:spacing w:before="120" w:after="120"/>
              <w:jc w:val="left"/>
              <w:rPr>
                <w:rFonts w:cs="Arial"/>
                <w:sz w:val="20"/>
              </w:rPr>
            </w:pPr>
            <w:r w:rsidRPr="006F599F">
              <w:rPr>
                <w:rFonts w:cs="Arial"/>
                <w:sz w:val="20"/>
              </w:rPr>
              <w:t>Asset</w:t>
            </w:r>
          </w:p>
        </w:tc>
        <w:tc>
          <w:tcPr>
            <w:tcW w:w="6519" w:type="dxa"/>
          </w:tcPr>
          <w:p w:rsidR="0098598A" w:rsidRPr="006F599F" w:rsidRDefault="0098598A" w:rsidP="006F599F">
            <w:pPr>
              <w:pStyle w:val="TableText1"/>
              <w:widowControl w:val="0"/>
              <w:spacing w:before="120" w:after="120"/>
              <w:jc w:val="left"/>
              <w:rPr>
                <w:rFonts w:cs="Arial"/>
                <w:sz w:val="20"/>
              </w:rPr>
            </w:pPr>
            <w:r w:rsidRPr="006F599F">
              <w:rPr>
                <w:rFonts w:cs="Arial"/>
                <w:sz w:val="20"/>
              </w:rPr>
              <w:t>Assets are the tangible component of a service, they are a physical item that is owned or controlled by Council, and provide or contribute to the provision of services to the community</w:t>
            </w:r>
          </w:p>
        </w:tc>
      </w:tr>
      <w:tr w:rsidR="0098598A" w:rsidRPr="006F599F" w:rsidTr="0098598A">
        <w:trPr>
          <w:cantSplit/>
          <w:jc w:val="center"/>
        </w:trPr>
        <w:tc>
          <w:tcPr>
            <w:tcW w:w="2747" w:type="dxa"/>
          </w:tcPr>
          <w:p w:rsidR="0098598A" w:rsidRPr="006F599F" w:rsidRDefault="0098598A" w:rsidP="006F599F">
            <w:pPr>
              <w:pStyle w:val="TableText1"/>
              <w:widowControl w:val="0"/>
              <w:spacing w:before="120" w:after="120"/>
              <w:jc w:val="left"/>
              <w:rPr>
                <w:rFonts w:cs="Arial"/>
                <w:sz w:val="20"/>
              </w:rPr>
            </w:pPr>
            <w:r w:rsidRPr="006F599F">
              <w:rPr>
                <w:rFonts w:cs="Arial"/>
                <w:sz w:val="20"/>
              </w:rPr>
              <w:t>Asset Management</w:t>
            </w:r>
          </w:p>
        </w:tc>
        <w:tc>
          <w:tcPr>
            <w:tcW w:w="6519" w:type="dxa"/>
          </w:tcPr>
          <w:p w:rsidR="0098598A" w:rsidRPr="006F599F" w:rsidRDefault="0098598A" w:rsidP="006F599F">
            <w:pPr>
              <w:pStyle w:val="TableText1"/>
              <w:widowControl w:val="0"/>
              <w:spacing w:before="120" w:after="120"/>
              <w:jc w:val="left"/>
              <w:rPr>
                <w:rFonts w:cs="Arial"/>
                <w:sz w:val="20"/>
              </w:rPr>
            </w:pPr>
            <w:r w:rsidRPr="006F599F">
              <w:rPr>
                <w:rFonts w:cs="Arial"/>
                <w:sz w:val="20"/>
              </w:rPr>
              <w:t>The process applied to manage assets over each stage of their service life including asset needs analysis, creation, operation, maintenance, renewal and disposal.  The objective of asset management is to ensure the assets deliver the required level of service in the most effective and efficient manner now and into the future.</w:t>
            </w:r>
          </w:p>
        </w:tc>
      </w:tr>
      <w:tr w:rsidR="0098598A" w:rsidRPr="006F599F" w:rsidTr="0098598A">
        <w:trPr>
          <w:cantSplit/>
          <w:jc w:val="center"/>
        </w:trPr>
        <w:tc>
          <w:tcPr>
            <w:tcW w:w="2747" w:type="dxa"/>
          </w:tcPr>
          <w:p w:rsidR="0098598A" w:rsidRPr="006F599F" w:rsidRDefault="0098598A" w:rsidP="006F599F">
            <w:pPr>
              <w:pStyle w:val="TableText1"/>
              <w:widowControl w:val="0"/>
              <w:spacing w:before="120" w:after="120"/>
              <w:jc w:val="left"/>
              <w:rPr>
                <w:rFonts w:cs="Arial"/>
                <w:sz w:val="20"/>
              </w:rPr>
            </w:pPr>
            <w:r w:rsidRPr="006F599F">
              <w:rPr>
                <w:rFonts w:cs="Arial"/>
                <w:sz w:val="20"/>
              </w:rPr>
              <w:t>Asset Management Strategy</w:t>
            </w:r>
          </w:p>
        </w:tc>
        <w:tc>
          <w:tcPr>
            <w:tcW w:w="6519" w:type="dxa"/>
          </w:tcPr>
          <w:p w:rsidR="0098598A" w:rsidRPr="006F599F" w:rsidRDefault="0098598A" w:rsidP="006F599F">
            <w:pPr>
              <w:pStyle w:val="TableText1"/>
              <w:widowControl w:val="0"/>
              <w:spacing w:before="120" w:after="120"/>
              <w:jc w:val="left"/>
              <w:rPr>
                <w:rFonts w:cs="Arial"/>
                <w:sz w:val="20"/>
              </w:rPr>
            </w:pPr>
            <w:r w:rsidRPr="006F599F">
              <w:rPr>
                <w:rFonts w:cs="Arial"/>
                <w:sz w:val="20"/>
              </w:rPr>
              <w:t>The objective of the strategy is to develop a structured set of actions to improve Yarra’s asset management.  Council recognises that these assets must be planned, provided, maintained, renewed and disposed of so that they continue to meet the service delivery needs of the community whilst achieving best value and sustainable outcomes</w:t>
            </w:r>
          </w:p>
          <w:p w:rsidR="0098598A" w:rsidRPr="006F599F" w:rsidRDefault="0098598A" w:rsidP="006F599F">
            <w:pPr>
              <w:pStyle w:val="TableText1"/>
              <w:widowControl w:val="0"/>
              <w:spacing w:before="120" w:after="120"/>
              <w:jc w:val="left"/>
              <w:rPr>
                <w:rFonts w:cs="Arial"/>
                <w:sz w:val="20"/>
              </w:rPr>
            </w:pPr>
            <w:r w:rsidRPr="006F599F">
              <w:rPr>
                <w:rFonts w:cs="Arial"/>
                <w:sz w:val="20"/>
              </w:rPr>
              <w:t xml:space="preserve">The importance of these assets to communities and their significance in terms of Council’s budgets and operational strategies means that asset management must be at the centre of Council’s overall financial and strategic short and long term planning cycles. </w:t>
            </w:r>
          </w:p>
        </w:tc>
      </w:tr>
      <w:tr w:rsidR="0098598A" w:rsidRPr="006F599F" w:rsidTr="0098598A">
        <w:trPr>
          <w:cantSplit/>
          <w:jc w:val="center"/>
        </w:trPr>
        <w:tc>
          <w:tcPr>
            <w:tcW w:w="2747" w:type="dxa"/>
          </w:tcPr>
          <w:p w:rsidR="0098598A" w:rsidRPr="006F599F" w:rsidRDefault="0098598A" w:rsidP="00F068FC">
            <w:pPr>
              <w:pStyle w:val="TableText1"/>
              <w:widowControl w:val="0"/>
              <w:spacing w:before="120" w:after="120"/>
              <w:jc w:val="left"/>
              <w:rPr>
                <w:rFonts w:cs="Arial"/>
                <w:sz w:val="20"/>
              </w:rPr>
            </w:pPr>
            <w:r w:rsidRPr="006F599F">
              <w:rPr>
                <w:rFonts w:cs="Arial"/>
                <w:sz w:val="20"/>
              </w:rPr>
              <w:t>Basic Asset Management</w:t>
            </w:r>
          </w:p>
        </w:tc>
        <w:tc>
          <w:tcPr>
            <w:tcW w:w="6519" w:type="dxa"/>
          </w:tcPr>
          <w:p w:rsidR="0098598A" w:rsidRPr="006F599F" w:rsidRDefault="0098598A" w:rsidP="006F599F">
            <w:pPr>
              <w:pStyle w:val="TableText1"/>
              <w:widowControl w:val="0"/>
              <w:spacing w:before="120" w:after="120"/>
              <w:jc w:val="left"/>
              <w:rPr>
                <w:rFonts w:cs="Arial"/>
                <w:sz w:val="20"/>
              </w:rPr>
            </w:pPr>
            <w:r w:rsidRPr="006F599F">
              <w:rPr>
                <w:rFonts w:cs="Arial"/>
                <w:sz w:val="20"/>
              </w:rPr>
              <w:t>Asset management which relies primarily on the use of an asset register, maintenance management systems, job/resource management, inventory control, condition assessment and defined levels of service, in order to establish alternative treatment options and long term cash flow predictions.  Priorities are usually established on the basis of financial return gained by carrying out the work (rather than risk analysis</w:t>
            </w:r>
            <w:r w:rsidR="0067277B">
              <w:rPr>
                <w:rFonts w:cs="Arial"/>
                <w:sz w:val="20"/>
              </w:rPr>
              <w:t xml:space="preserve"> and optimised renewal decision-</w:t>
            </w:r>
            <w:r w:rsidRPr="006F599F">
              <w:rPr>
                <w:rFonts w:cs="Arial"/>
                <w:sz w:val="20"/>
              </w:rPr>
              <w:t>making).</w:t>
            </w:r>
          </w:p>
        </w:tc>
      </w:tr>
      <w:tr w:rsidR="0098598A" w:rsidRPr="006F599F" w:rsidTr="0098598A">
        <w:trPr>
          <w:cantSplit/>
          <w:jc w:val="center"/>
        </w:trPr>
        <w:tc>
          <w:tcPr>
            <w:tcW w:w="2747" w:type="dxa"/>
          </w:tcPr>
          <w:p w:rsidR="0098598A" w:rsidRPr="006F599F" w:rsidRDefault="0098598A" w:rsidP="006F599F">
            <w:pPr>
              <w:pStyle w:val="TableText1"/>
              <w:widowControl w:val="0"/>
              <w:spacing w:before="120" w:after="120"/>
              <w:jc w:val="left"/>
              <w:rPr>
                <w:rFonts w:cs="Arial"/>
                <w:sz w:val="20"/>
              </w:rPr>
            </w:pPr>
            <w:r w:rsidRPr="006F599F">
              <w:rPr>
                <w:rFonts w:cs="Arial"/>
                <w:sz w:val="20"/>
              </w:rPr>
              <w:t>Building</w:t>
            </w:r>
          </w:p>
        </w:tc>
        <w:tc>
          <w:tcPr>
            <w:tcW w:w="6519" w:type="dxa"/>
            <w:shd w:val="clear" w:color="auto" w:fill="auto"/>
          </w:tcPr>
          <w:p w:rsidR="0098598A" w:rsidRPr="006F599F" w:rsidRDefault="0098598A" w:rsidP="006F599F">
            <w:pPr>
              <w:pStyle w:val="TableText1"/>
              <w:widowControl w:val="0"/>
              <w:spacing w:before="120" w:after="120"/>
              <w:jc w:val="left"/>
              <w:rPr>
                <w:rFonts w:cs="Arial"/>
                <w:sz w:val="20"/>
              </w:rPr>
            </w:pPr>
            <w:r w:rsidRPr="006F599F">
              <w:rPr>
                <w:rFonts w:cs="Arial"/>
                <w:sz w:val="20"/>
              </w:rPr>
              <w:t xml:space="preserve">An independent structure enclosed within exterior walls and a roof, and including all attached apparatus, equipment, and fixtures, and stands more or less permanently in one place, primarily above ground. </w:t>
            </w:r>
          </w:p>
        </w:tc>
      </w:tr>
      <w:tr w:rsidR="0098598A" w:rsidRPr="006F599F" w:rsidTr="0098598A">
        <w:trPr>
          <w:cantSplit/>
          <w:jc w:val="center"/>
        </w:trPr>
        <w:tc>
          <w:tcPr>
            <w:tcW w:w="2747" w:type="dxa"/>
          </w:tcPr>
          <w:p w:rsidR="0098598A" w:rsidRPr="006F599F" w:rsidRDefault="0098598A" w:rsidP="00F068FC">
            <w:pPr>
              <w:pStyle w:val="TableText1"/>
              <w:widowControl w:val="0"/>
              <w:spacing w:before="120" w:after="120"/>
              <w:jc w:val="left"/>
              <w:rPr>
                <w:rFonts w:cs="Arial"/>
                <w:sz w:val="20"/>
              </w:rPr>
            </w:pPr>
            <w:r w:rsidRPr="006F599F">
              <w:rPr>
                <w:rFonts w:cs="Arial"/>
                <w:sz w:val="20"/>
              </w:rPr>
              <w:t>Business Plan</w:t>
            </w:r>
          </w:p>
        </w:tc>
        <w:tc>
          <w:tcPr>
            <w:tcW w:w="6519" w:type="dxa"/>
          </w:tcPr>
          <w:p w:rsidR="0098598A" w:rsidRPr="006F599F" w:rsidRDefault="0098598A" w:rsidP="006F599F">
            <w:pPr>
              <w:pStyle w:val="TableText1"/>
              <w:widowControl w:val="0"/>
              <w:spacing w:before="120" w:after="120"/>
              <w:jc w:val="left"/>
              <w:rPr>
                <w:rFonts w:cs="Arial"/>
                <w:sz w:val="20"/>
              </w:rPr>
            </w:pPr>
            <w:r w:rsidRPr="006F599F">
              <w:rPr>
                <w:rFonts w:cs="Arial"/>
                <w:sz w:val="20"/>
              </w:rPr>
              <w:t>A plan produced by an organisation (or business units within it) which translate the objectives contained in an Annual Plan into detailed work plans for a particular, or range of, business activities.  Activities may include marketing, development, operations, management, personnel, technology and financial planning.</w:t>
            </w:r>
          </w:p>
        </w:tc>
      </w:tr>
      <w:tr w:rsidR="0098598A" w:rsidRPr="006F599F" w:rsidTr="0098598A">
        <w:trPr>
          <w:cantSplit/>
          <w:jc w:val="center"/>
        </w:trPr>
        <w:tc>
          <w:tcPr>
            <w:tcW w:w="2747" w:type="dxa"/>
          </w:tcPr>
          <w:p w:rsidR="0098598A" w:rsidRPr="006F599F" w:rsidRDefault="0098598A" w:rsidP="006F599F">
            <w:pPr>
              <w:pStyle w:val="TableText1"/>
              <w:widowControl w:val="0"/>
              <w:spacing w:before="120" w:after="120"/>
              <w:jc w:val="left"/>
              <w:rPr>
                <w:rFonts w:cs="Arial"/>
                <w:sz w:val="20"/>
              </w:rPr>
            </w:pPr>
            <w:r w:rsidRPr="006F599F">
              <w:rPr>
                <w:rFonts w:cs="Arial"/>
                <w:sz w:val="20"/>
              </w:rPr>
              <w:t xml:space="preserve">Capital Expenditure </w:t>
            </w:r>
          </w:p>
        </w:tc>
        <w:tc>
          <w:tcPr>
            <w:tcW w:w="6519" w:type="dxa"/>
          </w:tcPr>
          <w:p w:rsidR="0098598A" w:rsidRPr="006F599F" w:rsidRDefault="0098598A" w:rsidP="006F599F">
            <w:pPr>
              <w:pStyle w:val="TableText1"/>
              <w:widowControl w:val="0"/>
              <w:spacing w:before="120" w:after="120"/>
              <w:jc w:val="left"/>
              <w:rPr>
                <w:rFonts w:cs="Arial"/>
                <w:sz w:val="20"/>
              </w:rPr>
            </w:pPr>
            <w:r w:rsidRPr="006F599F">
              <w:rPr>
                <w:rFonts w:cs="Arial"/>
                <w:sz w:val="20"/>
              </w:rPr>
              <w:t>Expenditure used to create new assets or to increase the capacity of existing assets beyond their original design capacity or service potential.  Capital expenditure increases the value of an asset.</w:t>
            </w:r>
          </w:p>
        </w:tc>
      </w:tr>
      <w:tr w:rsidR="0098598A" w:rsidRPr="006F599F" w:rsidTr="0098598A">
        <w:trPr>
          <w:cantSplit/>
          <w:jc w:val="center"/>
        </w:trPr>
        <w:tc>
          <w:tcPr>
            <w:tcW w:w="2747" w:type="dxa"/>
          </w:tcPr>
          <w:p w:rsidR="0098598A" w:rsidRPr="006F599F" w:rsidRDefault="0098598A" w:rsidP="006F599F">
            <w:pPr>
              <w:pStyle w:val="TableText1"/>
              <w:widowControl w:val="0"/>
              <w:spacing w:before="120" w:after="120"/>
              <w:jc w:val="left"/>
              <w:rPr>
                <w:rFonts w:cs="Arial"/>
                <w:sz w:val="20"/>
              </w:rPr>
            </w:pPr>
            <w:r w:rsidRPr="006F599F">
              <w:rPr>
                <w:rFonts w:cs="Arial"/>
                <w:sz w:val="20"/>
              </w:rPr>
              <w:t>Cashflow</w:t>
            </w:r>
          </w:p>
        </w:tc>
        <w:tc>
          <w:tcPr>
            <w:tcW w:w="6519" w:type="dxa"/>
          </w:tcPr>
          <w:p w:rsidR="0098598A" w:rsidRPr="006F599F" w:rsidRDefault="0098598A" w:rsidP="006F599F">
            <w:pPr>
              <w:pStyle w:val="TableText1"/>
              <w:widowControl w:val="0"/>
              <w:spacing w:before="120" w:after="120"/>
              <w:jc w:val="left"/>
              <w:rPr>
                <w:rFonts w:cs="Arial"/>
                <w:sz w:val="20"/>
              </w:rPr>
            </w:pPr>
            <w:r w:rsidRPr="006F599F">
              <w:rPr>
                <w:rFonts w:cs="Arial"/>
                <w:sz w:val="20"/>
              </w:rPr>
              <w:t>The stream of costs and/or benefits over time resulting from a project investment or ownership of an asset.</w:t>
            </w:r>
          </w:p>
        </w:tc>
      </w:tr>
      <w:tr w:rsidR="0098598A" w:rsidRPr="006F599F" w:rsidTr="0098598A">
        <w:trPr>
          <w:cantSplit/>
          <w:jc w:val="center"/>
        </w:trPr>
        <w:tc>
          <w:tcPr>
            <w:tcW w:w="2747" w:type="dxa"/>
          </w:tcPr>
          <w:p w:rsidR="0098598A" w:rsidRPr="006F599F" w:rsidRDefault="0098598A" w:rsidP="006F599F">
            <w:pPr>
              <w:pStyle w:val="TableText1"/>
              <w:widowControl w:val="0"/>
              <w:spacing w:before="120" w:after="120"/>
              <w:jc w:val="left"/>
              <w:rPr>
                <w:rFonts w:cs="Arial"/>
                <w:sz w:val="20"/>
              </w:rPr>
            </w:pPr>
            <w:r w:rsidRPr="006F599F">
              <w:rPr>
                <w:rFonts w:cs="Arial"/>
                <w:sz w:val="20"/>
              </w:rPr>
              <w:lastRenderedPageBreak/>
              <w:t>Condition Monitoring</w:t>
            </w:r>
          </w:p>
        </w:tc>
        <w:tc>
          <w:tcPr>
            <w:tcW w:w="6519" w:type="dxa"/>
          </w:tcPr>
          <w:p w:rsidR="0098598A" w:rsidRPr="006F599F" w:rsidRDefault="0098598A" w:rsidP="006F599F">
            <w:pPr>
              <w:pStyle w:val="TableText1"/>
              <w:widowControl w:val="0"/>
              <w:spacing w:before="120" w:after="120"/>
              <w:jc w:val="left"/>
              <w:rPr>
                <w:rFonts w:cs="Arial"/>
                <w:sz w:val="20"/>
              </w:rPr>
            </w:pPr>
            <w:r w:rsidRPr="006F599F">
              <w:rPr>
                <w:rFonts w:cs="Arial"/>
                <w:sz w:val="20"/>
              </w:rPr>
              <w:t>Continuous or periodic inspection, assessment, measurement and interpretation of resulting data, to indicate the condition of a specific component so as to determine the need for some preventive or remedial action.</w:t>
            </w:r>
          </w:p>
        </w:tc>
      </w:tr>
      <w:tr w:rsidR="0098598A" w:rsidRPr="006F599F" w:rsidTr="0098598A">
        <w:trPr>
          <w:cantSplit/>
          <w:jc w:val="center"/>
        </w:trPr>
        <w:tc>
          <w:tcPr>
            <w:tcW w:w="2747" w:type="dxa"/>
          </w:tcPr>
          <w:p w:rsidR="0098598A" w:rsidRPr="006F599F" w:rsidRDefault="0098598A" w:rsidP="00F068FC">
            <w:pPr>
              <w:pStyle w:val="TableText1"/>
              <w:widowControl w:val="0"/>
              <w:spacing w:before="120" w:after="120"/>
              <w:jc w:val="left"/>
              <w:rPr>
                <w:rFonts w:cs="Arial"/>
                <w:sz w:val="20"/>
              </w:rPr>
            </w:pPr>
            <w:r w:rsidRPr="006F599F">
              <w:rPr>
                <w:rFonts w:cs="Arial"/>
                <w:sz w:val="20"/>
              </w:rPr>
              <w:t>Council Plan</w:t>
            </w:r>
          </w:p>
        </w:tc>
        <w:tc>
          <w:tcPr>
            <w:tcW w:w="6519" w:type="dxa"/>
          </w:tcPr>
          <w:p w:rsidR="0098598A" w:rsidRPr="006F599F" w:rsidRDefault="0098598A" w:rsidP="006F599F">
            <w:pPr>
              <w:pStyle w:val="TableText1"/>
              <w:widowControl w:val="0"/>
              <w:spacing w:before="120" w:after="120"/>
              <w:jc w:val="left"/>
              <w:rPr>
                <w:rFonts w:cs="Arial"/>
                <w:sz w:val="20"/>
              </w:rPr>
            </w:pPr>
            <w:r w:rsidRPr="006F599F">
              <w:rPr>
                <w:rFonts w:cs="Arial"/>
                <w:sz w:val="20"/>
              </w:rPr>
              <w:t>A Council Plan provides guidance to Councillors, staff, community, State and Federal governments, and local service providers on how Council will respond to the opportunities and challenges the municipality faces over the next four years.</w:t>
            </w:r>
          </w:p>
        </w:tc>
      </w:tr>
      <w:tr w:rsidR="0098598A" w:rsidRPr="006F599F" w:rsidTr="0098598A">
        <w:trPr>
          <w:cantSplit/>
          <w:jc w:val="center"/>
        </w:trPr>
        <w:tc>
          <w:tcPr>
            <w:tcW w:w="2747" w:type="dxa"/>
          </w:tcPr>
          <w:p w:rsidR="0098598A" w:rsidRPr="006F599F" w:rsidRDefault="0098598A" w:rsidP="006F599F">
            <w:pPr>
              <w:pStyle w:val="TableText1"/>
              <w:widowControl w:val="0"/>
              <w:spacing w:before="120" w:after="120"/>
              <w:jc w:val="left"/>
              <w:rPr>
                <w:rFonts w:cs="Arial"/>
                <w:sz w:val="20"/>
              </w:rPr>
            </w:pPr>
            <w:r w:rsidRPr="006F599F">
              <w:rPr>
                <w:rFonts w:cs="Arial"/>
                <w:sz w:val="20"/>
              </w:rPr>
              <w:t>Demand Management</w:t>
            </w:r>
          </w:p>
        </w:tc>
        <w:tc>
          <w:tcPr>
            <w:tcW w:w="6519" w:type="dxa"/>
          </w:tcPr>
          <w:p w:rsidR="0098598A" w:rsidRPr="006F599F" w:rsidRDefault="0098598A" w:rsidP="006F599F">
            <w:pPr>
              <w:pStyle w:val="TableText1"/>
              <w:widowControl w:val="0"/>
              <w:spacing w:before="120" w:after="120"/>
              <w:jc w:val="left"/>
              <w:rPr>
                <w:rFonts w:cs="Arial"/>
                <w:sz w:val="20"/>
              </w:rPr>
            </w:pPr>
            <w:r w:rsidRPr="006F599F">
              <w:rPr>
                <w:rFonts w:cs="Arial"/>
                <w:sz w:val="20"/>
              </w:rPr>
              <w:t>The active intervention in the market to influence demand for services and assets with forecast consequences, usually to avoid or defer capital works expenditure.  Demand management is based on the notions that as needs are satisfied expectations rise automatically and almost every action taken to satisfy demand will stimulate further demand.</w:t>
            </w:r>
          </w:p>
        </w:tc>
      </w:tr>
      <w:tr w:rsidR="0098598A" w:rsidRPr="006F599F" w:rsidTr="0098598A">
        <w:trPr>
          <w:cantSplit/>
          <w:jc w:val="center"/>
        </w:trPr>
        <w:tc>
          <w:tcPr>
            <w:tcW w:w="2747" w:type="dxa"/>
          </w:tcPr>
          <w:p w:rsidR="0098598A" w:rsidRPr="006F599F" w:rsidRDefault="0098598A" w:rsidP="006F599F">
            <w:pPr>
              <w:pStyle w:val="TableText1"/>
              <w:widowControl w:val="0"/>
              <w:spacing w:before="120" w:after="120"/>
              <w:jc w:val="left"/>
              <w:rPr>
                <w:rFonts w:cs="Arial"/>
                <w:sz w:val="20"/>
              </w:rPr>
            </w:pPr>
            <w:r w:rsidRPr="006F599F">
              <w:rPr>
                <w:rFonts w:cs="Arial"/>
                <w:sz w:val="20"/>
              </w:rPr>
              <w:t>Depreciation</w:t>
            </w:r>
          </w:p>
        </w:tc>
        <w:tc>
          <w:tcPr>
            <w:tcW w:w="6519" w:type="dxa"/>
          </w:tcPr>
          <w:p w:rsidR="0098598A" w:rsidRPr="006F599F" w:rsidRDefault="0098598A" w:rsidP="006F599F">
            <w:pPr>
              <w:pStyle w:val="TableText1"/>
              <w:widowControl w:val="0"/>
              <w:spacing w:before="120" w:after="120"/>
              <w:jc w:val="left"/>
              <w:rPr>
                <w:rFonts w:cs="Arial"/>
                <w:sz w:val="20"/>
              </w:rPr>
            </w:pPr>
            <w:r w:rsidRPr="006F599F">
              <w:rPr>
                <w:rFonts w:cs="Arial"/>
                <w:sz w:val="20"/>
              </w:rPr>
              <w:t>The wearing out, consumption or other loss of value of an asset whether arising from use, passing of time or obsolescence through technological and market changes. It is accounted for by the allocation of the historical cost (or revalued amount) of the asset less its residual value over its useful life.</w:t>
            </w:r>
          </w:p>
        </w:tc>
      </w:tr>
      <w:tr w:rsidR="0098598A" w:rsidRPr="006F599F" w:rsidTr="0098598A">
        <w:trPr>
          <w:cantSplit/>
          <w:jc w:val="center"/>
        </w:trPr>
        <w:tc>
          <w:tcPr>
            <w:tcW w:w="2747" w:type="dxa"/>
          </w:tcPr>
          <w:p w:rsidR="0098598A" w:rsidRPr="006F599F" w:rsidRDefault="0098598A" w:rsidP="00F068FC">
            <w:pPr>
              <w:pStyle w:val="TableText1"/>
              <w:widowControl w:val="0"/>
              <w:spacing w:before="120" w:after="120"/>
              <w:jc w:val="left"/>
              <w:rPr>
                <w:rFonts w:cs="Arial"/>
                <w:sz w:val="20"/>
              </w:rPr>
            </w:pPr>
            <w:r w:rsidRPr="006F599F">
              <w:rPr>
                <w:rFonts w:cs="Arial"/>
                <w:sz w:val="20"/>
              </w:rPr>
              <w:t>Discretionary Funding</w:t>
            </w:r>
          </w:p>
        </w:tc>
        <w:tc>
          <w:tcPr>
            <w:tcW w:w="6519" w:type="dxa"/>
          </w:tcPr>
          <w:p w:rsidR="0098598A" w:rsidRPr="006F599F" w:rsidRDefault="0098598A" w:rsidP="006F599F">
            <w:pPr>
              <w:pStyle w:val="TableText1"/>
              <w:widowControl w:val="0"/>
              <w:spacing w:before="120" w:after="120"/>
              <w:jc w:val="left"/>
              <w:rPr>
                <w:rFonts w:cs="Arial"/>
                <w:sz w:val="20"/>
              </w:rPr>
            </w:pPr>
            <w:r w:rsidRPr="006F599F">
              <w:rPr>
                <w:rFonts w:cs="Arial"/>
                <w:sz w:val="20"/>
              </w:rPr>
              <w:t>Spending is the decision to introduce new services (hence new assets) funded via recurrent and capital works program.  Council chooses the priority for new and upgraded services.</w:t>
            </w:r>
          </w:p>
        </w:tc>
      </w:tr>
      <w:tr w:rsidR="0098598A" w:rsidRPr="006F599F" w:rsidTr="0098598A">
        <w:trPr>
          <w:cantSplit/>
          <w:jc w:val="center"/>
        </w:trPr>
        <w:tc>
          <w:tcPr>
            <w:tcW w:w="2747" w:type="dxa"/>
          </w:tcPr>
          <w:p w:rsidR="0098598A" w:rsidRPr="006F599F" w:rsidRDefault="0098598A" w:rsidP="006F599F">
            <w:pPr>
              <w:pStyle w:val="TableText1"/>
              <w:widowControl w:val="0"/>
              <w:spacing w:before="120" w:after="120"/>
              <w:jc w:val="left"/>
              <w:rPr>
                <w:rFonts w:cs="Arial"/>
                <w:sz w:val="20"/>
              </w:rPr>
            </w:pPr>
            <w:r w:rsidRPr="006F599F">
              <w:rPr>
                <w:rFonts w:cs="Arial"/>
                <w:sz w:val="20"/>
              </w:rPr>
              <w:t>Disposal</w:t>
            </w:r>
          </w:p>
        </w:tc>
        <w:tc>
          <w:tcPr>
            <w:tcW w:w="6519" w:type="dxa"/>
          </w:tcPr>
          <w:p w:rsidR="0098598A" w:rsidRPr="006F599F" w:rsidRDefault="0098598A" w:rsidP="006F599F">
            <w:pPr>
              <w:pStyle w:val="TableText1"/>
              <w:widowControl w:val="0"/>
              <w:spacing w:before="120" w:after="120"/>
              <w:jc w:val="left"/>
              <w:rPr>
                <w:rFonts w:cs="Arial"/>
                <w:sz w:val="20"/>
              </w:rPr>
            </w:pPr>
            <w:r w:rsidRPr="006F599F">
              <w:rPr>
                <w:rFonts w:cs="Arial"/>
                <w:sz w:val="20"/>
              </w:rPr>
              <w:t>Activities necessary to dispose of decommissioned assets.</w:t>
            </w:r>
          </w:p>
        </w:tc>
      </w:tr>
      <w:tr w:rsidR="0098598A" w:rsidRPr="006F599F" w:rsidTr="0098598A">
        <w:trPr>
          <w:cantSplit/>
          <w:jc w:val="center"/>
        </w:trPr>
        <w:tc>
          <w:tcPr>
            <w:tcW w:w="2747" w:type="dxa"/>
          </w:tcPr>
          <w:p w:rsidR="0098598A" w:rsidRPr="006F599F" w:rsidRDefault="0098598A" w:rsidP="00F068FC">
            <w:pPr>
              <w:pStyle w:val="TableText1"/>
              <w:widowControl w:val="0"/>
              <w:spacing w:before="120" w:after="120"/>
              <w:jc w:val="left"/>
              <w:rPr>
                <w:rFonts w:cs="Arial"/>
                <w:sz w:val="20"/>
              </w:rPr>
            </w:pPr>
            <w:r w:rsidRPr="006F599F">
              <w:rPr>
                <w:rFonts w:cs="Arial"/>
                <w:sz w:val="20"/>
              </w:rPr>
              <w:t xml:space="preserve">Economic </w:t>
            </w:r>
            <w:r w:rsidR="00F068FC">
              <w:rPr>
                <w:rFonts w:cs="Arial"/>
                <w:sz w:val="20"/>
              </w:rPr>
              <w:t>L</w:t>
            </w:r>
            <w:r w:rsidRPr="006F599F">
              <w:rPr>
                <w:rFonts w:cs="Arial"/>
                <w:sz w:val="20"/>
              </w:rPr>
              <w:t>ife</w:t>
            </w:r>
          </w:p>
        </w:tc>
        <w:tc>
          <w:tcPr>
            <w:tcW w:w="6519" w:type="dxa"/>
          </w:tcPr>
          <w:p w:rsidR="0098598A" w:rsidRPr="006F599F" w:rsidRDefault="0098598A" w:rsidP="006F599F">
            <w:pPr>
              <w:pStyle w:val="TableText1"/>
              <w:widowControl w:val="0"/>
              <w:spacing w:before="120" w:after="120"/>
              <w:jc w:val="left"/>
              <w:rPr>
                <w:rFonts w:cs="Arial"/>
                <w:sz w:val="20"/>
              </w:rPr>
            </w:pPr>
            <w:r w:rsidRPr="006F599F">
              <w:rPr>
                <w:rFonts w:cs="Arial"/>
                <w:sz w:val="20"/>
              </w:rPr>
              <w:t>The period from the acquisition of the asset to the time when the asset, while physically able to provide a service, ceases to be the lowest cost alternative to satisfy a particular level of service.  The economic life is at the maximum when equal to the physical life however obsolescence will often ensure that the economic life is less than the physical life.</w:t>
            </w:r>
          </w:p>
        </w:tc>
      </w:tr>
      <w:tr w:rsidR="0098598A" w:rsidRPr="006F599F" w:rsidTr="0098598A">
        <w:trPr>
          <w:cantSplit/>
          <w:jc w:val="center"/>
        </w:trPr>
        <w:tc>
          <w:tcPr>
            <w:tcW w:w="2747" w:type="dxa"/>
          </w:tcPr>
          <w:p w:rsidR="0098598A" w:rsidRPr="006F599F" w:rsidRDefault="0098598A" w:rsidP="00F068FC">
            <w:pPr>
              <w:pStyle w:val="TableText1"/>
              <w:widowControl w:val="0"/>
              <w:spacing w:before="120" w:after="120"/>
              <w:jc w:val="left"/>
              <w:rPr>
                <w:rFonts w:cs="Arial"/>
                <w:sz w:val="20"/>
              </w:rPr>
            </w:pPr>
            <w:r w:rsidRPr="006F599F">
              <w:rPr>
                <w:rFonts w:cs="Arial"/>
                <w:sz w:val="20"/>
              </w:rPr>
              <w:t>Environmental Sustainability</w:t>
            </w:r>
          </w:p>
        </w:tc>
        <w:tc>
          <w:tcPr>
            <w:tcW w:w="6519" w:type="dxa"/>
          </w:tcPr>
          <w:p w:rsidR="0098598A" w:rsidRPr="006F599F" w:rsidRDefault="0098598A" w:rsidP="006F599F">
            <w:pPr>
              <w:pStyle w:val="TableText1"/>
              <w:widowControl w:val="0"/>
              <w:spacing w:before="120" w:after="120"/>
              <w:jc w:val="left"/>
              <w:rPr>
                <w:rFonts w:cs="Arial"/>
                <w:sz w:val="20"/>
              </w:rPr>
            </w:pPr>
            <w:r w:rsidRPr="006F599F">
              <w:rPr>
                <w:rFonts w:cs="Arial"/>
                <w:sz w:val="20"/>
              </w:rPr>
              <w:t xml:space="preserve">Environmental sustainability refers to a long term proactive commitment by the Council, individuals, workplaces and neighbourhoods (with support of the Council) to put in place business and lifestyle practices in order to look after our environment and create a sustainable future. </w:t>
            </w:r>
          </w:p>
          <w:p w:rsidR="0098598A" w:rsidRPr="006F599F" w:rsidRDefault="0098598A" w:rsidP="006F599F">
            <w:pPr>
              <w:pStyle w:val="TableText1"/>
              <w:widowControl w:val="0"/>
              <w:spacing w:before="120" w:after="120"/>
              <w:jc w:val="left"/>
              <w:rPr>
                <w:rFonts w:cs="Arial"/>
                <w:sz w:val="20"/>
              </w:rPr>
            </w:pPr>
            <w:r w:rsidRPr="006F599F">
              <w:rPr>
                <w:rFonts w:cs="Arial"/>
                <w:sz w:val="20"/>
              </w:rPr>
              <w:t xml:space="preserve">By way of example the sustainable goals of Yarra will include increasing the number of homes that are water and energy efficient and powered by clean renewable energy, where every household and business is composting and recycling, where residents are saying no to using plastic bags and excess packaging, and everyone can grow or has access to locally grown food.  </w:t>
            </w:r>
          </w:p>
          <w:p w:rsidR="0098598A" w:rsidRPr="006F599F" w:rsidRDefault="0098598A" w:rsidP="006F599F">
            <w:pPr>
              <w:pStyle w:val="TableText1"/>
              <w:widowControl w:val="0"/>
              <w:spacing w:before="120" w:after="120"/>
              <w:jc w:val="left"/>
              <w:rPr>
                <w:rFonts w:cs="Arial"/>
                <w:sz w:val="20"/>
              </w:rPr>
            </w:pPr>
            <w:r w:rsidRPr="006F599F">
              <w:rPr>
                <w:rFonts w:cs="Arial"/>
                <w:sz w:val="20"/>
              </w:rPr>
              <w:t>It will include a carbon neutral municipality, with healthy ecosystems, environmentally friendly buildings, infrastructure, transport and streetscapes. The aim will include meeting the four main environmental sustainability targets listed in Council’s Customer Service Guarantee – reducing water consumption, Carbon Neutrality, significant reductions in energy and generating a percentage of energy needs from renewable energy.</w:t>
            </w:r>
          </w:p>
        </w:tc>
      </w:tr>
      <w:tr w:rsidR="0098598A" w:rsidRPr="006F599F" w:rsidTr="0098598A">
        <w:trPr>
          <w:cantSplit/>
          <w:jc w:val="center"/>
        </w:trPr>
        <w:tc>
          <w:tcPr>
            <w:tcW w:w="2747" w:type="dxa"/>
          </w:tcPr>
          <w:p w:rsidR="0098598A" w:rsidRPr="006F599F" w:rsidRDefault="0098598A" w:rsidP="006F599F">
            <w:pPr>
              <w:pStyle w:val="TableText1"/>
              <w:widowControl w:val="0"/>
              <w:spacing w:before="120" w:after="120"/>
              <w:jc w:val="left"/>
              <w:rPr>
                <w:rFonts w:cs="Arial"/>
                <w:sz w:val="20"/>
              </w:rPr>
            </w:pPr>
            <w:r w:rsidRPr="006F599F">
              <w:rPr>
                <w:rFonts w:cs="Arial"/>
                <w:sz w:val="20"/>
              </w:rPr>
              <w:t>Facility</w:t>
            </w:r>
          </w:p>
        </w:tc>
        <w:tc>
          <w:tcPr>
            <w:tcW w:w="6519" w:type="dxa"/>
          </w:tcPr>
          <w:p w:rsidR="0098598A" w:rsidRPr="006F599F" w:rsidRDefault="0098598A" w:rsidP="006F599F">
            <w:pPr>
              <w:pStyle w:val="TableText1"/>
              <w:widowControl w:val="0"/>
              <w:spacing w:before="120" w:after="120"/>
              <w:jc w:val="left"/>
              <w:rPr>
                <w:rFonts w:cs="Arial"/>
                <w:sz w:val="20"/>
              </w:rPr>
            </w:pPr>
            <w:r w:rsidRPr="006F599F">
              <w:rPr>
                <w:rFonts w:cs="Arial"/>
                <w:sz w:val="20"/>
              </w:rPr>
              <w:t>A complex comprising many assets (e.g. a pump station, etc.) which represents a single management unit for financial, operational, maintenance or other purposes.</w:t>
            </w:r>
          </w:p>
        </w:tc>
      </w:tr>
      <w:tr w:rsidR="0098598A" w:rsidRPr="006F599F" w:rsidTr="0098598A">
        <w:trPr>
          <w:cantSplit/>
          <w:jc w:val="center"/>
        </w:trPr>
        <w:tc>
          <w:tcPr>
            <w:tcW w:w="2747" w:type="dxa"/>
          </w:tcPr>
          <w:p w:rsidR="0098598A" w:rsidRPr="006F599F" w:rsidRDefault="0098598A" w:rsidP="00F068FC">
            <w:pPr>
              <w:pStyle w:val="TableText1"/>
              <w:widowControl w:val="0"/>
              <w:spacing w:before="120" w:after="120"/>
              <w:jc w:val="left"/>
              <w:rPr>
                <w:rFonts w:cs="Arial"/>
                <w:sz w:val="20"/>
              </w:rPr>
            </w:pPr>
            <w:r w:rsidRPr="006F599F">
              <w:rPr>
                <w:rFonts w:cs="Arial"/>
                <w:sz w:val="20"/>
              </w:rPr>
              <w:lastRenderedPageBreak/>
              <w:t>Financial Sustainability</w:t>
            </w:r>
          </w:p>
        </w:tc>
        <w:tc>
          <w:tcPr>
            <w:tcW w:w="6519" w:type="dxa"/>
          </w:tcPr>
          <w:p w:rsidR="0098598A" w:rsidRPr="006F599F" w:rsidRDefault="0098598A" w:rsidP="006F599F">
            <w:pPr>
              <w:pStyle w:val="TableText1"/>
              <w:widowControl w:val="0"/>
              <w:spacing w:before="120" w:after="120"/>
              <w:jc w:val="left"/>
              <w:rPr>
                <w:rFonts w:cs="Arial"/>
                <w:sz w:val="20"/>
              </w:rPr>
            </w:pPr>
            <w:r w:rsidRPr="006F599F">
              <w:rPr>
                <w:rFonts w:cs="Arial"/>
                <w:sz w:val="20"/>
              </w:rPr>
              <w:t>The financial sustainability of a Council is determined by its ability to manage expected financial requirements and financial risks and shocks over the long term without the use of disruptive revenue or expenditure measures; which is determined by</w:t>
            </w:r>
          </w:p>
          <w:p w:rsidR="0098598A" w:rsidRPr="006F599F" w:rsidRDefault="0098598A" w:rsidP="006F599F">
            <w:pPr>
              <w:pStyle w:val="TableText1"/>
              <w:widowControl w:val="0"/>
              <w:spacing w:before="120" w:after="120"/>
              <w:jc w:val="left"/>
              <w:rPr>
                <w:rFonts w:cs="Arial"/>
                <w:sz w:val="20"/>
              </w:rPr>
            </w:pPr>
            <w:r w:rsidRPr="006F599F">
              <w:rPr>
                <w:rFonts w:cs="Arial"/>
                <w:sz w:val="20"/>
              </w:rPr>
              <w:t>(i)  healthy finances in the current period and long term outlook based on continuation of the Council’s present spending and funding policies and given likely economic and demographic developments; and</w:t>
            </w:r>
          </w:p>
          <w:p w:rsidR="0098598A" w:rsidRPr="006F599F" w:rsidRDefault="0098598A" w:rsidP="00242822">
            <w:pPr>
              <w:pStyle w:val="TableText1"/>
              <w:widowControl w:val="0"/>
              <w:spacing w:before="120" w:after="120"/>
              <w:jc w:val="left"/>
              <w:rPr>
                <w:rFonts w:cs="Arial"/>
                <w:sz w:val="20"/>
              </w:rPr>
            </w:pPr>
            <w:r w:rsidRPr="006F599F">
              <w:rPr>
                <w:rFonts w:cs="Arial"/>
                <w:sz w:val="20"/>
              </w:rPr>
              <w:t>(ii) ensuring infrastructure renewals/replacement expenditure matches forward looking</w:t>
            </w:r>
            <w:r w:rsidR="00242822">
              <w:rPr>
                <w:rFonts w:cs="Arial"/>
                <w:sz w:val="20"/>
              </w:rPr>
              <w:t xml:space="preserve"> </w:t>
            </w:r>
            <w:r w:rsidRPr="006F599F">
              <w:rPr>
                <w:rFonts w:cs="Arial"/>
                <w:sz w:val="20"/>
              </w:rPr>
              <w:t>Asset Management Plan expenditure needs.</w:t>
            </w:r>
          </w:p>
        </w:tc>
      </w:tr>
      <w:tr w:rsidR="0098598A" w:rsidRPr="006F599F" w:rsidTr="0098598A">
        <w:trPr>
          <w:cantSplit/>
          <w:jc w:val="center"/>
        </w:trPr>
        <w:tc>
          <w:tcPr>
            <w:tcW w:w="2747" w:type="dxa"/>
          </w:tcPr>
          <w:p w:rsidR="0098598A" w:rsidRPr="006F599F" w:rsidRDefault="0098598A" w:rsidP="006F599F">
            <w:pPr>
              <w:pStyle w:val="TableText1"/>
              <w:widowControl w:val="0"/>
              <w:spacing w:before="120" w:after="120"/>
              <w:jc w:val="left"/>
              <w:rPr>
                <w:rFonts w:cs="Arial"/>
                <w:sz w:val="20"/>
              </w:rPr>
            </w:pPr>
            <w:r w:rsidRPr="006F599F">
              <w:rPr>
                <w:rFonts w:cs="Arial"/>
                <w:sz w:val="20"/>
              </w:rPr>
              <w:t>Intervention Level</w:t>
            </w:r>
          </w:p>
        </w:tc>
        <w:tc>
          <w:tcPr>
            <w:tcW w:w="6519" w:type="dxa"/>
            <w:shd w:val="clear" w:color="auto" w:fill="auto"/>
          </w:tcPr>
          <w:p w:rsidR="0098598A" w:rsidRPr="006F599F" w:rsidRDefault="0098598A" w:rsidP="006F599F">
            <w:pPr>
              <w:pStyle w:val="TableText1"/>
              <w:widowControl w:val="0"/>
              <w:spacing w:before="120" w:after="120"/>
              <w:jc w:val="left"/>
              <w:rPr>
                <w:rFonts w:cs="Arial"/>
                <w:sz w:val="20"/>
              </w:rPr>
            </w:pPr>
            <w:r w:rsidRPr="006F599F">
              <w:rPr>
                <w:rFonts w:cs="Arial"/>
                <w:sz w:val="20"/>
              </w:rPr>
              <w:t>I</w:t>
            </w:r>
            <w:hyperlink r:id="rId14" w:history="1">
              <w:r w:rsidRPr="006F599F">
                <w:rPr>
                  <w:rStyle w:val="Hyperlink"/>
                  <w:rFonts w:ascii="Arial" w:hAnsi="Arial" w:cs="Arial"/>
                  <w:szCs w:val="20"/>
                </w:rPr>
                <w:t>ntervention level</w:t>
              </w:r>
            </w:hyperlink>
            <w:r w:rsidRPr="006F599F">
              <w:rPr>
                <w:rFonts w:cs="Arial"/>
                <w:sz w:val="20"/>
              </w:rPr>
              <w:t xml:space="preserve"> refers to the point which the asset owner  has decided an asset should not be allowed to deteriorate past, i.e. the point in an asset's life at which it should be repaired or be programmed for </w:t>
            </w:r>
            <w:hyperlink r:id="rId15" w:history="1">
              <w:r w:rsidRPr="006F599F">
                <w:rPr>
                  <w:rStyle w:val="Hyperlink"/>
                  <w:rFonts w:ascii="Arial" w:hAnsi="Arial" w:cs="Arial"/>
                  <w:szCs w:val="20"/>
                </w:rPr>
                <w:t>renewal</w:t>
              </w:r>
            </w:hyperlink>
            <w:r w:rsidRPr="006F599F">
              <w:rPr>
                <w:rFonts w:cs="Arial"/>
                <w:sz w:val="20"/>
              </w:rPr>
              <w:t>.</w:t>
            </w:r>
          </w:p>
        </w:tc>
      </w:tr>
      <w:tr w:rsidR="0098598A" w:rsidRPr="006F599F" w:rsidTr="0098598A">
        <w:trPr>
          <w:cantSplit/>
          <w:jc w:val="center"/>
        </w:trPr>
        <w:tc>
          <w:tcPr>
            <w:tcW w:w="2747" w:type="dxa"/>
          </w:tcPr>
          <w:p w:rsidR="0098598A" w:rsidRPr="006F599F" w:rsidRDefault="00F068FC" w:rsidP="00F068FC">
            <w:pPr>
              <w:pStyle w:val="TableText1"/>
              <w:widowControl w:val="0"/>
              <w:spacing w:before="120" w:after="120"/>
              <w:jc w:val="left"/>
              <w:rPr>
                <w:rFonts w:cs="Arial"/>
                <w:sz w:val="20"/>
              </w:rPr>
            </w:pPr>
            <w:r>
              <w:rPr>
                <w:rFonts w:cs="Arial"/>
                <w:sz w:val="20"/>
              </w:rPr>
              <w:t>Level of S</w:t>
            </w:r>
            <w:r w:rsidR="0098598A" w:rsidRPr="006F599F">
              <w:rPr>
                <w:rFonts w:cs="Arial"/>
                <w:sz w:val="20"/>
              </w:rPr>
              <w:t>ervice</w:t>
            </w:r>
          </w:p>
        </w:tc>
        <w:tc>
          <w:tcPr>
            <w:tcW w:w="6519" w:type="dxa"/>
          </w:tcPr>
          <w:p w:rsidR="0098598A" w:rsidRPr="006F599F" w:rsidRDefault="0098598A" w:rsidP="006F599F">
            <w:pPr>
              <w:pStyle w:val="TableText1"/>
              <w:widowControl w:val="0"/>
              <w:spacing w:before="120" w:after="120"/>
              <w:jc w:val="left"/>
              <w:rPr>
                <w:rFonts w:cs="Arial"/>
                <w:sz w:val="20"/>
              </w:rPr>
            </w:pPr>
            <w:r w:rsidRPr="006F599F">
              <w:rPr>
                <w:rFonts w:cs="Arial"/>
                <w:sz w:val="20"/>
              </w:rPr>
              <w:t xml:space="preserve">1. The defined service standard particular to an activity or service area (i.e. interior) against which service performance may be measured. These service levels usually relate to floor area and level of fitout.  </w:t>
            </w:r>
          </w:p>
          <w:p w:rsidR="0098598A" w:rsidRPr="006F599F" w:rsidRDefault="0098598A" w:rsidP="006F599F">
            <w:pPr>
              <w:pStyle w:val="TableText1"/>
              <w:widowControl w:val="0"/>
              <w:spacing w:before="120" w:after="120"/>
              <w:jc w:val="left"/>
              <w:rPr>
                <w:rFonts w:cs="Arial"/>
                <w:sz w:val="20"/>
              </w:rPr>
            </w:pPr>
            <w:r w:rsidRPr="006F599F">
              <w:rPr>
                <w:rFonts w:cs="Arial"/>
                <w:sz w:val="20"/>
              </w:rPr>
              <w:t xml:space="preserve">2. The agreed level at which a building will be maintained in order to allow the building to provide its service function. These service levels usually relate to quality, quantity, reliability, responsiveness, regulatory </w:t>
            </w:r>
            <w:r w:rsidR="00927AFA">
              <w:rPr>
                <w:rFonts w:cs="Arial"/>
                <w:sz w:val="20"/>
              </w:rPr>
              <w:t>and</w:t>
            </w:r>
            <w:r w:rsidRPr="006F599F">
              <w:rPr>
                <w:rFonts w:cs="Arial"/>
                <w:sz w:val="20"/>
              </w:rPr>
              <w:t xml:space="preserve"> environmental acceptability and cost.</w:t>
            </w:r>
          </w:p>
        </w:tc>
      </w:tr>
      <w:tr w:rsidR="0098598A" w:rsidRPr="006F599F" w:rsidTr="0098598A">
        <w:trPr>
          <w:cantSplit/>
          <w:jc w:val="center"/>
        </w:trPr>
        <w:tc>
          <w:tcPr>
            <w:tcW w:w="2747" w:type="dxa"/>
          </w:tcPr>
          <w:p w:rsidR="0098598A" w:rsidRPr="006F599F" w:rsidRDefault="0098598A" w:rsidP="006F599F">
            <w:pPr>
              <w:pStyle w:val="TableText1"/>
              <w:widowControl w:val="0"/>
              <w:spacing w:before="120" w:after="120"/>
              <w:jc w:val="left"/>
              <w:rPr>
                <w:rFonts w:cs="Arial"/>
                <w:sz w:val="20"/>
              </w:rPr>
            </w:pPr>
            <w:r w:rsidRPr="006F599F">
              <w:rPr>
                <w:rFonts w:cs="Arial"/>
                <w:sz w:val="20"/>
              </w:rPr>
              <w:t>Life</w:t>
            </w:r>
          </w:p>
        </w:tc>
        <w:tc>
          <w:tcPr>
            <w:tcW w:w="6519" w:type="dxa"/>
          </w:tcPr>
          <w:p w:rsidR="0098598A" w:rsidRPr="006F599F" w:rsidRDefault="0098598A" w:rsidP="006F599F">
            <w:pPr>
              <w:pStyle w:val="TableText1"/>
              <w:widowControl w:val="0"/>
              <w:spacing w:before="120" w:after="120"/>
              <w:jc w:val="left"/>
              <w:rPr>
                <w:rFonts w:cs="Arial"/>
                <w:sz w:val="20"/>
              </w:rPr>
            </w:pPr>
            <w:r w:rsidRPr="006F599F">
              <w:rPr>
                <w:rFonts w:cs="Arial"/>
                <w:sz w:val="20"/>
              </w:rPr>
              <w:t>A measure of the anticipated life of an asset or component; such as time, number of cycles, distance intervals etc.</w:t>
            </w:r>
          </w:p>
        </w:tc>
      </w:tr>
      <w:tr w:rsidR="0098598A" w:rsidRPr="006F599F" w:rsidTr="0098598A">
        <w:trPr>
          <w:cantSplit/>
          <w:jc w:val="center"/>
        </w:trPr>
        <w:tc>
          <w:tcPr>
            <w:tcW w:w="2747" w:type="dxa"/>
          </w:tcPr>
          <w:p w:rsidR="0098598A" w:rsidRPr="006F599F" w:rsidRDefault="0098598A" w:rsidP="00F068FC">
            <w:pPr>
              <w:pStyle w:val="TableText1"/>
              <w:widowControl w:val="0"/>
              <w:spacing w:before="120" w:after="120"/>
              <w:jc w:val="left"/>
              <w:rPr>
                <w:rFonts w:cs="Arial"/>
                <w:sz w:val="20"/>
              </w:rPr>
            </w:pPr>
            <w:r w:rsidRPr="006F599F">
              <w:rPr>
                <w:rFonts w:cs="Arial"/>
                <w:sz w:val="20"/>
              </w:rPr>
              <w:t>Lifecycle Cost</w:t>
            </w:r>
          </w:p>
        </w:tc>
        <w:tc>
          <w:tcPr>
            <w:tcW w:w="6519" w:type="dxa"/>
          </w:tcPr>
          <w:p w:rsidR="0098598A" w:rsidRPr="006F599F" w:rsidRDefault="0098598A" w:rsidP="006F599F">
            <w:pPr>
              <w:pStyle w:val="TableText1"/>
              <w:widowControl w:val="0"/>
              <w:spacing w:before="120" w:after="120"/>
              <w:jc w:val="left"/>
              <w:rPr>
                <w:rFonts w:cs="Arial"/>
                <w:sz w:val="20"/>
              </w:rPr>
            </w:pPr>
            <w:r w:rsidRPr="006F599F">
              <w:rPr>
                <w:rFonts w:cs="Arial"/>
                <w:sz w:val="20"/>
              </w:rPr>
              <w:t>Total expenditure required throughout the life of an asset in order to fund the creation, design, construction, operation, maintenance, renewal and disposal so that the asset can deliver the desired service level over its life.</w:t>
            </w:r>
          </w:p>
        </w:tc>
      </w:tr>
      <w:tr w:rsidR="0098598A" w:rsidRPr="006F599F" w:rsidTr="0098598A">
        <w:trPr>
          <w:cantSplit/>
          <w:jc w:val="center"/>
        </w:trPr>
        <w:tc>
          <w:tcPr>
            <w:tcW w:w="2747" w:type="dxa"/>
          </w:tcPr>
          <w:p w:rsidR="0098598A" w:rsidRPr="006F599F" w:rsidRDefault="0098598A" w:rsidP="006F599F">
            <w:pPr>
              <w:pStyle w:val="TableText1"/>
              <w:widowControl w:val="0"/>
              <w:spacing w:before="120" w:after="120"/>
              <w:jc w:val="left"/>
              <w:rPr>
                <w:rFonts w:cs="Arial"/>
                <w:sz w:val="20"/>
              </w:rPr>
            </w:pPr>
            <w:r w:rsidRPr="006F599F">
              <w:rPr>
                <w:rFonts w:cs="Arial"/>
                <w:sz w:val="20"/>
              </w:rPr>
              <w:t>Maintenance</w:t>
            </w:r>
          </w:p>
        </w:tc>
        <w:tc>
          <w:tcPr>
            <w:tcW w:w="6519" w:type="dxa"/>
          </w:tcPr>
          <w:p w:rsidR="0098598A" w:rsidRPr="006F599F" w:rsidRDefault="0098598A" w:rsidP="006F599F">
            <w:pPr>
              <w:pStyle w:val="TableText1"/>
              <w:widowControl w:val="0"/>
              <w:spacing w:before="120" w:after="120"/>
              <w:jc w:val="left"/>
              <w:rPr>
                <w:rFonts w:cs="Arial"/>
                <w:sz w:val="20"/>
              </w:rPr>
            </w:pPr>
            <w:r w:rsidRPr="006F599F">
              <w:rPr>
                <w:rFonts w:cs="Arial"/>
                <w:sz w:val="20"/>
              </w:rPr>
              <w:t>All actions necessary for retaining an asset as near as practicable to its original condition, but excluding rehabilitation or renewal.</w:t>
            </w:r>
          </w:p>
        </w:tc>
      </w:tr>
      <w:tr w:rsidR="0098598A" w:rsidRPr="006F599F" w:rsidTr="0098598A">
        <w:trPr>
          <w:cantSplit/>
          <w:jc w:val="center"/>
        </w:trPr>
        <w:tc>
          <w:tcPr>
            <w:tcW w:w="2747" w:type="dxa"/>
          </w:tcPr>
          <w:p w:rsidR="0098598A" w:rsidRPr="006F599F" w:rsidRDefault="0098598A" w:rsidP="006F599F">
            <w:pPr>
              <w:pStyle w:val="TableText1"/>
              <w:widowControl w:val="0"/>
              <w:spacing w:before="120" w:after="120"/>
              <w:jc w:val="left"/>
              <w:rPr>
                <w:rFonts w:cs="Arial"/>
                <w:sz w:val="20"/>
              </w:rPr>
            </w:pPr>
            <w:r w:rsidRPr="006F599F">
              <w:rPr>
                <w:rFonts w:cs="Arial"/>
                <w:sz w:val="20"/>
              </w:rPr>
              <w:t>Maintenance Plan</w:t>
            </w:r>
          </w:p>
        </w:tc>
        <w:tc>
          <w:tcPr>
            <w:tcW w:w="6519" w:type="dxa"/>
          </w:tcPr>
          <w:p w:rsidR="0098598A" w:rsidRPr="006F599F" w:rsidRDefault="0098598A" w:rsidP="006F599F">
            <w:pPr>
              <w:pStyle w:val="TableText1"/>
              <w:widowControl w:val="0"/>
              <w:spacing w:before="120" w:after="120"/>
              <w:jc w:val="left"/>
              <w:rPr>
                <w:rFonts w:cs="Arial"/>
                <w:sz w:val="20"/>
              </w:rPr>
            </w:pPr>
            <w:r w:rsidRPr="006F599F">
              <w:rPr>
                <w:rFonts w:cs="Arial"/>
                <w:sz w:val="20"/>
              </w:rPr>
              <w:t>Collated information, policies and procedures for the optimum maintenance of an asset, or group of assets.</w:t>
            </w:r>
          </w:p>
        </w:tc>
      </w:tr>
      <w:tr w:rsidR="0098598A" w:rsidRPr="006F599F" w:rsidTr="0098598A">
        <w:trPr>
          <w:cantSplit/>
          <w:jc w:val="center"/>
        </w:trPr>
        <w:tc>
          <w:tcPr>
            <w:tcW w:w="2747" w:type="dxa"/>
          </w:tcPr>
          <w:p w:rsidR="0098598A" w:rsidRPr="006F599F" w:rsidRDefault="0098598A" w:rsidP="006F599F">
            <w:pPr>
              <w:pStyle w:val="TableText1"/>
              <w:widowControl w:val="0"/>
              <w:spacing w:before="120" w:after="120"/>
              <w:jc w:val="left"/>
              <w:rPr>
                <w:rFonts w:cs="Arial"/>
                <w:sz w:val="20"/>
              </w:rPr>
            </w:pPr>
            <w:r w:rsidRPr="006F599F">
              <w:rPr>
                <w:rFonts w:cs="Arial"/>
                <w:sz w:val="20"/>
              </w:rPr>
              <w:t>Maintenance Standards</w:t>
            </w:r>
          </w:p>
        </w:tc>
        <w:tc>
          <w:tcPr>
            <w:tcW w:w="6519" w:type="dxa"/>
          </w:tcPr>
          <w:p w:rsidR="0098598A" w:rsidRPr="006F599F" w:rsidRDefault="0098598A" w:rsidP="006F599F">
            <w:pPr>
              <w:pStyle w:val="TableText1"/>
              <w:widowControl w:val="0"/>
              <w:spacing w:before="120" w:after="120"/>
              <w:jc w:val="left"/>
              <w:rPr>
                <w:rFonts w:cs="Arial"/>
                <w:sz w:val="20"/>
              </w:rPr>
            </w:pPr>
            <w:r w:rsidRPr="006F599F">
              <w:rPr>
                <w:rFonts w:cs="Arial"/>
                <w:sz w:val="20"/>
              </w:rPr>
              <w:t>The standards set for the maintenance service, usually contained in preventive maintenance schedules, operation and maintenance manuals, codes of practice, estimating criteria, statutory regulations and mandatory requirements, in accordance with maintenance quality objectives.</w:t>
            </w:r>
          </w:p>
        </w:tc>
      </w:tr>
      <w:tr w:rsidR="0098598A" w:rsidRPr="006F599F" w:rsidTr="0098598A">
        <w:trPr>
          <w:cantSplit/>
          <w:jc w:val="center"/>
        </w:trPr>
        <w:tc>
          <w:tcPr>
            <w:tcW w:w="2747" w:type="dxa"/>
          </w:tcPr>
          <w:p w:rsidR="0098598A" w:rsidRPr="006F599F" w:rsidRDefault="0098598A" w:rsidP="00F068FC">
            <w:pPr>
              <w:pStyle w:val="TableText1"/>
              <w:widowControl w:val="0"/>
              <w:spacing w:before="120" w:after="120"/>
              <w:jc w:val="left"/>
              <w:rPr>
                <w:rFonts w:cs="Arial"/>
                <w:sz w:val="20"/>
              </w:rPr>
            </w:pPr>
            <w:r w:rsidRPr="006F599F">
              <w:rPr>
                <w:rFonts w:cs="Arial"/>
                <w:sz w:val="20"/>
              </w:rPr>
              <w:t>Non-discretionary Funding</w:t>
            </w:r>
          </w:p>
        </w:tc>
        <w:tc>
          <w:tcPr>
            <w:tcW w:w="6519" w:type="dxa"/>
          </w:tcPr>
          <w:p w:rsidR="0098598A" w:rsidRPr="006F599F" w:rsidRDefault="0098598A" w:rsidP="006F599F">
            <w:pPr>
              <w:pStyle w:val="TableText1"/>
              <w:widowControl w:val="0"/>
              <w:spacing w:before="120" w:after="120"/>
              <w:jc w:val="left"/>
              <w:rPr>
                <w:rFonts w:cs="Arial"/>
                <w:sz w:val="20"/>
              </w:rPr>
            </w:pPr>
            <w:r w:rsidRPr="006F599F">
              <w:rPr>
                <w:rFonts w:cs="Arial"/>
                <w:sz w:val="20"/>
              </w:rPr>
              <w:t>The concept is that once an asset is owned, Council has a responsibility to maintain its serviceability.  This responsibility is non- discretionary and therefore operational needs, risk mitigation needs, maintenance and renewals to the asset to maintain the service should be non-discretionary.</w:t>
            </w:r>
          </w:p>
        </w:tc>
      </w:tr>
      <w:tr w:rsidR="0098598A" w:rsidRPr="006F599F" w:rsidTr="0098598A">
        <w:trPr>
          <w:cantSplit/>
          <w:jc w:val="center"/>
        </w:trPr>
        <w:tc>
          <w:tcPr>
            <w:tcW w:w="2747" w:type="dxa"/>
          </w:tcPr>
          <w:p w:rsidR="0098598A" w:rsidRPr="006F599F" w:rsidRDefault="0098598A" w:rsidP="006F599F">
            <w:pPr>
              <w:pStyle w:val="TableText1"/>
              <w:widowControl w:val="0"/>
              <w:spacing w:before="120" w:after="120"/>
              <w:jc w:val="left"/>
              <w:rPr>
                <w:rFonts w:cs="Arial"/>
                <w:sz w:val="20"/>
              </w:rPr>
            </w:pPr>
            <w:r w:rsidRPr="006F599F">
              <w:rPr>
                <w:rFonts w:cs="Arial"/>
                <w:sz w:val="20"/>
              </w:rPr>
              <w:t>Operation</w:t>
            </w:r>
          </w:p>
        </w:tc>
        <w:tc>
          <w:tcPr>
            <w:tcW w:w="6519" w:type="dxa"/>
          </w:tcPr>
          <w:p w:rsidR="0098598A" w:rsidRPr="006F599F" w:rsidRDefault="0098598A" w:rsidP="006F599F">
            <w:pPr>
              <w:pStyle w:val="TableText1"/>
              <w:widowControl w:val="0"/>
              <w:spacing w:before="120" w:after="120"/>
              <w:jc w:val="left"/>
              <w:rPr>
                <w:rFonts w:cs="Arial"/>
                <w:sz w:val="20"/>
              </w:rPr>
            </w:pPr>
            <w:r w:rsidRPr="006F599F">
              <w:rPr>
                <w:rFonts w:cs="Arial"/>
                <w:sz w:val="20"/>
              </w:rPr>
              <w:t>The active process of utilising an asset, which will consume resources such as manpower, energy, cleaning products and materials.  Operation costs are part of the life cycle costs of an asset.</w:t>
            </w:r>
          </w:p>
        </w:tc>
      </w:tr>
      <w:tr w:rsidR="0098598A" w:rsidRPr="006F599F" w:rsidTr="0098598A">
        <w:trPr>
          <w:cantSplit/>
          <w:jc w:val="center"/>
        </w:trPr>
        <w:tc>
          <w:tcPr>
            <w:tcW w:w="2747" w:type="dxa"/>
          </w:tcPr>
          <w:p w:rsidR="0098598A" w:rsidRPr="006F599F" w:rsidRDefault="0098598A" w:rsidP="006F599F">
            <w:pPr>
              <w:pStyle w:val="TableText1"/>
              <w:widowControl w:val="0"/>
              <w:spacing w:before="120" w:after="120"/>
              <w:jc w:val="left"/>
              <w:rPr>
                <w:rFonts w:cs="Arial"/>
                <w:sz w:val="20"/>
              </w:rPr>
            </w:pPr>
            <w:r w:rsidRPr="006F599F">
              <w:rPr>
                <w:rFonts w:cs="Arial"/>
                <w:sz w:val="20"/>
              </w:rPr>
              <w:t>Performance Monitoring</w:t>
            </w:r>
          </w:p>
        </w:tc>
        <w:tc>
          <w:tcPr>
            <w:tcW w:w="6519" w:type="dxa"/>
          </w:tcPr>
          <w:p w:rsidR="0098598A" w:rsidRPr="006F599F" w:rsidRDefault="0098598A" w:rsidP="006F599F">
            <w:pPr>
              <w:pStyle w:val="TableText1"/>
              <w:widowControl w:val="0"/>
              <w:spacing w:before="120" w:after="120"/>
              <w:jc w:val="left"/>
              <w:rPr>
                <w:rFonts w:cs="Arial"/>
                <w:sz w:val="20"/>
              </w:rPr>
            </w:pPr>
            <w:r w:rsidRPr="006F599F">
              <w:rPr>
                <w:rFonts w:cs="Arial"/>
                <w:sz w:val="20"/>
              </w:rPr>
              <w:t>Continuous or periodic quantitative and qualitative assessments of the actual performance compared with specific objectives, targets or standards.</w:t>
            </w:r>
          </w:p>
        </w:tc>
      </w:tr>
      <w:tr w:rsidR="0098598A" w:rsidRPr="006F599F" w:rsidTr="0098598A">
        <w:trPr>
          <w:cantSplit/>
          <w:jc w:val="center"/>
        </w:trPr>
        <w:tc>
          <w:tcPr>
            <w:tcW w:w="2747" w:type="dxa"/>
          </w:tcPr>
          <w:p w:rsidR="0098598A" w:rsidRPr="006F599F" w:rsidRDefault="0098598A" w:rsidP="006F599F">
            <w:pPr>
              <w:pStyle w:val="TableText1"/>
              <w:widowControl w:val="0"/>
              <w:spacing w:before="120" w:after="120"/>
              <w:jc w:val="left"/>
              <w:rPr>
                <w:rFonts w:cs="Arial"/>
                <w:sz w:val="20"/>
              </w:rPr>
            </w:pPr>
            <w:r w:rsidRPr="006F599F">
              <w:rPr>
                <w:rFonts w:cs="Arial"/>
                <w:sz w:val="20"/>
              </w:rPr>
              <w:lastRenderedPageBreak/>
              <w:t>Reactive Maintenance</w:t>
            </w:r>
          </w:p>
        </w:tc>
        <w:tc>
          <w:tcPr>
            <w:tcW w:w="6519" w:type="dxa"/>
          </w:tcPr>
          <w:p w:rsidR="0098598A" w:rsidRPr="006F599F" w:rsidRDefault="0098598A" w:rsidP="006F599F">
            <w:pPr>
              <w:pStyle w:val="TableText1"/>
              <w:widowControl w:val="0"/>
              <w:spacing w:before="120" w:after="120"/>
              <w:jc w:val="left"/>
              <w:rPr>
                <w:rFonts w:cs="Arial"/>
                <w:sz w:val="20"/>
              </w:rPr>
            </w:pPr>
            <w:r w:rsidRPr="006F599F">
              <w:rPr>
                <w:rFonts w:cs="Arial"/>
                <w:sz w:val="20"/>
              </w:rPr>
              <w:t>Corrective work required in the short term to restore an asset to working condition so it can continue to deliver the required service or to maintain its level of security and integrity e</w:t>
            </w:r>
            <w:r w:rsidR="00094746">
              <w:rPr>
                <w:rFonts w:cs="Arial"/>
                <w:sz w:val="20"/>
              </w:rPr>
              <w:t>.</w:t>
            </w:r>
            <w:r w:rsidRPr="006F599F">
              <w:rPr>
                <w:rFonts w:cs="Arial"/>
                <w:sz w:val="20"/>
              </w:rPr>
              <w:t>g</w:t>
            </w:r>
            <w:r w:rsidR="00094746">
              <w:rPr>
                <w:rFonts w:cs="Arial"/>
                <w:sz w:val="20"/>
              </w:rPr>
              <w:t>.</w:t>
            </w:r>
            <w:r w:rsidRPr="006F599F">
              <w:rPr>
                <w:rFonts w:cs="Arial"/>
                <w:sz w:val="20"/>
              </w:rPr>
              <w:t xml:space="preserve"> replacing washers on a dripping tap.</w:t>
            </w:r>
          </w:p>
        </w:tc>
      </w:tr>
      <w:tr w:rsidR="0098598A" w:rsidRPr="006F599F" w:rsidTr="0098598A">
        <w:trPr>
          <w:cantSplit/>
          <w:jc w:val="center"/>
        </w:trPr>
        <w:tc>
          <w:tcPr>
            <w:tcW w:w="2747" w:type="dxa"/>
          </w:tcPr>
          <w:p w:rsidR="0098598A" w:rsidRPr="006F599F" w:rsidRDefault="0098598A" w:rsidP="006F599F">
            <w:pPr>
              <w:pStyle w:val="TableText1"/>
              <w:widowControl w:val="0"/>
              <w:spacing w:before="120" w:after="120"/>
              <w:jc w:val="left"/>
              <w:rPr>
                <w:rFonts w:cs="Arial"/>
                <w:sz w:val="20"/>
              </w:rPr>
            </w:pPr>
            <w:r w:rsidRPr="006F599F">
              <w:rPr>
                <w:rFonts w:cs="Arial"/>
                <w:sz w:val="20"/>
              </w:rPr>
              <w:t>Rehabilitation</w:t>
            </w:r>
          </w:p>
        </w:tc>
        <w:tc>
          <w:tcPr>
            <w:tcW w:w="6519" w:type="dxa"/>
          </w:tcPr>
          <w:p w:rsidR="0098598A" w:rsidRPr="006F599F" w:rsidRDefault="0098598A" w:rsidP="006F599F">
            <w:pPr>
              <w:pStyle w:val="TableText1"/>
              <w:widowControl w:val="0"/>
              <w:spacing w:before="120" w:after="120"/>
              <w:jc w:val="left"/>
              <w:rPr>
                <w:rFonts w:cs="Arial"/>
                <w:sz w:val="20"/>
              </w:rPr>
            </w:pPr>
            <w:r w:rsidRPr="006F599F">
              <w:rPr>
                <w:rFonts w:cs="Arial"/>
                <w:sz w:val="20"/>
              </w:rPr>
              <w:t>Works to rebuild or replace parts of components of an asset, to restore it to a required functional condition and extend its life, which may incorporate some modification. Generally involves repairing the asset to deliver its original level of service without resorting to significant upgrading or renewal, using available techniques and standards.</w:t>
            </w:r>
          </w:p>
        </w:tc>
      </w:tr>
      <w:tr w:rsidR="0098598A" w:rsidRPr="006F599F" w:rsidTr="0098598A">
        <w:trPr>
          <w:cantSplit/>
          <w:jc w:val="center"/>
        </w:trPr>
        <w:tc>
          <w:tcPr>
            <w:tcW w:w="2747" w:type="dxa"/>
          </w:tcPr>
          <w:p w:rsidR="0098598A" w:rsidRPr="006F599F" w:rsidRDefault="0098598A" w:rsidP="006F599F">
            <w:pPr>
              <w:pStyle w:val="TableText1"/>
              <w:widowControl w:val="0"/>
              <w:spacing w:before="120" w:after="120"/>
              <w:jc w:val="left"/>
              <w:rPr>
                <w:rFonts w:cs="Arial"/>
                <w:sz w:val="20"/>
              </w:rPr>
            </w:pPr>
            <w:r w:rsidRPr="006F599F">
              <w:rPr>
                <w:rFonts w:cs="Arial"/>
                <w:sz w:val="20"/>
              </w:rPr>
              <w:t>Renewal</w:t>
            </w:r>
          </w:p>
        </w:tc>
        <w:tc>
          <w:tcPr>
            <w:tcW w:w="6519" w:type="dxa"/>
          </w:tcPr>
          <w:p w:rsidR="0098598A" w:rsidRPr="006F599F" w:rsidRDefault="0098598A" w:rsidP="006F599F">
            <w:pPr>
              <w:pStyle w:val="TableText1"/>
              <w:widowControl w:val="0"/>
              <w:spacing w:before="120" w:after="120"/>
              <w:jc w:val="left"/>
              <w:rPr>
                <w:rFonts w:cs="Arial"/>
                <w:sz w:val="20"/>
              </w:rPr>
            </w:pPr>
            <w:r w:rsidRPr="006F599F">
              <w:rPr>
                <w:rFonts w:cs="Arial"/>
                <w:sz w:val="20"/>
              </w:rPr>
              <w:t>Works to replace existing facilities with facilities of equivalent capacity or performance capability (re-instating existing asset).</w:t>
            </w:r>
          </w:p>
        </w:tc>
      </w:tr>
      <w:tr w:rsidR="0098598A" w:rsidRPr="006F599F" w:rsidTr="0098598A">
        <w:trPr>
          <w:cantSplit/>
          <w:jc w:val="center"/>
        </w:trPr>
        <w:tc>
          <w:tcPr>
            <w:tcW w:w="2747" w:type="dxa"/>
          </w:tcPr>
          <w:p w:rsidR="0098598A" w:rsidRPr="006F599F" w:rsidRDefault="0098598A" w:rsidP="006F599F">
            <w:pPr>
              <w:pStyle w:val="TableText1"/>
              <w:widowControl w:val="0"/>
              <w:spacing w:before="120" w:after="120"/>
              <w:jc w:val="left"/>
              <w:rPr>
                <w:rFonts w:cs="Arial"/>
                <w:sz w:val="20"/>
              </w:rPr>
            </w:pPr>
            <w:r w:rsidRPr="006F599F">
              <w:rPr>
                <w:rFonts w:cs="Arial"/>
                <w:sz w:val="20"/>
              </w:rPr>
              <w:t>Repair</w:t>
            </w:r>
          </w:p>
        </w:tc>
        <w:tc>
          <w:tcPr>
            <w:tcW w:w="6519" w:type="dxa"/>
          </w:tcPr>
          <w:p w:rsidR="0098598A" w:rsidRPr="006F599F" w:rsidRDefault="0098598A" w:rsidP="006F599F">
            <w:pPr>
              <w:pStyle w:val="TableText1"/>
              <w:widowControl w:val="0"/>
              <w:spacing w:before="120" w:after="120"/>
              <w:jc w:val="left"/>
              <w:rPr>
                <w:rFonts w:cs="Arial"/>
                <w:sz w:val="20"/>
              </w:rPr>
            </w:pPr>
            <w:r w:rsidRPr="006F599F">
              <w:rPr>
                <w:rFonts w:cs="Arial"/>
                <w:sz w:val="20"/>
              </w:rPr>
              <w:t>Action to restore an item to its previous condition after failure or damage.</w:t>
            </w:r>
          </w:p>
        </w:tc>
      </w:tr>
      <w:tr w:rsidR="0098598A" w:rsidRPr="006F599F" w:rsidTr="0098598A">
        <w:trPr>
          <w:cantSplit/>
          <w:jc w:val="center"/>
        </w:trPr>
        <w:tc>
          <w:tcPr>
            <w:tcW w:w="2747" w:type="dxa"/>
          </w:tcPr>
          <w:p w:rsidR="0098598A" w:rsidRPr="006F599F" w:rsidRDefault="0098598A" w:rsidP="006F599F">
            <w:pPr>
              <w:pStyle w:val="TableText1"/>
              <w:widowControl w:val="0"/>
              <w:spacing w:before="120" w:after="120"/>
              <w:jc w:val="left"/>
              <w:rPr>
                <w:rFonts w:cs="Arial"/>
                <w:sz w:val="20"/>
              </w:rPr>
            </w:pPr>
            <w:r w:rsidRPr="006F599F">
              <w:rPr>
                <w:rFonts w:cs="Arial"/>
                <w:sz w:val="20"/>
              </w:rPr>
              <w:t>Replacement</w:t>
            </w:r>
          </w:p>
        </w:tc>
        <w:tc>
          <w:tcPr>
            <w:tcW w:w="6519" w:type="dxa"/>
          </w:tcPr>
          <w:p w:rsidR="0098598A" w:rsidRPr="006F599F" w:rsidRDefault="0098598A" w:rsidP="006F599F">
            <w:pPr>
              <w:pStyle w:val="TableText1"/>
              <w:widowControl w:val="0"/>
              <w:spacing w:before="120" w:after="120"/>
              <w:jc w:val="left"/>
              <w:rPr>
                <w:rFonts w:cs="Arial"/>
                <w:sz w:val="20"/>
              </w:rPr>
            </w:pPr>
            <w:r w:rsidRPr="006F599F">
              <w:rPr>
                <w:rFonts w:cs="Arial"/>
                <w:sz w:val="20"/>
              </w:rPr>
              <w:t>The complete replacement of an asset that has reached the end of its life, so as to provide a similar or agreed alternative, level of service.</w:t>
            </w:r>
          </w:p>
        </w:tc>
      </w:tr>
      <w:tr w:rsidR="0098598A" w:rsidRPr="006F599F" w:rsidTr="0098598A">
        <w:trPr>
          <w:cantSplit/>
          <w:jc w:val="center"/>
        </w:trPr>
        <w:tc>
          <w:tcPr>
            <w:tcW w:w="2747" w:type="dxa"/>
          </w:tcPr>
          <w:p w:rsidR="0098598A" w:rsidRPr="006F599F" w:rsidRDefault="0098598A" w:rsidP="006F599F">
            <w:pPr>
              <w:pStyle w:val="TableText1"/>
              <w:widowControl w:val="0"/>
              <w:spacing w:before="120" w:after="120"/>
              <w:jc w:val="left"/>
              <w:rPr>
                <w:rFonts w:cs="Arial"/>
                <w:sz w:val="20"/>
              </w:rPr>
            </w:pPr>
            <w:r w:rsidRPr="006F599F">
              <w:rPr>
                <w:rFonts w:cs="Arial"/>
                <w:sz w:val="20"/>
              </w:rPr>
              <w:t>Replacement Cost</w:t>
            </w:r>
          </w:p>
        </w:tc>
        <w:tc>
          <w:tcPr>
            <w:tcW w:w="6519" w:type="dxa"/>
          </w:tcPr>
          <w:p w:rsidR="0098598A" w:rsidRPr="006F599F" w:rsidRDefault="0098598A" w:rsidP="006F599F">
            <w:pPr>
              <w:pStyle w:val="TableText1"/>
              <w:widowControl w:val="0"/>
              <w:spacing w:before="120" w:after="120"/>
              <w:jc w:val="left"/>
              <w:rPr>
                <w:rFonts w:cs="Arial"/>
                <w:sz w:val="20"/>
              </w:rPr>
            </w:pPr>
            <w:r w:rsidRPr="006F599F">
              <w:rPr>
                <w:rFonts w:cs="Arial"/>
                <w:sz w:val="20"/>
              </w:rPr>
              <w:t>Construction cost of building works only</w:t>
            </w:r>
            <w:r w:rsidR="00094746">
              <w:rPr>
                <w:rFonts w:cs="Arial"/>
                <w:sz w:val="20"/>
              </w:rPr>
              <w:t>.</w:t>
            </w:r>
          </w:p>
        </w:tc>
      </w:tr>
      <w:tr w:rsidR="0098598A" w:rsidRPr="006F599F" w:rsidTr="0098598A">
        <w:trPr>
          <w:cantSplit/>
          <w:jc w:val="center"/>
        </w:trPr>
        <w:tc>
          <w:tcPr>
            <w:tcW w:w="2747" w:type="dxa"/>
          </w:tcPr>
          <w:p w:rsidR="0098598A" w:rsidRPr="006F599F" w:rsidRDefault="0098598A" w:rsidP="006F599F">
            <w:pPr>
              <w:pStyle w:val="TableText1"/>
              <w:widowControl w:val="0"/>
              <w:spacing w:before="120" w:after="120"/>
              <w:jc w:val="left"/>
              <w:rPr>
                <w:rFonts w:cs="Arial"/>
                <w:sz w:val="20"/>
              </w:rPr>
            </w:pPr>
            <w:r w:rsidRPr="006F599F">
              <w:rPr>
                <w:rFonts w:cs="Arial"/>
                <w:sz w:val="20"/>
              </w:rPr>
              <w:t>Replacement Cost – insured Value</w:t>
            </w:r>
          </w:p>
        </w:tc>
        <w:tc>
          <w:tcPr>
            <w:tcW w:w="6519" w:type="dxa"/>
          </w:tcPr>
          <w:p w:rsidR="0098598A" w:rsidRPr="006F599F" w:rsidRDefault="0098598A" w:rsidP="006F599F">
            <w:pPr>
              <w:pStyle w:val="TableText1"/>
              <w:widowControl w:val="0"/>
              <w:spacing w:before="120" w:after="120"/>
              <w:jc w:val="left"/>
              <w:rPr>
                <w:rFonts w:cs="Arial"/>
                <w:sz w:val="20"/>
              </w:rPr>
            </w:pPr>
            <w:r w:rsidRPr="006F599F">
              <w:rPr>
                <w:rFonts w:cs="Arial"/>
                <w:sz w:val="20"/>
              </w:rPr>
              <w:t>Cost of building works plus demolition costs, design fees, permits and all costs associated with site works.</w:t>
            </w:r>
          </w:p>
        </w:tc>
      </w:tr>
      <w:tr w:rsidR="0098598A" w:rsidRPr="006F599F" w:rsidTr="0098598A">
        <w:trPr>
          <w:cantSplit/>
          <w:jc w:val="center"/>
        </w:trPr>
        <w:tc>
          <w:tcPr>
            <w:tcW w:w="2747" w:type="dxa"/>
          </w:tcPr>
          <w:p w:rsidR="0098598A" w:rsidRPr="006F599F" w:rsidRDefault="0098598A" w:rsidP="006F599F">
            <w:pPr>
              <w:pStyle w:val="TableText1"/>
              <w:widowControl w:val="0"/>
              <w:spacing w:before="120" w:after="120"/>
              <w:jc w:val="left"/>
              <w:rPr>
                <w:rFonts w:cs="Arial"/>
                <w:sz w:val="20"/>
              </w:rPr>
            </w:pPr>
            <w:r w:rsidRPr="006F599F">
              <w:rPr>
                <w:rFonts w:cs="Arial"/>
                <w:sz w:val="20"/>
              </w:rPr>
              <w:t>Risk Management</w:t>
            </w:r>
          </w:p>
        </w:tc>
        <w:tc>
          <w:tcPr>
            <w:tcW w:w="6519" w:type="dxa"/>
          </w:tcPr>
          <w:p w:rsidR="0098598A" w:rsidRPr="006F599F" w:rsidRDefault="0098598A" w:rsidP="006F599F">
            <w:pPr>
              <w:pStyle w:val="TableText1"/>
              <w:widowControl w:val="0"/>
              <w:spacing w:before="120" w:after="120"/>
              <w:jc w:val="left"/>
              <w:rPr>
                <w:rFonts w:cs="Arial"/>
                <w:sz w:val="20"/>
              </w:rPr>
            </w:pPr>
            <w:r w:rsidRPr="006F599F">
              <w:rPr>
                <w:rFonts w:cs="Arial"/>
                <w:sz w:val="20"/>
              </w:rPr>
              <w:t>The application of a formal process to the range of possible values relating to key factors associated with a risk in order to determine the resultant ranges of outcomes and their probability of occurrence.</w:t>
            </w:r>
          </w:p>
        </w:tc>
      </w:tr>
      <w:tr w:rsidR="0098598A" w:rsidRPr="006F599F" w:rsidTr="0098598A">
        <w:trPr>
          <w:cantSplit/>
          <w:jc w:val="center"/>
        </w:trPr>
        <w:tc>
          <w:tcPr>
            <w:tcW w:w="2747" w:type="dxa"/>
          </w:tcPr>
          <w:p w:rsidR="0098598A" w:rsidRPr="006F599F" w:rsidRDefault="0098598A" w:rsidP="006F599F">
            <w:pPr>
              <w:pStyle w:val="TableText1"/>
              <w:widowControl w:val="0"/>
              <w:spacing w:before="120" w:after="120"/>
              <w:jc w:val="left"/>
              <w:rPr>
                <w:rFonts w:cs="Arial"/>
                <w:sz w:val="20"/>
              </w:rPr>
            </w:pPr>
            <w:r w:rsidRPr="006F599F">
              <w:rPr>
                <w:rFonts w:cs="Arial"/>
                <w:sz w:val="20"/>
              </w:rPr>
              <w:t>Routine Maintenance</w:t>
            </w:r>
          </w:p>
        </w:tc>
        <w:tc>
          <w:tcPr>
            <w:tcW w:w="6519" w:type="dxa"/>
          </w:tcPr>
          <w:p w:rsidR="0098598A" w:rsidRPr="006F599F" w:rsidRDefault="0098598A" w:rsidP="006F599F">
            <w:pPr>
              <w:pStyle w:val="TableText1"/>
              <w:widowControl w:val="0"/>
              <w:spacing w:before="120" w:after="120"/>
              <w:jc w:val="left"/>
              <w:rPr>
                <w:rFonts w:cs="Arial"/>
                <w:sz w:val="20"/>
              </w:rPr>
            </w:pPr>
            <w:r w:rsidRPr="006F599F">
              <w:rPr>
                <w:rFonts w:cs="Arial"/>
                <w:sz w:val="20"/>
              </w:rPr>
              <w:t>Day to day operational activities which are carried out at regular intervals to keep the asset operating in accordance with manufactures recommendations – includes essential service maintenance (inspecting emergency lighting, fire extinguishers, air conditioners etc.).</w:t>
            </w:r>
          </w:p>
          <w:p w:rsidR="0098598A" w:rsidRPr="006F599F" w:rsidRDefault="0098598A" w:rsidP="006F599F">
            <w:pPr>
              <w:pStyle w:val="TableText1"/>
              <w:widowControl w:val="0"/>
              <w:spacing w:before="120" w:after="120"/>
              <w:jc w:val="left"/>
              <w:rPr>
                <w:rFonts w:cs="Arial"/>
                <w:sz w:val="20"/>
              </w:rPr>
            </w:pPr>
            <w:r w:rsidRPr="006F599F">
              <w:rPr>
                <w:rFonts w:cs="Arial"/>
                <w:sz w:val="20"/>
              </w:rPr>
              <w:t xml:space="preserve">Includes both statutory and non-statutory maintenance activities previously uncompleted for reasons such as a lack of suitable funds and changes to legislation. </w:t>
            </w:r>
          </w:p>
        </w:tc>
      </w:tr>
      <w:tr w:rsidR="0098598A" w:rsidRPr="006F599F" w:rsidTr="0098598A">
        <w:trPr>
          <w:cantSplit/>
          <w:jc w:val="center"/>
        </w:trPr>
        <w:tc>
          <w:tcPr>
            <w:tcW w:w="2747" w:type="dxa"/>
          </w:tcPr>
          <w:p w:rsidR="0098598A" w:rsidRPr="006F599F" w:rsidRDefault="0098598A" w:rsidP="00F068FC">
            <w:pPr>
              <w:pStyle w:val="TableText1"/>
              <w:widowControl w:val="0"/>
              <w:spacing w:before="120" w:after="120"/>
              <w:jc w:val="left"/>
              <w:rPr>
                <w:rFonts w:cs="Arial"/>
                <w:sz w:val="20"/>
              </w:rPr>
            </w:pPr>
            <w:r w:rsidRPr="006F599F">
              <w:rPr>
                <w:rFonts w:cs="Arial"/>
                <w:sz w:val="20"/>
              </w:rPr>
              <w:t>Service</w:t>
            </w:r>
          </w:p>
        </w:tc>
        <w:tc>
          <w:tcPr>
            <w:tcW w:w="6519" w:type="dxa"/>
          </w:tcPr>
          <w:p w:rsidR="0098598A" w:rsidRPr="006F599F" w:rsidRDefault="0098598A" w:rsidP="006F599F">
            <w:pPr>
              <w:pStyle w:val="TableText1"/>
              <w:widowControl w:val="0"/>
              <w:spacing w:before="120" w:after="120"/>
              <w:jc w:val="left"/>
              <w:rPr>
                <w:rFonts w:cs="Arial"/>
                <w:sz w:val="20"/>
              </w:rPr>
            </w:pPr>
            <w:r w:rsidRPr="006F599F">
              <w:rPr>
                <w:rFonts w:cs="Arial"/>
                <w:sz w:val="20"/>
              </w:rPr>
              <w:t>A combination of tangible and intangible benefits that can be produced and consumed.</w:t>
            </w:r>
          </w:p>
        </w:tc>
      </w:tr>
      <w:tr w:rsidR="0098598A" w:rsidRPr="006F599F" w:rsidTr="0098598A">
        <w:trPr>
          <w:cantSplit/>
          <w:jc w:val="center"/>
        </w:trPr>
        <w:tc>
          <w:tcPr>
            <w:tcW w:w="2747" w:type="dxa"/>
          </w:tcPr>
          <w:p w:rsidR="0098598A" w:rsidRPr="006F599F" w:rsidRDefault="0098598A" w:rsidP="00F068FC">
            <w:pPr>
              <w:pStyle w:val="TableText1"/>
              <w:widowControl w:val="0"/>
              <w:spacing w:before="120" w:after="120"/>
              <w:jc w:val="left"/>
              <w:rPr>
                <w:rFonts w:cs="Arial"/>
                <w:sz w:val="20"/>
              </w:rPr>
            </w:pPr>
            <w:r w:rsidRPr="006F599F">
              <w:rPr>
                <w:rFonts w:cs="Arial"/>
                <w:sz w:val="20"/>
              </w:rPr>
              <w:t>Service Level</w:t>
            </w:r>
          </w:p>
        </w:tc>
        <w:tc>
          <w:tcPr>
            <w:tcW w:w="6519" w:type="dxa"/>
          </w:tcPr>
          <w:p w:rsidR="0098598A" w:rsidRPr="006F599F" w:rsidRDefault="0098598A" w:rsidP="006F599F">
            <w:pPr>
              <w:pStyle w:val="TableText1"/>
              <w:widowControl w:val="0"/>
              <w:spacing w:before="120" w:after="120"/>
              <w:jc w:val="left"/>
              <w:rPr>
                <w:rFonts w:cs="Arial"/>
                <w:sz w:val="20"/>
              </w:rPr>
            </w:pPr>
            <w:r w:rsidRPr="006F599F">
              <w:rPr>
                <w:rFonts w:cs="Arial"/>
                <w:sz w:val="20"/>
              </w:rPr>
              <w:t>A relevant measurable standard or target that reflects the required performance to meet agreed community expectations in relation to the type, quality and quantity of services delivered by Council.</w:t>
            </w:r>
          </w:p>
        </w:tc>
      </w:tr>
      <w:tr w:rsidR="0098598A" w:rsidRPr="006F599F" w:rsidTr="0098598A">
        <w:trPr>
          <w:cantSplit/>
          <w:jc w:val="center"/>
        </w:trPr>
        <w:tc>
          <w:tcPr>
            <w:tcW w:w="2747" w:type="dxa"/>
          </w:tcPr>
          <w:p w:rsidR="0098598A" w:rsidRPr="006F599F" w:rsidRDefault="0098598A" w:rsidP="006F599F">
            <w:pPr>
              <w:pStyle w:val="TableText1"/>
              <w:widowControl w:val="0"/>
              <w:spacing w:before="120" w:after="120"/>
              <w:jc w:val="left"/>
              <w:rPr>
                <w:rFonts w:cs="Arial"/>
                <w:sz w:val="20"/>
              </w:rPr>
            </w:pPr>
            <w:r w:rsidRPr="006F599F">
              <w:rPr>
                <w:rFonts w:cs="Arial"/>
                <w:sz w:val="20"/>
              </w:rPr>
              <w:t>Strategic Plan</w:t>
            </w:r>
          </w:p>
        </w:tc>
        <w:tc>
          <w:tcPr>
            <w:tcW w:w="6519" w:type="dxa"/>
          </w:tcPr>
          <w:p w:rsidR="0098598A" w:rsidRPr="006F599F" w:rsidRDefault="0098598A" w:rsidP="006F599F">
            <w:pPr>
              <w:pStyle w:val="TableText1"/>
              <w:widowControl w:val="0"/>
              <w:spacing w:before="120" w:after="120"/>
              <w:jc w:val="left"/>
              <w:rPr>
                <w:rFonts w:cs="Arial"/>
                <w:sz w:val="20"/>
              </w:rPr>
            </w:pPr>
            <w:r w:rsidRPr="006F599F">
              <w:rPr>
                <w:rFonts w:cs="Arial"/>
                <w:sz w:val="20"/>
              </w:rPr>
              <w:t>Strategic planning involves making decisions about the long-term goals and strategies of an organisation.  Strategic plans have a strong external focus, cover major portions of the organisation and identify major targets, actions and resource allocations relating to the long term survival, value and growth of the organisation.</w:t>
            </w:r>
          </w:p>
        </w:tc>
      </w:tr>
      <w:tr w:rsidR="0098598A" w:rsidRPr="006F599F" w:rsidTr="0098598A">
        <w:trPr>
          <w:cantSplit/>
          <w:jc w:val="center"/>
        </w:trPr>
        <w:tc>
          <w:tcPr>
            <w:tcW w:w="2747" w:type="dxa"/>
          </w:tcPr>
          <w:p w:rsidR="0098598A" w:rsidRPr="006F599F" w:rsidRDefault="0098598A" w:rsidP="006F599F">
            <w:pPr>
              <w:pStyle w:val="TableText1"/>
              <w:widowControl w:val="0"/>
              <w:spacing w:before="120" w:after="120"/>
              <w:jc w:val="left"/>
              <w:rPr>
                <w:rFonts w:cs="Arial"/>
                <w:sz w:val="20"/>
              </w:rPr>
            </w:pPr>
            <w:r w:rsidRPr="006F599F">
              <w:rPr>
                <w:rFonts w:cs="Arial"/>
                <w:sz w:val="20"/>
              </w:rPr>
              <w:t>Structure</w:t>
            </w:r>
          </w:p>
        </w:tc>
        <w:tc>
          <w:tcPr>
            <w:tcW w:w="6519" w:type="dxa"/>
          </w:tcPr>
          <w:p w:rsidR="0098598A" w:rsidRPr="006F599F" w:rsidRDefault="0098598A" w:rsidP="006F599F">
            <w:pPr>
              <w:pStyle w:val="TableText1"/>
              <w:widowControl w:val="0"/>
              <w:spacing w:before="120" w:after="120"/>
              <w:jc w:val="left"/>
              <w:rPr>
                <w:rFonts w:cs="Arial"/>
                <w:sz w:val="20"/>
              </w:rPr>
            </w:pPr>
            <w:r w:rsidRPr="006F599F">
              <w:rPr>
                <w:rFonts w:cs="Arial"/>
                <w:sz w:val="20"/>
              </w:rPr>
              <w:t>Any fixed facility that is not a building or a utility constructed on or in the land with a roof and floor. Examples of structures include rotundas and gazebos, scoreboards, weighbridge, jetty etc.</w:t>
            </w:r>
          </w:p>
        </w:tc>
      </w:tr>
      <w:tr w:rsidR="0098598A" w:rsidRPr="006F599F" w:rsidTr="0098598A">
        <w:trPr>
          <w:cantSplit/>
          <w:jc w:val="center"/>
        </w:trPr>
        <w:tc>
          <w:tcPr>
            <w:tcW w:w="2747" w:type="dxa"/>
          </w:tcPr>
          <w:p w:rsidR="0098598A" w:rsidRPr="00F068FC" w:rsidRDefault="0098598A" w:rsidP="00F068FC">
            <w:pPr>
              <w:pStyle w:val="TableText1"/>
              <w:spacing w:before="120" w:after="120"/>
              <w:jc w:val="left"/>
              <w:rPr>
                <w:rFonts w:cs="Arial"/>
                <w:bCs/>
                <w:iCs w:val="0"/>
                <w:sz w:val="20"/>
              </w:rPr>
            </w:pPr>
            <w:r w:rsidRPr="00F068FC">
              <w:rPr>
                <w:rFonts w:cs="Arial"/>
                <w:bCs/>
                <w:iCs w:val="0"/>
                <w:sz w:val="20"/>
              </w:rPr>
              <w:lastRenderedPageBreak/>
              <w:t>Sustainability Principles</w:t>
            </w:r>
          </w:p>
        </w:tc>
        <w:tc>
          <w:tcPr>
            <w:tcW w:w="6519" w:type="dxa"/>
          </w:tcPr>
          <w:p w:rsidR="0098598A" w:rsidRPr="006F599F" w:rsidRDefault="0098598A" w:rsidP="006F599F">
            <w:pPr>
              <w:pStyle w:val="TableText1"/>
              <w:widowControl w:val="0"/>
              <w:spacing w:before="120" w:after="120"/>
              <w:jc w:val="left"/>
              <w:rPr>
                <w:rFonts w:cs="Arial"/>
                <w:sz w:val="20"/>
              </w:rPr>
            </w:pPr>
            <w:bookmarkStart w:id="5" w:name="_Toc280622712"/>
            <w:r w:rsidRPr="006F599F">
              <w:rPr>
                <w:rFonts w:cs="Arial"/>
                <w:sz w:val="20"/>
              </w:rPr>
              <w:t>Currently, financial sustainability is a cornerstone of the asset management philosophy at Yarra. Environmental sustainability, however, whilst having been introduced to asset management is still, realistically, in its infancy, it is intended that in the next phase of Council’s asset management journey, Environmental Sustainability takes a more integral role and is embedded deep within the asset management process across the broader organisation.</w:t>
            </w:r>
            <w:bookmarkEnd w:id="5"/>
            <w:r w:rsidRPr="006F599F">
              <w:rPr>
                <w:rFonts w:cs="Arial"/>
                <w:sz w:val="20"/>
              </w:rPr>
              <w:t xml:space="preserve"> </w:t>
            </w:r>
          </w:p>
        </w:tc>
      </w:tr>
      <w:tr w:rsidR="0098598A" w:rsidRPr="006F599F" w:rsidTr="0098598A">
        <w:trPr>
          <w:cantSplit/>
          <w:jc w:val="center"/>
        </w:trPr>
        <w:tc>
          <w:tcPr>
            <w:tcW w:w="2747" w:type="dxa"/>
          </w:tcPr>
          <w:p w:rsidR="0098598A" w:rsidRPr="006F599F" w:rsidRDefault="0098598A" w:rsidP="006F599F">
            <w:pPr>
              <w:pStyle w:val="TableText1"/>
              <w:widowControl w:val="0"/>
              <w:spacing w:before="120" w:after="120"/>
              <w:jc w:val="left"/>
              <w:rPr>
                <w:rFonts w:cs="Arial"/>
                <w:sz w:val="20"/>
              </w:rPr>
            </w:pPr>
            <w:r w:rsidRPr="006F599F">
              <w:rPr>
                <w:rFonts w:cs="Arial"/>
                <w:sz w:val="20"/>
              </w:rPr>
              <w:t xml:space="preserve">Upgrade </w:t>
            </w:r>
          </w:p>
        </w:tc>
        <w:tc>
          <w:tcPr>
            <w:tcW w:w="6519" w:type="dxa"/>
          </w:tcPr>
          <w:p w:rsidR="0098598A" w:rsidRPr="006F599F" w:rsidRDefault="0098598A" w:rsidP="006F599F">
            <w:pPr>
              <w:pStyle w:val="TableText1"/>
              <w:widowControl w:val="0"/>
              <w:spacing w:before="120" w:after="120"/>
              <w:jc w:val="left"/>
              <w:rPr>
                <w:rFonts w:cs="Arial"/>
                <w:sz w:val="20"/>
              </w:rPr>
            </w:pPr>
            <w:r w:rsidRPr="006F599F">
              <w:rPr>
                <w:rFonts w:cs="Arial"/>
                <w:sz w:val="20"/>
              </w:rPr>
              <w:t>The repla</w:t>
            </w:r>
            <w:r w:rsidR="008473C2">
              <w:rPr>
                <w:rFonts w:cs="Arial"/>
                <w:sz w:val="20"/>
              </w:rPr>
              <w:t>cement of an asset or addition/</w:t>
            </w:r>
            <w:r w:rsidRPr="006F599F">
              <w:rPr>
                <w:rFonts w:cs="Arial"/>
                <w:sz w:val="20"/>
              </w:rPr>
              <w:t>replacement of an asset component, which materially improves the original service potential of the asset e.g. adding a room to a building.</w:t>
            </w:r>
          </w:p>
        </w:tc>
      </w:tr>
      <w:tr w:rsidR="0098598A" w:rsidRPr="006F599F" w:rsidTr="0098598A">
        <w:trPr>
          <w:cantSplit/>
          <w:jc w:val="center"/>
        </w:trPr>
        <w:tc>
          <w:tcPr>
            <w:tcW w:w="2747" w:type="dxa"/>
          </w:tcPr>
          <w:p w:rsidR="0098598A" w:rsidRPr="006F599F" w:rsidRDefault="0098598A" w:rsidP="006F599F">
            <w:pPr>
              <w:pStyle w:val="TableText1"/>
              <w:widowControl w:val="0"/>
              <w:spacing w:before="120" w:after="120"/>
              <w:jc w:val="left"/>
              <w:rPr>
                <w:rFonts w:cs="Arial"/>
                <w:sz w:val="20"/>
              </w:rPr>
            </w:pPr>
            <w:r w:rsidRPr="006F599F">
              <w:rPr>
                <w:rFonts w:cs="Arial"/>
                <w:sz w:val="20"/>
              </w:rPr>
              <w:t>Valuation</w:t>
            </w:r>
          </w:p>
        </w:tc>
        <w:tc>
          <w:tcPr>
            <w:tcW w:w="6519" w:type="dxa"/>
          </w:tcPr>
          <w:p w:rsidR="0098598A" w:rsidRPr="006F599F" w:rsidRDefault="0098598A" w:rsidP="006F599F">
            <w:pPr>
              <w:pStyle w:val="TableText1"/>
              <w:widowControl w:val="0"/>
              <w:spacing w:before="120" w:after="120"/>
              <w:jc w:val="left"/>
              <w:rPr>
                <w:rFonts w:cs="Arial"/>
                <w:sz w:val="20"/>
              </w:rPr>
            </w:pPr>
            <w:r w:rsidRPr="006F599F">
              <w:rPr>
                <w:rFonts w:cs="Arial"/>
                <w:sz w:val="20"/>
              </w:rPr>
              <w:t>Estimated asset value that may depend on the purpose for which the valuation is required, i.e. replacement value for determining maintenance levels or market value for life cycle costing.</w:t>
            </w:r>
          </w:p>
        </w:tc>
      </w:tr>
    </w:tbl>
    <w:p w:rsidR="0098598A" w:rsidRDefault="0098598A" w:rsidP="0098598A">
      <w:pPr>
        <w:pStyle w:val="BodyText"/>
        <w:rPr>
          <w:lang w:val="en-NZ"/>
        </w:rPr>
      </w:pPr>
    </w:p>
    <w:p w:rsidR="000940D4" w:rsidRDefault="000940D4" w:rsidP="000940D4">
      <w:pPr>
        <w:pStyle w:val="BodyText"/>
        <w:ind w:left="0"/>
        <w:rPr>
          <w:lang w:val="en-NZ"/>
        </w:rPr>
      </w:pPr>
    </w:p>
    <w:p w:rsidR="00D70D72" w:rsidRDefault="00D70D72" w:rsidP="000940D4">
      <w:pPr>
        <w:pStyle w:val="BodyText"/>
        <w:ind w:left="0"/>
        <w:rPr>
          <w:lang w:val="en-NZ"/>
        </w:rPr>
        <w:sectPr w:rsidR="00D70D72" w:rsidSect="00252A9E">
          <w:type w:val="oddPage"/>
          <w:pgSz w:w="11906" w:h="16838" w:code="9"/>
          <w:pgMar w:top="1418" w:right="1418" w:bottom="851" w:left="1418" w:header="284" w:footer="312" w:gutter="0"/>
          <w:cols w:space="720"/>
          <w:docGrid w:linePitch="360"/>
        </w:sectPr>
      </w:pPr>
    </w:p>
    <w:p w:rsidR="00E96F28" w:rsidRPr="0098598A" w:rsidRDefault="00E96F28" w:rsidP="000940D4">
      <w:pPr>
        <w:pStyle w:val="Heading1"/>
        <w:ind w:left="0" w:firstLine="0"/>
      </w:pPr>
      <w:bookmarkStart w:id="6" w:name="_Toc364945222"/>
      <w:r w:rsidRPr="0098598A">
        <w:lastRenderedPageBreak/>
        <w:t>E</w:t>
      </w:r>
      <w:r w:rsidR="00E062A4" w:rsidRPr="0098598A">
        <w:t>xecutive Summary</w:t>
      </w:r>
      <w:bookmarkEnd w:id="6"/>
    </w:p>
    <w:p w:rsidR="00365BAF" w:rsidRPr="006F599F" w:rsidRDefault="00365BAF" w:rsidP="006F599F">
      <w:pPr>
        <w:rPr>
          <w:sz w:val="8"/>
        </w:rPr>
      </w:pPr>
    </w:p>
    <w:p w:rsidR="00E96F28" w:rsidRPr="00CF2212" w:rsidRDefault="00E96F28" w:rsidP="00CF2212">
      <w:pPr>
        <w:pStyle w:val="Heading2"/>
      </w:pPr>
      <w:bookmarkStart w:id="7" w:name="_Toc364945223"/>
      <w:r w:rsidRPr="00CF2212">
        <w:t>Overview</w:t>
      </w:r>
      <w:bookmarkEnd w:id="7"/>
    </w:p>
    <w:p w:rsidR="005535F3" w:rsidRPr="002F775C" w:rsidRDefault="003C7ACF" w:rsidP="0098598A">
      <w:r>
        <w:t>The</w:t>
      </w:r>
      <w:r w:rsidR="005535F3" w:rsidRPr="002F775C">
        <w:t xml:space="preserve"> </w:t>
      </w:r>
      <w:r w:rsidR="0097719A" w:rsidRPr="002F775C">
        <w:t xml:space="preserve">Buildings </w:t>
      </w:r>
      <w:r w:rsidR="005535F3" w:rsidRPr="002F775C">
        <w:t>Asset Management Plan</w:t>
      </w:r>
      <w:r w:rsidR="004A0CB5" w:rsidRPr="002F775C">
        <w:t xml:space="preserve"> (BAMP)</w:t>
      </w:r>
      <w:r w:rsidR="005535F3" w:rsidRPr="002F775C">
        <w:t xml:space="preserve"> provides a framework for the management of </w:t>
      </w:r>
      <w:r w:rsidR="003B7425">
        <w:t>C</w:t>
      </w:r>
      <w:r w:rsidR="0097719A" w:rsidRPr="002F775C">
        <w:t>ouncil</w:t>
      </w:r>
      <w:r w:rsidR="000C2DBE">
        <w:t>-</w:t>
      </w:r>
      <w:r w:rsidR="0097719A" w:rsidRPr="002F775C">
        <w:t xml:space="preserve"> owned building </w:t>
      </w:r>
      <w:r w:rsidR="005535F3" w:rsidRPr="002F775C">
        <w:t xml:space="preserve">assets </w:t>
      </w:r>
      <w:r w:rsidR="00430AD7" w:rsidRPr="002F775C">
        <w:t>and</w:t>
      </w:r>
      <w:r w:rsidR="0097719A" w:rsidRPr="002F775C">
        <w:t xml:space="preserve"> buildings leased to </w:t>
      </w:r>
      <w:r w:rsidR="00D168B7" w:rsidRPr="002F775C">
        <w:t xml:space="preserve">and </w:t>
      </w:r>
      <w:r w:rsidR="0097719A" w:rsidRPr="002F775C">
        <w:t xml:space="preserve">from third </w:t>
      </w:r>
      <w:r w:rsidR="00D168B7" w:rsidRPr="002F775C">
        <w:t>parties</w:t>
      </w:r>
      <w:r w:rsidR="005535F3" w:rsidRPr="002F775C">
        <w:t>.</w:t>
      </w:r>
    </w:p>
    <w:p w:rsidR="00430AD7" w:rsidRPr="002F775C" w:rsidRDefault="00430AD7" w:rsidP="0098598A"/>
    <w:p w:rsidR="00430AD7" w:rsidRPr="00422C8B" w:rsidRDefault="00430AD7" w:rsidP="0098598A">
      <w:r w:rsidRPr="00422C8B">
        <w:t xml:space="preserve">The City of Yarra </w:t>
      </w:r>
      <w:r w:rsidR="00A331AF" w:rsidRPr="00422C8B">
        <w:t>is located only five kilometres from Melbourne Central Business District and covers an area of 19.5 kilometres. The suburbs of Abbotsford, Burnley, Clifton Hill, Collingwood, Cremorne, Fitzroy, North Fi</w:t>
      </w:r>
      <w:r w:rsidR="00E27317" w:rsidRPr="00422C8B">
        <w:t>tzroy, North Carlton, Princess H</w:t>
      </w:r>
      <w:r w:rsidR="00A331AF" w:rsidRPr="00422C8B">
        <w:t>ill, Richmond and parts of Alphington and Fairfield are located within the City.</w:t>
      </w:r>
    </w:p>
    <w:p w:rsidR="005535F3" w:rsidRPr="00422C8B" w:rsidRDefault="005535F3" w:rsidP="0098598A"/>
    <w:p w:rsidR="00F6408E" w:rsidRPr="00422C8B" w:rsidRDefault="00F6408E" w:rsidP="0098598A">
      <w:r w:rsidRPr="00422C8B">
        <w:t xml:space="preserve">The building portfolio represents a significant investment by Council and its ongoing development, management and maintenance is an important commitment. The purpose of this commitment is to protect, maintain and enhance the public participation, health and wellbeing of the community by providing community facilities such as recreational, aged care, youth, </w:t>
      </w:r>
      <w:r w:rsidR="00D168B7" w:rsidRPr="00422C8B">
        <w:t>and</w:t>
      </w:r>
      <w:r w:rsidRPr="00422C8B">
        <w:t xml:space="preserve">, family </w:t>
      </w:r>
      <w:r w:rsidR="00D168B7" w:rsidRPr="00422C8B">
        <w:t xml:space="preserve">- </w:t>
      </w:r>
      <w:r w:rsidRPr="00422C8B">
        <w:t xml:space="preserve">children services. </w:t>
      </w:r>
    </w:p>
    <w:p w:rsidR="00F6408E" w:rsidRPr="00422C8B" w:rsidRDefault="00F6408E" w:rsidP="0098598A"/>
    <w:p w:rsidR="005535F3" w:rsidRPr="00422C8B" w:rsidRDefault="00F6408E" w:rsidP="0098598A">
      <w:r w:rsidRPr="00422C8B">
        <w:t xml:space="preserve">The </w:t>
      </w:r>
      <w:r w:rsidR="004A0CB5" w:rsidRPr="00422C8B">
        <w:t>BAMP</w:t>
      </w:r>
      <w:r w:rsidRPr="00422C8B">
        <w:t xml:space="preserve"> has been developed to ensure that Council</w:t>
      </w:r>
      <w:r w:rsidR="003B7425">
        <w:t>’</w:t>
      </w:r>
      <w:r w:rsidRPr="00422C8B">
        <w:t xml:space="preserve">s building assets are managed in a sustainable and economic manner that reflects community expectations. </w:t>
      </w:r>
      <w:r w:rsidR="004A0CB5" w:rsidRPr="00422C8B">
        <w:t>It</w:t>
      </w:r>
      <w:r w:rsidRPr="00422C8B">
        <w:t xml:space="preserve"> has been prepared in response to Council’s commitment to manage buildings appropriately with clearly defined strategies, policies and guidelines.</w:t>
      </w:r>
    </w:p>
    <w:p w:rsidR="00F6408E" w:rsidRPr="00422C8B" w:rsidRDefault="00F6408E" w:rsidP="0098598A"/>
    <w:p w:rsidR="00CC3E9D" w:rsidRPr="00422C8B" w:rsidRDefault="007C79CF" w:rsidP="0098598A">
      <w:r w:rsidRPr="00422C8B">
        <w:t xml:space="preserve">The </w:t>
      </w:r>
      <w:r w:rsidR="00C515D8" w:rsidRPr="00422C8B">
        <w:t>Yarra</w:t>
      </w:r>
      <w:r w:rsidR="004A0CB5" w:rsidRPr="00422C8B">
        <w:t xml:space="preserve"> City Council`s</w:t>
      </w:r>
      <w:r w:rsidR="00CC3E9D" w:rsidRPr="00422C8B">
        <w:t xml:space="preserve"> overall strategic direction, local priorities and the current operating environment will all shape the delivery of </w:t>
      </w:r>
      <w:r w:rsidRPr="00422C8B">
        <w:t>b</w:t>
      </w:r>
      <w:r w:rsidR="00C515D8" w:rsidRPr="00422C8B">
        <w:t>uilding</w:t>
      </w:r>
      <w:r w:rsidR="00CC3E9D" w:rsidRPr="00422C8B">
        <w:t xml:space="preserve"> services. The following table summarises the key planning and policy documents used to achieve that di</w:t>
      </w:r>
      <w:r w:rsidR="00365BAF">
        <w:t>rection:</w:t>
      </w:r>
    </w:p>
    <w:p w:rsidR="00BA3820" w:rsidRPr="00CD7D4F" w:rsidRDefault="00BA3820" w:rsidP="0098598A"/>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7"/>
        <w:gridCol w:w="5362"/>
        <w:gridCol w:w="1689"/>
      </w:tblGrid>
      <w:tr w:rsidR="0042776D" w:rsidRPr="0091425F" w:rsidTr="00CE5EFF">
        <w:trPr>
          <w:cantSplit/>
          <w:tblHeader/>
        </w:trPr>
        <w:tc>
          <w:tcPr>
            <w:tcW w:w="2127" w:type="dxa"/>
            <w:tcBorders>
              <w:bottom w:val="single" w:sz="4" w:space="0" w:color="000000" w:themeColor="text1"/>
            </w:tcBorders>
            <w:shd w:val="clear" w:color="auto" w:fill="95B3D7" w:themeFill="accent1" w:themeFillTint="99"/>
          </w:tcPr>
          <w:p w:rsidR="00CC3E9D" w:rsidRPr="0091425F" w:rsidRDefault="00CC3E9D" w:rsidP="00CE5EFF">
            <w:pPr>
              <w:pStyle w:val="TableHeader0"/>
              <w:spacing w:before="60" w:after="60"/>
              <w:rPr>
                <w:rFonts w:ascii="Arial" w:hAnsi="Arial" w:cs="Arial"/>
                <w:b/>
                <w:bCs w:val="0"/>
                <w:color w:val="000000" w:themeColor="text1"/>
              </w:rPr>
            </w:pPr>
            <w:r w:rsidRPr="0091425F">
              <w:rPr>
                <w:rFonts w:ascii="Arial" w:hAnsi="Arial" w:cs="Arial"/>
                <w:b/>
                <w:bCs w:val="0"/>
                <w:color w:val="000000" w:themeColor="text1"/>
              </w:rPr>
              <w:t>Key Document</w:t>
            </w:r>
          </w:p>
        </w:tc>
        <w:tc>
          <w:tcPr>
            <w:tcW w:w="5362" w:type="dxa"/>
            <w:tcBorders>
              <w:bottom w:val="single" w:sz="4" w:space="0" w:color="000000" w:themeColor="text1"/>
            </w:tcBorders>
            <w:shd w:val="clear" w:color="auto" w:fill="95B3D7" w:themeFill="accent1" w:themeFillTint="99"/>
          </w:tcPr>
          <w:p w:rsidR="00CC3E9D" w:rsidRPr="0091425F" w:rsidRDefault="00CC3E9D" w:rsidP="00CE5EFF">
            <w:pPr>
              <w:pStyle w:val="TableHeader0"/>
              <w:spacing w:before="60" w:after="60"/>
              <w:jc w:val="center"/>
              <w:rPr>
                <w:rFonts w:ascii="Arial" w:hAnsi="Arial" w:cs="Arial"/>
                <w:b/>
                <w:bCs w:val="0"/>
                <w:color w:val="000000" w:themeColor="text1"/>
              </w:rPr>
            </w:pPr>
            <w:r w:rsidRPr="0091425F">
              <w:rPr>
                <w:rFonts w:ascii="Arial" w:hAnsi="Arial" w:cs="Arial"/>
                <w:b/>
                <w:bCs w:val="0"/>
                <w:color w:val="000000" w:themeColor="text1"/>
              </w:rPr>
              <w:t>Description</w:t>
            </w:r>
          </w:p>
        </w:tc>
        <w:tc>
          <w:tcPr>
            <w:tcW w:w="1689" w:type="dxa"/>
            <w:tcBorders>
              <w:bottom w:val="single" w:sz="4" w:space="0" w:color="000000" w:themeColor="text1"/>
            </w:tcBorders>
            <w:shd w:val="clear" w:color="auto" w:fill="95B3D7" w:themeFill="accent1" w:themeFillTint="99"/>
          </w:tcPr>
          <w:p w:rsidR="00CC3E9D" w:rsidRPr="0091425F" w:rsidRDefault="00CC3E9D" w:rsidP="00CE5EFF">
            <w:pPr>
              <w:pStyle w:val="TableHeader0"/>
              <w:spacing w:before="60" w:after="60"/>
              <w:jc w:val="center"/>
              <w:rPr>
                <w:rFonts w:ascii="Arial" w:hAnsi="Arial" w:cs="Arial"/>
                <w:b/>
                <w:bCs w:val="0"/>
                <w:color w:val="000000" w:themeColor="text1"/>
              </w:rPr>
            </w:pPr>
            <w:r w:rsidRPr="0091425F">
              <w:rPr>
                <w:rFonts w:ascii="Arial" w:hAnsi="Arial" w:cs="Arial"/>
                <w:b/>
                <w:bCs w:val="0"/>
                <w:color w:val="000000" w:themeColor="text1"/>
              </w:rPr>
              <w:t>Current Status</w:t>
            </w:r>
          </w:p>
        </w:tc>
      </w:tr>
      <w:tr w:rsidR="00CC3E9D" w:rsidRPr="0091425F" w:rsidTr="00CE5EFF">
        <w:trPr>
          <w:cantSplit/>
        </w:trPr>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CC3E9D" w:rsidRPr="0091425F" w:rsidRDefault="00C515D8" w:rsidP="00CE5EFF">
            <w:pPr>
              <w:pStyle w:val="TableText1"/>
              <w:spacing w:before="60" w:after="60"/>
              <w:jc w:val="left"/>
              <w:rPr>
                <w:sz w:val="20"/>
              </w:rPr>
            </w:pPr>
            <w:r w:rsidRPr="0091425F">
              <w:rPr>
                <w:sz w:val="20"/>
              </w:rPr>
              <w:t>Council</w:t>
            </w:r>
            <w:r w:rsidR="00CC3E9D" w:rsidRPr="0091425F">
              <w:rPr>
                <w:sz w:val="20"/>
              </w:rPr>
              <w:t xml:space="preserve"> Plan</w:t>
            </w:r>
          </w:p>
        </w:tc>
        <w:tc>
          <w:tcPr>
            <w:tcW w:w="536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CC3E9D" w:rsidRPr="0091425F" w:rsidRDefault="00D168B7" w:rsidP="00CE5EFF">
            <w:pPr>
              <w:pStyle w:val="TableText1"/>
              <w:spacing w:before="60" w:after="60"/>
              <w:rPr>
                <w:sz w:val="20"/>
              </w:rPr>
            </w:pPr>
            <w:r w:rsidRPr="0091425F">
              <w:rPr>
                <w:sz w:val="20"/>
              </w:rPr>
              <w:t xml:space="preserve">Provides </w:t>
            </w:r>
            <w:r w:rsidR="003B7425">
              <w:rPr>
                <w:sz w:val="20"/>
              </w:rPr>
              <w:t>the strategic direction that C</w:t>
            </w:r>
            <w:r w:rsidRPr="0091425F">
              <w:rPr>
                <w:sz w:val="20"/>
              </w:rPr>
              <w:t>ouncil wishes to follow for a four year period, and is reviewed following Council elections. It documents key priorities</w:t>
            </w:r>
            <w:r w:rsidR="007C79CF" w:rsidRPr="0091425F">
              <w:rPr>
                <w:sz w:val="20"/>
              </w:rPr>
              <w:t>,</w:t>
            </w:r>
            <w:r w:rsidRPr="0091425F">
              <w:rPr>
                <w:sz w:val="20"/>
              </w:rPr>
              <w:t xml:space="preserve"> projects and service targets for Council. </w:t>
            </w:r>
          </w:p>
        </w:tc>
        <w:tc>
          <w:tcPr>
            <w:tcW w:w="168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CC3E9D" w:rsidRPr="0091425F" w:rsidRDefault="002B19A0" w:rsidP="002B19A0">
            <w:pPr>
              <w:pStyle w:val="TableText1"/>
              <w:spacing w:before="60" w:after="60"/>
              <w:jc w:val="center"/>
              <w:rPr>
                <w:sz w:val="20"/>
              </w:rPr>
            </w:pPr>
            <w:r>
              <w:rPr>
                <w:sz w:val="20"/>
              </w:rPr>
              <w:t>Adopted every four years</w:t>
            </w:r>
          </w:p>
        </w:tc>
      </w:tr>
      <w:tr w:rsidR="00D168B7" w:rsidRPr="0091425F" w:rsidTr="00CE5EFF">
        <w:trPr>
          <w:cantSplit/>
        </w:trPr>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D168B7" w:rsidRPr="0091425F" w:rsidRDefault="00D168B7" w:rsidP="00CE5EFF">
            <w:pPr>
              <w:pStyle w:val="TableText1"/>
              <w:spacing w:before="60" w:after="60"/>
              <w:jc w:val="left"/>
              <w:rPr>
                <w:sz w:val="20"/>
              </w:rPr>
            </w:pPr>
            <w:r w:rsidRPr="0091425F">
              <w:rPr>
                <w:sz w:val="20"/>
              </w:rPr>
              <w:t>Annual Plan (AP)</w:t>
            </w:r>
          </w:p>
        </w:tc>
        <w:tc>
          <w:tcPr>
            <w:tcW w:w="536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D168B7" w:rsidRPr="0091425F" w:rsidRDefault="00D168B7" w:rsidP="00CE5EFF">
            <w:pPr>
              <w:pStyle w:val="TableText1"/>
              <w:spacing w:before="60" w:after="60"/>
              <w:rPr>
                <w:sz w:val="20"/>
              </w:rPr>
            </w:pPr>
            <w:r w:rsidRPr="0091425F">
              <w:rPr>
                <w:sz w:val="20"/>
              </w:rPr>
              <w:t xml:space="preserve">Documents the organisations projects, key performance targets and activities for a twelve month period in order to deliver the Council Plan. </w:t>
            </w:r>
          </w:p>
        </w:tc>
        <w:tc>
          <w:tcPr>
            <w:tcW w:w="168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D168B7" w:rsidRPr="0091425F" w:rsidRDefault="00712E15" w:rsidP="00CE5EFF">
            <w:pPr>
              <w:pStyle w:val="TableText1"/>
              <w:spacing w:before="60" w:after="60"/>
              <w:jc w:val="center"/>
              <w:rPr>
                <w:sz w:val="20"/>
              </w:rPr>
            </w:pPr>
            <w:r w:rsidRPr="0091425F">
              <w:rPr>
                <w:sz w:val="20"/>
              </w:rPr>
              <w:t>Established reviewed annually</w:t>
            </w:r>
          </w:p>
        </w:tc>
      </w:tr>
      <w:tr w:rsidR="00172E60" w:rsidRPr="0091425F" w:rsidTr="00CE5EFF">
        <w:trPr>
          <w:cantSplit/>
        </w:trPr>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172E60" w:rsidRPr="0091425F" w:rsidRDefault="00182E00" w:rsidP="00CE5EFF">
            <w:pPr>
              <w:pStyle w:val="TableText1"/>
              <w:spacing w:before="60" w:after="60"/>
              <w:jc w:val="left"/>
              <w:rPr>
                <w:sz w:val="20"/>
              </w:rPr>
            </w:pPr>
            <w:r w:rsidRPr="0091425F">
              <w:rPr>
                <w:sz w:val="20"/>
              </w:rPr>
              <w:t>Long Term Financial Plan</w:t>
            </w:r>
            <w:r w:rsidR="00172E60" w:rsidRPr="0091425F">
              <w:rPr>
                <w:sz w:val="20"/>
              </w:rPr>
              <w:t xml:space="preserve"> (LT</w:t>
            </w:r>
            <w:r w:rsidRPr="0091425F">
              <w:rPr>
                <w:sz w:val="20"/>
              </w:rPr>
              <w:t>F</w:t>
            </w:r>
            <w:r w:rsidR="00172E60" w:rsidRPr="0091425F">
              <w:rPr>
                <w:sz w:val="20"/>
              </w:rPr>
              <w:t>P)</w:t>
            </w:r>
            <w:r w:rsidR="00600E2F" w:rsidRPr="0091425F">
              <w:rPr>
                <w:sz w:val="20"/>
              </w:rPr>
              <w:br/>
            </w:r>
            <w:r w:rsidR="00430AD7" w:rsidRPr="0091425F">
              <w:rPr>
                <w:sz w:val="20"/>
              </w:rPr>
              <w:t>(2013-23)</w:t>
            </w:r>
          </w:p>
        </w:tc>
        <w:tc>
          <w:tcPr>
            <w:tcW w:w="536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172E60" w:rsidRPr="0091425F" w:rsidRDefault="00712E15" w:rsidP="00622DC3">
            <w:pPr>
              <w:pStyle w:val="TableText1"/>
              <w:spacing w:before="60" w:after="60"/>
              <w:rPr>
                <w:sz w:val="20"/>
              </w:rPr>
            </w:pPr>
            <w:r w:rsidRPr="0091425F">
              <w:rPr>
                <w:sz w:val="20"/>
              </w:rPr>
              <w:t>O</w:t>
            </w:r>
            <w:r w:rsidR="00172E60" w:rsidRPr="0091425F">
              <w:rPr>
                <w:sz w:val="20"/>
              </w:rPr>
              <w:t>utline</w:t>
            </w:r>
            <w:r w:rsidRPr="0091425F">
              <w:rPr>
                <w:sz w:val="20"/>
              </w:rPr>
              <w:t>s for 10 years</w:t>
            </w:r>
            <w:r w:rsidR="00172E60" w:rsidRPr="0091425F">
              <w:rPr>
                <w:sz w:val="20"/>
              </w:rPr>
              <w:t xml:space="preserve"> </w:t>
            </w:r>
            <w:r w:rsidR="00622DC3">
              <w:rPr>
                <w:sz w:val="20"/>
              </w:rPr>
              <w:t>Y</w:t>
            </w:r>
            <w:r w:rsidR="006A6C2D" w:rsidRPr="0091425F">
              <w:rPr>
                <w:sz w:val="20"/>
              </w:rPr>
              <w:t>arra</w:t>
            </w:r>
            <w:r w:rsidR="00622DC3">
              <w:rPr>
                <w:sz w:val="20"/>
              </w:rPr>
              <w:t xml:space="preserve"> City Council`s</w:t>
            </w:r>
            <w:r w:rsidR="00172E60" w:rsidRPr="0091425F">
              <w:rPr>
                <w:sz w:val="20"/>
              </w:rPr>
              <w:t xml:space="preserve"> intended activities, outcomes and performance measures and related financial information.</w:t>
            </w:r>
          </w:p>
        </w:tc>
        <w:tc>
          <w:tcPr>
            <w:tcW w:w="168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172E60" w:rsidRPr="0091425F" w:rsidRDefault="00712E15" w:rsidP="00CE5EFF">
            <w:pPr>
              <w:pStyle w:val="TableText1"/>
              <w:spacing w:before="60" w:after="60"/>
              <w:jc w:val="center"/>
              <w:rPr>
                <w:sz w:val="20"/>
              </w:rPr>
            </w:pPr>
            <w:r w:rsidRPr="0091425F">
              <w:rPr>
                <w:sz w:val="20"/>
              </w:rPr>
              <w:t>Established reviewed annually</w:t>
            </w:r>
          </w:p>
        </w:tc>
      </w:tr>
      <w:tr w:rsidR="00172E60" w:rsidRPr="0091425F" w:rsidTr="00CE5EFF">
        <w:trPr>
          <w:cantSplit/>
        </w:trPr>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172E60" w:rsidRPr="0091425F" w:rsidRDefault="00C515D8" w:rsidP="00CE5EFF">
            <w:pPr>
              <w:pStyle w:val="TableText1"/>
              <w:spacing w:before="60" w:after="60"/>
              <w:jc w:val="left"/>
              <w:rPr>
                <w:sz w:val="20"/>
              </w:rPr>
            </w:pPr>
            <w:r w:rsidRPr="0091425F">
              <w:rPr>
                <w:sz w:val="20"/>
              </w:rPr>
              <w:t>Service</w:t>
            </w:r>
            <w:r w:rsidR="00172E60" w:rsidRPr="0091425F">
              <w:rPr>
                <w:sz w:val="20"/>
              </w:rPr>
              <w:t xml:space="preserve"> Plans</w:t>
            </w:r>
          </w:p>
        </w:tc>
        <w:tc>
          <w:tcPr>
            <w:tcW w:w="536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172E60" w:rsidRPr="0091425F" w:rsidRDefault="00712E15" w:rsidP="00CE5EFF">
            <w:pPr>
              <w:pStyle w:val="TableText1"/>
              <w:spacing w:before="60" w:after="60"/>
              <w:rPr>
                <w:sz w:val="20"/>
              </w:rPr>
            </w:pPr>
            <w:r w:rsidRPr="0091425F">
              <w:rPr>
                <w:sz w:val="20"/>
              </w:rPr>
              <w:t>Provide an overview of the service that is delivered to either internal or external customers. They document the goals and objectives of an individual branch within the organisation, key activities, how they will be measured and financial information relating to the branch.</w:t>
            </w:r>
          </w:p>
        </w:tc>
        <w:tc>
          <w:tcPr>
            <w:tcW w:w="168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172E60" w:rsidRPr="0091425F" w:rsidRDefault="002B19A0" w:rsidP="002B19A0">
            <w:pPr>
              <w:pStyle w:val="TableText1"/>
              <w:spacing w:before="60" w:after="60"/>
              <w:jc w:val="center"/>
              <w:rPr>
                <w:sz w:val="20"/>
              </w:rPr>
            </w:pPr>
            <w:r>
              <w:rPr>
                <w:sz w:val="20"/>
              </w:rPr>
              <w:t>Established, reviewed annually</w:t>
            </w:r>
          </w:p>
        </w:tc>
      </w:tr>
      <w:tr w:rsidR="00172E60" w:rsidRPr="0091425F" w:rsidTr="00CE5EFF">
        <w:trPr>
          <w:cantSplit/>
        </w:trPr>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172E60" w:rsidRPr="0091425F" w:rsidRDefault="00172E60" w:rsidP="00CE5EFF">
            <w:pPr>
              <w:pStyle w:val="TableText1"/>
              <w:spacing w:before="60" w:after="60"/>
              <w:jc w:val="left"/>
              <w:rPr>
                <w:sz w:val="20"/>
              </w:rPr>
            </w:pPr>
            <w:r w:rsidRPr="0091425F">
              <w:rPr>
                <w:sz w:val="20"/>
              </w:rPr>
              <w:t>Core Strategies</w:t>
            </w:r>
          </w:p>
        </w:tc>
        <w:tc>
          <w:tcPr>
            <w:tcW w:w="536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172E60" w:rsidRPr="0091425F" w:rsidRDefault="00712E15" w:rsidP="00CE5EFF">
            <w:pPr>
              <w:pStyle w:val="TableText1"/>
              <w:spacing w:before="60" w:after="60"/>
              <w:rPr>
                <w:sz w:val="20"/>
              </w:rPr>
            </w:pPr>
            <w:r w:rsidRPr="0091425F">
              <w:rPr>
                <w:sz w:val="20"/>
              </w:rPr>
              <w:t xml:space="preserve">Council adopted </w:t>
            </w:r>
            <w:r w:rsidR="00172E60" w:rsidRPr="0091425F">
              <w:rPr>
                <w:sz w:val="20"/>
              </w:rPr>
              <w:t xml:space="preserve">strategies </w:t>
            </w:r>
            <w:r w:rsidRPr="0091425F">
              <w:rPr>
                <w:sz w:val="20"/>
              </w:rPr>
              <w:t xml:space="preserve">that </w:t>
            </w:r>
            <w:r w:rsidR="00172E60" w:rsidRPr="0091425F">
              <w:rPr>
                <w:sz w:val="20"/>
              </w:rPr>
              <w:t xml:space="preserve">guide the efficient delivery of services and </w:t>
            </w:r>
            <w:r w:rsidRPr="0091425F">
              <w:rPr>
                <w:sz w:val="20"/>
              </w:rPr>
              <w:t xml:space="preserve">are fundamental for the </w:t>
            </w:r>
            <w:r w:rsidR="00172E60" w:rsidRPr="0091425F">
              <w:rPr>
                <w:sz w:val="20"/>
              </w:rPr>
              <w:t>effective provision of infrastructure.</w:t>
            </w:r>
            <w:r w:rsidR="00430AD7" w:rsidRPr="0091425F">
              <w:rPr>
                <w:sz w:val="20"/>
              </w:rPr>
              <w:t xml:space="preserve"> (e.g. Environment Strategy)</w:t>
            </w:r>
          </w:p>
        </w:tc>
        <w:tc>
          <w:tcPr>
            <w:tcW w:w="168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172E60" w:rsidRPr="0091425F" w:rsidRDefault="00712E15" w:rsidP="00CE5EFF">
            <w:pPr>
              <w:pStyle w:val="TableText1"/>
              <w:spacing w:before="60" w:after="60"/>
              <w:jc w:val="center"/>
              <w:rPr>
                <w:sz w:val="20"/>
              </w:rPr>
            </w:pPr>
            <w:r w:rsidRPr="0091425F">
              <w:rPr>
                <w:sz w:val="20"/>
              </w:rPr>
              <w:t>Established</w:t>
            </w:r>
            <w:r w:rsidR="002B19A0">
              <w:rPr>
                <w:sz w:val="20"/>
              </w:rPr>
              <w:t>, reviewed annually</w:t>
            </w:r>
          </w:p>
        </w:tc>
      </w:tr>
      <w:tr w:rsidR="00172E60" w:rsidRPr="0091425F" w:rsidTr="00CE5EFF">
        <w:trPr>
          <w:cantSplit/>
        </w:trPr>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172E60" w:rsidRPr="0091425F" w:rsidRDefault="00712E15" w:rsidP="00CE5EFF">
            <w:pPr>
              <w:pStyle w:val="TableText1"/>
              <w:spacing w:before="60" w:after="60"/>
              <w:jc w:val="left"/>
              <w:rPr>
                <w:sz w:val="20"/>
              </w:rPr>
            </w:pPr>
            <w:r w:rsidRPr="0091425F">
              <w:rPr>
                <w:sz w:val="20"/>
              </w:rPr>
              <w:t>Council Policies</w:t>
            </w:r>
            <w:r w:rsidR="00172E60" w:rsidRPr="0091425F">
              <w:rPr>
                <w:sz w:val="20"/>
              </w:rPr>
              <w:t xml:space="preserve"> </w:t>
            </w:r>
          </w:p>
        </w:tc>
        <w:tc>
          <w:tcPr>
            <w:tcW w:w="536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172E60" w:rsidRPr="0091425F" w:rsidRDefault="00712E15" w:rsidP="00CE5EFF">
            <w:pPr>
              <w:pStyle w:val="TableText1"/>
              <w:spacing w:before="60" w:after="60"/>
              <w:rPr>
                <w:sz w:val="20"/>
              </w:rPr>
            </w:pPr>
            <w:r w:rsidRPr="0091425F">
              <w:rPr>
                <w:sz w:val="20"/>
              </w:rPr>
              <w:t>These documents are</w:t>
            </w:r>
            <w:r w:rsidR="00172E60" w:rsidRPr="0091425F">
              <w:rPr>
                <w:sz w:val="20"/>
              </w:rPr>
              <w:t xml:space="preserve"> produced by </w:t>
            </w:r>
            <w:r w:rsidRPr="0091425F">
              <w:rPr>
                <w:sz w:val="20"/>
              </w:rPr>
              <w:t xml:space="preserve">the various branches within the organisation. </w:t>
            </w:r>
            <w:r w:rsidR="00172E60" w:rsidRPr="0091425F">
              <w:rPr>
                <w:sz w:val="20"/>
              </w:rPr>
              <w:t xml:space="preserve">Their intent is to guide the provision of </w:t>
            </w:r>
            <w:r w:rsidRPr="0091425F">
              <w:rPr>
                <w:sz w:val="20"/>
              </w:rPr>
              <w:t xml:space="preserve">current and future service delivery </w:t>
            </w:r>
            <w:r w:rsidR="00172E60" w:rsidRPr="0091425F">
              <w:rPr>
                <w:sz w:val="20"/>
              </w:rPr>
              <w:t>and infrastructure investment.</w:t>
            </w:r>
          </w:p>
          <w:p w:rsidR="00430AD7" w:rsidRPr="0091425F" w:rsidRDefault="00430AD7" w:rsidP="00CE5EFF">
            <w:pPr>
              <w:pStyle w:val="TableText1"/>
              <w:spacing w:before="60" w:after="60"/>
              <w:rPr>
                <w:sz w:val="20"/>
                <w:highlight w:val="yellow"/>
              </w:rPr>
            </w:pPr>
            <w:r w:rsidRPr="0091425F">
              <w:rPr>
                <w:sz w:val="20"/>
              </w:rPr>
              <w:t>(e.g. Asset Management Policy)</w:t>
            </w:r>
          </w:p>
        </w:tc>
        <w:tc>
          <w:tcPr>
            <w:tcW w:w="168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172E60" w:rsidRPr="0091425F" w:rsidRDefault="00AB739B" w:rsidP="00CE5EFF">
            <w:pPr>
              <w:pStyle w:val="TableText1"/>
              <w:spacing w:before="60" w:after="60"/>
              <w:jc w:val="center"/>
              <w:rPr>
                <w:sz w:val="20"/>
              </w:rPr>
            </w:pPr>
            <w:r w:rsidRPr="0091425F">
              <w:rPr>
                <w:sz w:val="20"/>
              </w:rPr>
              <w:t>Active</w:t>
            </w:r>
          </w:p>
        </w:tc>
      </w:tr>
      <w:tr w:rsidR="00712E15" w:rsidRPr="0091425F" w:rsidTr="00CE5EFF">
        <w:trPr>
          <w:cantSplit/>
        </w:trPr>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712E15" w:rsidRPr="0091425F" w:rsidRDefault="00712E15" w:rsidP="00CE5EFF">
            <w:pPr>
              <w:pStyle w:val="TableText1"/>
              <w:spacing w:before="60" w:after="60"/>
              <w:jc w:val="left"/>
              <w:rPr>
                <w:sz w:val="20"/>
              </w:rPr>
            </w:pPr>
            <w:r w:rsidRPr="0091425F">
              <w:rPr>
                <w:sz w:val="20"/>
              </w:rPr>
              <w:t>Asset Management Strategy</w:t>
            </w:r>
          </w:p>
        </w:tc>
        <w:tc>
          <w:tcPr>
            <w:tcW w:w="536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712E15" w:rsidRPr="0091425F" w:rsidRDefault="00712E15" w:rsidP="00CE5EFF">
            <w:pPr>
              <w:pStyle w:val="TableText1"/>
              <w:spacing w:before="60" w:after="60"/>
              <w:rPr>
                <w:sz w:val="20"/>
                <w:highlight w:val="yellow"/>
              </w:rPr>
            </w:pPr>
            <w:r w:rsidRPr="0091425F">
              <w:rPr>
                <w:sz w:val="20"/>
              </w:rPr>
              <w:t>This strategy guides the formulation of capital and operating budgets, activity plans and asset management plans.</w:t>
            </w:r>
          </w:p>
        </w:tc>
        <w:tc>
          <w:tcPr>
            <w:tcW w:w="168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712E15" w:rsidRPr="0091425F" w:rsidRDefault="00AB739B" w:rsidP="00CE5EFF">
            <w:pPr>
              <w:pStyle w:val="TableText1"/>
              <w:spacing w:before="60" w:after="60"/>
              <w:jc w:val="center"/>
              <w:rPr>
                <w:sz w:val="20"/>
              </w:rPr>
            </w:pPr>
            <w:r w:rsidRPr="0091425F">
              <w:rPr>
                <w:sz w:val="20"/>
              </w:rPr>
              <w:t>Active</w:t>
            </w:r>
          </w:p>
        </w:tc>
      </w:tr>
      <w:tr w:rsidR="00172E60" w:rsidRPr="0091425F" w:rsidTr="00CE5EFF">
        <w:trPr>
          <w:cantSplit/>
        </w:trPr>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172E60" w:rsidRPr="0091425F" w:rsidRDefault="00172E60" w:rsidP="00CE5EFF">
            <w:pPr>
              <w:pStyle w:val="TableText1"/>
              <w:spacing w:before="60" w:after="60"/>
              <w:jc w:val="left"/>
              <w:rPr>
                <w:sz w:val="20"/>
              </w:rPr>
            </w:pPr>
            <w:r w:rsidRPr="0091425F">
              <w:rPr>
                <w:sz w:val="20"/>
              </w:rPr>
              <w:lastRenderedPageBreak/>
              <w:t>Asset Management Plans (AMPs)</w:t>
            </w:r>
          </w:p>
        </w:tc>
        <w:tc>
          <w:tcPr>
            <w:tcW w:w="536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172E60" w:rsidRPr="0091425F" w:rsidRDefault="00172E60" w:rsidP="00CE5EFF">
            <w:pPr>
              <w:pStyle w:val="TableText1"/>
              <w:spacing w:before="60" w:after="60"/>
              <w:rPr>
                <w:sz w:val="20"/>
              </w:rPr>
            </w:pPr>
            <w:r w:rsidRPr="0091425F">
              <w:rPr>
                <w:sz w:val="20"/>
              </w:rPr>
              <w:t xml:space="preserve">These plans translate the </w:t>
            </w:r>
            <w:r w:rsidR="006A6C2D" w:rsidRPr="0091425F">
              <w:rPr>
                <w:sz w:val="20"/>
              </w:rPr>
              <w:t>C</w:t>
            </w:r>
            <w:r w:rsidR="001E1E12" w:rsidRPr="0091425F">
              <w:rPr>
                <w:sz w:val="20"/>
              </w:rPr>
              <w:t>ouncil`s</w:t>
            </w:r>
            <w:r w:rsidRPr="0091425F">
              <w:rPr>
                <w:sz w:val="20"/>
              </w:rPr>
              <w:t xml:space="preserve"> priorities, service delivery demands and asset needs into a </w:t>
            </w:r>
            <w:r w:rsidR="00AB739B" w:rsidRPr="0091425F">
              <w:rPr>
                <w:sz w:val="20"/>
              </w:rPr>
              <w:t>pred</w:t>
            </w:r>
            <w:r w:rsidR="002D4917">
              <w:rPr>
                <w:sz w:val="20"/>
              </w:rPr>
              <w:t>icted expenditure plan. The AMPs</w:t>
            </w:r>
            <w:r w:rsidRPr="0091425F">
              <w:rPr>
                <w:sz w:val="20"/>
              </w:rPr>
              <w:t xml:space="preserve"> provide the base content for the LT</w:t>
            </w:r>
            <w:r w:rsidR="00AB739B" w:rsidRPr="0091425F">
              <w:rPr>
                <w:sz w:val="20"/>
              </w:rPr>
              <w:t>F</w:t>
            </w:r>
            <w:r w:rsidRPr="0091425F">
              <w:rPr>
                <w:sz w:val="20"/>
              </w:rPr>
              <w:t>P.</w:t>
            </w:r>
          </w:p>
        </w:tc>
        <w:tc>
          <w:tcPr>
            <w:tcW w:w="168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172E60" w:rsidRPr="0091425F" w:rsidRDefault="00AB739B" w:rsidP="00CE5EFF">
            <w:pPr>
              <w:pStyle w:val="TableText1"/>
              <w:spacing w:before="60" w:after="60"/>
              <w:jc w:val="center"/>
              <w:rPr>
                <w:sz w:val="20"/>
              </w:rPr>
            </w:pPr>
            <w:r w:rsidRPr="0091425F">
              <w:rPr>
                <w:sz w:val="20"/>
              </w:rPr>
              <w:t>Active</w:t>
            </w:r>
          </w:p>
        </w:tc>
      </w:tr>
      <w:tr w:rsidR="00172E60" w:rsidRPr="0091425F" w:rsidTr="00CE5EFF">
        <w:trPr>
          <w:cantSplit/>
        </w:trPr>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172E60" w:rsidRPr="0091425F" w:rsidRDefault="00AB739B" w:rsidP="00CE5EFF">
            <w:pPr>
              <w:pStyle w:val="TableText1"/>
              <w:spacing w:before="60" w:after="60"/>
              <w:jc w:val="left"/>
              <w:rPr>
                <w:sz w:val="20"/>
              </w:rPr>
            </w:pPr>
            <w:r w:rsidRPr="0091425F">
              <w:rPr>
                <w:sz w:val="20"/>
              </w:rPr>
              <w:t>Project I</w:t>
            </w:r>
            <w:r w:rsidR="00172E60" w:rsidRPr="0091425F">
              <w:rPr>
                <w:sz w:val="20"/>
              </w:rPr>
              <w:t>mplementation Plans</w:t>
            </w:r>
          </w:p>
        </w:tc>
        <w:tc>
          <w:tcPr>
            <w:tcW w:w="536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172E60" w:rsidRPr="0091425F" w:rsidRDefault="00172E60" w:rsidP="00622DC3">
            <w:pPr>
              <w:pStyle w:val="TableText1"/>
              <w:spacing w:before="60" w:after="60"/>
              <w:rPr>
                <w:sz w:val="20"/>
                <w:highlight w:val="yellow"/>
              </w:rPr>
            </w:pPr>
            <w:r w:rsidRPr="0091425F">
              <w:rPr>
                <w:sz w:val="20"/>
              </w:rPr>
              <w:t xml:space="preserve">Activity specific projects and programs of works to implement </w:t>
            </w:r>
            <w:r w:rsidR="006A6C2D" w:rsidRPr="0091425F">
              <w:rPr>
                <w:sz w:val="20"/>
              </w:rPr>
              <w:t>Yarra</w:t>
            </w:r>
            <w:r w:rsidR="00622DC3">
              <w:rPr>
                <w:sz w:val="20"/>
              </w:rPr>
              <w:t xml:space="preserve"> City Council</w:t>
            </w:r>
            <w:r w:rsidR="00FA325B" w:rsidRPr="0091425F">
              <w:rPr>
                <w:sz w:val="20"/>
              </w:rPr>
              <w:t>’</w:t>
            </w:r>
            <w:r w:rsidRPr="0091425F">
              <w:rPr>
                <w:sz w:val="20"/>
              </w:rPr>
              <w:t>s forward works program.</w:t>
            </w:r>
          </w:p>
        </w:tc>
        <w:tc>
          <w:tcPr>
            <w:tcW w:w="168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172E60" w:rsidRPr="0091425F" w:rsidRDefault="00AB739B" w:rsidP="00CE5EFF">
            <w:pPr>
              <w:pStyle w:val="TableText1"/>
              <w:spacing w:before="60" w:after="60"/>
              <w:jc w:val="center"/>
              <w:rPr>
                <w:sz w:val="20"/>
              </w:rPr>
            </w:pPr>
            <w:r w:rsidRPr="0091425F">
              <w:rPr>
                <w:sz w:val="20"/>
              </w:rPr>
              <w:t>Active</w:t>
            </w:r>
          </w:p>
        </w:tc>
      </w:tr>
      <w:tr w:rsidR="00172E60" w:rsidRPr="0091425F" w:rsidTr="00CE5EFF">
        <w:trPr>
          <w:cantSplit/>
        </w:trPr>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172E60" w:rsidRPr="0091425F" w:rsidRDefault="00172E60" w:rsidP="00CE5EFF">
            <w:pPr>
              <w:pStyle w:val="TableText1"/>
              <w:spacing w:before="60" w:after="60"/>
              <w:jc w:val="left"/>
              <w:rPr>
                <w:sz w:val="20"/>
              </w:rPr>
            </w:pPr>
            <w:r w:rsidRPr="0091425F">
              <w:rPr>
                <w:sz w:val="20"/>
              </w:rPr>
              <w:t>Acts</w:t>
            </w:r>
            <w:r w:rsidR="001F4DDE" w:rsidRPr="0091425F">
              <w:rPr>
                <w:sz w:val="20"/>
              </w:rPr>
              <w:t xml:space="preserve"> and</w:t>
            </w:r>
            <w:r w:rsidR="00AB739B" w:rsidRPr="0091425F">
              <w:rPr>
                <w:sz w:val="20"/>
              </w:rPr>
              <w:t xml:space="preserve"> Legislation</w:t>
            </w:r>
          </w:p>
        </w:tc>
        <w:tc>
          <w:tcPr>
            <w:tcW w:w="536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172E60" w:rsidRPr="0091425F" w:rsidRDefault="00AB739B" w:rsidP="00CE5EFF">
            <w:pPr>
              <w:pStyle w:val="TableText1"/>
              <w:spacing w:before="60" w:after="60"/>
              <w:rPr>
                <w:sz w:val="20"/>
              </w:rPr>
            </w:pPr>
            <w:r w:rsidRPr="0091425F">
              <w:rPr>
                <w:sz w:val="20"/>
              </w:rPr>
              <w:t>The various acts and legislative requirements that are to be met when maintaining and managing the various assets.</w:t>
            </w:r>
          </w:p>
        </w:tc>
        <w:tc>
          <w:tcPr>
            <w:tcW w:w="168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172E60" w:rsidRPr="0091425F" w:rsidRDefault="00F6408E" w:rsidP="00CE5EFF">
            <w:pPr>
              <w:pStyle w:val="TableText1"/>
              <w:spacing w:before="60" w:after="60"/>
              <w:jc w:val="center"/>
              <w:rPr>
                <w:sz w:val="20"/>
              </w:rPr>
            </w:pPr>
            <w:r w:rsidRPr="0091425F">
              <w:rPr>
                <w:sz w:val="20"/>
              </w:rPr>
              <w:t>Active</w:t>
            </w:r>
          </w:p>
        </w:tc>
      </w:tr>
    </w:tbl>
    <w:p w:rsidR="005A478A" w:rsidRPr="0091425F" w:rsidRDefault="005A478A" w:rsidP="0033721F">
      <w:pPr>
        <w:pStyle w:val="Caption"/>
        <w:spacing w:before="240" w:after="240"/>
        <w:ind w:left="0"/>
        <w:jc w:val="center"/>
        <w:rPr>
          <w:rFonts w:ascii="Arial" w:hAnsi="Arial"/>
          <w:i w:val="0"/>
          <w:iCs w:val="0"/>
          <w:sz w:val="20"/>
          <w:lang w:val="en-AU"/>
        </w:rPr>
      </w:pPr>
      <w:bookmarkStart w:id="8" w:name="_Toc364945405"/>
      <w:r w:rsidRPr="0091425F">
        <w:rPr>
          <w:rFonts w:ascii="Arial" w:hAnsi="Arial"/>
          <w:i w:val="0"/>
          <w:iCs w:val="0"/>
          <w:sz w:val="20"/>
          <w:lang w:val="en-AU"/>
        </w:rPr>
        <w:t xml:space="preserve">Table </w:t>
      </w:r>
      <w:r w:rsidR="0090414C" w:rsidRPr="0091425F">
        <w:rPr>
          <w:rFonts w:ascii="Arial" w:hAnsi="Arial"/>
          <w:i w:val="0"/>
          <w:iCs w:val="0"/>
          <w:sz w:val="20"/>
          <w:lang w:val="en-AU"/>
        </w:rPr>
        <w:fldChar w:fldCharType="begin"/>
      </w:r>
      <w:r w:rsidR="0012012A" w:rsidRPr="0091425F">
        <w:rPr>
          <w:rFonts w:ascii="Arial" w:hAnsi="Arial"/>
          <w:i w:val="0"/>
          <w:iCs w:val="0"/>
          <w:sz w:val="20"/>
          <w:lang w:val="en-AU"/>
        </w:rPr>
        <w:instrText xml:space="preserve"> SEQ Table \* ARABIC </w:instrText>
      </w:r>
      <w:r w:rsidR="0090414C" w:rsidRPr="0091425F">
        <w:rPr>
          <w:rFonts w:ascii="Arial" w:hAnsi="Arial"/>
          <w:i w:val="0"/>
          <w:iCs w:val="0"/>
          <w:sz w:val="20"/>
          <w:lang w:val="en-AU"/>
        </w:rPr>
        <w:fldChar w:fldCharType="separate"/>
      </w:r>
      <w:r w:rsidR="00751CEC">
        <w:rPr>
          <w:rFonts w:ascii="Arial" w:hAnsi="Arial"/>
          <w:i w:val="0"/>
          <w:iCs w:val="0"/>
          <w:noProof/>
          <w:sz w:val="20"/>
          <w:lang w:val="en-AU"/>
        </w:rPr>
        <w:t>1</w:t>
      </w:r>
      <w:r w:rsidR="0090414C" w:rsidRPr="0091425F">
        <w:rPr>
          <w:rFonts w:ascii="Arial" w:hAnsi="Arial"/>
          <w:i w:val="0"/>
          <w:iCs w:val="0"/>
          <w:sz w:val="20"/>
          <w:lang w:val="en-AU"/>
        </w:rPr>
        <w:fldChar w:fldCharType="end"/>
      </w:r>
      <w:r w:rsidRPr="0091425F">
        <w:rPr>
          <w:rFonts w:ascii="Arial" w:hAnsi="Arial"/>
          <w:i w:val="0"/>
          <w:iCs w:val="0"/>
          <w:sz w:val="20"/>
          <w:lang w:val="en-AU"/>
        </w:rPr>
        <w:t xml:space="preserve">: </w:t>
      </w:r>
      <w:r w:rsidR="0098598A" w:rsidRPr="0091425F">
        <w:rPr>
          <w:rFonts w:ascii="Arial" w:hAnsi="Arial"/>
          <w:i w:val="0"/>
          <w:iCs w:val="0"/>
          <w:sz w:val="20"/>
          <w:lang w:val="en-AU"/>
        </w:rPr>
        <w:t xml:space="preserve"> Strategic Priorities and S</w:t>
      </w:r>
      <w:r w:rsidR="00EA37A7" w:rsidRPr="0091425F">
        <w:rPr>
          <w:rFonts w:ascii="Arial" w:hAnsi="Arial"/>
          <w:i w:val="0"/>
          <w:iCs w:val="0"/>
          <w:sz w:val="20"/>
          <w:lang w:val="en-AU"/>
        </w:rPr>
        <w:t>tatus</w:t>
      </w:r>
      <w:bookmarkEnd w:id="8"/>
    </w:p>
    <w:p w:rsidR="0053750A" w:rsidRPr="00CF2212" w:rsidRDefault="0098598A" w:rsidP="00CF2212">
      <w:pPr>
        <w:pStyle w:val="Heading2"/>
      </w:pPr>
      <w:bookmarkStart w:id="9" w:name="_Toc364945224"/>
      <w:r w:rsidRPr="00CF2212">
        <w:t>Basis of U</w:t>
      </w:r>
      <w:r w:rsidR="00DA737C" w:rsidRPr="00CF2212">
        <w:t>ndertaking</w:t>
      </w:r>
      <w:r w:rsidR="0053750A" w:rsidRPr="00CF2212">
        <w:t xml:space="preserve"> this </w:t>
      </w:r>
      <w:r w:rsidRPr="00CF2212">
        <w:t>A</w:t>
      </w:r>
      <w:r w:rsidR="0053750A" w:rsidRPr="00CF2212">
        <w:t>ctivity</w:t>
      </w:r>
      <w:r w:rsidR="000745A7" w:rsidRPr="00CF2212">
        <w:t xml:space="preserve"> (Why Council does it)</w:t>
      </w:r>
      <w:bookmarkEnd w:id="9"/>
    </w:p>
    <w:p w:rsidR="007E0D79" w:rsidRPr="00E85DDD" w:rsidRDefault="007E0D79" w:rsidP="0098598A">
      <w:r w:rsidRPr="00E85DDD">
        <w:t xml:space="preserve">The building portfolio represents a significant investment by Council and its ongoing development, management and maintenance is an important commitment. The purpose of this commitment is to protect, maintain and enhance the public participation, health and wellbeing of the community by providing community facilities such as recreational, aged care, youth, </w:t>
      </w:r>
      <w:r w:rsidR="007B2F6C" w:rsidRPr="00E85DDD">
        <w:t>and disability</w:t>
      </w:r>
      <w:r w:rsidRPr="00E85DDD">
        <w:t xml:space="preserve">, family and children services. </w:t>
      </w:r>
    </w:p>
    <w:p w:rsidR="007E0D79" w:rsidRPr="00E85DDD" w:rsidRDefault="007E0D79" w:rsidP="0098598A"/>
    <w:p w:rsidR="007E0D79" w:rsidRDefault="007E0D79" w:rsidP="0098598A">
      <w:r w:rsidRPr="00E85DDD">
        <w:t xml:space="preserve">Council </w:t>
      </w:r>
      <w:r w:rsidRPr="00A72801">
        <w:t xml:space="preserve">is responsible for </w:t>
      </w:r>
      <w:r w:rsidR="00E27317" w:rsidRPr="00A72801">
        <w:t>1</w:t>
      </w:r>
      <w:r w:rsidR="00A72801" w:rsidRPr="00A72801">
        <w:t>37</w:t>
      </w:r>
      <w:r w:rsidRPr="00A72801">
        <w:t xml:space="preserve"> buildings</w:t>
      </w:r>
      <w:r w:rsidR="00A72801" w:rsidRPr="00A72801">
        <w:t>,</w:t>
      </w:r>
      <w:r w:rsidRPr="00A72801">
        <w:t xml:space="preserve"> </w:t>
      </w:r>
      <w:r w:rsidR="007C79CF" w:rsidRPr="00A72801">
        <w:t>10 Rotundas</w:t>
      </w:r>
      <w:r w:rsidR="00A72801" w:rsidRPr="00A72801">
        <w:t xml:space="preserve"> and 12</w:t>
      </w:r>
      <w:r w:rsidR="007C79CF" w:rsidRPr="00A72801">
        <w:t xml:space="preserve"> </w:t>
      </w:r>
      <w:r w:rsidRPr="00A72801">
        <w:t xml:space="preserve">Structures valued at </w:t>
      </w:r>
      <w:r w:rsidR="00E6320C" w:rsidRPr="00A72801">
        <w:t>$228</w:t>
      </w:r>
      <w:r w:rsidRPr="00A72801">
        <w:t xml:space="preserve"> Million.</w:t>
      </w:r>
      <w:r w:rsidRPr="00E85DDD">
        <w:t xml:space="preserve"> </w:t>
      </w:r>
      <w:r w:rsidR="00430AD7">
        <w:t xml:space="preserve">The valuation has been determined by </w:t>
      </w:r>
      <w:r w:rsidR="002B19A0">
        <w:t xml:space="preserve">valuations commissioned by </w:t>
      </w:r>
      <w:r w:rsidR="00430AD7">
        <w:t>Council</w:t>
      </w:r>
      <w:r w:rsidR="003B7425">
        <w:t>’</w:t>
      </w:r>
      <w:r w:rsidR="00430AD7">
        <w:t xml:space="preserve">s Valuations Branch and represents the current market value of the </w:t>
      </w:r>
      <w:r w:rsidR="002B19A0">
        <w:t xml:space="preserve">saleable </w:t>
      </w:r>
      <w:r w:rsidR="00430AD7">
        <w:t>building</w:t>
      </w:r>
      <w:r w:rsidR="002B19A0">
        <w:t>s or depreciated replacement cost for encumbered buildings</w:t>
      </w:r>
      <w:r w:rsidR="00430AD7">
        <w:t xml:space="preserve">. It does not cover </w:t>
      </w:r>
      <w:r w:rsidR="00C95945">
        <w:t>the value of</w:t>
      </w:r>
      <w:r w:rsidR="007C79CF">
        <w:t xml:space="preserve"> the land, </w:t>
      </w:r>
      <w:r w:rsidR="00C95945">
        <w:t xml:space="preserve">or </w:t>
      </w:r>
      <w:r w:rsidR="00430AD7">
        <w:t>the full replacement</w:t>
      </w:r>
      <w:r w:rsidR="00E6320C">
        <w:t xml:space="preserve"> cost (</w:t>
      </w:r>
      <w:r w:rsidR="00430AD7">
        <w:t>which would inc</w:t>
      </w:r>
      <w:r w:rsidR="00C95945">
        <w:t>lude any demolition costs and up</w:t>
      </w:r>
      <w:r w:rsidR="00430AD7">
        <w:t>grad</w:t>
      </w:r>
      <w:r w:rsidR="002B19A0">
        <w:t>ing</w:t>
      </w:r>
      <w:r w:rsidR="00C95945">
        <w:t xml:space="preserve"> required to meet current legislation.</w:t>
      </w:r>
    </w:p>
    <w:p w:rsidR="003619B7" w:rsidRPr="00E85DDD" w:rsidRDefault="003619B7" w:rsidP="0098598A"/>
    <w:p w:rsidR="007E0D79" w:rsidRDefault="007E0D79" w:rsidP="0098598A">
      <w:r w:rsidRPr="00E85DDD">
        <w:t xml:space="preserve">The Buildings </w:t>
      </w:r>
      <w:r w:rsidR="00927AFA">
        <w:t>and</w:t>
      </w:r>
      <w:r w:rsidRPr="00E85DDD">
        <w:t xml:space="preserve"> Property Branch is responsible for the maintenance, refurbishment or renewal, and the construction of new buildings within the City of Yarra. Council</w:t>
      </w:r>
      <w:r w:rsidR="002B19A0">
        <w:t>-</w:t>
      </w:r>
      <w:r w:rsidRPr="00E85DDD">
        <w:t>owned buildings are provided to enable services to be delivered to the community either by direct service provision or through lease agreements by alternative service providers.</w:t>
      </w:r>
    </w:p>
    <w:p w:rsidR="003619B7" w:rsidRPr="00E85DDD" w:rsidRDefault="003619B7" w:rsidP="0098598A"/>
    <w:p w:rsidR="007E0D79" w:rsidRDefault="007E0D79" w:rsidP="0098598A">
      <w:r w:rsidRPr="00E85DDD">
        <w:t>The BAMP has been developed to ensure that Council</w:t>
      </w:r>
      <w:r w:rsidR="003B7425">
        <w:t>’</w:t>
      </w:r>
      <w:r w:rsidRPr="00E85DDD">
        <w:t xml:space="preserve">s building assets are managed in a sustainable and economic manner that reflects community expectations. </w:t>
      </w:r>
      <w:r w:rsidR="002B19A0">
        <w:t xml:space="preserve">It </w:t>
      </w:r>
      <w:r w:rsidRPr="00E85DDD">
        <w:t>has been prepared in response to Council’s commitment to manage buildings appropriately with clearly defined strategies, policies and guidelines.</w:t>
      </w:r>
    </w:p>
    <w:p w:rsidR="00E875DC" w:rsidRPr="00E85DDD" w:rsidRDefault="00E875DC" w:rsidP="0098598A"/>
    <w:p w:rsidR="00437262" w:rsidRPr="00CF2212" w:rsidRDefault="00437262" w:rsidP="00CF2212">
      <w:pPr>
        <w:pStyle w:val="Heading2"/>
      </w:pPr>
      <w:bookmarkStart w:id="10" w:name="_Toc364945225"/>
      <w:r w:rsidRPr="00CF2212">
        <w:t xml:space="preserve">Key Issues and Managing Impact of Council </w:t>
      </w:r>
      <w:r w:rsidR="007E0D79" w:rsidRPr="00CF2212">
        <w:t>Buildings</w:t>
      </w:r>
      <w:bookmarkEnd w:id="10"/>
    </w:p>
    <w:p w:rsidR="009A115C" w:rsidRDefault="009A115C" w:rsidP="002F775C">
      <w:r>
        <w:t>The major issues that will be dealt with through this plan are:</w:t>
      </w:r>
    </w:p>
    <w:p w:rsidR="003619B7" w:rsidRPr="009A115C" w:rsidRDefault="003619B7" w:rsidP="002F775C"/>
    <w:p w:rsidR="009A115C" w:rsidRPr="00226145" w:rsidRDefault="009A115C" w:rsidP="008348B5">
      <w:pPr>
        <w:pStyle w:val="ListParagraph"/>
        <w:numPr>
          <w:ilvl w:val="0"/>
          <w:numId w:val="36"/>
        </w:numPr>
        <w:rPr>
          <w:rFonts w:ascii="Arial" w:hAnsi="Arial" w:cs="Arial"/>
          <w:sz w:val="20"/>
          <w:szCs w:val="20"/>
        </w:rPr>
      </w:pPr>
      <w:r w:rsidRPr="00226145">
        <w:rPr>
          <w:rFonts w:ascii="Arial" w:hAnsi="Arial" w:cs="Arial"/>
          <w:b/>
          <w:sz w:val="20"/>
          <w:szCs w:val="20"/>
        </w:rPr>
        <w:t>Levels of Service</w:t>
      </w:r>
      <w:r w:rsidRPr="00226145">
        <w:rPr>
          <w:rFonts w:ascii="Arial" w:hAnsi="Arial" w:cs="Arial"/>
          <w:sz w:val="20"/>
          <w:szCs w:val="20"/>
        </w:rPr>
        <w:t xml:space="preserve"> – </w:t>
      </w:r>
      <w:r w:rsidR="007B2F6C" w:rsidRPr="00226145">
        <w:rPr>
          <w:rFonts w:ascii="Arial" w:hAnsi="Arial" w:cs="Arial"/>
          <w:sz w:val="20"/>
          <w:szCs w:val="20"/>
        </w:rPr>
        <w:t>ensuring that buildings remain operational, are safe and accessible are clean and welcoming</w:t>
      </w:r>
      <w:r w:rsidR="00C95945" w:rsidRPr="00226145">
        <w:rPr>
          <w:rFonts w:ascii="Arial" w:hAnsi="Arial" w:cs="Arial"/>
          <w:sz w:val="20"/>
          <w:szCs w:val="20"/>
        </w:rPr>
        <w:t>, that key performance indicators have been developed and are measured</w:t>
      </w:r>
      <w:r w:rsidR="007B2F6C" w:rsidRPr="00226145">
        <w:rPr>
          <w:rFonts w:ascii="Arial" w:hAnsi="Arial" w:cs="Arial"/>
          <w:sz w:val="20"/>
          <w:szCs w:val="20"/>
        </w:rPr>
        <w:t>.</w:t>
      </w:r>
    </w:p>
    <w:p w:rsidR="009A115C" w:rsidRPr="003619B7" w:rsidRDefault="009A115C" w:rsidP="008348B5">
      <w:pPr>
        <w:pStyle w:val="ListParagraph"/>
        <w:numPr>
          <w:ilvl w:val="0"/>
          <w:numId w:val="36"/>
        </w:numPr>
        <w:rPr>
          <w:rFonts w:ascii="Arial" w:hAnsi="Arial" w:cs="Arial"/>
          <w:sz w:val="20"/>
          <w:szCs w:val="20"/>
        </w:rPr>
      </w:pPr>
      <w:r w:rsidRPr="003619B7">
        <w:rPr>
          <w:rFonts w:ascii="Arial" w:hAnsi="Arial" w:cs="Arial"/>
          <w:b/>
          <w:sz w:val="20"/>
          <w:szCs w:val="20"/>
        </w:rPr>
        <w:t>Inter-Council relationships –</w:t>
      </w:r>
      <w:r w:rsidRPr="003619B7">
        <w:rPr>
          <w:rFonts w:ascii="Arial" w:hAnsi="Arial" w:cs="Arial"/>
          <w:sz w:val="20"/>
          <w:szCs w:val="20"/>
        </w:rPr>
        <w:t xml:space="preserve"> to ensure that acquisition or “change of use” decisions made by other units are carried through to the Building Assets to ensure sustainability of resource from material selection through maintenance and renewal options.</w:t>
      </w:r>
    </w:p>
    <w:p w:rsidR="009A115C" w:rsidRPr="003619B7" w:rsidRDefault="009A115C" w:rsidP="008348B5">
      <w:pPr>
        <w:pStyle w:val="ListParagraph"/>
        <w:numPr>
          <w:ilvl w:val="0"/>
          <w:numId w:val="36"/>
        </w:numPr>
        <w:rPr>
          <w:rFonts w:ascii="Arial" w:hAnsi="Arial" w:cs="Arial"/>
          <w:sz w:val="20"/>
          <w:szCs w:val="20"/>
        </w:rPr>
      </w:pPr>
      <w:r w:rsidRPr="003619B7">
        <w:rPr>
          <w:rFonts w:ascii="Arial" w:hAnsi="Arial" w:cs="Arial"/>
          <w:sz w:val="20"/>
          <w:szCs w:val="20"/>
        </w:rPr>
        <w:t xml:space="preserve">Investigation into </w:t>
      </w:r>
      <w:r w:rsidRPr="003619B7">
        <w:rPr>
          <w:rFonts w:ascii="Arial" w:hAnsi="Arial" w:cs="Arial"/>
          <w:b/>
          <w:sz w:val="20"/>
          <w:szCs w:val="20"/>
        </w:rPr>
        <w:t>the future management</w:t>
      </w:r>
      <w:r w:rsidRPr="003619B7">
        <w:rPr>
          <w:rFonts w:ascii="Arial" w:hAnsi="Arial" w:cs="Arial"/>
          <w:sz w:val="20"/>
          <w:szCs w:val="20"/>
        </w:rPr>
        <w:t xml:space="preserve"> of all building assets </w:t>
      </w:r>
      <w:r w:rsidR="007E0D79" w:rsidRPr="003619B7">
        <w:rPr>
          <w:rFonts w:ascii="Arial" w:hAnsi="Arial" w:cs="Arial"/>
          <w:sz w:val="20"/>
          <w:szCs w:val="20"/>
        </w:rPr>
        <w:t>und</w:t>
      </w:r>
      <w:r w:rsidRPr="003619B7">
        <w:rPr>
          <w:rFonts w:ascii="Arial" w:hAnsi="Arial" w:cs="Arial"/>
          <w:sz w:val="20"/>
          <w:szCs w:val="20"/>
        </w:rPr>
        <w:t xml:space="preserve">er the </w:t>
      </w:r>
      <w:r w:rsidR="007E0D79" w:rsidRPr="003619B7">
        <w:rPr>
          <w:rFonts w:ascii="Arial" w:hAnsi="Arial" w:cs="Arial"/>
          <w:sz w:val="20"/>
          <w:szCs w:val="20"/>
        </w:rPr>
        <w:t xml:space="preserve">control of the Buildings and </w:t>
      </w:r>
      <w:r w:rsidRPr="003619B7">
        <w:rPr>
          <w:rFonts w:ascii="Arial" w:hAnsi="Arial" w:cs="Arial"/>
          <w:sz w:val="20"/>
          <w:szCs w:val="20"/>
        </w:rPr>
        <w:t xml:space="preserve">Property </w:t>
      </w:r>
      <w:r w:rsidR="005C38DE">
        <w:rPr>
          <w:rFonts w:ascii="Arial" w:hAnsi="Arial" w:cs="Arial"/>
          <w:sz w:val="20"/>
          <w:szCs w:val="20"/>
        </w:rPr>
        <w:t>B</w:t>
      </w:r>
      <w:r w:rsidR="007E0D79" w:rsidRPr="003619B7">
        <w:rPr>
          <w:rFonts w:ascii="Arial" w:hAnsi="Arial" w:cs="Arial"/>
          <w:sz w:val="20"/>
          <w:szCs w:val="20"/>
        </w:rPr>
        <w:t>ranch.</w:t>
      </w:r>
      <w:r w:rsidRPr="003619B7">
        <w:rPr>
          <w:rFonts w:ascii="Arial" w:hAnsi="Arial" w:cs="Arial"/>
          <w:sz w:val="20"/>
          <w:szCs w:val="20"/>
        </w:rPr>
        <w:t xml:space="preserve"> </w:t>
      </w:r>
    </w:p>
    <w:p w:rsidR="007E0D79" w:rsidRPr="003619B7" w:rsidRDefault="007E0D79" w:rsidP="008348B5">
      <w:pPr>
        <w:pStyle w:val="Style11ptAfter3pt"/>
        <w:numPr>
          <w:ilvl w:val="0"/>
          <w:numId w:val="36"/>
        </w:numPr>
        <w:rPr>
          <w:rFonts w:cs="Arial"/>
          <w:szCs w:val="20"/>
        </w:rPr>
      </w:pPr>
      <w:r w:rsidRPr="003619B7">
        <w:rPr>
          <w:rFonts w:cs="Arial"/>
          <w:b/>
          <w:szCs w:val="20"/>
        </w:rPr>
        <w:t>Asset data and information –</w:t>
      </w:r>
      <w:r w:rsidRPr="003619B7">
        <w:rPr>
          <w:rFonts w:cs="Arial"/>
          <w:szCs w:val="20"/>
        </w:rPr>
        <w:t xml:space="preserve"> ensuring the need for currency, accuracy and availability of data in a form app</w:t>
      </w:r>
      <w:r w:rsidR="0067277B">
        <w:rPr>
          <w:rFonts w:cs="Arial"/>
          <w:szCs w:val="20"/>
        </w:rPr>
        <w:t>ropriate for optimised decision-</w:t>
      </w:r>
      <w:r w:rsidRPr="003619B7">
        <w:rPr>
          <w:rFonts w:cs="Arial"/>
          <w:szCs w:val="20"/>
        </w:rPr>
        <w:t>making.</w:t>
      </w:r>
    </w:p>
    <w:p w:rsidR="009A115C" w:rsidRPr="003619B7" w:rsidRDefault="009A115C" w:rsidP="008348B5">
      <w:pPr>
        <w:pStyle w:val="ListParagraph"/>
        <w:numPr>
          <w:ilvl w:val="0"/>
          <w:numId w:val="36"/>
        </w:numPr>
        <w:rPr>
          <w:rFonts w:ascii="Arial" w:hAnsi="Arial" w:cs="Arial"/>
          <w:sz w:val="20"/>
          <w:szCs w:val="20"/>
        </w:rPr>
      </w:pPr>
      <w:r w:rsidRPr="003619B7">
        <w:rPr>
          <w:rFonts w:ascii="Arial" w:hAnsi="Arial" w:cs="Arial"/>
          <w:b/>
          <w:sz w:val="20"/>
          <w:szCs w:val="20"/>
        </w:rPr>
        <w:t>Information systems integrity -</w:t>
      </w:r>
      <w:r w:rsidRPr="003619B7">
        <w:rPr>
          <w:rFonts w:ascii="Arial" w:hAnsi="Arial" w:cs="Arial"/>
          <w:sz w:val="20"/>
          <w:szCs w:val="20"/>
        </w:rPr>
        <w:t xml:space="preserve"> need to review and implement systems of data capture and management.</w:t>
      </w:r>
    </w:p>
    <w:p w:rsidR="009A115C" w:rsidRPr="003619B7" w:rsidRDefault="009A115C" w:rsidP="008348B5">
      <w:pPr>
        <w:pStyle w:val="ListParagraph"/>
        <w:numPr>
          <w:ilvl w:val="0"/>
          <w:numId w:val="36"/>
        </w:numPr>
        <w:rPr>
          <w:rFonts w:ascii="Arial" w:hAnsi="Arial" w:cs="Arial"/>
          <w:sz w:val="20"/>
          <w:szCs w:val="20"/>
        </w:rPr>
      </w:pPr>
      <w:r w:rsidRPr="003619B7">
        <w:rPr>
          <w:rFonts w:ascii="Arial" w:hAnsi="Arial" w:cs="Arial"/>
          <w:b/>
          <w:sz w:val="20"/>
          <w:szCs w:val="20"/>
        </w:rPr>
        <w:t xml:space="preserve">Asset </w:t>
      </w:r>
      <w:r w:rsidR="007E0D79" w:rsidRPr="003619B7">
        <w:rPr>
          <w:rFonts w:ascii="Arial" w:hAnsi="Arial" w:cs="Arial"/>
          <w:b/>
          <w:sz w:val="20"/>
          <w:szCs w:val="20"/>
        </w:rPr>
        <w:t xml:space="preserve">Condition and Fit for Purpose </w:t>
      </w:r>
      <w:r w:rsidRPr="003619B7">
        <w:rPr>
          <w:rFonts w:ascii="Arial" w:hAnsi="Arial" w:cs="Arial"/>
          <w:b/>
          <w:sz w:val="20"/>
          <w:szCs w:val="20"/>
        </w:rPr>
        <w:t>Data -</w:t>
      </w:r>
      <w:r w:rsidRPr="003619B7">
        <w:rPr>
          <w:rFonts w:ascii="Arial" w:hAnsi="Arial" w:cs="Arial"/>
          <w:sz w:val="20"/>
          <w:szCs w:val="20"/>
        </w:rPr>
        <w:t xml:space="preserve"> need to review and evaluate the condition rating of all buildings, along with the establishment of contestable valuation levels.</w:t>
      </w:r>
    </w:p>
    <w:p w:rsidR="00C95945" w:rsidRPr="001E774F" w:rsidRDefault="00C95945" w:rsidP="008348B5">
      <w:pPr>
        <w:pStyle w:val="ListParagraph"/>
        <w:numPr>
          <w:ilvl w:val="0"/>
          <w:numId w:val="36"/>
        </w:numPr>
        <w:rPr>
          <w:rFonts w:ascii="Arial" w:hAnsi="Arial" w:cs="Arial"/>
          <w:b/>
          <w:sz w:val="20"/>
          <w:szCs w:val="20"/>
        </w:rPr>
      </w:pPr>
      <w:r w:rsidRPr="003619B7">
        <w:rPr>
          <w:rFonts w:ascii="Arial" w:hAnsi="Arial" w:cs="Arial"/>
          <w:b/>
          <w:sz w:val="20"/>
          <w:szCs w:val="20"/>
        </w:rPr>
        <w:t xml:space="preserve">Legislative Compliance </w:t>
      </w:r>
      <w:r w:rsidRPr="003619B7">
        <w:rPr>
          <w:rFonts w:ascii="Arial" w:hAnsi="Arial" w:cs="Arial"/>
          <w:sz w:val="20"/>
          <w:szCs w:val="20"/>
        </w:rPr>
        <w:t xml:space="preserve">ensuring that when work is carried out on Council buildings, a budget allowance is made for compliance to current </w:t>
      </w:r>
      <w:r w:rsidR="001E774F" w:rsidRPr="001E774F">
        <w:rPr>
          <w:rFonts w:ascii="Arial" w:hAnsi="Arial" w:cs="Arial"/>
          <w:sz w:val="20"/>
        </w:rPr>
        <w:t>Building Code of Australia (BCA) and Disability Discrimination Act (DDA) compliance.</w:t>
      </w:r>
    </w:p>
    <w:p w:rsidR="003619B7" w:rsidRDefault="003619B7" w:rsidP="003619B7">
      <w:pPr>
        <w:rPr>
          <w:rFonts w:cs="Arial"/>
        </w:rPr>
      </w:pPr>
    </w:p>
    <w:p w:rsidR="009A115C" w:rsidRPr="003619B7" w:rsidRDefault="004D3B31" w:rsidP="00E875DC">
      <w:pPr>
        <w:keepNext/>
        <w:keepLines/>
        <w:rPr>
          <w:rFonts w:cs="Arial"/>
        </w:rPr>
      </w:pPr>
      <w:r w:rsidRPr="003619B7">
        <w:rPr>
          <w:rFonts w:cs="Arial"/>
        </w:rPr>
        <w:lastRenderedPageBreak/>
        <w:t>The</w:t>
      </w:r>
      <w:r w:rsidR="009A115C" w:rsidRPr="003619B7">
        <w:rPr>
          <w:rFonts w:cs="Arial"/>
        </w:rPr>
        <w:t xml:space="preserve"> challenges that the Council faces in delivering the community </w:t>
      </w:r>
      <w:r w:rsidR="005A478A" w:rsidRPr="003619B7">
        <w:rPr>
          <w:rFonts w:cs="Arial"/>
        </w:rPr>
        <w:t>expectations and levels of service</w:t>
      </w:r>
      <w:r w:rsidR="009A115C" w:rsidRPr="003619B7">
        <w:rPr>
          <w:rFonts w:cs="Arial"/>
        </w:rPr>
        <w:t xml:space="preserve"> related to the </w:t>
      </w:r>
      <w:r w:rsidR="005A478A" w:rsidRPr="003619B7">
        <w:rPr>
          <w:rFonts w:cs="Arial"/>
        </w:rPr>
        <w:t>Building</w:t>
      </w:r>
      <w:r w:rsidR="009A115C" w:rsidRPr="003619B7">
        <w:rPr>
          <w:rFonts w:cs="Arial"/>
        </w:rPr>
        <w:t xml:space="preserve"> activity over the next 10 years are: </w:t>
      </w:r>
    </w:p>
    <w:p w:rsidR="004D3B31" w:rsidRDefault="004D3B31" w:rsidP="00E875DC">
      <w:pPr>
        <w:keepNext/>
        <w:keepLines/>
      </w:pPr>
    </w:p>
    <w:tbl>
      <w:tblPr>
        <w:tblStyle w:val="TableGrid"/>
        <w:tblW w:w="0" w:type="auto"/>
        <w:tblInd w:w="108" w:type="dxa"/>
        <w:tblLook w:val="01E0" w:firstRow="1" w:lastRow="1" w:firstColumn="1" w:lastColumn="1" w:noHBand="0" w:noVBand="0"/>
      </w:tblPr>
      <w:tblGrid>
        <w:gridCol w:w="2691"/>
        <w:gridCol w:w="6487"/>
      </w:tblGrid>
      <w:tr w:rsidR="00640C4A" w:rsidRPr="0091425F" w:rsidTr="00600E2F">
        <w:trPr>
          <w:cantSplit/>
          <w:tblHeader/>
        </w:trPr>
        <w:tc>
          <w:tcPr>
            <w:tcW w:w="2726" w:type="dxa"/>
            <w:tcBorders>
              <w:bottom w:val="single" w:sz="4" w:space="0" w:color="000080"/>
            </w:tcBorders>
            <w:shd w:val="clear" w:color="auto" w:fill="95B3D7" w:themeFill="accent1" w:themeFillTint="99"/>
          </w:tcPr>
          <w:p w:rsidR="00640C4A" w:rsidRPr="0091425F" w:rsidRDefault="00640C4A" w:rsidP="00600E2F">
            <w:pPr>
              <w:keepNext/>
              <w:keepLines/>
              <w:spacing w:before="120" w:after="120"/>
              <w:jc w:val="left"/>
              <w:rPr>
                <w:rFonts w:cs="Arial"/>
                <w:b/>
                <w:sz w:val="20"/>
              </w:rPr>
            </w:pPr>
            <w:r w:rsidRPr="0091425F">
              <w:rPr>
                <w:rFonts w:cs="Arial"/>
                <w:b/>
                <w:sz w:val="20"/>
              </w:rPr>
              <w:t>Key Issues</w:t>
            </w:r>
          </w:p>
        </w:tc>
        <w:tc>
          <w:tcPr>
            <w:tcW w:w="6630" w:type="dxa"/>
            <w:tcBorders>
              <w:bottom w:val="single" w:sz="4" w:space="0" w:color="000080"/>
            </w:tcBorders>
            <w:shd w:val="clear" w:color="auto" w:fill="95B3D7" w:themeFill="accent1" w:themeFillTint="99"/>
          </w:tcPr>
          <w:p w:rsidR="00640C4A" w:rsidRPr="0091425F" w:rsidRDefault="00640C4A" w:rsidP="00600E2F">
            <w:pPr>
              <w:keepNext/>
              <w:keepLines/>
              <w:spacing w:before="120" w:after="120"/>
              <w:jc w:val="left"/>
              <w:rPr>
                <w:rFonts w:cs="Arial"/>
                <w:b/>
                <w:sz w:val="20"/>
              </w:rPr>
            </w:pPr>
            <w:r w:rsidRPr="0091425F">
              <w:rPr>
                <w:rFonts w:cs="Arial"/>
                <w:b/>
                <w:sz w:val="20"/>
              </w:rPr>
              <w:t>Significant Matters</w:t>
            </w:r>
          </w:p>
        </w:tc>
      </w:tr>
      <w:tr w:rsidR="00640C4A" w:rsidRPr="0091425F" w:rsidTr="00600E2F">
        <w:trPr>
          <w:cantSplit/>
        </w:trPr>
        <w:tc>
          <w:tcPr>
            <w:tcW w:w="2726" w:type="dxa"/>
            <w:tcBorders>
              <w:top w:val="single" w:sz="4" w:space="0" w:color="000080"/>
              <w:left w:val="single" w:sz="4" w:space="0" w:color="000080"/>
              <w:bottom w:val="single" w:sz="4" w:space="0" w:color="000080"/>
              <w:right w:val="single" w:sz="4" w:space="0" w:color="000080"/>
            </w:tcBorders>
            <w:shd w:val="clear" w:color="auto" w:fill="auto"/>
          </w:tcPr>
          <w:p w:rsidR="00640C4A" w:rsidRPr="0091425F" w:rsidRDefault="001B630B" w:rsidP="001B630B">
            <w:pPr>
              <w:keepNext/>
              <w:keepLines/>
              <w:spacing w:before="120" w:after="120"/>
              <w:jc w:val="left"/>
              <w:rPr>
                <w:rFonts w:cs="Arial"/>
                <w:sz w:val="20"/>
              </w:rPr>
            </w:pPr>
            <w:r w:rsidRPr="0091425F">
              <w:rPr>
                <w:rFonts w:cs="Arial"/>
                <w:sz w:val="20"/>
              </w:rPr>
              <w:t>Health and S</w:t>
            </w:r>
            <w:r w:rsidR="00640C4A" w:rsidRPr="0091425F">
              <w:rPr>
                <w:rFonts w:cs="Arial"/>
                <w:sz w:val="20"/>
              </w:rPr>
              <w:t>afety, B</w:t>
            </w:r>
            <w:r w:rsidR="007C79CF" w:rsidRPr="0091425F">
              <w:rPr>
                <w:rFonts w:cs="Arial"/>
                <w:sz w:val="20"/>
              </w:rPr>
              <w:t xml:space="preserve">uilding </w:t>
            </w:r>
            <w:r w:rsidR="00640C4A" w:rsidRPr="0091425F">
              <w:rPr>
                <w:rFonts w:cs="Arial"/>
                <w:sz w:val="20"/>
              </w:rPr>
              <w:t>C</w:t>
            </w:r>
            <w:r w:rsidR="007C79CF" w:rsidRPr="0091425F">
              <w:rPr>
                <w:rFonts w:cs="Arial"/>
                <w:sz w:val="20"/>
              </w:rPr>
              <w:t xml:space="preserve">ode of </w:t>
            </w:r>
            <w:r w:rsidR="00640C4A" w:rsidRPr="0091425F">
              <w:rPr>
                <w:rFonts w:cs="Arial"/>
                <w:sz w:val="20"/>
              </w:rPr>
              <w:t>A</w:t>
            </w:r>
            <w:r w:rsidR="007C79CF" w:rsidRPr="0091425F">
              <w:rPr>
                <w:rFonts w:cs="Arial"/>
                <w:sz w:val="20"/>
              </w:rPr>
              <w:t>ustralia (BCA)</w:t>
            </w:r>
            <w:r w:rsidR="00640C4A" w:rsidRPr="0091425F">
              <w:rPr>
                <w:rFonts w:cs="Arial"/>
                <w:sz w:val="20"/>
              </w:rPr>
              <w:t xml:space="preserve"> and D</w:t>
            </w:r>
            <w:r w:rsidR="007C79CF" w:rsidRPr="0091425F">
              <w:rPr>
                <w:rFonts w:cs="Arial"/>
                <w:sz w:val="20"/>
              </w:rPr>
              <w:t xml:space="preserve">isability Discrimination </w:t>
            </w:r>
            <w:r w:rsidR="00640C4A" w:rsidRPr="0091425F">
              <w:rPr>
                <w:rFonts w:cs="Arial"/>
                <w:sz w:val="20"/>
              </w:rPr>
              <w:t>A</w:t>
            </w:r>
            <w:r w:rsidR="007C79CF" w:rsidRPr="0091425F">
              <w:rPr>
                <w:rFonts w:cs="Arial"/>
                <w:sz w:val="20"/>
              </w:rPr>
              <w:t>ct (DDA)</w:t>
            </w:r>
            <w:r w:rsidR="00640C4A" w:rsidRPr="0091425F">
              <w:rPr>
                <w:rFonts w:cs="Arial"/>
                <w:sz w:val="20"/>
              </w:rPr>
              <w:t xml:space="preserve"> compliance </w:t>
            </w:r>
          </w:p>
        </w:tc>
        <w:tc>
          <w:tcPr>
            <w:tcW w:w="6630" w:type="dxa"/>
            <w:tcBorders>
              <w:top w:val="single" w:sz="4" w:space="0" w:color="000080"/>
              <w:left w:val="single" w:sz="4" w:space="0" w:color="000080"/>
              <w:bottom w:val="single" w:sz="4" w:space="0" w:color="000080"/>
              <w:right w:val="single" w:sz="4" w:space="0" w:color="000080"/>
            </w:tcBorders>
            <w:shd w:val="clear" w:color="auto" w:fill="auto"/>
          </w:tcPr>
          <w:p w:rsidR="00640C4A" w:rsidRPr="0091425F" w:rsidRDefault="00640C4A" w:rsidP="00600E2F">
            <w:pPr>
              <w:keepNext/>
              <w:keepLines/>
              <w:spacing w:before="120" w:after="120"/>
              <w:jc w:val="left"/>
              <w:rPr>
                <w:rFonts w:cs="Arial"/>
                <w:sz w:val="20"/>
              </w:rPr>
            </w:pPr>
            <w:r w:rsidRPr="0091425F">
              <w:rPr>
                <w:rFonts w:cs="Arial"/>
                <w:sz w:val="20"/>
              </w:rPr>
              <w:t xml:space="preserve">Health </w:t>
            </w:r>
            <w:r w:rsidR="00927AFA">
              <w:rPr>
                <w:rFonts w:cs="Arial"/>
                <w:sz w:val="20"/>
              </w:rPr>
              <w:t>and</w:t>
            </w:r>
            <w:r w:rsidRPr="0091425F">
              <w:rPr>
                <w:rFonts w:cs="Arial"/>
                <w:sz w:val="20"/>
              </w:rPr>
              <w:t xml:space="preserve"> Safety and compliance with BCA and DDA legislation is of paramount importance in the ongoing management and maintenance of Council buildings. Due to the age of Council</w:t>
            </w:r>
            <w:r w:rsidR="003B7425">
              <w:rPr>
                <w:rFonts w:cs="Arial"/>
                <w:sz w:val="20"/>
              </w:rPr>
              <w:t>’</w:t>
            </w:r>
            <w:r w:rsidRPr="0091425F">
              <w:rPr>
                <w:rFonts w:cs="Arial"/>
                <w:sz w:val="20"/>
              </w:rPr>
              <w:t>s building assets, when undertaking renewal and upgrade works allowance needs to be made to incorporate for current BCA and DDA requirements. This often adds significant cost to the renewal and upgrade project.</w:t>
            </w:r>
          </w:p>
        </w:tc>
      </w:tr>
      <w:tr w:rsidR="00640C4A" w:rsidRPr="0091425F" w:rsidTr="00600E2F">
        <w:trPr>
          <w:cantSplit/>
        </w:trPr>
        <w:tc>
          <w:tcPr>
            <w:tcW w:w="2726" w:type="dxa"/>
            <w:tcBorders>
              <w:top w:val="single" w:sz="4" w:space="0" w:color="000080"/>
              <w:left w:val="single" w:sz="4" w:space="0" w:color="000080"/>
              <w:bottom w:val="single" w:sz="4" w:space="0" w:color="000080"/>
              <w:right w:val="single" w:sz="4" w:space="0" w:color="000080"/>
            </w:tcBorders>
            <w:shd w:val="clear" w:color="auto" w:fill="auto"/>
          </w:tcPr>
          <w:p w:rsidR="00640C4A" w:rsidRPr="0091425F" w:rsidRDefault="00640C4A" w:rsidP="00600E2F">
            <w:pPr>
              <w:spacing w:before="120" w:after="120"/>
              <w:jc w:val="left"/>
              <w:rPr>
                <w:rFonts w:cs="Arial"/>
                <w:sz w:val="20"/>
              </w:rPr>
            </w:pPr>
            <w:r w:rsidRPr="0091425F">
              <w:rPr>
                <w:rFonts w:cs="Arial"/>
                <w:sz w:val="20"/>
              </w:rPr>
              <w:t>Affordability</w:t>
            </w:r>
          </w:p>
        </w:tc>
        <w:tc>
          <w:tcPr>
            <w:tcW w:w="6630" w:type="dxa"/>
            <w:tcBorders>
              <w:top w:val="single" w:sz="4" w:space="0" w:color="000080"/>
              <w:left w:val="single" w:sz="4" w:space="0" w:color="000080"/>
              <w:bottom w:val="single" w:sz="4" w:space="0" w:color="000080"/>
              <w:right w:val="single" w:sz="4" w:space="0" w:color="000080"/>
            </w:tcBorders>
            <w:shd w:val="clear" w:color="auto" w:fill="auto"/>
          </w:tcPr>
          <w:p w:rsidR="00640C4A" w:rsidRPr="0091425F" w:rsidRDefault="00640C4A" w:rsidP="00600E2F">
            <w:pPr>
              <w:spacing w:before="120" w:after="120"/>
              <w:jc w:val="left"/>
              <w:rPr>
                <w:rFonts w:cs="Arial"/>
                <w:sz w:val="20"/>
              </w:rPr>
            </w:pPr>
            <w:r w:rsidRPr="0091425F">
              <w:rPr>
                <w:rFonts w:cs="Arial"/>
                <w:sz w:val="20"/>
              </w:rPr>
              <w:t>Allowance for the long term cumulative effect of lifecycle management of each building (on maintenance and renewal budgets) must be taken into account in budget selection</w:t>
            </w:r>
          </w:p>
          <w:p w:rsidR="00640C4A" w:rsidRPr="0091425F" w:rsidRDefault="00640C4A" w:rsidP="00600E2F">
            <w:pPr>
              <w:spacing w:before="120" w:after="120"/>
              <w:jc w:val="left"/>
              <w:rPr>
                <w:rFonts w:cs="Arial"/>
                <w:sz w:val="20"/>
              </w:rPr>
            </w:pPr>
            <w:r w:rsidRPr="0091425F">
              <w:rPr>
                <w:rFonts w:cs="Arial"/>
                <w:sz w:val="20"/>
              </w:rPr>
              <w:t xml:space="preserve">Strongly escalating tendered prices for renewal and maintenance contracts is significantly affecting affordability of objectives within envisioned timelines </w:t>
            </w:r>
          </w:p>
          <w:p w:rsidR="00640C4A" w:rsidRPr="0091425F" w:rsidRDefault="00640C4A" w:rsidP="00600E2F">
            <w:pPr>
              <w:spacing w:before="120" w:after="120"/>
              <w:jc w:val="left"/>
              <w:rPr>
                <w:rFonts w:cs="Arial"/>
                <w:sz w:val="20"/>
              </w:rPr>
            </w:pPr>
            <w:r w:rsidRPr="0091425F">
              <w:rPr>
                <w:rFonts w:cs="Arial"/>
                <w:sz w:val="20"/>
              </w:rPr>
              <w:t>Development of detailed Life Cycle Management Plans for significant individual buildings is a consideration.</w:t>
            </w:r>
          </w:p>
        </w:tc>
      </w:tr>
      <w:tr w:rsidR="00640C4A" w:rsidRPr="0091425F" w:rsidTr="00600E2F">
        <w:trPr>
          <w:cantSplit/>
        </w:trPr>
        <w:tc>
          <w:tcPr>
            <w:tcW w:w="2726" w:type="dxa"/>
            <w:tcBorders>
              <w:top w:val="single" w:sz="4" w:space="0" w:color="000080"/>
              <w:left w:val="single" w:sz="4" w:space="0" w:color="000080"/>
              <w:bottom w:val="single" w:sz="4" w:space="0" w:color="000080"/>
              <w:right w:val="single" w:sz="4" w:space="0" w:color="000080"/>
            </w:tcBorders>
            <w:shd w:val="clear" w:color="auto" w:fill="auto"/>
          </w:tcPr>
          <w:p w:rsidR="00640C4A" w:rsidRPr="0091425F" w:rsidRDefault="00640C4A" w:rsidP="00600E2F">
            <w:pPr>
              <w:spacing w:before="120" w:after="120"/>
              <w:jc w:val="left"/>
              <w:rPr>
                <w:rFonts w:cs="Arial"/>
                <w:sz w:val="20"/>
              </w:rPr>
            </w:pPr>
            <w:r w:rsidRPr="0091425F">
              <w:rPr>
                <w:rFonts w:cs="Arial"/>
                <w:sz w:val="20"/>
              </w:rPr>
              <w:t>Renewal Gap</w:t>
            </w:r>
          </w:p>
        </w:tc>
        <w:tc>
          <w:tcPr>
            <w:tcW w:w="6630" w:type="dxa"/>
            <w:tcBorders>
              <w:top w:val="single" w:sz="4" w:space="0" w:color="000080"/>
              <w:left w:val="single" w:sz="4" w:space="0" w:color="000080"/>
              <w:bottom w:val="single" w:sz="4" w:space="0" w:color="000080"/>
              <w:right w:val="single" w:sz="4" w:space="0" w:color="000080"/>
            </w:tcBorders>
            <w:shd w:val="clear" w:color="auto" w:fill="auto"/>
          </w:tcPr>
          <w:p w:rsidR="00640C4A" w:rsidRPr="0091425F" w:rsidRDefault="00382DA4" w:rsidP="00382DA4">
            <w:pPr>
              <w:spacing w:after="120"/>
              <w:jc w:val="left"/>
              <w:rPr>
                <w:rFonts w:cs="Arial"/>
                <w:sz w:val="20"/>
                <w:lang w:eastAsia="en-GB"/>
              </w:rPr>
            </w:pPr>
            <w:r w:rsidRPr="00382DA4">
              <w:rPr>
                <w:rFonts w:cs="Arial"/>
                <w:sz w:val="20"/>
                <w:lang w:eastAsia="en-GB"/>
              </w:rPr>
              <w:t>Currently $48.27</w:t>
            </w:r>
            <w:r>
              <w:rPr>
                <w:rFonts w:cs="Arial"/>
                <w:sz w:val="20"/>
                <w:lang w:eastAsia="en-GB"/>
              </w:rPr>
              <w:t>M</w:t>
            </w:r>
            <w:r w:rsidRPr="00382DA4">
              <w:rPr>
                <w:rFonts w:cs="Arial"/>
                <w:sz w:val="20"/>
                <w:lang w:eastAsia="en-GB"/>
              </w:rPr>
              <w:t xml:space="preserve"> has been included in the 10 year Financial Plan for building renewal funding. Modelling based on condition audits indicates a total of $66.46</w:t>
            </w:r>
            <w:r>
              <w:rPr>
                <w:rFonts w:cs="Arial"/>
                <w:sz w:val="20"/>
                <w:lang w:eastAsia="en-GB"/>
              </w:rPr>
              <w:t>M</w:t>
            </w:r>
            <w:r w:rsidRPr="00382DA4">
              <w:rPr>
                <w:rFonts w:cs="Arial"/>
                <w:sz w:val="20"/>
                <w:lang w:eastAsia="en-GB"/>
              </w:rPr>
              <w:t xml:space="preserve"> is required for building renewals. This equates to an increase of $18</w:t>
            </w:r>
            <w:r>
              <w:rPr>
                <w:rFonts w:cs="Arial"/>
                <w:sz w:val="20"/>
                <w:lang w:eastAsia="en-GB"/>
              </w:rPr>
              <w:t>M</w:t>
            </w:r>
            <w:r w:rsidRPr="00382DA4">
              <w:rPr>
                <w:rFonts w:cs="Arial"/>
                <w:sz w:val="20"/>
                <w:lang w:eastAsia="en-GB"/>
              </w:rPr>
              <w:t xml:space="preserve"> over the next 10 years to meet the renewal needs. This funding increase should be maintained to enable the Buildings and Property Branch to meet their service level commitments. </w:t>
            </w:r>
          </w:p>
        </w:tc>
      </w:tr>
      <w:tr w:rsidR="00640C4A" w:rsidRPr="0091425F" w:rsidTr="00600E2F">
        <w:trPr>
          <w:cantSplit/>
        </w:trPr>
        <w:tc>
          <w:tcPr>
            <w:tcW w:w="2726" w:type="dxa"/>
            <w:tcBorders>
              <w:top w:val="single" w:sz="4" w:space="0" w:color="000080"/>
              <w:left w:val="single" w:sz="4" w:space="0" w:color="000080"/>
              <w:bottom w:val="single" w:sz="4" w:space="0" w:color="000080"/>
              <w:right w:val="single" w:sz="4" w:space="0" w:color="000080"/>
            </w:tcBorders>
            <w:shd w:val="clear" w:color="auto" w:fill="auto"/>
          </w:tcPr>
          <w:p w:rsidR="00640C4A" w:rsidRPr="0091425F" w:rsidRDefault="00640C4A" w:rsidP="00600E2F">
            <w:pPr>
              <w:spacing w:before="120" w:after="120"/>
              <w:jc w:val="left"/>
              <w:rPr>
                <w:rFonts w:cs="Arial"/>
                <w:sz w:val="20"/>
              </w:rPr>
            </w:pPr>
            <w:r w:rsidRPr="0091425F">
              <w:rPr>
                <w:rFonts w:cs="Arial"/>
                <w:sz w:val="20"/>
              </w:rPr>
              <w:t xml:space="preserve">Environmental Sustainability </w:t>
            </w:r>
          </w:p>
        </w:tc>
        <w:tc>
          <w:tcPr>
            <w:tcW w:w="6630" w:type="dxa"/>
            <w:tcBorders>
              <w:top w:val="single" w:sz="4" w:space="0" w:color="000080"/>
              <w:left w:val="single" w:sz="4" w:space="0" w:color="000080"/>
              <w:bottom w:val="single" w:sz="4" w:space="0" w:color="000080"/>
              <w:right w:val="single" w:sz="4" w:space="0" w:color="000080"/>
            </w:tcBorders>
            <w:shd w:val="clear" w:color="auto" w:fill="auto"/>
          </w:tcPr>
          <w:p w:rsidR="005C38DE" w:rsidRPr="0091425F" w:rsidRDefault="00640C4A" w:rsidP="00CD1798">
            <w:pPr>
              <w:spacing w:before="120" w:after="120"/>
              <w:jc w:val="left"/>
              <w:rPr>
                <w:rFonts w:cs="Arial"/>
                <w:sz w:val="20"/>
              </w:rPr>
            </w:pPr>
            <w:r w:rsidRPr="0091425F">
              <w:rPr>
                <w:rFonts w:cs="Arial"/>
                <w:sz w:val="20"/>
              </w:rPr>
              <w:t>The adapt</w:t>
            </w:r>
            <w:r w:rsidR="00CD1798">
              <w:rPr>
                <w:rFonts w:cs="Arial"/>
                <w:sz w:val="20"/>
              </w:rPr>
              <w:t xml:space="preserve">ation of Council’s building to reduce energy consumption and </w:t>
            </w:r>
            <w:r w:rsidRPr="0091425F">
              <w:rPr>
                <w:rFonts w:cs="Arial"/>
                <w:sz w:val="20"/>
              </w:rPr>
              <w:t xml:space="preserve">running costs is a high priority for the </w:t>
            </w:r>
            <w:r w:rsidR="005C38DE">
              <w:rPr>
                <w:rFonts w:cs="Arial"/>
                <w:sz w:val="20"/>
              </w:rPr>
              <w:t>B</w:t>
            </w:r>
            <w:r w:rsidRPr="0091425F">
              <w:rPr>
                <w:rFonts w:cs="Arial"/>
                <w:sz w:val="20"/>
              </w:rPr>
              <w:t>uildings a</w:t>
            </w:r>
            <w:r w:rsidR="005C38DE">
              <w:rPr>
                <w:rFonts w:cs="Arial"/>
                <w:sz w:val="20"/>
              </w:rPr>
              <w:t>nd Property B</w:t>
            </w:r>
            <w:r w:rsidRPr="0091425F">
              <w:rPr>
                <w:rFonts w:cs="Arial"/>
                <w:sz w:val="20"/>
              </w:rPr>
              <w:t>ranch</w:t>
            </w:r>
            <w:r w:rsidR="007B2F6C" w:rsidRPr="0091425F">
              <w:rPr>
                <w:rFonts w:cs="Arial"/>
                <w:sz w:val="20"/>
              </w:rPr>
              <w:t xml:space="preserve"> as is m</w:t>
            </w:r>
            <w:r w:rsidRPr="0091425F">
              <w:rPr>
                <w:rFonts w:cs="Arial"/>
                <w:sz w:val="20"/>
              </w:rPr>
              <w:t>eeting the requirements of the E</w:t>
            </w:r>
            <w:r w:rsidR="00CD1798">
              <w:rPr>
                <w:rFonts w:cs="Arial"/>
                <w:sz w:val="20"/>
              </w:rPr>
              <w:t>nvironmentally Sustainable Design (E</w:t>
            </w:r>
            <w:r w:rsidRPr="0091425F">
              <w:rPr>
                <w:rFonts w:cs="Arial"/>
                <w:sz w:val="20"/>
              </w:rPr>
              <w:t>SD</w:t>
            </w:r>
            <w:r w:rsidR="00CD1798">
              <w:rPr>
                <w:rFonts w:cs="Arial"/>
                <w:sz w:val="20"/>
              </w:rPr>
              <w:t>)</w:t>
            </w:r>
            <w:r w:rsidRPr="0091425F">
              <w:rPr>
                <w:rFonts w:cs="Arial"/>
                <w:sz w:val="20"/>
              </w:rPr>
              <w:t xml:space="preserve"> </w:t>
            </w:r>
            <w:r w:rsidR="00CD1798">
              <w:rPr>
                <w:rFonts w:cs="Arial"/>
                <w:sz w:val="20"/>
              </w:rPr>
              <w:t>P</w:t>
            </w:r>
            <w:r w:rsidRPr="0091425F">
              <w:rPr>
                <w:rFonts w:cs="Arial"/>
                <w:sz w:val="20"/>
              </w:rPr>
              <w:t xml:space="preserve">olicy. </w:t>
            </w:r>
            <w:r w:rsidR="007B2F6C" w:rsidRPr="0091425F">
              <w:rPr>
                <w:rFonts w:cs="Arial"/>
                <w:sz w:val="20"/>
              </w:rPr>
              <w:t>Although m</w:t>
            </w:r>
            <w:r w:rsidRPr="0091425F">
              <w:rPr>
                <w:rFonts w:cs="Arial"/>
                <w:sz w:val="20"/>
              </w:rPr>
              <w:t>any of these projects have a high initial cost th</w:t>
            </w:r>
            <w:r w:rsidR="007B2F6C" w:rsidRPr="0091425F">
              <w:rPr>
                <w:rFonts w:cs="Arial"/>
                <w:sz w:val="20"/>
              </w:rPr>
              <w:t xml:space="preserve">ese are </w:t>
            </w:r>
            <w:r w:rsidRPr="0091425F">
              <w:rPr>
                <w:rFonts w:cs="Arial"/>
                <w:sz w:val="20"/>
              </w:rPr>
              <w:t>able to be recovered over time</w:t>
            </w:r>
            <w:r w:rsidR="00CD1798">
              <w:rPr>
                <w:rFonts w:cs="Arial"/>
                <w:sz w:val="20"/>
              </w:rPr>
              <w:t xml:space="preserve"> from operational costs savings</w:t>
            </w:r>
            <w:r w:rsidRPr="0091425F">
              <w:rPr>
                <w:rFonts w:cs="Arial"/>
                <w:sz w:val="20"/>
              </w:rPr>
              <w:t>.</w:t>
            </w:r>
          </w:p>
        </w:tc>
      </w:tr>
    </w:tbl>
    <w:p w:rsidR="005A478A" w:rsidRPr="0091425F" w:rsidRDefault="005A478A" w:rsidP="0033721F">
      <w:pPr>
        <w:pStyle w:val="Caption"/>
        <w:spacing w:before="240" w:after="240"/>
        <w:ind w:left="0"/>
        <w:jc w:val="center"/>
        <w:rPr>
          <w:rFonts w:ascii="Arial" w:hAnsi="Arial"/>
          <w:i w:val="0"/>
          <w:iCs w:val="0"/>
          <w:sz w:val="20"/>
          <w:lang w:val="en-AU"/>
        </w:rPr>
      </w:pPr>
      <w:bookmarkStart w:id="11" w:name="_Toc364945406"/>
      <w:r w:rsidRPr="0091425F">
        <w:rPr>
          <w:rFonts w:ascii="Arial" w:hAnsi="Arial"/>
          <w:i w:val="0"/>
          <w:iCs w:val="0"/>
          <w:sz w:val="20"/>
          <w:lang w:val="en-AU"/>
        </w:rPr>
        <w:t xml:space="preserve">Table </w:t>
      </w:r>
      <w:r w:rsidR="0090414C" w:rsidRPr="0091425F">
        <w:rPr>
          <w:rFonts w:ascii="Arial" w:hAnsi="Arial"/>
          <w:i w:val="0"/>
          <w:iCs w:val="0"/>
          <w:sz w:val="20"/>
          <w:lang w:val="en-AU"/>
        </w:rPr>
        <w:fldChar w:fldCharType="begin"/>
      </w:r>
      <w:r w:rsidR="0012012A" w:rsidRPr="0091425F">
        <w:rPr>
          <w:rFonts w:ascii="Arial" w:hAnsi="Arial"/>
          <w:i w:val="0"/>
          <w:iCs w:val="0"/>
          <w:sz w:val="20"/>
          <w:lang w:val="en-AU"/>
        </w:rPr>
        <w:instrText xml:space="preserve"> SEQ Table \* ARABIC </w:instrText>
      </w:r>
      <w:r w:rsidR="0090414C" w:rsidRPr="0091425F">
        <w:rPr>
          <w:rFonts w:ascii="Arial" w:hAnsi="Arial"/>
          <w:i w:val="0"/>
          <w:iCs w:val="0"/>
          <w:sz w:val="20"/>
          <w:lang w:val="en-AU"/>
        </w:rPr>
        <w:fldChar w:fldCharType="separate"/>
      </w:r>
      <w:r w:rsidR="00751CEC">
        <w:rPr>
          <w:rFonts w:ascii="Arial" w:hAnsi="Arial"/>
          <w:i w:val="0"/>
          <w:iCs w:val="0"/>
          <w:noProof/>
          <w:sz w:val="20"/>
          <w:lang w:val="en-AU"/>
        </w:rPr>
        <w:t>2</w:t>
      </w:r>
      <w:r w:rsidR="0090414C" w:rsidRPr="0091425F">
        <w:rPr>
          <w:rFonts w:ascii="Arial" w:hAnsi="Arial"/>
          <w:i w:val="0"/>
          <w:iCs w:val="0"/>
          <w:sz w:val="20"/>
          <w:lang w:val="en-AU"/>
        </w:rPr>
        <w:fldChar w:fldCharType="end"/>
      </w:r>
      <w:r w:rsidRPr="0091425F">
        <w:rPr>
          <w:rFonts w:ascii="Arial" w:hAnsi="Arial"/>
          <w:i w:val="0"/>
          <w:iCs w:val="0"/>
          <w:sz w:val="20"/>
          <w:lang w:val="en-AU"/>
        </w:rPr>
        <w:t>:</w:t>
      </w:r>
      <w:r w:rsidR="00583329" w:rsidRPr="0091425F">
        <w:rPr>
          <w:rFonts w:ascii="Arial" w:hAnsi="Arial"/>
          <w:i w:val="0"/>
          <w:iCs w:val="0"/>
          <w:sz w:val="20"/>
          <w:lang w:val="en-AU"/>
        </w:rPr>
        <w:t xml:space="preserve"> </w:t>
      </w:r>
      <w:r w:rsidRPr="0091425F">
        <w:rPr>
          <w:rFonts w:ascii="Arial" w:hAnsi="Arial"/>
          <w:i w:val="0"/>
          <w:iCs w:val="0"/>
          <w:sz w:val="20"/>
          <w:lang w:val="en-AU"/>
        </w:rPr>
        <w:t xml:space="preserve"> Schedule of Significant Matters</w:t>
      </w:r>
      <w:bookmarkEnd w:id="11"/>
    </w:p>
    <w:p w:rsidR="00AB76D0" w:rsidRPr="00CF2212" w:rsidRDefault="00AB76D0" w:rsidP="00CF2212">
      <w:pPr>
        <w:pStyle w:val="Heading2"/>
      </w:pPr>
      <w:bookmarkStart w:id="12" w:name="_Toc364945226"/>
      <w:r w:rsidRPr="00CF2212">
        <w:t xml:space="preserve">Relevant </w:t>
      </w:r>
      <w:r w:rsidR="00640C4A" w:rsidRPr="00CF2212">
        <w:t xml:space="preserve">Acts, </w:t>
      </w:r>
      <w:r w:rsidR="001F4DDE" w:rsidRPr="00CF2212">
        <w:t>Strategies</w:t>
      </w:r>
      <w:r w:rsidRPr="00CF2212">
        <w:t xml:space="preserve"> </w:t>
      </w:r>
      <w:r w:rsidR="00640C4A" w:rsidRPr="00CF2212">
        <w:t xml:space="preserve">and </w:t>
      </w:r>
      <w:r w:rsidRPr="00CF2212">
        <w:t>Plans</w:t>
      </w:r>
      <w:bookmarkEnd w:id="12"/>
    </w:p>
    <w:p w:rsidR="00640C4A" w:rsidRDefault="00640C4A" w:rsidP="00583329">
      <w:r w:rsidRPr="00640C4A">
        <w:t xml:space="preserve">The following acts, strategies and plans </w:t>
      </w:r>
      <w:r>
        <w:t>apply to the management of Council Building Assets</w:t>
      </w:r>
      <w:r w:rsidR="00E875DC">
        <w:t>:</w:t>
      </w:r>
    </w:p>
    <w:p w:rsidR="00E875DC" w:rsidRDefault="00E875DC" w:rsidP="00583329"/>
    <w:tbl>
      <w:tblPr>
        <w:tblStyle w:val="TableGrid"/>
        <w:tblW w:w="9119" w:type="dxa"/>
        <w:jc w:val="center"/>
        <w:tblLook w:val="04A0" w:firstRow="1" w:lastRow="0" w:firstColumn="1" w:lastColumn="0" w:noHBand="0" w:noVBand="1"/>
      </w:tblPr>
      <w:tblGrid>
        <w:gridCol w:w="4561"/>
        <w:gridCol w:w="4558"/>
      </w:tblGrid>
      <w:tr w:rsidR="00776EB5" w:rsidRPr="0091425F" w:rsidTr="00271668">
        <w:trPr>
          <w:cantSplit/>
          <w:jc w:val="center"/>
        </w:trPr>
        <w:tc>
          <w:tcPr>
            <w:tcW w:w="9119" w:type="dxa"/>
            <w:gridSpan w:val="2"/>
            <w:shd w:val="clear" w:color="auto" w:fill="95B3D7" w:themeFill="accent1" w:themeFillTint="99"/>
            <w:vAlign w:val="center"/>
          </w:tcPr>
          <w:p w:rsidR="00776EB5" w:rsidRPr="0091425F" w:rsidRDefault="00776EB5" w:rsidP="00600E2F">
            <w:pPr>
              <w:pStyle w:val="Bullet"/>
              <w:numPr>
                <w:ilvl w:val="0"/>
                <w:numId w:val="0"/>
              </w:numPr>
              <w:tabs>
                <w:tab w:val="left" w:pos="426"/>
                <w:tab w:val="left" w:pos="1701"/>
              </w:tabs>
              <w:spacing w:before="120" w:after="120"/>
              <w:rPr>
                <w:rFonts w:ascii="Arial" w:hAnsi="Arial" w:cs="Arial"/>
                <w:b/>
                <w:color w:val="000000" w:themeColor="text1"/>
                <w:sz w:val="20"/>
              </w:rPr>
            </w:pPr>
            <w:r w:rsidRPr="0091425F">
              <w:rPr>
                <w:rFonts w:ascii="Arial" w:hAnsi="Arial" w:cs="Arial"/>
                <w:b/>
                <w:color w:val="000000" w:themeColor="text1"/>
                <w:sz w:val="20"/>
              </w:rPr>
              <w:t>Legislation</w:t>
            </w:r>
          </w:p>
        </w:tc>
      </w:tr>
      <w:tr w:rsidR="00A95E9F" w:rsidRPr="0091425F" w:rsidTr="001B630B">
        <w:trPr>
          <w:cantSplit/>
          <w:jc w:val="center"/>
        </w:trPr>
        <w:tc>
          <w:tcPr>
            <w:tcW w:w="4561" w:type="dxa"/>
          </w:tcPr>
          <w:p w:rsidR="00A95E9F" w:rsidRPr="0091425F" w:rsidRDefault="00A95E9F" w:rsidP="001B630B">
            <w:pPr>
              <w:spacing w:before="120" w:after="120"/>
              <w:jc w:val="left"/>
              <w:rPr>
                <w:rFonts w:cs="Arial"/>
                <w:sz w:val="20"/>
              </w:rPr>
            </w:pPr>
            <w:r w:rsidRPr="0091425F">
              <w:rPr>
                <w:rFonts w:cs="Arial"/>
                <w:i/>
                <w:sz w:val="20"/>
              </w:rPr>
              <w:t>Local Government Act 1989, Act No.11/1989</w:t>
            </w:r>
          </w:p>
        </w:tc>
        <w:tc>
          <w:tcPr>
            <w:tcW w:w="4558" w:type="dxa"/>
          </w:tcPr>
          <w:p w:rsidR="00A95E9F" w:rsidRPr="0091425F" w:rsidRDefault="00A95E9F" w:rsidP="001B630B">
            <w:pPr>
              <w:spacing w:before="120" w:after="120"/>
              <w:jc w:val="left"/>
              <w:rPr>
                <w:rFonts w:cs="Arial"/>
                <w:sz w:val="20"/>
              </w:rPr>
            </w:pPr>
            <w:r w:rsidRPr="0091425F">
              <w:rPr>
                <w:rFonts w:cs="Arial"/>
                <w:i/>
                <w:sz w:val="20"/>
              </w:rPr>
              <w:t>Heritage Act 1995, Act No. No. 93/1995</w:t>
            </w:r>
          </w:p>
        </w:tc>
      </w:tr>
      <w:tr w:rsidR="00A95E9F" w:rsidRPr="0091425F" w:rsidTr="001B630B">
        <w:trPr>
          <w:cantSplit/>
          <w:jc w:val="center"/>
        </w:trPr>
        <w:tc>
          <w:tcPr>
            <w:tcW w:w="4561" w:type="dxa"/>
          </w:tcPr>
          <w:p w:rsidR="00A95E9F" w:rsidRPr="0091425F" w:rsidRDefault="00A95E9F" w:rsidP="001B630B">
            <w:pPr>
              <w:spacing w:before="120" w:after="120"/>
              <w:jc w:val="left"/>
              <w:rPr>
                <w:rFonts w:cs="Arial"/>
                <w:sz w:val="20"/>
              </w:rPr>
            </w:pPr>
            <w:r w:rsidRPr="0091425F">
              <w:rPr>
                <w:rFonts w:cs="Arial"/>
                <w:i/>
                <w:sz w:val="20"/>
              </w:rPr>
              <w:t>Building Act 1993, Act No. 126/1993</w:t>
            </w:r>
          </w:p>
        </w:tc>
        <w:tc>
          <w:tcPr>
            <w:tcW w:w="4558" w:type="dxa"/>
          </w:tcPr>
          <w:p w:rsidR="00A95E9F" w:rsidRPr="0091425F" w:rsidRDefault="00A95E9F" w:rsidP="001B630B">
            <w:pPr>
              <w:spacing w:before="120" w:after="120"/>
              <w:jc w:val="left"/>
              <w:rPr>
                <w:rFonts w:cs="Arial"/>
                <w:sz w:val="20"/>
              </w:rPr>
            </w:pPr>
            <w:r w:rsidRPr="0091425F">
              <w:rPr>
                <w:rFonts w:cs="Arial"/>
                <w:i/>
                <w:sz w:val="20"/>
              </w:rPr>
              <w:t>Heritage (General) Regulations 2005, S.R. No. 18/2005</w:t>
            </w:r>
          </w:p>
        </w:tc>
      </w:tr>
      <w:tr w:rsidR="00A95E9F" w:rsidRPr="0091425F" w:rsidTr="001B630B">
        <w:trPr>
          <w:cantSplit/>
          <w:jc w:val="center"/>
        </w:trPr>
        <w:tc>
          <w:tcPr>
            <w:tcW w:w="4561" w:type="dxa"/>
          </w:tcPr>
          <w:p w:rsidR="00A95E9F" w:rsidRPr="0091425F" w:rsidRDefault="00A95E9F" w:rsidP="001B630B">
            <w:pPr>
              <w:spacing w:before="120" w:after="120"/>
              <w:jc w:val="left"/>
              <w:rPr>
                <w:rFonts w:cs="Arial"/>
                <w:sz w:val="20"/>
              </w:rPr>
            </w:pPr>
            <w:r w:rsidRPr="0091425F">
              <w:rPr>
                <w:rFonts w:cs="Arial"/>
                <w:i/>
                <w:sz w:val="20"/>
              </w:rPr>
              <w:t>Building Regulations 2006, S.R. No. 68/2006</w:t>
            </w:r>
          </w:p>
        </w:tc>
        <w:tc>
          <w:tcPr>
            <w:tcW w:w="4558" w:type="dxa"/>
          </w:tcPr>
          <w:p w:rsidR="00A95E9F" w:rsidRPr="0091425F" w:rsidRDefault="00A95E9F" w:rsidP="001B630B">
            <w:pPr>
              <w:spacing w:before="120" w:after="120"/>
              <w:jc w:val="left"/>
              <w:rPr>
                <w:rFonts w:cs="Arial"/>
                <w:sz w:val="20"/>
              </w:rPr>
            </w:pPr>
            <w:r w:rsidRPr="0091425F">
              <w:rPr>
                <w:rFonts w:cs="Arial"/>
                <w:i/>
                <w:sz w:val="20"/>
              </w:rPr>
              <w:t>Environment Protection Act 1970, Act No. 8056/1970</w:t>
            </w:r>
          </w:p>
        </w:tc>
      </w:tr>
      <w:tr w:rsidR="00A95E9F" w:rsidRPr="0091425F" w:rsidTr="001B630B">
        <w:trPr>
          <w:cantSplit/>
          <w:jc w:val="center"/>
        </w:trPr>
        <w:tc>
          <w:tcPr>
            <w:tcW w:w="4561" w:type="dxa"/>
          </w:tcPr>
          <w:p w:rsidR="00A95E9F" w:rsidRPr="0091425F" w:rsidRDefault="00A95E9F" w:rsidP="00600E2F">
            <w:pPr>
              <w:spacing w:before="120" w:after="120"/>
              <w:jc w:val="left"/>
              <w:rPr>
                <w:rFonts w:cs="Arial"/>
                <w:sz w:val="20"/>
              </w:rPr>
            </w:pPr>
            <w:r w:rsidRPr="0091425F">
              <w:rPr>
                <w:rFonts w:cs="Arial"/>
                <w:i/>
                <w:sz w:val="20"/>
              </w:rPr>
              <w:t>Disability Act 2006, Act</w:t>
            </w:r>
            <w:r w:rsidRPr="0091425F">
              <w:rPr>
                <w:rFonts w:cs="Arial"/>
                <w:sz w:val="20"/>
              </w:rPr>
              <w:t xml:space="preserve"> </w:t>
            </w:r>
            <w:r w:rsidRPr="0091425F">
              <w:rPr>
                <w:rFonts w:cs="Arial"/>
                <w:i/>
                <w:sz w:val="20"/>
              </w:rPr>
              <w:t>No.23/2006</w:t>
            </w:r>
          </w:p>
        </w:tc>
        <w:tc>
          <w:tcPr>
            <w:tcW w:w="4558" w:type="dxa"/>
          </w:tcPr>
          <w:p w:rsidR="00A95E9F" w:rsidRPr="0091425F" w:rsidRDefault="00A95E9F" w:rsidP="00220582">
            <w:pPr>
              <w:spacing w:before="120" w:after="120"/>
              <w:jc w:val="left"/>
              <w:rPr>
                <w:rFonts w:cs="Arial"/>
                <w:sz w:val="20"/>
              </w:rPr>
            </w:pPr>
            <w:r w:rsidRPr="0091425F">
              <w:rPr>
                <w:rFonts w:cs="Arial"/>
                <w:sz w:val="20"/>
              </w:rPr>
              <w:t>State Environment Protection Policies (SEPPs)</w:t>
            </w:r>
          </w:p>
        </w:tc>
      </w:tr>
      <w:tr w:rsidR="00A95E9F" w:rsidRPr="0091425F" w:rsidTr="001B630B">
        <w:trPr>
          <w:cantSplit/>
          <w:jc w:val="center"/>
        </w:trPr>
        <w:tc>
          <w:tcPr>
            <w:tcW w:w="4561" w:type="dxa"/>
          </w:tcPr>
          <w:p w:rsidR="00A95E9F" w:rsidRPr="0091425F" w:rsidRDefault="00A95E9F" w:rsidP="001B630B">
            <w:pPr>
              <w:spacing w:before="120" w:after="120"/>
              <w:jc w:val="left"/>
              <w:rPr>
                <w:rFonts w:cs="Arial"/>
                <w:sz w:val="20"/>
              </w:rPr>
            </w:pPr>
            <w:r w:rsidRPr="0091425F">
              <w:rPr>
                <w:rFonts w:cs="Arial"/>
                <w:i/>
                <w:sz w:val="20"/>
              </w:rPr>
              <w:t>Occupational Health and Safety Act 2004</w:t>
            </w:r>
            <w:r w:rsidRPr="0091425F">
              <w:rPr>
                <w:rFonts w:cs="Arial"/>
                <w:sz w:val="20"/>
              </w:rPr>
              <w:t xml:space="preserve">, </w:t>
            </w:r>
            <w:r w:rsidRPr="0091425F">
              <w:rPr>
                <w:rFonts w:cs="Arial"/>
                <w:i/>
                <w:sz w:val="20"/>
              </w:rPr>
              <w:t>Act No.107/2004</w:t>
            </w:r>
          </w:p>
        </w:tc>
        <w:tc>
          <w:tcPr>
            <w:tcW w:w="4558" w:type="dxa"/>
          </w:tcPr>
          <w:p w:rsidR="00A95E9F" w:rsidRPr="0091425F" w:rsidRDefault="00A95E9F" w:rsidP="00220582">
            <w:pPr>
              <w:spacing w:before="120" w:after="120"/>
              <w:jc w:val="left"/>
              <w:rPr>
                <w:rFonts w:cs="Arial"/>
                <w:sz w:val="20"/>
              </w:rPr>
            </w:pPr>
            <w:r w:rsidRPr="0091425F">
              <w:rPr>
                <w:rFonts w:cs="Arial"/>
                <w:i/>
                <w:sz w:val="20"/>
              </w:rPr>
              <w:t>Building Code of Australia 2004</w:t>
            </w:r>
          </w:p>
        </w:tc>
      </w:tr>
      <w:tr w:rsidR="00A95E9F" w:rsidRPr="0091425F" w:rsidTr="001B630B">
        <w:trPr>
          <w:cantSplit/>
          <w:jc w:val="center"/>
        </w:trPr>
        <w:tc>
          <w:tcPr>
            <w:tcW w:w="4561" w:type="dxa"/>
          </w:tcPr>
          <w:p w:rsidR="00A95E9F" w:rsidRPr="0091425F" w:rsidRDefault="00A95E9F" w:rsidP="001B630B">
            <w:pPr>
              <w:spacing w:before="120" w:after="120"/>
              <w:jc w:val="left"/>
              <w:rPr>
                <w:rFonts w:cs="Arial"/>
                <w:sz w:val="20"/>
              </w:rPr>
            </w:pPr>
            <w:r w:rsidRPr="0091425F">
              <w:rPr>
                <w:rFonts w:cs="Arial"/>
                <w:i/>
                <w:sz w:val="20"/>
              </w:rPr>
              <w:t>Occupational Health and Safety Regulations 2007 S.R. No. 54/2007</w:t>
            </w:r>
          </w:p>
        </w:tc>
        <w:tc>
          <w:tcPr>
            <w:tcW w:w="4558" w:type="dxa"/>
          </w:tcPr>
          <w:p w:rsidR="00A95E9F" w:rsidRPr="0091425F" w:rsidRDefault="00A95E9F" w:rsidP="00220582">
            <w:pPr>
              <w:spacing w:before="120" w:after="120"/>
              <w:jc w:val="left"/>
              <w:rPr>
                <w:rFonts w:cs="Arial"/>
                <w:sz w:val="20"/>
              </w:rPr>
            </w:pPr>
            <w:r w:rsidRPr="0091425F">
              <w:rPr>
                <w:rFonts w:cs="Arial"/>
                <w:sz w:val="20"/>
              </w:rPr>
              <w:t>Australian Accounting Standards.</w:t>
            </w:r>
          </w:p>
        </w:tc>
      </w:tr>
      <w:tr w:rsidR="00A95E9F" w:rsidRPr="0091425F" w:rsidTr="001B630B">
        <w:trPr>
          <w:cantSplit/>
          <w:jc w:val="center"/>
        </w:trPr>
        <w:tc>
          <w:tcPr>
            <w:tcW w:w="4561" w:type="dxa"/>
          </w:tcPr>
          <w:p w:rsidR="00A95E9F" w:rsidRPr="0091425F" w:rsidRDefault="00A95E9F" w:rsidP="00600E2F">
            <w:pPr>
              <w:spacing w:before="120" w:after="120"/>
              <w:jc w:val="left"/>
              <w:rPr>
                <w:rFonts w:cs="Arial"/>
                <w:sz w:val="20"/>
              </w:rPr>
            </w:pPr>
            <w:r w:rsidRPr="0091425F">
              <w:rPr>
                <w:rFonts w:cs="Arial"/>
                <w:i/>
                <w:sz w:val="20"/>
              </w:rPr>
              <w:lastRenderedPageBreak/>
              <w:t>Children’s Services Act 1996, Act No. 53/1996</w:t>
            </w:r>
          </w:p>
        </w:tc>
        <w:tc>
          <w:tcPr>
            <w:tcW w:w="4558" w:type="dxa"/>
          </w:tcPr>
          <w:p w:rsidR="00A95E9F" w:rsidRPr="0091425F" w:rsidRDefault="00A95E9F" w:rsidP="00600E2F">
            <w:pPr>
              <w:spacing w:before="120" w:after="120"/>
              <w:jc w:val="left"/>
              <w:rPr>
                <w:rFonts w:cs="Arial"/>
                <w:sz w:val="20"/>
              </w:rPr>
            </w:pPr>
          </w:p>
        </w:tc>
      </w:tr>
      <w:tr w:rsidR="00E875DC" w:rsidRPr="0091425F" w:rsidTr="00271668">
        <w:trPr>
          <w:cantSplit/>
          <w:jc w:val="center"/>
        </w:trPr>
        <w:tc>
          <w:tcPr>
            <w:tcW w:w="9119" w:type="dxa"/>
            <w:gridSpan w:val="2"/>
            <w:shd w:val="clear" w:color="auto" w:fill="95B3D7" w:themeFill="accent1" w:themeFillTint="99"/>
            <w:vAlign w:val="center"/>
          </w:tcPr>
          <w:p w:rsidR="00A95E9F" w:rsidRPr="0091425F" w:rsidRDefault="00A95E9F" w:rsidP="00927AFA">
            <w:pPr>
              <w:pStyle w:val="Bullet"/>
              <w:keepNext/>
              <w:keepLines/>
              <w:numPr>
                <w:ilvl w:val="0"/>
                <w:numId w:val="0"/>
              </w:numPr>
              <w:tabs>
                <w:tab w:val="left" w:pos="426"/>
                <w:tab w:val="left" w:pos="1701"/>
              </w:tabs>
              <w:spacing w:before="120" w:after="120"/>
              <w:rPr>
                <w:rFonts w:ascii="Arial" w:hAnsi="Arial" w:cs="Arial"/>
                <w:b/>
                <w:color w:val="000000" w:themeColor="text1"/>
                <w:sz w:val="20"/>
              </w:rPr>
            </w:pPr>
            <w:r w:rsidRPr="0091425F">
              <w:rPr>
                <w:rFonts w:ascii="Arial" w:hAnsi="Arial" w:cs="Arial"/>
                <w:b/>
                <w:color w:val="000000" w:themeColor="text1"/>
                <w:sz w:val="20"/>
              </w:rPr>
              <w:t xml:space="preserve">Council Plans </w:t>
            </w:r>
            <w:r w:rsidR="00927AFA">
              <w:rPr>
                <w:rFonts w:ascii="Arial" w:hAnsi="Arial" w:cs="Arial"/>
                <w:b/>
                <w:color w:val="000000" w:themeColor="text1"/>
                <w:sz w:val="20"/>
              </w:rPr>
              <w:t>and</w:t>
            </w:r>
            <w:r w:rsidRPr="0091425F">
              <w:rPr>
                <w:rFonts w:ascii="Arial" w:hAnsi="Arial" w:cs="Arial"/>
                <w:b/>
                <w:color w:val="000000" w:themeColor="text1"/>
                <w:sz w:val="20"/>
              </w:rPr>
              <w:t xml:space="preserve"> Strategies</w:t>
            </w:r>
          </w:p>
        </w:tc>
      </w:tr>
      <w:tr w:rsidR="00A95E9F" w:rsidRPr="0091425F" w:rsidTr="001B630B">
        <w:trPr>
          <w:cantSplit/>
          <w:jc w:val="center"/>
        </w:trPr>
        <w:tc>
          <w:tcPr>
            <w:tcW w:w="4561" w:type="dxa"/>
            <w:tcBorders>
              <w:bottom w:val="single" w:sz="4" w:space="0" w:color="auto"/>
            </w:tcBorders>
          </w:tcPr>
          <w:p w:rsidR="00A95E9F" w:rsidRPr="0091425F" w:rsidRDefault="00A95E9F" w:rsidP="008348B5">
            <w:pPr>
              <w:pStyle w:val="Bullet"/>
              <w:keepNext/>
              <w:keepLines/>
              <w:numPr>
                <w:ilvl w:val="0"/>
                <w:numId w:val="35"/>
              </w:numPr>
              <w:tabs>
                <w:tab w:val="left" w:pos="426"/>
                <w:tab w:val="left" w:pos="1701"/>
              </w:tabs>
              <w:spacing w:before="120" w:after="120"/>
              <w:ind w:left="425" w:hanging="430"/>
              <w:rPr>
                <w:rFonts w:ascii="Arial" w:hAnsi="Arial" w:cs="Arial"/>
                <w:sz w:val="20"/>
              </w:rPr>
            </w:pPr>
            <w:r w:rsidRPr="0091425F">
              <w:rPr>
                <w:rFonts w:ascii="Arial" w:hAnsi="Arial" w:cs="Arial"/>
                <w:sz w:val="20"/>
              </w:rPr>
              <w:t>Asset Management Strategy 2012-2022</w:t>
            </w:r>
          </w:p>
          <w:p w:rsidR="00A95E9F" w:rsidRPr="0091425F" w:rsidRDefault="00A95E9F" w:rsidP="008348B5">
            <w:pPr>
              <w:pStyle w:val="Bullet"/>
              <w:keepNext/>
              <w:keepLines/>
              <w:numPr>
                <w:ilvl w:val="0"/>
                <w:numId w:val="35"/>
              </w:numPr>
              <w:tabs>
                <w:tab w:val="left" w:pos="426"/>
                <w:tab w:val="left" w:pos="1701"/>
              </w:tabs>
              <w:spacing w:before="120" w:after="120"/>
              <w:ind w:left="425" w:hanging="430"/>
              <w:rPr>
                <w:rFonts w:ascii="Arial" w:hAnsi="Arial" w:cs="Arial"/>
                <w:sz w:val="20"/>
              </w:rPr>
            </w:pPr>
            <w:r w:rsidRPr="0091425F">
              <w:rPr>
                <w:rFonts w:ascii="Arial" w:hAnsi="Arial" w:cs="Arial"/>
                <w:sz w:val="20"/>
              </w:rPr>
              <w:t>Council Plan 2009-2013</w:t>
            </w:r>
          </w:p>
          <w:p w:rsidR="00A95E9F" w:rsidRPr="0091425F" w:rsidRDefault="00A95E9F" w:rsidP="008348B5">
            <w:pPr>
              <w:pStyle w:val="Bullet"/>
              <w:keepNext/>
              <w:keepLines/>
              <w:numPr>
                <w:ilvl w:val="0"/>
                <w:numId w:val="35"/>
              </w:numPr>
              <w:tabs>
                <w:tab w:val="left" w:pos="426"/>
                <w:tab w:val="left" w:pos="1701"/>
              </w:tabs>
              <w:spacing w:before="120" w:after="120"/>
              <w:ind w:left="425" w:hanging="430"/>
              <w:rPr>
                <w:rFonts w:ascii="Arial" w:hAnsi="Arial" w:cs="Arial"/>
                <w:sz w:val="20"/>
              </w:rPr>
            </w:pPr>
            <w:r w:rsidRPr="0091425F">
              <w:rPr>
                <w:rFonts w:ascii="Arial" w:hAnsi="Arial" w:cs="Arial"/>
                <w:sz w:val="20"/>
              </w:rPr>
              <w:t>Carbon Neutral Action Plan 2010-2015</w:t>
            </w:r>
          </w:p>
          <w:p w:rsidR="00A95E9F" w:rsidRPr="0091425F" w:rsidRDefault="00A95E9F" w:rsidP="008348B5">
            <w:pPr>
              <w:pStyle w:val="Bullet"/>
              <w:keepNext/>
              <w:keepLines/>
              <w:numPr>
                <w:ilvl w:val="0"/>
                <w:numId w:val="35"/>
              </w:numPr>
              <w:tabs>
                <w:tab w:val="left" w:pos="426"/>
                <w:tab w:val="left" w:pos="1701"/>
              </w:tabs>
              <w:spacing w:before="120" w:after="120"/>
              <w:ind w:left="425" w:hanging="430"/>
              <w:rPr>
                <w:rFonts w:ascii="Arial" w:hAnsi="Arial" w:cs="Arial"/>
                <w:b/>
                <w:sz w:val="20"/>
              </w:rPr>
            </w:pPr>
            <w:r w:rsidRPr="0091425F">
              <w:rPr>
                <w:rFonts w:ascii="Arial" w:hAnsi="Arial" w:cs="Arial"/>
                <w:sz w:val="20"/>
              </w:rPr>
              <w:t>‘Difference is More’ Disability Action Plan 2010-2013</w:t>
            </w:r>
          </w:p>
          <w:p w:rsidR="00A95E9F" w:rsidRPr="0091425F" w:rsidRDefault="00A95E9F" w:rsidP="008348B5">
            <w:pPr>
              <w:pStyle w:val="Bullet"/>
              <w:keepNext/>
              <w:keepLines/>
              <w:numPr>
                <w:ilvl w:val="0"/>
                <w:numId w:val="35"/>
              </w:numPr>
              <w:tabs>
                <w:tab w:val="left" w:pos="426"/>
                <w:tab w:val="left" w:pos="1701"/>
              </w:tabs>
              <w:spacing w:before="120" w:after="120"/>
              <w:ind w:left="425" w:hanging="430"/>
              <w:rPr>
                <w:rFonts w:ascii="Arial" w:hAnsi="Arial" w:cs="Arial"/>
                <w:sz w:val="20"/>
              </w:rPr>
            </w:pPr>
            <w:r w:rsidRPr="0091425F">
              <w:rPr>
                <w:rFonts w:ascii="Arial" w:hAnsi="Arial" w:cs="Arial"/>
                <w:sz w:val="20"/>
              </w:rPr>
              <w:t>Economic Development Strategy (2009-2014)</w:t>
            </w:r>
          </w:p>
          <w:p w:rsidR="00A95E9F" w:rsidRPr="0091425F" w:rsidRDefault="00A95E9F" w:rsidP="008348B5">
            <w:pPr>
              <w:pStyle w:val="Bullet"/>
              <w:keepNext/>
              <w:keepLines/>
              <w:numPr>
                <w:ilvl w:val="0"/>
                <w:numId w:val="35"/>
              </w:numPr>
              <w:tabs>
                <w:tab w:val="left" w:pos="426"/>
                <w:tab w:val="left" w:pos="1701"/>
              </w:tabs>
              <w:spacing w:before="120" w:after="120"/>
              <w:ind w:left="425" w:hanging="430"/>
              <w:rPr>
                <w:rFonts w:ascii="Arial" w:hAnsi="Arial" w:cs="Arial"/>
                <w:sz w:val="20"/>
              </w:rPr>
            </w:pPr>
            <w:r w:rsidRPr="0091425F">
              <w:rPr>
                <w:rFonts w:ascii="Arial" w:hAnsi="Arial" w:cs="Arial"/>
                <w:sz w:val="20"/>
              </w:rPr>
              <w:t>Health Plan 2009-2013</w:t>
            </w:r>
          </w:p>
          <w:p w:rsidR="00A95E9F" w:rsidRPr="0091425F" w:rsidRDefault="00A95E9F" w:rsidP="008348B5">
            <w:pPr>
              <w:pStyle w:val="Bullet"/>
              <w:keepNext/>
              <w:keepLines/>
              <w:numPr>
                <w:ilvl w:val="0"/>
                <w:numId w:val="35"/>
              </w:numPr>
              <w:tabs>
                <w:tab w:val="left" w:pos="426"/>
                <w:tab w:val="left" w:pos="1701"/>
              </w:tabs>
              <w:spacing w:before="120" w:after="120"/>
              <w:ind w:left="425" w:hanging="430"/>
              <w:rPr>
                <w:rFonts w:ascii="Arial" w:hAnsi="Arial" w:cs="Arial"/>
                <w:sz w:val="20"/>
              </w:rPr>
            </w:pPr>
            <w:r w:rsidRPr="0091425F">
              <w:rPr>
                <w:rFonts w:ascii="Arial" w:hAnsi="Arial" w:cs="Arial"/>
                <w:sz w:val="20"/>
              </w:rPr>
              <w:t>Leisure Needs Study 2001</w:t>
            </w:r>
          </w:p>
          <w:p w:rsidR="00A95E9F" w:rsidRPr="0091425F" w:rsidRDefault="00A95E9F" w:rsidP="008348B5">
            <w:pPr>
              <w:pStyle w:val="Bullet"/>
              <w:keepNext/>
              <w:keepLines/>
              <w:numPr>
                <w:ilvl w:val="0"/>
                <w:numId w:val="35"/>
              </w:numPr>
              <w:tabs>
                <w:tab w:val="left" w:pos="426"/>
                <w:tab w:val="left" w:pos="1701"/>
              </w:tabs>
              <w:spacing w:before="120" w:after="120"/>
              <w:ind w:left="425" w:hanging="430"/>
              <w:rPr>
                <w:rFonts w:ascii="Arial" w:hAnsi="Arial" w:cs="Arial"/>
                <w:sz w:val="20"/>
              </w:rPr>
            </w:pPr>
            <w:r w:rsidRPr="0091425F">
              <w:rPr>
                <w:rFonts w:ascii="Arial" w:hAnsi="Arial" w:cs="Arial"/>
                <w:sz w:val="20"/>
              </w:rPr>
              <w:t>Long Term Financial Plan</w:t>
            </w:r>
          </w:p>
          <w:p w:rsidR="00A95E9F" w:rsidRPr="0091425F" w:rsidRDefault="00A95E9F" w:rsidP="008348B5">
            <w:pPr>
              <w:pStyle w:val="Bullet"/>
              <w:keepNext/>
              <w:keepLines/>
              <w:numPr>
                <w:ilvl w:val="0"/>
                <w:numId w:val="35"/>
              </w:numPr>
              <w:tabs>
                <w:tab w:val="left" w:pos="426"/>
                <w:tab w:val="left" w:pos="1701"/>
              </w:tabs>
              <w:spacing w:before="120" w:after="120"/>
              <w:ind w:left="425" w:hanging="430"/>
              <w:rPr>
                <w:rFonts w:ascii="Arial" w:hAnsi="Arial" w:cs="Arial"/>
                <w:sz w:val="20"/>
              </w:rPr>
            </w:pPr>
            <w:r w:rsidRPr="0091425F">
              <w:rPr>
                <w:rFonts w:ascii="Arial" w:hAnsi="Arial" w:cs="Arial"/>
                <w:sz w:val="20"/>
              </w:rPr>
              <w:t>Municipal Wide Infrastructure Plan 2009-2013</w:t>
            </w:r>
          </w:p>
          <w:p w:rsidR="00A95E9F" w:rsidRPr="0091425F" w:rsidRDefault="00A95E9F" w:rsidP="008348B5">
            <w:pPr>
              <w:pStyle w:val="Bullet"/>
              <w:keepNext/>
              <w:keepLines/>
              <w:numPr>
                <w:ilvl w:val="0"/>
                <w:numId w:val="35"/>
              </w:numPr>
              <w:tabs>
                <w:tab w:val="left" w:pos="426"/>
                <w:tab w:val="left" w:pos="1701"/>
              </w:tabs>
              <w:spacing w:before="120" w:after="120"/>
              <w:ind w:left="425" w:hanging="430"/>
              <w:rPr>
                <w:rFonts w:ascii="Arial" w:hAnsi="Arial" w:cs="Arial"/>
                <w:sz w:val="20"/>
              </w:rPr>
            </w:pPr>
            <w:r w:rsidRPr="0091425F">
              <w:rPr>
                <w:rFonts w:ascii="Arial" w:hAnsi="Arial" w:cs="Arial"/>
                <w:sz w:val="20"/>
              </w:rPr>
              <w:t>Positive Aging Strategy 2007-2016</w:t>
            </w:r>
          </w:p>
        </w:tc>
        <w:tc>
          <w:tcPr>
            <w:tcW w:w="4558" w:type="dxa"/>
            <w:tcBorders>
              <w:bottom w:val="single" w:sz="4" w:space="0" w:color="auto"/>
            </w:tcBorders>
          </w:tcPr>
          <w:p w:rsidR="00A95E9F" w:rsidRPr="0091425F" w:rsidRDefault="00A95E9F" w:rsidP="008348B5">
            <w:pPr>
              <w:pStyle w:val="Bullet"/>
              <w:keepNext/>
              <w:keepLines/>
              <w:numPr>
                <w:ilvl w:val="0"/>
                <w:numId w:val="35"/>
              </w:numPr>
              <w:tabs>
                <w:tab w:val="left" w:pos="426"/>
                <w:tab w:val="left" w:pos="1701"/>
              </w:tabs>
              <w:spacing w:before="120" w:after="120"/>
              <w:ind w:left="425" w:hanging="430"/>
              <w:rPr>
                <w:rFonts w:ascii="Arial" w:hAnsi="Arial" w:cs="Arial"/>
                <w:sz w:val="20"/>
              </w:rPr>
            </w:pPr>
            <w:r w:rsidRPr="0091425F">
              <w:rPr>
                <w:rFonts w:ascii="Arial" w:hAnsi="Arial" w:cs="Arial"/>
                <w:sz w:val="20"/>
              </w:rPr>
              <w:t>Public Toilet Strategy 2008</w:t>
            </w:r>
          </w:p>
          <w:p w:rsidR="00A95E9F" w:rsidRPr="0091425F" w:rsidRDefault="00A95E9F" w:rsidP="008348B5">
            <w:pPr>
              <w:pStyle w:val="Bullet"/>
              <w:keepNext/>
              <w:keepLines/>
              <w:numPr>
                <w:ilvl w:val="0"/>
                <w:numId w:val="35"/>
              </w:numPr>
              <w:tabs>
                <w:tab w:val="left" w:pos="426"/>
                <w:tab w:val="left" w:pos="1701"/>
              </w:tabs>
              <w:spacing w:before="120" w:after="120"/>
              <w:ind w:left="425" w:hanging="430"/>
              <w:rPr>
                <w:rFonts w:ascii="Arial" w:hAnsi="Arial" w:cs="Arial"/>
                <w:sz w:val="20"/>
              </w:rPr>
            </w:pPr>
            <w:r w:rsidRPr="0091425F">
              <w:rPr>
                <w:rFonts w:ascii="Arial" w:hAnsi="Arial" w:cs="Arial"/>
                <w:sz w:val="20"/>
              </w:rPr>
              <w:t>Social Infrastructure Management Plan 2006</w:t>
            </w:r>
          </w:p>
          <w:p w:rsidR="00A95E9F" w:rsidRPr="0091425F" w:rsidRDefault="00A95E9F" w:rsidP="008348B5">
            <w:pPr>
              <w:pStyle w:val="Bullet"/>
              <w:keepNext/>
              <w:keepLines/>
              <w:numPr>
                <w:ilvl w:val="0"/>
                <w:numId w:val="35"/>
              </w:numPr>
              <w:tabs>
                <w:tab w:val="left" w:pos="426"/>
                <w:tab w:val="left" w:pos="1701"/>
              </w:tabs>
              <w:spacing w:before="120" w:after="120"/>
              <w:ind w:left="425" w:hanging="430"/>
              <w:rPr>
                <w:rFonts w:ascii="Arial" w:hAnsi="Arial" w:cs="Arial"/>
                <w:sz w:val="20"/>
              </w:rPr>
            </w:pPr>
            <w:r w:rsidRPr="0091425F">
              <w:rPr>
                <w:rFonts w:ascii="Arial" w:hAnsi="Arial" w:cs="Arial"/>
                <w:sz w:val="20"/>
              </w:rPr>
              <w:t>Safer Yarra Plan 2011-2014</w:t>
            </w:r>
          </w:p>
          <w:p w:rsidR="00A95E9F" w:rsidRPr="0091425F" w:rsidRDefault="00A95E9F" w:rsidP="008348B5">
            <w:pPr>
              <w:pStyle w:val="Bullet"/>
              <w:keepNext/>
              <w:keepLines/>
              <w:numPr>
                <w:ilvl w:val="0"/>
                <w:numId w:val="35"/>
              </w:numPr>
              <w:tabs>
                <w:tab w:val="left" w:pos="426"/>
                <w:tab w:val="left" w:pos="1701"/>
              </w:tabs>
              <w:spacing w:before="120" w:after="120"/>
              <w:ind w:left="425" w:hanging="430"/>
              <w:rPr>
                <w:rFonts w:ascii="Arial" w:hAnsi="Arial" w:cs="Arial"/>
                <w:sz w:val="20"/>
              </w:rPr>
            </w:pPr>
            <w:r w:rsidRPr="0091425F">
              <w:rPr>
                <w:rFonts w:ascii="Arial" w:hAnsi="Arial" w:cs="Arial"/>
                <w:sz w:val="20"/>
              </w:rPr>
              <w:t>Sustaining Yarra Principles</w:t>
            </w:r>
          </w:p>
          <w:p w:rsidR="00A95E9F" w:rsidRPr="0091425F" w:rsidRDefault="00A95E9F" w:rsidP="008348B5">
            <w:pPr>
              <w:pStyle w:val="Bullet"/>
              <w:keepNext/>
              <w:keepLines/>
              <w:numPr>
                <w:ilvl w:val="0"/>
                <w:numId w:val="35"/>
              </w:numPr>
              <w:tabs>
                <w:tab w:val="left" w:pos="426"/>
                <w:tab w:val="left" w:pos="1701"/>
              </w:tabs>
              <w:spacing w:before="120" w:after="120"/>
              <w:ind w:left="425" w:hanging="430"/>
              <w:rPr>
                <w:rFonts w:ascii="Arial" w:hAnsi="Arial" w:cs="Arial"/>
                <w:sz w:val="20"/>
              </w:rPr>
            </w:pPr>
            <w:r w:rsidRPr="0091425F">
              <w:rPr>
                <w:rFonts w:ascii="Arial" w:hAnsi="Arial" w:cs="Arial"/>
                <w:sz w:val="20"/>
              </w:rPr>
              <w:t>Various Precinct Planning (Johnston Street, Smith Street, Victoria Street)</w:t>
            </w:r>
          </w:p>
          <w:p w:rsidR="00A95E9F" w:rsidRPr="0091425F" w:rsidRDefault="00A95E9F" w:rsidP="008348B5">
            <w:pPr>
              <w:pStyle w:val="Bullet"/>
              <w:keepNext/>
              <w:keepLines/>
              <w:numPr>
                <w:ilvl w:val="0"/>
                <w:numId w:val="35"/>
              </w:numPr>
              <w:tabs>
                <w:tab w:val="left" w:pos="426"/>
                <w:tab w:val="left" w:pos="1701"/>
              </w:tabs>
              <w:spacing w:before="120" w:after="120"/>
              <w:ind w:left="425" w:hanging="430"/>
              <w:rPr>
                <w:rFonts w:ascii="Arial" w:hAnsi="Arial" w:cs="Arial"/>
                <w:sz w:val="20"/>
              </w:rPr>
            </w:pPr>
            <w:r w:rsidRPr="0091425F">
              <w:rPr>
                <w:rFonts w:ascii="Arial" w:hAnsi="Arial" w:cs="Arial"/>
                <w:sz w:val="20"/>
              </w:rPr>
              <w:t>Water Action Plan 2006</w:t>
            </w:r>
          </w:p>
          <w:p w:rsidR="00A95E9F" w:rsidRPr="0091425F" w:rsidRDefault="00A95E9F" w:rsidP="008348B5">
            <w:pPr>
              <w:pStyle w:val="Bullet"/>
              <w:keepNext/>
              <w:keepLines/>
              <w:numPr>
                <w:ilvl w:val="0"/>
                <w:numId w:val="35"/>
              </w:numPr>
              <w:tabs>
                <w:tab w:val="left" w:pos="426"/>
                <w:tab w:val="left" w:pos="1701"/>
              </w:tabs>
              <w:spacing w:before="120" w:after="120"/>
              <w:ind w:left="425" w:hanging="430"/>
              <w:rPr>
                <w:rFonts w:ascii="Arial" w:hAnsi="Arial" w:cs="Arial"/>
                <w:sz w:val="20"/>
              </w:rPr>
            </w:pPr>
            <w:r w:rsidRPr="0091425F">
              <w:rPr>
                <w:rFonts w:ascii="Arial" w:hAnsi="Arial" w:cs="Arial"/>
                <w:sz w:val="20"/>
              </w:rPr>
              <w:t>Yarra Libraries Strategic Plan 2008-2012</w:t>
            </w:r>
          </w:p>
          <w:p w:rsidR="00A95E9F" w:rsidRPr="0091425F" w:rsidRDefault="00A95E9F" w:rsidP="008348B5">
            <w:pPr>
              <w:pStyle w:val="Bullet"/>
              <w:keepNext/>
              <w:keepLines/>
              <w:numPr>
                <w:ilvl w:val="0"/>
                <w:numId w:val="35"/>
              </w:numPr>
              <w:tabs>
                <w:tab w:val="left" w:pos="426"/>
                <w:tab w:val="left" w:pos="1701"/>
              </w:tabs>
              <w:spacing w:before="120" w:after="120"/>
              <w:ind w:left="425" w:hanging="430"/>
              <w:rPr>
                <w:rFonts w:ascii="Arial" w:hAnsi="Arial" w:cs="Arial"/>
                <w:sz w:val="20"/>
              </w:rPr>
            </w:pPr>
            <w:r w:rsidRPr="0091425F">
              <w:rPr>
                <w:rFonts w:ascii="Arial" w:hAnsi="Arial" w:cs="Arial"/>
                <w:sz w:val="20"/>
              </w:rPr>
              <w:t>Yarra Open Space Strategy 2006</w:t>
            </w:r>
          </w:p>
          <w:p w:rsidR="00A95E9F" w:rsidRPr="0091425F" w:rsidRDefault="00A95E9F" w:rsidP="008348B5">
            <w:pPr>
              <w:pStyle w:val="Bullet"/>
              <w:keepNext/>
              <w:keepLines/>
              <w:numPr>
                <w:ilvl w:val="0"/>
                <w:numId w:val="35"/>
              </w:numPr>
              <w:tabs>
                <w:tab w:val="left" w:pos="426"/>
                <w:tab w:val="left" w:pos="1701"/>
              </w:tabs>
              <w:spacing w:before="120" w:after="120"/>
              <w:ind w:left="425" w:hanging="430"/>
              <w:rPr>
                <w:rFonts w:ascii="Arial" w:hAnsi="Arial" w:cs="Arial"/>
                <w:sz w:val="20"/>
              </w:rPr>
            </w:pPr>
            <w:r w:rsidRPr="0091425F">
              <w:rPr>
                <w:rFonts w:ascii="Arial" w:hAnsi="Arial" w:cs="Arial"/>
                <w:sz w:val="20"/>
              </w:rPr>
              <w:t>Yarra Sports Strategy 2008-12</w:t>
            </w:r>
          </w:p>
          <w:p w:rsidR="00A95E9F" w:rsidRPr="0091425F" w:rsidRDefault="00A95E9F" w:rsidP="008348B5">
            <w:pPr>
              <w:pStyle w:val="Bullet"/>
              <w:keepNext/>
              <w:keepLines/>
              <w:numPr>
                <w:ilvl w:val="0"/>
                <w:numId w:val="35"/>
              </w:numPr>
              <w:tabs>
                <w:tab w:val="left" w:pos="426"/>
                <w:tab w:val="left" w:pos="1701"/>
              </w:tabs>
              <w:spacing w:before="120" w:after="120"/>
              <w:ind w:left="425" w:hanging="430"/>
              <w:rPr>
                <w:rFonts w:ascii="Arial" w:hAnsi="Arial" w:cs="Arial"/>
                <w:sz w:val="20"/>
              </w:rPr>
            </w:pPr>
            <w:r w:rsidRPr="0091425F">
              <w:rPr>
                <w:rFonts w:ascii="Arial" w:hAnsi="Arial" w:cs="Arial"/>
                <w:sz w:val="20"/>
              </w:rPr>
              <w:t>Yarra Environment Strategy 2008-20</w:t>
            </w:r>
          </w:p>
        </w:tc>
      </w:tr>
      <w:tr w:rsidR="00E875DC" w:rsidRPr="0091425F" w:rsidTr="00271668">
        <w:trPr>
          <w:cantSplit/>
          <w:jc w:val="center"/>
        </w:trPr>
        <w:tc>
          <w:tcPr>
            <w:tcW w:w="9119" w:type="dxa"/>
            <w:gridSpan w:val="2"/>
            <w:shd w:val="clear" w:color="auto" w:fill="95B3D7" w:themeFill="accent1" w:themeFillTint="99"/>
            <w:vAlign w:val="center"/>
          </w:tcPr>
          <w:p w:rsidR="00A95E9F" w:rsidRPr="0091425F" w:rsidRDefault="00A95E9F" w:rsidP="001E774F">
            <w:pPr>
              <w:pStyle w:val="Bullet"/>
              <w:numPr>
                <w:ilvl w:val="0"/>
                <w:numId w:val="0"/>
              </w:numPr>
              <w:tabs>
                <w:tab w:val="left" w:pos="426"/>
                <w:tab w:val="left" w:pos="1701"/>
              </w:tabs>
              <w:spacing w:before="120" w:after="120"/>
              <w:rPr>
                <w:rFonts w:ascii="Arial" w:hAnsi="Arial" w:cs="Arial"/>
                <w:b/>
                <w:color w:val="000000" w:themeColor="text1"/>
                <w:sz w:val="20"/>
              </w:rPr>
            </w:pPr>
            <w:r w:rsidRPr="0091425F">
              <w:rPr>
                <w:rFonts w:ascii="Arial" w:hAnsi="Arial" w:cs="Arial"/>
                <w:b/>
                <w:color w:val="000000" w:themeColor="text1"/>
                <w:sz w:val="20"/>
              </w:rPr>
              <w:t>Infrastructure</w:t>
            </w:r>
            <w:r w:rsidR="001E774F">
              <w:rPr>
                <w:rFonts w:ascii="Arial" w:hAnsi="Arial" w:cs="Arial"/>
                <w:b/>
                <w:color w:val="000000" w:themeColor="text1"/>
                <w:sz w:val="20"/>
              </w:rPr>
              <w:t xml:space="preserve">-related </w:t>
            </w:r>
            <w:r w:rsidRPr="0091425F">
              <w:rPr>
                <w:rFonts w:ascii="Arial" w:hAnsi="Arial" w:cs="Arial"/>
                <w:b/>
                <w:color w:val="000000" w:themeColor="text1"/>
                <w:sz w:val="20"/>
              </w:rPr>
              <w:t>Policies and Frameworks</w:t>
            </w:r>
          </w:p>
        </w:tc>
      </w:tr>
      <w:tr w:rsidR="00A95E9F" w:rsidRPr="0091425F" w:rsidTr="001B630B">
        <w:trPr>
          <w:cantSplit/>
          <w:jc w:val="center"/>
        </w:trPr>
        <w:tc>
          <w:tcPr>
            <w:tcW w:w="4561" w:type="dxa"/>
            <w:tcBorders>
              <w:bottom w:val="single" w:sz="4" w:space="0" w:color="auto"/>
            </w:tcBorders>
          </w:tcPr>
          <w:p w:rsidR="00A95E9F" w:rsidRPr="0091425F" w:rsidRDefault="00A95E9F" w:rsidP="008348B5">
            <w:pPr>
              <w:pStyle w:val="Bullet"/>
              <w:numPr>
                <w:ilvl w:val="0"/>
                <w:numId w:val="35"/>
              </w:numPr>
              <w:tabs>
                <w:tab w:val="left" w:pos="426"/>
                <w:tab w:val="left" w:pos="1701"/>
              </w:tabs>
              <w:spacing w:before="120" w:after="120"/>
              <w:ind w:left="426" w:hanging="430"/>
              <w:rPr>
                <w:rFonts w:ascii="Arial" w:hAnsi="Arial" w:cs="Arial"/>
                <w:sz w:val="20"/>
              </w:rPr>
            </w:pPr>
            <w:r w:rsidRPr="0091425F">
              <w:rPr>
                <w:rFonts w:ascii="Arial" w:hAnsi="Arial" w:cs="Arial"/>
                <w:sz w:val="20"/>
              </w:rPr>
              <w:t>Asset Management Policy 2011</w:t>
            </w:r>
          </w:p>
          <w:p w:rsidR="00A95E9F" w:rsidRPr="0091425F" w:rsidRDefault="00A95E9F" w:rsidP="008348B5">
            <w:pPr>
              <w:pStyle w:val="Bullet"/>
              <w:numPr>
                <w:ilvl w:val="0"/>
                <w:numId w:val="35"/>
              </w:numPr>
              <w:tabs>
                <w:tab w:val="left" w:pos="426"/>
                <w:tab w:val="left" w:pos="1701"/>
              </w:tabs>
              <w:spacing w:before="120" w:after="120"/>
              <w:ind w:left="426" w:hanging="430"/>
              <w:rPr>
                <w:rFonts w:ascii="Arial" w:hAnsi="Arial" w:cs="Arial"/>
                <w:sz w:val="20"/>
              </w:rPr>
            </w:pPr>
            <w:r w:rsidRPr="0091425F">
              <w:rPr>
                <w:rFonts w:ascii="Arial" w:hAnsi="Arial" w:cs="Arial"/>
                <w:sz w:val="20"/>
              </w:rPr>
              <w:t>Asset Disposal Policy</w:t>
            </w:r>
          </w:p>
          <w:p w:rsidR="00A95E9F" w:rsidRPr="0091425F" w:rsidRDefault="00A95E9F" w:rsidP="008348B5">
            <w:pPr>
              <w:pStyle w:val="Bullet"/>
              <w:numPr>
                <w:ilvl w:val="0"/>
                <w:numId w:val="35"/>
              </w:numPr>
              <w:tabs>
                <w:tab w:val="left" w:pos="426"/>
                <w:tab w:val="left" w:pos="1701"/>
              </w:tabs>
              <w:spacing w:before="120" w:after="120"/>
              <w:ind w:left="426" w:hanging="430"/>
              <w:rPr>
                <w:rFonts w:ascii="Arial" w:hAnsi="Arial" w:cs="Arial"/>
                <w:sz w:val="20"/>
              </w:rPr>
            </w:pPr>
            <w:r w:rsidRPr="0091425F">
              <w:rPr>
                <w:rFonts w:ascii="Arial" w:hAnsi="Arial" w:cs="Arial"/>
                <w:sz w:val="20"/>
              </w:rPr>
              <w:t>Asset Disposal Procedure</w:t>
            </w:r>
          </w:p>
          <w:p w:rsidR="00A95E9F" w:rsidRPr="0091425F" w:rsidRDefault="00A95E9F" w:rsidP="008348B5">
            <w:pPr>
              <w:pStyle w:val="Bullet"/>
              <w:numPr>
                <w:ilvl w:val="0"/>
                <w:numId w:val="35"/>
              </w:numPr>
              <w:tabs>
                <w:tab w:val="left" w:pos="426"/>
                <w:tab w:val="left" w:pos="1701"/>
              </w:tabs>
              <w:spacing w:before="120" w:after="120"/>
              <w:ind w:left="426" w:hanging="430"/>
              <w:rPr>
                <w:rFonts w:ascii="Arial" w:hAnsi="Arial" w:cs="Arial"/>
                <w:sz w:val="20"/>
              </w:rPr>
            </w:pPr>
            <w:r w:rsidRPr="0091425F">
              <w:rPr>
                <w:rFonts w:ascii="Arial" w:hAnsi="Arial" w:cs="Arial"/>
                <w:sz w:val="20"/>
              </w:rPr>
              <w:t>Capital Works Programme Policy Capital Works Council Facilities Policy</w:t>
            </w:r>
          </w:p>
          <w:p w:rsidR="00A95E9F" w:rsidRPr="0091425F" w:rsidRDefault="00A95E9F" w:rsidP="008348B5">
            <w:pPr>
              <w:pStyle w:val="Bullet"/>
              <w:numPr>
                <w:ilvl w:val="0"/>
                <w:numId w:val="35"/>
              </w:numPr>
              <w:tabs>
                <w:tab w:val="left" w:pos="426"/>
                <w:tab w:val="left" w:pos="1701"/>
              </w:tabs>
              <w:spacing w:before="120" w:after="120"/>
              <w:ind w:left="426" w:hanging="430"/>
              <w:rPr>
                <w:rFonts w:ascii="Arial" w:hAnsi="Arial" w:cs="Arial"/>
                <w:sz w:val="20"/>
              </w:rPr>
            </w:pPr>
            <w:r w:rsidRPr="0091425F">
              <w:rPr>
                <w:rFonts w:ascii="Arial" w:hAnsi="Arial" w:cs="Arial"/>
                <w:sz w:val="20"/>
              </w:rPr>
              <w:t>Communication Consultation and Engagement Policy 2008</w:t>
            </w:r>
          </w:p>
          <w:p w:rsidR="00A95E9F" w:rsidRPr="0091425F" w:rsidRDefault="00A95E9F" w:rsidP="008348B5">
            <w:pPr>
              <w:pStyle w:val="Bullet"/>
              <w:numPr>
                <w:ilvl w:val="0"/>
                <w:numId w:val="35"/>
              </w:numPr>
              <w:tabs>
                <w:tab w:val="left" w:pos="426"/>
                <w:tab w:val="left" w:pos="1701"/>
              </w:tabs>
              <w:spacing w:before="120" w:after="120"/>
              <w:ind w:left="426" w:hanging="430"/>
              <w:rPr>
                <w:rFonts w:ascii="Arial" w:hAnsi="Arial" w:cs="Arial"/>
                <w:sz w:val="20"/>
              </w:rPr>
            </w:pPr>
            <w:r w:rsidRPr="0091425F">
              <w:rPr>
                <w:rFonts w:ascii="Arial" w:hAnsi="Arial" w:cs="Arial"/>
                <w:sz w:val="20"/>
              </w:rPr>
              <w:t>Environmentally Sustainable Design Policy for Council Buildings</w:t>
            </w:r>
          </w:p>
        </w:tc>
        <w:tc>
          <w:tcPr>
            <w:tcW w:w="4558" w:type="dxa"/>
            <w:tcBorders>
              <w:bottom w:val="single" w:sz="4" w:space="0" w:color="auto"/>
            </w:tcBorders>
          </w:tcPr>
          <w:p w:rsidR="00A95E9F" w:rsidRPr="0091425F" w:rsidRDefault="00A95E9F" w:rsidP="008348B5">
            <w:pPr>
              <w:pStyle w:val="Bullet"/>
              <w:numPr>
                <w:ilvl w:val="0"/>
                <w:numId w:val="35"/>
              </w:numPr>
              <w:tabs>
                <w:tab w:val="left" w:pos="426"/>
                <w:tab w:val="left" w:pos="1701"/>
              </w:tabs>
              <w:spacing w:before="120" w:after="120"/>
              <w:ind w:left="426" w:hanging="430"/>
              <w:rPr>
                <w:rFonts w:ascii="Arial" w:hAnsi="Arial" w:cs="Arial"/>
                <w:sz w:val="20"/>
              </w:rPr>
            </w:pPr>
            <w:r w:rsidRPr="0091425F">
              <w:rPr>
                <w:rFonts w:ascii="Arial" w:hAnsi="Arial" w:cs="Arial"/>
                <w:sz w:val="20"/>
              </w:rPr>
              <w:t>Depreciation of Assets Policy</w:t>
            </w:r>
          </w:p>
          <w:p w:rsidR="00A95E9F" w:rsidRPr="0091425F" w:rsidRDefault="00A95E9F" w:rsidP="008348B5">
            <w:pPr>
              <w:pStyle w:val="Bullet"/>
              <w:numPr>
                <w:ilvl w:val="0"/>
                <w:numId w:val="35"/>
              </w:numPr>
              <w:tabs>
                <w:tab w:val="left" w:pos="426"/>
                <w:tab w:val="left" w:pos="1701"/>
              </w:tabs>
              <w:spacing w:before="120" w:after="120"/>
              <w:ind w:left="426" w:hanging="430"/>
              <w:rPr>
                <w:rFonts w:ascii="Arial" w:hAnsi="Arial" w:cs="Arial"/>
                <w:sz w:val="20"/>
              </w:rPr>
            </w:pPr>
            <w:r w:rsidRPr="0091425F">
              <w:rPr>
                <w:rFonts w:ascii="Arial" w:hAnsi="Arial" w:cs="Arial"/>
                <w:sz w:val="20"/>
              </w:rPr>
              <w:t>Levels of Service development framework</w:t>
            </w:r>
          </w:p>
          <w:p w:rsidR="00A95E9F" w:rsidRPr="0091425F" w:rsidRDefault="00A95E9F" w:rsidP="008348B5">
            <w:pPr>
              <w:pStyle w:val="Bullet"/>
              <w:numPr>
                <w:ilvl w:val="0"/>
                <w:numId w:val="35"/>
              </w:numPr>
              <w:tabs>
                <w:tab w:val="left" w:pos="426"/>
                <w:tab w:val="left" w:pos="1701"/>
              </w:tabs>
              <w:spacing w:before="120" w:after="120"/>
              <w:ind w:left="426" w:hanging="430"/>
              <w:rPr>
                <w:rFonts w:ascii="Arial" w:hAnsi="Arial" w:cs="Arial"/>
                <w:sz w:val="20"/>
              </w:rPr>
            </w:pPr>
            <w:r w:rsidRPr="0091425F">
              <w:rPr>
                <w:rFonts w:ascii="Arial" w:hAnsi="Arial" w:cs="Arial"/>
                <w:sz w:val="20"/>
              </w:rPr>
              <w:t>Maintenance Management Framework</w:t>
            </w:r>
          </w:p>
          <w:p w:rsidR="00A95E9F" w:rsidRPr="0091425F" w:rsidRDefault="00A95E9F" w:rsidP="008348B5">
            <w:pPr>
              <w:pStyle w:val="Bullet"/>
              <w:numPr>
                <w:ilvl w:val="0"/>
                <w:numId w:val="35"/>
              </w:numPr>
              <w:tabs>
                <w:tab w:val="left" w:pos="426"/>
                <w:tab w:val="left" w:pos="1701"/>
              </w:tabs>
              <w:spacing w:before="120" w:after="120"/>
              <w:ind w:left="426" w:hanging="430"/>
              <w:rPr>
                <w:rFonts w:ascii="Arial" w:hAnsi="Arial" w:cs="Arial"/>
                <w:sz w:val="20"/>
              </w:rPr>
            </w:pPr>
            <w:r w:rsidRPr="0091425F">
              <w:rPr>
                <w:rFonts w:ascii="Arial" w:hAnsi="Arial" w:cs="Arial"/>
                <w:sz w:val="20"/>
              </w:rPr>
              <w:t>Program Development Framework</w:t>
            </w:r>
          </w:p>
          <w:p w:rsidR="00A95E9F" w:rsidRPr="0091425F" w:rsidRDefault="00A95E9F" w:rsidP="008348B5">
            <w:pPr>
              <w:pStyle w:val="Bullet"/>
              <w:numPr>
                <w:ilvl w:val="0"/>
                <w:numId w:val="35"/>
              </w:numPr>
              <w:tabs>
                <w:tab w:val="left" w:pos="426"/>
                <w:tab w:val="left" w:pos="1701"/>
              </w:tabs>
              <w:spacing w:before="120" w:after="120"/>
              <w:ind w:left="426" w:hanging="430"/>
              <w:rPr>
                <w:rFonts w:ascii="Arial" w:hAnsi="Arial" w:cs="Arial"/>
                <w:sz w:val="20"/>
              </w:rPr>
            </w:pPr>
            <w:r w:rsidRPr="0091425F">
              <w:rPr>
                <w:rFonts w:ascii="Arial" w:hAnsi="Arial" w:cs="Arial"/>
                <w:sz w:val="20"/>
              </w:rPr>
              <w:t>Procurement Policy</w:t>
            </w:r>
          </w:p>
          <w:p w:rsidR="00A95E9F" w:rsidRPr="0091425F" w:rsidRDefault="00A95E9F" w:rsidP="008348B5">
            <w:pPr>
              <w:pStyle w:val="Bullet"/>
              <w:numPr>
                <w:ilvl w:val="0"/>
                <w:numId w:val="35"/>
              </w:numPr>
              <w:tabs>
                <w:tab w:val="left" w:pos="426"/>
                <w:tab w:val="left" w:pos="1701"/>
              </w:tabs>
              <w:spacing w:before="120" w:after="120"/>
              <w:ind w:left="426" w:hanging="430"/>
              <w:rPr>
                <w:rFonts w:ascii="Arial" w:hAnsi="Arial" w:cs="Arial"/>
                <w:sz w:val="20"/>
              </w:rPr>
            </w:pPr>
            <w:r w:rsidRPr="0091425F">
              <w:rPr>
                <w:rFonts w:ascii="Arial" w:hAnsi="Arial" w:cs="Arial"/>
                <w:sz w:val="20"/>
              </w:rPr>
              <w:t>Risk Management Framework</w:t>
            </w:r>
          </w:p>
          <w:p w:rsidR="00A95E9F" w:rsidRPr="0091425F" w:rsidRDefault="00A95E9F" w:rsidP="008348B5">
            <w:pPr>
              <w:pStyle w:val="Bullet"/>
              <w:numPr>
                <w:ilvl w:val="0"/>
                <w:numId w:val="35"/>
              </w:numPr>
              <w:tabs>
                <w:tab w:val="left" w:pos="426"/>
                <w:tab w:val="left" w:pos="1701"/>
              </w:tabs>
              <w:spacing w:before="120" w:after="120"/>
              <w:ind w:left="426" w:hanging="430"/>
              <w:rPr>
                <w:rFonts w:ascii="Arial" w:hAnsi="Arial" w:cs="Arial"/>
                <w:sz w:val="20"/>
              </w:rPr>
            </w:pPr>
            <w:r w:rsidRPr="0091425F">
              <w:rPr>
                <w:rFonts w:ascii="Arial" w:hAnsi="Arial" w:cs="Arial"/>
                <w:sz w:val="20"/>
              </w:rPr>
              <w:t>Sporting Pavilion Standards</w:t>
            </w:r>
          </w:p>
          <w:p w:rsidR="00A95E9F" w:rsidRPr="0091425F" w:rsidRDefault="00A95E9F" w:rsidP="008348B5">
            <w:pPr>
              <w:pStyle w:val="Bullet"/>
              <w:numPr>
                <w:ilvl w:val="0"/>
                <w:numId w:val="35"/>
              </w:numPr>
              <w:tabs>
                <w:tab w:val="left" w:pos="426"/>
                <w:tab w:val="left" w:pos="1701"/>
              </w:tabs>
              <w:spacing w:before="120" w:after="120"/>
              <w:ind w:left="426" w:hanging="430"/>
              <w:rPr>
                <w:rFonts w:ascii="Arial" w:hAnsi="Arial" w:cs="Arial"/>
                <w:sz w:val="20"/>
              </w:rPr>
            </w:pPr>
            <w:r w:rsidRPr="0091425F">
              <w:rPr>
                <w:rFonts w:ascii="Arial" w:hAnsi="Arial" w:cs="Arial"/>
                <w:sz w:val="20"/>
              </w:rPr>
              <w:t>Staff accommodation reviews</w:t>
            </w:r>
          </w:p>
        </w:tc>
      </w:tr>
      <w:tr w:rsidR="00E875DC" w:rsidRPr="0091425F" w:rsidTr="00271668">
        <w:trPr>
          <w:cantSplit/>
          <w:jc w:val="center"/>
        </w:trPr>
        <w:tc>
          <w:tcPr>
            <w:tcW w:w="9119" w:type="dxa"/>
            <w:gridSpan w:val="2"/>
            <w:shd w:val="clear" w:color="auto" w:fill="95B3D7" w:themeFill="accent1" w:themeFillTint="99"/>
          </w:tcPr>
          <w:p w:rsidR="00A95E9F" w:rsidRPr="0091425F" w:rsidRDefault="00A95E9F" w:rsidP="00D70D72">
            <w:pPr>
              <w:pStyle w:val="Bullet"/>
              <w:keepNext/>
              <w:keepLines/>
              <w:numPr>
                <w:ilvl w:val="0"/>
                <w:numId w:val="0"/>
              </w:numPr>
              <w:tabs>
                <w:tab w:val="left" w:pos="426"/>
                <w:tab w:val="left" w:pos="1701"/>
              </w:tabs>
              <w:spacing w:before="120" w:after="120"/>
              <w:rPr>
                <w:rFonts w:ascii="Arial" w:hAnsi="Arial" w:cs="Arial"/>
                <w:b/>
                <w:color w:val="000000" w:themeColor="text1"/>
                <w:sz w:val="20"/>
              </w:rPr>
            </w:pPr>
            <w:r w:rsidRPr="0091425F">
              <w:rPr>
                <w:rFonts w:ascii="Arial" w:hAnsi="Arial" w:cs="Arial"/>
                <w:b/>
                <w:color w:val="000000" w:themeColor="text1"/>
                <w:sz w:val="20"/>
              </w:rPr>
              <w:t>State and Federal Government Publications and Industry Standards and Guidelines</w:t>
            </w:r>
          </w:p>
        </w:tc>
      </w:tr>
      <w:tr w:rsidR="00A95E9F" w:rsidRPr="0091425F" w:rsidTr="001B630B">
        <w:trPr>
          <w:cantSplit/>
          <w:jc w:val="center"/>
        </w:trPr>
        <w:tc>
          <w:tcPr>
            <w:tcW w:w="4561" w:type="dxa"/>
          </w:tcPr>
          <w:p w:rsidR="00A95E9F" w:rsidRPr="0091425F" w:rsidRDefault="00A95E9F" w:rsidP="008348B5">
            <w:pPr>
              <w:pStyle w:val="Bullet"/>
              <w:keepNext/>
              <w:keepLines/>
              <w:numPr>
                <w:ilvl w:val="0"/>
                <w:numId w:val="35"/>
              </w:numPr>
              <w:tabs>
                <w:tab w:val="left" w:pos="426"/>
                <w:tab w:val="left" w:pos="1701"/>
              </w:tabs>
              <w:spacing w:before="120" w:after="120"/>
              <w:ind w:left="426" w:hanging="430"/>
              <w:rPr>
                <w:rFonts w:ascii="Arial" w:hAnsi="Arial" w:cs="Arial"/>
                <w:sz w:val="20"/>
              </w:rPr>
            </w:pPr>
            <w:r w:rsidRPr="0091425F">
              <w:rPr>
                <w:rFonts w:ascii="Arial" w:hAnsi="Arial" w:cs="Arial"/>
                <w:sz w:val="20"/>
              </w:rPr>
              <w:t>Inner Melbourne Action Plan (IMAP) 2005</w:t>
            </w:r>
          </w:p>
          <w:p w:rsidR="00A95E9F" w:rsidRPr="0091425F" w:rsidRDefault="00A95E9F" w:rsidP="008348B5">
            <w:pPr>
              <w:pStyle w:val="Bullet"/>
              <w:keepNext/>
              <w:keepLines/>
              <w:numPr>
                <w:ilvl w:val="0"/>
                <w:numId w:val="35"/>
              </w:numPr>
              <w:tabs>
                <w:tab w:val="left" w:pos="426"/>
                <w:tab w:val="left" w:pos="1701"/>
              </w:tabs>
              <w:spacing w:before="120" w:after="120"/>
              <w:ind w:left="426" w:hanging="430"/>
              <w:rPr>
                <w:rFonts w:ascii="Arial" w:hAnsi="Arial" w:cs="Arial"/>
                <w:b/>
                <w:sz w:val="20"/>
              </w:rPr>
            </w:pPr>
            <w:r w:rsidRPr="0091425F">
              <w:rPr>
                <w:rFonts w:ascii="Arial" w:hAnsi="Arial" w:cs="Arial"/>
                <w:sz w:val="20"/>
              </w:rPr>
              <w:t>Financial Management and Asset Management Framework for Local Government 2009</w:t>
            </w:r>
          </w:p>
        </w:tc>
        <w:tc>
          <w:tcPr>
            <w:tcW w:w="4558" w:type="dxa"/>
          </w:tcPr>
          <w:p w:rsidR="00A95E9F" w:rsidRPr="0091425F" w:rsidRDefault="00A95E9F" w:rsidP="008348B5">
            <w:pPr>
              <w:pStyle w:val="Bullet"/>
              <w:keepNext/>
              <w:keepLines/>
              <w:numPr>
                <w:ilvl w:val="0"/>
                <w:numId w:val="35"/>
              </w:numPr>
              <w:tabs>
                <w:tab w:val="left" w:pos="426"/>
                <w:tab w:val="left" w:pos="1701"/>
              </w:tabs>
              <w:spacing w:before="120" w:after="120"/>
              <w:ind w:left="426" w:hanging="430"/>
              <w:rPr>
                <w:rFonts w:ascii="Arial" w:hAnsi="Arial" w:cs="Arial"/>
                <w:sz w:val="20"/>
              </w:rPr>
            </w:pPr>
            <w:r w:rsidRPr="0091425F">
              <w:rPr>
                <w:rFonts w:ascii="Arial" w:hAnsi="Arial" w:cs="Arial"/>
                <w:sz w:val="20"/>
              </w:rPr>
              <w:t>International Infrastructure Management Manual 2011</w:t>
            </w:r>
          </w:p>
          <w:p w:rsidR="00A95E9F" w:rsidRPr="0091425F" w:rsidRDefault="00B61B98" w:rsidP="00B61B98">
            <w:pPr>
              <w:pStyle w:val="Bullet"/>
              <w:keepNext/>
              <w:keepLines/>
              <w:numPr>
                <w:ilvl w:val="0"/>
                <w:numId w:val="35"/>
              </w:numPr>
              <w:tabs>
                <w:tab w:val="left" w:pos="426"/>
                <w:tab w:val="left" w:pos="1701"/>
              </w:tabs>
              <w:spacing w:before="120" w:after="120"/>
              <w:ind w:left="426" w:hanging="430"/>
              <w:rPr>
                <w:rFonts w:ascii="Arial" w:hAnsi="Arial" w:cs="Arial"/>
                <w:sz w:val="20"/>
              </w:rPr>
            </w:pPr>
            <w:r>
              <w:rPr>
                <w:rFonts w:ascii="Arial" w:hAnsi="Arial" w:cs="Arial"/>
                <w:sz w:val="20"/>
              </w:rPr>
              <w:t>Local Government Victoria is d</w:t>
            </w:r>
            <w:r w:rsidR="00A95E9F" w:rsidRPr="0091425F">
              <w:rPr>
                <w:rFonts w:ascii="Arial" w:hAnsi="Arial" w:cs="Arial"/>
                <w:sz w:val="20"/>
              </w:rPr>
              <w:t xml:space="preserve">eveloping </w:t>
            </w:r>
            <w:r>
              <w:rPr>
                <w:rFonts w:ascii="Arial" w:hAnsi="Arial" w:cs="Arial"/>
                <w:sz w:val="20"/>
              </w:rPr>
              <w:t>the Local Government Performance Reporting Framework. This mandatory program covers 14 service areas.</w:t>
            </w:r>
          </w:p>
        </w:tc>
      </w:tr>
    </w:tbl>
    <w:p w:rsidR="00A95E9F" w:rsidRPr="0091425F" w:rsidRDefault="00737599" w:rsidP="0033721F">
      <w:pPr>
        <w:pStyle w:val="Caption"/>
        <w:spacing w:before="240" w:after="240"/>
        <w:ind w:left="0"/>
        <w:jc w:val="center"/>
        <w:rPr>
          <w:rFonts w:ascii="Arial" w:hAnsi="Arial"/>
          <w:i w:val="0"/>
          <w:iCs w:val="0"/>
          <w:sz w:val="20"/>
          <w:lang w:val="en-AU"/>
        </w:rPr>
      </w:pPr>
      <w:bookmarkStart w:id="13" w:name="_Toc364945407"/>
      <w:r w:rsidRPr="0091425F">
        <w:rPr>
          <w:rFonts w:ascii="Arial" w:hAnsi="Arial"/>
          <w:i w:val="0"/>
          <w:iCs w:val="0"/>
          <w:sz w:val="20"/>
          <w:lang w:val="en-AU"/>
        </w:rPr>
        <w:t xml:space="preserve">Table </w:t>
      </w:r>
      <w:r w:rsidR="0090414C" w:rsidRPr="0091425F">
        <w:rPr>
          <w:rFonts w:ascii="Arial" w:hAnsi="Arial"/>
          <w:i w:val="0"/>
          <w:iCs w:val="0"/>
          <w:sz w:val="20"/>
          <w:lang w:val="en-AU"/>
        </w:rPr>
        <w:fldChar w:fldCharType="begin"/>
      </w:r>
      <w:r w:rsidRPr="0091425F">
        <w:rPr>
          <w:rFonts w:ascii="Arial" w:hAnsi="Arial"/>
          <w:i w:val="0"/>
          <w:iCs w:val="0"/>
          <w:sz w:val="20"/>
          <w:lang w:val="en-AU"/>
        </w:rPr>
        <w:instrText xml:space="preserve"> SEQ Table \* ARABIC </w:instrText>
      </w:r>
      <w:r w:rsidR="0090414C" w:rsidRPr="0091425F">
        <w:rPr>
          <w:rFonts w:ascii="Arial" w:hAnsi="Arial"/>
          <w:i w:val="0"/>
          <w:iCs w:val="0"/>
          <w:sz w:val="20"/>
          <w:lang w:val="en-AU"/>
        </w:rPr>
        <w:fldChar w:fldCharType="separate"/>
      </w:r>
      <w:r w:rsidR="00751CEC">
        <w:rPr>
          <w:rFonts w:ascii="Arial" w:hAnsi="Arial"/>
          <w:i w:val="0"/>
          <w:iCs w:val="0"/>
          <w:noProof/>
          <w:sz w:val="20"/>
          <w:lang w:val="en-AU"/>
        </w:rPr>
        <w:t>3</w:t>
      </w:r>
      <w:r w:rsidR="0090414C" w:rsidRPr="0091425F">
        <w:rPr>
          <w:rFonts w:ascii="Arial" w:hAnsi="Arial"/>
          <w:i w:val="0"/>
          <w:iCs w:val="0"/>
          <w:sz w:val="20"/>
          <w:lang w:val="en-AU"/>
        </w:rPr>
        <w:fldChar w:fldCharType="end"/>
      </w:r>
      <w:r w:rsidR="00A95E9F" w:rsidRPr="0091425F">
        <w:rPr>
          <w:rFonts w:ascii="Arial" w:hAnsi="Arial"/>
          <w:i w:val="0"/>
          <w:iCs w:val="0"/>
          <w:sz w:val="20"/>
          <w:lang w:val="en-AU"/>
        </w:rPr>
        <w:t xml:space="preserve">: </w:t>
      </w:r>
      <w:r w:rsidR="00583329" w:rsidRPr="0091425F">
        <w:rPr>
          <w:rFonts w:ascii="Arial" w:hAnsi="Arial"/>
          <w:i w:val="0"/>
          <w:iCs w:val="0"/>
          <w:sz w:val="20"/>
          <w:lang w:val="en-AU"/>
        </w:rPr>
        <w:t xml:space="preserve"> </w:t>
      </w:r>
      <w:r w:rsidR="00A95E9F" w:rsidRPr="0091425F">
        <w:rPr>
          <w:rFonts w:ascii="Arial" w:hAnsi="Arial"/>
          <w:i w:val="0"/>
          <w:iCs w:val="0"/>
          <w:sz w:val="20"/>
          <w:lang w:val="en-AU"/>
        </w:rPr>
        <w:t>Acts</w:t>
      </w:r>
      <w:r w:rsidR="00583329" w:rsidRPr="0091425F">
        <w:rPr>
          <w:rFonts w:ascii="Arial" w:hAnsi="Arial"/>
          <w:i w:val="0"/>
          <w:iCs w:val="0"/>
          <w:sz w:val="20"/>
          <w:lang w:val="en-AU"/>
        </w:rPr>
        <w:t>,</w:t>
      </w:r>
      <w:r w:rsidR="00A95E9F" w:rsidRPr="0091425F">
        <w:rPr>
          <w:rFonts w:ascii="Arial" w:hAnsi="Arial"/>
          <w:i w:val="0"/>
          <w:iCs w:val="0"/>
          <w:sz w:val="20"/>
          <w:lang w:val="en-AU"/>
        </w:rPr>
        <w:t xml:space="preserve"> Strategies and Plans</w:t>
      </w:r>
      <w:bookmarkEnd w:id="13"/>
    </w:p>
    <w:p w:rsidR="00EC65FB" w:rsidRPr="00CF2212" w:rsidRDefault="00EC65FB" w:rsidP="00CF2212">
      <w:pPr>
        <w:pStyle w:val="Heading2"/>
      </w:pPr>
      <w:bookmarkStart w:id="14" w:name="_Toc364945227"/>
      <w:r w:rsidRPr="00CF2212">
        <w:t>Strategic Priorities</w:t>
      </w:r>
      <w:bookmarkEnd w:id="14"/>
    </w:p>
    <w:p w:rsidR="00AC1764" w:rsidRDefault="00AC1764" w:rsidP="00226145">
      <w:r w:rsidRPr="00701BC2">
        <w:t>A Cou</w:t>
      </w:r>
      <w:r w:rsidR="003B7425">
        <w:t>ncil Plan provides guidance to C</w:t>
      </w:r>
      <w:r w:rsidRPr="00701BC2">
        <w:t>ouncillors, staff, community, State and Federal governments, and local service providers on how Council aims to respond to the opportunities and challenges facing the municipality over the next four years.</w:t>
      </w:r>
    </w:p>
    <w:p w:rsidR="00E95CB5" w:rsidRDefault="00E95CB5" w:rsidP="00226145"/>
    <w:p w:rsidR="00A95E9F" w:rsidRDefault="00A95E9F" w:rsidP="00C47D09">
      <w:pPr>
        <w:keepNext/>
        <w:keepLines/>
        <w:rPr>
          <w:rFonts w:cs="Arial"/>
        </w:rPr>
      </w:pPr>
      <w:r w:rsidRPr="001B630B">
        <w:rPr>
          <w:rFonts w:cs="Arial"/>
        </w:rPr>
        <w:lastRenderedPageBreak/>
        <w:t xml:space="preserve">The following table documents how </w:t>
      </w:r>
      <w:r w:rsidR="009E5CA8">
        <w:rPr>
          <w:rFonts w:cs="Arial"/>
        </w:rPr>
        <w:t>the BAMP aims to</w:t>
      </w:r>
      <w:r w:rsidRPr="001B630B">
        <w:rPr>
          <w:rFonts w:cs="Arial"/>
        </w:rPr>
        <w:t xml:space="preserve"> meet the </w:t>
      </w:r>
      <w:r w:rsidR="00C95945" w:rsidRPr="001B630B">
        <w:rPr>
          <w:rFonts w:cs="Arial"/>
        </w:rPr>
        <w:t xml:space="preserve">strategic objectives </w:t>
      </w:r>
      <w:r w:rsidRPr="001B630B">
        <w:rPr>
          <w:rFonts w:cs="Arial"/>
        </w:rPr>
        <w:t>of the Council Plan.</w:t>
      </w:r>
    </w:p>
    <w:p w:rsidR="00A95E9F" w:rsidRPr="007C0D43" w:rsidRDefault="00A95E9F" w:rsidP="00C47D09">
      <w:pPr>
        <w:keepNext/>
        <w:keepLines/>
        <w:rPr>
          <w:rFonts w:cs="Arial"/>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70"/>
        <w:gridCol w:w="6108"/>
      </w:tblGrid>
      <w:tr w:rsidR="00583329" w:rsidRPr="00854A7F" w:rsidTr="00E60728">
        <w:trPr>
          <w:cantSplit/>
          <w:tblHeader/>
        </w:trPr>
        <w:tc>
          <w:tcPr>
            <w:tcW w:w="3070" w:type="dxa"/>
            <w:shd w:val="clear" w:color="auto" w:fill="95B3D7" w:themeFill="accent1" w:themeFillTint="99"/>
          </w:tcPr>
          <w:p w:rsidR="00A95E9F" w:rsidRPr="00854A7F" w:rsidRDefault="00A95E9F" w:rsidP="001C5EBC">
            <w:pPr>
              <w:keepNext/>
              <w:keepLines/>
              <w:spacing w:before="120" w:after="120"/>
              <w:jc w:val="left"/>
              <w:rPr>
                <w:b/>
              </w:rPr>
            </w:pPr>
            <w:r w:rsidRPr="00854A7F">
              <w:rPr>
                <w:b/>
              </w:rPr>
              <w:t>Strategic Objective</w:t>
            </w:r>
          </w:p>
        </w:tc>
        <w:tc>
          <w:tcPr>
            <w:tcW w:w="6108" w:type="dxa"/>
            <w:shd w:val="clear" w:color="auto" w:fill="95B3D7" w:themeFill="accent1" w:themeFillTint="99"/>
          </w:tcPr>
          <w:p w:rsidR="00A95E9F" w:rsidRPr="00854A7F" w:rsidRDefault="00776EB5" w:rsidP="00C47D09">
            <w:pPr>
              <w:keepNext/>
              <w:keepLines/>
              <w:spacing w:before="120" w:after="120"/>
              <w:jc w:val="left"/>
              <w:rPr>
                <w:b/>
              </w:rPr>
            </w:pPr>
            <w:r w:rsidRPr="00854A7F">
              <w:rPr>
                <w:b/>
              </w:rPr>
              <w:t>Buildings</w:t>
            </w:r>
            <w:r w:rsidR="00A95E9F" w:rsidRPr="00854A7F">
              <w:rPr>
                <w:b/>
              </w:rPr>
              <w:t xml:space="preserve"> Goal</w:t>
            </w:r>
          </w:p>
        </w:tc>
      </w:tr>
      <w:tr w:rsidR="00583329" w:rsidRPr="007C0D43" w:rsidTr="00E60728">
        <w:trPr>
          <w:cantSplit/>
        </w:trPr>
        <w:tc>
          <w:tcPr>
            <w:tcW w:w="3070" w:type="dxa"/>
          </w:tcPr>
          <w:p w:rsidR="00A95E9F" w:rsidRPr="007C0D43" w:rsidRDefault="00BF2D22" w:rsidP="001C5EBC">
            <w:pPr>
              <w:keepNext/>
              <w:keepLines/>
              <w:spacing w:before="120" w:after="120"/>
              <w:jc w:val="left"/>
            </w:pPr>
            <w:r>
              <w:t>Celebrating Yarra’s uniqueness</w:t>
            </w:r>
          </w:p>
        </w:tc>
        <w:tc>
          <w:tcPr>
            <w:tcW w:w="6108" w:type="dxa"/>
          </w:tcPr>
          <w:p w:rsidR="0082201E" w:rsidRDefault="00622336" w:rsidP="00C47D09">
            <w:pPr>
              <w:keepNext/>
              <w:keepLines/>
              <w:spacing w:before="120" w:after="120"/>
              <w:jc w:val="left"/>
            </w:pPr>
            <w:r>
              <w:t>To improve the amenity and a</w:t>
            </w:r>
            <w:r w:rsidR="00A95E9F" w:rsidRPr="007C0D43">
              <w:t xml:space="preserve">mbience of our </w:t>
            </w:r>
            <w:r w:rsidR="00776EB5">
              <w:t>buildings</w:t>
            </w:r>
            <w:r>
              <w:t xml:space="preserve"> in keeping with our h</w:t>
            </w:r>
            <w:r w:rsidR="00A95E9F" w:rsidRPr="007C0D43">
              <w:t>eritage and ‘Inner City’ lifestyle.</w:t>
            </w:r>
            <w:r w:rsidR="0082201E" w:rsidRPr="007C0D43">
              <w:t xml:space="preserve"> </w:t>
            </w:r>
          </w:p>
          <w:p w:rsidR="00A95E9F" w:rsidRPr="007C0D43" w:rsidRDefault="0082201E" w:rsidP="00C47D09">
            <w:pPr>
              <w:keepNext/>
              <w:keepLines/>
              <w:spacing w:before="120" w:after="120"/>
              <w:jc w:val="left"/>
            </w:pPr>
            <w:r w:rsidRPr="007C0D43">
              <w:t xml:space="preserve">To provide </w:t>
            </w:r>
            <w:r w:rsidR="00776EB5">
              <w:t>buildings</w:t>
            </w:r>
            <w:r w:rsidR="00622336">
              <w:t xml:space="preserve"> that are flexible in design to cater for multipurpose use for our diverse and dynamic c</w:t>
            </w:r>
            <w:r w:rsidRPr="007C0D43">
              <w:t>ommunity.</w:t>
            </w:r>
          </w:p>
        </w:tc>
      </w:tr>
      <w:tr w:rsidR="00583329" w:rsidRPr="007C0D43" w:rsidTr="00E60728">
        <w:trPr>
          <w:cantSplit/>
        </w:trPr>
        <w:tc>
          <w:tcPr>
            <w:tcW w:w="3070" w:type="dxa"/>
          </w:tcPr>
          <w:p w:rsidR="00BF2D22" w:rsidRPr="007C0D43" w:rsidRDefault="00BF2D22" w:rsidP="001C5EBC">
            <w:pPr>
              <w:spacing w:before="120" w:after="120"/>
              <w:jc w:val="left"/>
            </w:pPr>
            <w:r w:rsidRPr="007C0D43">
              <w:t>S</w:t>
            </w:r>
            <w:r>
              <w:t>upporting</w:t>
            </w:r>
            <w:r w:rsidRPr="007C0D43">
              <w:t xml:space="preserve"> Yarra's Community</w:t>
            </w:r>
          </w:p>
        </w:tc>
        <w:tc>
          <w:tcPr>
            <w:tcW w:w="6108" w:type="dxa"/>
          </w:tcPr>
          <w:p w:rsidR="00BF2D22" w:rsidRPr="007C0D43" w:rsidRDefault="00622336" w:rsidP="002B10A6">
            <w:pPr>
              <w:spacing w:before="120" w:after="120"/>
              <w:jc w:val="left"/>
            </w:pPr>
            <w:r>
              <w:t>To provide safe and a</w:t>
            </w:r>
            <w:r w:rsidR="00BF2D22" w:rsidRPr="007C0D43">
              <w:t xml:space="preserve">ccessible </w:t>
            </w:r>
            <w:r w:rsidR="00776EB5">
              <w:t>buildings</w:t>
            </w:r>
            <w:r>
              <w:t xml:space="preserve"> for our community through compliance with l</w:t>
            </w:r>
            <w:r w:rsidR="00BF2D22" w:rsidRPr="007C0D43">
              <w:t>egislation.</w:t>
            </w:r>
          </w:p>
        </w:tc>
      </w:tr>
      <w:tr w:rsidR="00583329" w:rsidRPr="007C0D43" w:rsidTr="00E60728">
        <w:trPr>
          <w:cantSplit/>
        </w:trPr>
        <w:tc>
          <w:tcPr>
            <w:tcW w:w="3070" w:type="dxa"/>
          </w:tcPr>
          <w:p w:rsidR="00BF2D22" w:rsidRPr="007C0D43" w:rsidRDefault="00BF2D22" w:rsidP="001C5EBC">
            <w:pPr>
              <w:spacing w:before="120" w:after="120"/>
              <w:jc w:val="left"/>
            </w:pPr>
            <w:r>
              <w:t>Making Yarra more liveable</w:t>
            </w:r>
          </w:p>
        </w:tc>
        <w:tc>
          <w:tcPr>
            <w:tcW w:w="6108" w:type="dxa"/>
          </w:tcPr>
          <w:p w:rsidR="00BF2D22" w:rsidRPr="007C0D43" w:rsidRDefault="00BF2D22" w:rsidP="002B10A6">
            <w:pPr>
              <w:spacing w:before="120" w:after="120"/>
              <w:jc w:val="left"/>
            </w:pPr>
            <w:r>
              <w:t xml:space="preserve">To ensure that </w:t>
            </w:r>
            <w:r w:rsidR="00776EB5">
              <w:t xml:space="preserve">building </w:t>
            </w:r>
            <w:r>
              <w:t>assets are accessible well maintained and protected for future generations</w:t>
            </w:r>
            <w:r w:rsidR="0082201E">
              <w:t>.</w:t>
            </w:r>
          </w:p>
        </w:tc>
      </w:tr>
      <w:tr w:rsidR="00583329" w:rsidRPr="007C0D43" w:rsidTr="00E60728">
        <w:trPr>
          <w:cantSplit/>
        </w:trPr>
        <w:tc>
          <w:tcPr>
            <w:tcW w:w="3070" w:type="dxa"/>
          </w:tcPr>
          <w:p w:rsidR="00A95E9F" w:rsidRPr="007C0D43" w:rsidRDefault="00A95E9F" w:rsidP="001C5EBC">
            <w:pPr>
              <w:spacing w:before="120" w:after="120"/>
              <w:jc w:val="left"/>
            </w:pPr>
            <w:r w:rsidRPr="007C0D43">
              <w:t>Ensuring a Sustainable Yarra</w:t>
            </w:r>
          </w:p>
        </w:tc>
        <w:tc>
          <w:tcPr>
            <w:tcW w:w="6108" w:type="dxa"/>
          </w:tcPr>
          <w:p w:rsidR="00A95E9F" w:rsidRPr="007C0D43" w:rsidRDefault="003B7425" w:rsidP="002B10A6">
            <w:pPr>
              <w:spacing w:before="120" w:after="120"/>
              <w:jc w:val="left"/>
            </w:pPr>
            <w:r>
              <w:t>To r</w:t>
            </w:r>
            <w:r w:rsidR="00095058">
              <w:t>educe</w:t>
            </w:r>
            <w:r w:rsidR="00622336">
              <w:t xml:space="preserve"> our carbon footprint through the use of innovative technologies and application of e</w:t>
            </w:r>
            <w:r w:rsidR="00A95E9F" w:rsidRPr="007C0D43">
              <w:t>fficien</w:t>
            </w:r>
            <w:r w:rsidR="00622336">
              <w:t>t t</w:t>
            </w:r>
            <w:r w:rsidR="00A95E9F" w:rsidRPr="007C0D43">
              <w:t>echniques.</w:t>
            </w:r>
          </w:p>
        </w:tc>
      </w:tr>
      <w:tr w:rsidR="00583329" w:rsidRPr="007C0D43" w:rsidTr="00E60728">
        <w:trPr>
          <w:cantSplit/>
        </w:trPr>
        <w:tc>
          <w:tcPr>
            <w:tcW w:w="3070" w:type="dxa"/>
            <w:tcBorders>
              <w:bottom w:val="single" w:sz="4" w:space="0" w:color="auto"/>
            </w:tcBorders>
          </w:tcPr>
          <w:p w:rsidR="00A95E9F" w:rsidRPr="007C0D43" w:rsidRDefault="0082201E" w:rsidP="001C5EBC">
            <w:pPr>
              <w:spacing w:before="120" w:after="120"/>
              <w:jc w:val="left"/>
            </w:pPr>
            <w:r>
              <w:t>Leading local government</w:t>
            </w:r>
          </w:p>
        </w:tc>
        <w:tc>
          <w:tcPr>
            <w:tcW w:w="6108" w:type="dxa"/>
            <w:tcBorders>
              <w:bottom w:val="single" w:sz="4" w:space="0" w:color="auto"/>
            </w:tcBorders>
          </w:tcPr>
          <w:p w:rsidR="0082201E" w:rsidRDefault="00622336" w:rsidP="002B10A6">
            <w:pPr>
              <w:spacing w:before="120" w:after="120"/>
              <w:jc w:val="left"/>
            </w:pPr>
            <w:r>
              <w:t>To apply management techniques that provides capacity within our building portfolio and caters for demand in s</w:t>
            </w:r>
            <w:r w:rsidR="0082201E" w:rsidRPr="007C0D43">
              <w:t>ervices.</w:t>
            </w:r>
          </w:p>
          <w:p w:rsidR="00A95E9F" w:rsidRPr="007C0D43" w:rsidRDefault="00A95E9F" w:rsidP="002B10A6">
            <w:pPr>
              <w:spacing w:before="120" w:after="120"/>
              <w:jc w:val="left"/>
            </w:pPr>
            <w:r w:rsidRPr="007C0D43">
              <w:t xml:space="preserve">To manage our </w:t>
            </w:r>
            <w:r w:rsidR="00776EB5">
              <w:t>buildings</w:t>
            </w:r>
            <w:r w:rsidR="00622336">
              <w:t xml:space="preserve"> using whole of l</w:t>
            </w:r>
            <w:r w:rsidRPr="007C0D43">
              <w:t>ife approaches.</w:t>
            </w:r>
          </w:p>
        </w:tc>
      </w:tr>
    </w:tbl>
    <w:p w:rsidR="00E60728" w:rsidRPr="0091425F" w:rsidRDefault="00E60728" w:rsidP="00E60728">
      <w:pPr>
        <w:pStyle w:val="Caption"/>
        <w:spacing w:before="240" w:after="240"/>
        <w:ind w:left="0"/>
        <w:jc w:val="center"/>
        <w:rPr>
          <w:rFonts w:ascii="Arial" w:hAnsi="Arial"/>
          <w:i w:val="0"/>
          <w:iCs w:val="0"/>
          <w:sz w:val="20"/>
          <w:lang w:val="en-AU"/>
        </w:rPr>
      </w:pPr>
      <w:bookmarkStart w:id="15" w:name="_Toc364945408"/>
      <w:r w:rsidRPr="0091425F">
        <w:rPr>
          <w:rFonts w:ascii="Arial" w:hAnsi="Arial"/>
          <w:i w:val="0"/>
          <w:iCs w:val="0"/>
          <w:sz w:val="20"/>
          <w:lang w:val="en-AU"/>
        </w:rPr>
        <w:t xml:space="preserve">Table </w:t>
      </w:r>
      <w:r w:rsidR="0090414C" w:rsidRPr="0091425F">
        <w:rPr>
          <w:rFonts w:ascii="Arial" w:hAnsi="Arial"/>
          <w:i w:val="0"/>
          <w:iCs w:val="0"/>
          <w:sz w:val="20"/>
          <w:lang w:val="en-AU"/>
        </w:rPr>
        <w:fldChar w:fldCharType="begin"/>
      </w:r>
      <w:r w:rsidRPr="0091425F">
        <w:rPr>
          <w:rFonts w:ascii="Arial" w:hAnsi="Arial"/>
          <w:i w:val="0"/>
          <w:iCs w:val="0"/>
          <w:sz w:val="20"/>
          <w:lang w:val="en-AU"/>
        </w:rPr>
        <w:instrText xml:space="preserve"> SEQ Table \* ARABIC </w:instrText>
      </w:r>
      <w:r w:rsidR="0090414C" w:rsidRPr="0091425F">
        <w:rPr>
          <w:rFonts w:ascii="Arial" w:hAnsi="Arial"/>
          <w:i w:val="0"/>
          <w:iCs w:val="0"/>
          <w:sz w:val="20"/>
          <w:lang w:val="en-AU"/>
        </w:rPr>
        <w:fldChar w:fldCharType="separate"/>
      </w:r>
      <w:r w:rsidR="00751CEC">
        <w:rPr>
          <w:rFonts w:ascii="Arial" w:hAnsi="Arial"/>
          <w:i w:val="0"/>
          <w:iCs w:val="0"/>
          <w:noProof/>
          <w:sz w:val="20"/>
          <w:lang w:val="en-AU"/>
        </w:rPr>
        <w:t>4</w:t>
      </w:r>
      <w:r w:rsidR="0090414C" w:rsidRPr="0091425F">
        <w:rPr>
          <w:rFonts w:ascii="Arial" w:hAnsi="Arial"/>
          <w:i w:val="0"/>
          <w:iCs w:val="0"/>
          <w:sz w:val="20"/>
          <w:lang w:val="en-AU"/>
        </w:rPr>
        <w:fldChar w:fldCharType="end"/>
      </w:r>
      <w:r w:rsidRPr="0091425F">
        <w:rPr>
          <w:rFonts w:ascii="Arial" w:hAnsi="Arial"/>
          <w:i w:val="0"/>
          <w:iCs w:val="0"/>
          <w:sz w:val="20"/>
          <w:lang w:val="en-AU"/>
        </w:rPr>
        <w:t>:  Council Strategic Objectives</w:t>
      </w:r>
      <w:bookmarkEnd w:id="15"/>
    </w:p>
    <w:p w:rsidR="00AB76D0" w:rsidRPr="00CF2212" w:rsidRDefault="00AB76D0" w:rsidP="00D70D72">
      <w:pPr>
        <w:pStyle w:val="Heading2"/>
        <w:keepLines/>
      </w:pPr>
      <w:bookmarkStart w:id="16" w:name="_Toc364945228"/>
      <w:r w:rsidRPr="00CF2212">
        <w:t>Asset Information</w:t>
      </w:r>
      <w:bookmarkEnd w:id="16"/>
    </w:p>
    <w:p w:rsidR="00A95E9F" w:rsidRPr="007C0D43" w:rsidRDefault="00A95E9F" w:rsidP="00D70D72">
      <w:pPr>
        <w:keepNext/>
        <w:keepLines/>
      </w:pPr>
      <w:r w:rsidRPr="007C0D43">
        <w:t xml:space="preserve">For the purposes of the BAMP, building assets have been divided into six </w:t>
      </w:r>
      <w:r w:rsidR="001909A3">
        <w:t>service</w:t>
      </w:r>
      <w:r w:rsidRPr="007C0D43">
        <w:t xml:space="preserve"> classes based on the major types of services provided. Each class has a number of sub classes.</w:t>
      </w:r>
    </w:p>
    <w:p w:rsidR="00A95E9F" w:rsidRPr="00772C14" w:rsidRDefault="00A95E9F" w:rsidP="00D70D72">
      <w:pPr>
        <w:keepNext/>
        <w:keepLines/>
      </w:pPr>
    </w:p>
    <w:tbl>
      <w:tblPr>
        <w:tblW w:w="923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01"/>
        <w:gridCol w:w="2551"/>
        <w:gridCol w:w="2694"/>
        <w:gridCol w:w="992"/>
        <w:gridCol w:w="1498"/>
      </w:tblGrid>
      <w:tr w:rsidR="00A95E9F" w:rsidRPr="00EB058C" w:rsidTr="00CE5EFF">
        <w:trPr>
          <w:tblHeader/>
          <w:jc w:val="center"/>
        </w:trPr>
        <w:tc>
          <w:tcPr>
            <w:tcW w:w="1501"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bottom"/>
          </w:tcPr>
          <w:p w:rsidR="00A95E9F" w:rsidRPr="006F599F" w:rsidRDefault="00A95E9F" w:rsidP="00D70D72">
            <w:pPr>
              <w:keepNext/>
              <w:keepLines/>
              <w:spacing w:before="120" w:after="120"/>
              <w:jc w:val="left"/>
              <w:rPr>
                <w:b/>
              </w:rPr>
            </w:pPr>
            <w:r w:rsidRPr="006F599F">
              <w:rPr>
                <w:b/>
              </w:rPr>
              <w:t>Service Class</w:t>
            </w:r>
          </w:p>
        </w:tc>
        <w:tc>
          <w:tcPr>
            <w:tcW w:w="2551"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bottom"/>
          </w:tcPr>
          <w:p w:rsidR="00A95E9F" w:rsidRPr="006F599F" w:rsidRDefault="00A95E9F" w:rsidP="00D70D72">
            <w:pPr>
              <w:keepNext/>
              <w:keepLines/>
              <w:spacing w:before="120" w:after="120"/>
              <w:jc w:val="left"/>
              <w:rPr>
                <w:b/>
              </w:rPr>
            </w:pPr>
            <w:r w:rsidRPr="006F599F">
              <w:rPr>
                <w:b/>
              </w:rPr>
              <w:t>Building Categories</w:t>
            </w:r>
          </w:p>
        </w:tc>
        <w:tc>
          <w:tcPr>
            <w:tcW w:w="2694"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bottom"/>
          </w:tcPr>
          <w:p w:rsidR="00A95E9F" w:rsidRPr="006F599F" w:rsidRDefault="00A95E9F" w:rsidP="00D70D72">
            <w:pPr>
              <w:keepNext/>
              <w:keepLines/>
              <w:spacing w:before="120" w:after="120"/>
              <w:jc w:val="left"/>
              <w:rPr>
                <w:b/>
              </w:rPr>
            </w:pPr>
            <w:r w:rsidRPr="006F599F">
              <w:rPr>
                <w:b/>
              </w:rPr>
              <w:t>Buildings</w:t>
            </w:r>
          </w:p>
        </w:tc>
        <w:tc>
          <w:tcPr>
            <w:tcW w:w="992"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bottom"/>
          </w:tcPr>
          <w:p w:rsidR="00A95E9F" w:rsidRPr="006F599F" w:rsidRDefault="00A95E9F" w:rsidP="00CE5EFF">
            <w:pPr>
              <w:keepNext/>
              <w:keepLines/>
              <w:spacing w:before="120" w:after="120"/>
              <w:jc w:val="center"/>
              <w:rPr>
                <w:b/>
              </w:rPr>
            </w:pPr>
            <w:r w:rsidRPr="006F599F">
              <w:rPr>
                <w:b/>
              </w:rPr>
              <w:t>Council Owned Service Sites</w:t>
            </w:r>
          </w:p>
        </w:tc>
        <w:tc>
          <w:tcPr>
            <w:tcW w:w="1498"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bottom"/>
          </w:tcPr>
          <w:p w:rsidR="00A95E9F" w:rsidRPr="006F599F" w:rsidRDefault="00FC7C66" w:rsidP="00CE5EFF">
            <w:pPr>
              <w:keepNext/>
              <w:keepLines/>
              <w:spacing w:before="120" w:after="120"/>
              <w:jc w:val="center"/>
              <w:rPr>
                <w:b/>
              </w:rPr>
            </w:pPr>
            <w:r w:rsidRPr="006F599F">
              <w:rPr>
                <w:b/>
              </w:rPr>
              <w:t>Replacement Cost</w:t>
            </w:r>
            <w:r w:rsidRPr="006F599F">
              <w:rPr>
                <w:b/>
              </w:rPr>
              <w:br/>
            </w:r>
            <w:r w:rsidR="00A95E9F" w:rsidRPr="006F599F">
              <w:rPr>
                <w:b/>
              </w:rPr>
              <w:t>(30.6.2012)</w:t>
            </w:r>
          </w:p>
        </w:tc>
      </w:tr>
      <w:tr w:rsidR="00A95E9F" w:rsidRPr="00EB058C" w:rsidTr="00CE5EFF">
        <w:trPr>
          <w:cantSplit/>
          <w:trHeight w:val="340"/>
          <w:jc w:val="center"/>
        </w:trPr>
        <w:tc>
          <w:tcPr>
            <w:tcW w:w="1501" w:type="dxa"/>
            <w:tcBorders>
              <w:top w:val="single" w:sz="4" w:space="0" w:color="auto"/>
              <w:bottom w:val="single" w:sz="4" w:space="0" w:color="000000"/>
            </w:tcBorders>
          </w:tcPr>
          <w:p w:rsidR="00A95E9F" w:rsidRPr="00EB058C" w:rsidRDefault="00A95E9F" w:rsidP="00D70D72">
            <w:pPr>
              <w:pStyle w:val="TableText1"/>
              <w:keepNext/>
              <w:keepLines/>
              <w:spacing w:before="120" w:after="120"/>
              <w:jc w:val="left"/>
              <w:rPr>
                <w:rFonts w:cs="Arial"/>
                <w:sz w:val="20"/>
              </w:rPr>
            </w:pPr>
            <w:r w:rsidRPr="00EB058C">
              <w:rPr>
                <w:rFonts w:cs="Arial"/>
                <w:sz w:val="20"/>
              </w:rPr>
              <w:t>Commercial</w:t>
            </w:r>
          </w:p>
        </w:tc>
        <w:tc>
          <w:tcPr>
            <w:tcW w:w="2551" w:type="dxa"/>
            <w:tcBorders>
              <w:top w:val="single" w:sz="4" w:space="0" w:color="auto"/>
            </w:tcBorders>
          </w:tcPr>
          <w:p w:rsidR="00A95E9F" w:rsidRPr="00EB058C" w:rsidRDefault="00A95E9F" w:rsidP="00357ED3">
            <w:pPr>
              <w:keepNext/>
              <w:keepLines/>
              <w:spacing w:before="120" w:after="120"/>
              <w:jc w:val="left"/>
              <w:rPr>
                <w:rFonts w:cs="Arial"/>
              </w:rPr>
            </w:pPr>
            <w:r w:rsidRPr="00EB058C">
              <w:rPr>
                <w:rFonts w:cs="Arial"/>
              </w:rPr>
              <w:t>Buildings that</w:t>
            </w:r>
            <w:r w:rsidR="00282CBA" w:rsidRPr="00EB058C">
              <w:rPr>
                <w:rFonts w:cs="Arial"/>
              </w:rPr>
              <w:t xml:space="preserve"> are commercial </w:t>
            </w:r>
            <w:r w:rsidR="00357ED3">
              <w:rPr>
                <w:rFonts w:cs="Arial"/>
              </w:rPr>
              <w:t xml:space="preserve">or </w:t>
            </w:r>
            <w:r w:rsidR="00357ED3" w:rsidRPr="00EB058C">
              <w:rPr>
                <w:rFonts w:cs="Arial"/>
              </w:rPr>
              <w:t>considered to have a</w:t>
            </w:r>
            <w:r w:rsidR="00357ED3" w:rsidRPr="00357ED3">
              <w:rPr>
                <w:rFonts w:cs="Arial"/>
              </w:rPr>
              <w:t xml:space="preserve"> potential</w:t>
            </w:r>
            <w:r w:rsidR="00357ED3" w:rsidRPr="00EB058C">
              <w:rPr>
                <w:rFonts w:cs="Arial"/>
              </w:rPr>
              <w:t xml:space="preserve"> for </w:t>
            </w:r>
            <w:r w:rsidR="00357ED3">
              <w:rPr>
                <w:rFonts w:cs="Arial"/>
              </w:rPr>
              <w:t>commercial</w:t>
            </w:r>
            <w:r w:rsidR="00357ED3" w:rsidRPr="00EB058C">
              <w:rPr>
                <w:rFonts w:cs="Arial"/>
              </w:rPr>
              <w:t xml:space="preserve"> </w:t>
            </w:r>
            <w:r w:rsidR="00282CBA" w:rsidRPr="00EB058C">
              <w:rPr>
                <w:rFonts w:cs="Arial"/>
              </w:rPr>
              <w:t>return or</w:t>
            </w:r>
            <w:r w:rsidRPr="00EB058C">
              <w:rPr>
                <w:rFonts w:cs="Arial"/>
              </w:rPr>
              <w:t xml:space="preserve"> currently being leased to a third party to provide services</w:t>
            </w:r>
            <w:r w:rsidR="00357ED3">
              <w:rPr>
                <w:rFonts w:cs="Arial"/>
              </w:rPr>
              <w:t>.</w:t>
            </w:r>
          </w:p>
        </w:tc>
        <w:tc>
          <w:tcPr>
            <w:tcW w:w="2694" w:type="dxa"/>
            <w:tcBorders>
              <w:top w:val="single" w:sz="4" w:space="0" w:color="auto"/>
            </w:tcBorders>
          </w:tcPr>
          <w:p w:rsidR="00A95E9F" w:rsidRPr="00EB058C" w:rsidRDefault="00A95E9F" w:rsidP="00D70D72">
            <w:pPr>
              <w:keepNext/>
              <w:keepLines/>
              <w:spacing w:before="120" w:after="120"/>
              <w:jc w:val="left"/>
              <w:rPr>
                <w:rFonts w:cs="Arial"/>
              </w:rPr>
            </w:pPr>
            <w:r w:rsidRPr="00EB058C">
              <w:rPr>
                <w:rFonts w:cs="Arial"/>
              </w:rPr>
              <w:t>Child Care Centres, Community Halls, Offices, Residences, Shops, Factories, Stores, Sheds, Garages and Tearooms.</w:t>
            </w:r>
          </w:p>
        </w:tc>
        <w:tc>
          <w:tcPr>
            <w:tcW w:w="992" w:type="dxa"/>
            <w:tcBorders>
              <w:top w:val="single" w:sz="4" w:space="0" w:color="auto"/>
            </w:tcBorders>
          </w:tcPr>
          <w:p w:rsidR="00A95E9F" w:rsidRPr="00EB058C" w:rsidRDefault="00A95E9F" w:rsidP="00A72801">
            <w:pPr>
              <w:keepNext/>
              <w:keepLines/>
              <w:tabs>
                <w:tab w:val="decimal" w:pos="252"/>
              </w:tabs>
              <w:spacing w:before="120" w:after="120"/>
              <w:jc w:val="center"/>
              <w:rPr>
                <w:rFonts w:cs="Arial"/>
              </w:rPr>
            </w:pPr>
            <w:r w:rsidRPr="00EB058C">
              <w:rPr>
                <w:rFonts w:cs="Arial"/>
              </w:rPr>
              <w:t>1</w:t>
            </w:r>
            <w:r w:rsidR="00A72801">
              <w:rPr>
                <w:rFonts w:cs="Arial"/>
              </w:rPr>
              <w:t>2</w:t>
            </w:r>
          </w:p>
        </w:tc>
        <w:tc>
          <w:tcPr>
            <w:tcW w:w="1498" w:type="dxa"/>
            <w:tcBorders>
              <w:top w:val="single" w:sz="4" w:space="0" w:color="auto"/>
            </w:tcBorders>
          </w:tcPr>
          <w:p w:rsidR="00A95E9F" w:rsidRPr="00EB058C" w:rsidRDefault="00A95E9F" w:rsidP="00A72801">
            <w:pPr>
              <w:keepNext/>
              <w:keepLines/>
              <w:spacing w:before="120" w:after="120"/>
              <w:jc w:val="center"/>
              <w:rPr>
                <w:rFonts w:cs="Arial"/>
              </w:rPr>
            </w:pPr>
            <w:r w:rsidRPr="00EB058C">
              <w:rPr>
                <w:rFonts w:cs="Arial"/>
              </w:rPr>
              <w:t>$</w:t>
            </w:r>
            <w:r w:rsidR="00A72801">
              <w:rPr>
                <w:rFonts w:cs="Arial"/>
              </w:rPr>
              <w:t>21,298,444</w:t>
            </w:r>
          </w:p>
        </w:tc>
      </w:tr>
      <w:tr w:rsidR="00A95E9F" w:rsidRPr="00EB058C" w:rsidTr="00CE5EFF">
        <w:trPr>
          <w:cantSplit/>
          <w:trHeight w:val="340"/>
          <w:jc w:val="center"/>
        </w:trPr>
        <w:tc>
          <w:tcPr>
            <w:tcW w:w="1501" w:type="dxa"/>
            <w:tcBorders>
              <w:top w:val="single" w:sz="4" w:space="0" w:color="auto"/>
              <w:bottom w:val="single" w:sz="4" w:space="0" w:color="000000"/>
            </w:tcBorders>
          </w:tcPr>
          <w:p w:rsidR="00A95E9F" w:rsidRPr="00EB058C" w:rsidRDefault="00A95E9F" w:rsidP="001F4DDE">
            <w:pPr>
              <w:pStyle w:val="TableText1"/>
              <w:spacing w:before="120" w:after="120"/>
              <w:jc w:val="left"/>
              <w:rPr>
                <w:rFonts w:cs="Arial"/>
                <w:sz w:val="20"/>
              </w:rPr>
            </w:pPr>
            <w:r w:rsidRPr="00EB058C">
              <w:rPr>
                <w:rFonts w:cs="Arial"/>
                <w:sz w:val="20"/>
              </w:rPr>
              <w:t>Community Services</w:t>
            </w:r>
          </w:p>
        </w:tc>
        <w:tc>
          <w:tcPr>
            <w:tcW w:w="2551" w:type="dxa"/>
            <w:tcBorders>
              <w:top w:val="single" w:sz="4" w:space="0" w:color="auto"/>
            </w:tcBorders>
          </w:tcPr>
          <w:p w:rsidR="00A95E9F" w:rsidRPr="00EB058C" w:rsidRDefault="00A95E9F" w:rsidP="00FC7C66">
            <w:pPr>
              <w:spacing w:before="120" w:after="120"/>
              <w:jc w:val="left"/>
              <w:rPr>
                <w:rFonts w:cs="Arial"/>
              </w:rPr>
            </w:pPr>
            <w:r w:rsidRPr="00EB058C">
              <w:rPr>
                <w:rFonts w:cs="Arial"/>
              </w:rPr>
              <w:t xml:space="preserve">Buildings that are used primarily to run services for </w:t>
            </w:r>
            <w:r w:rsidR="00776EB5" w:rsidRPr="00EB058C">
              <w:rPr>
                <w:rFonts w:cs="Arial"/>
              </w:rPr>
              <w:t>the community by the Community P</w:t>
            </w:r>
            <w:r w:rsidRPr="00EB058C">
              <w:rPr>
                <w:rFonts w:cs="Arial"/>
              </w:rPr>
              <w:t>rograms Division.</w:t>
            </w:r>
          </w:p>
        </w:tc>
        <w:tc>
          <w:tcPr>
            <w:tcW w:w="2694" w:type="dxa"/>
            <w:tcBorders>
              <w:top w:val="single" w:sz="4" w:space="0" w:color="auto"/>
            </w:tcBorders>
          </w:tcPr>
          <w:p w:rsidR="00A95E9F" w:rsidRPr="00EB058C" w:rsidRDefault="00A95E9F" w:rsidP="00FC7C66">
            <w:pPr>
              <w:spacing w:before="120" w:after="120"/>
              <w:jc w:val="left"/>
              <w:rPr>
                <w:rFonts w:cs="Arial"/>
              </w:rPr>
            </w:pPr>
            <w:r w:rsidRPr="00EB058C">
              <w:rPr>
                <w:rFonts w:cs="Arial"/>
              </w:rPr>
              <w:t xml:space="preserve">Child Care Centres, Kindergartens, Community Halls, </w:t>
            </w:r>
            <w:r w:rsidR="00A72801">
              <w:rPr>
                <w:rFonts w:cs="Arial"/>
              </w:rPr>
              <w:t xml:space="preserve">Libraries, </w:t>
            </w:r>
            <w:r w:rsidRPr="00EB058C">
              <w:rPr>
                <w:rFonts w:cs="Arial"/>
              </w:rPr>
              <w:t>Maternal and Child Health Centres, Neighbourhood Houses, Senior Citizen Centres, Theatres and Youth Services Centres.</w:t>
            </w:r>
          </w:p>
        </w:tc>
        <w:tc>
          <w:tcPr>
            <w:tcW w:w="992" w:type="dxa"/>
            <w:tcBorders>
              <w:top w:val="single" w:sz="4" w:space="0" w:color="auto"/>
            </w:tcBorders>
          </w:tcPr>
          <w:p w:rsidR="00A95E9F" w:rsidRPr="00EB058C" w:rsidRDefault="00A95E9F" w:rsidP="00A72801">
            <w:pPr>
              <w:keepNext/>
              <w:keepLines/>
              <w:tabs>
                <w:tab w:val="decimal" w:pos="252"/>
              </w:tabs>
              <w:spacing w:before="120" w:after="120"/>
              <w:jc w:val="center"/>
              <w:rPr>
                <w:rFonts w:cs="Arial"/>
              </w:rPr>
            </w:pPr>
            <w:r w:rsidRPr="00EB058C">
              <w:rPr>
                <w:rFonts w:cs="Arial"/>
              </w:rPr>
              <w:t>4</w:t>
            </w:r>
            <w:r w:rsidR="00A72801">
              <w:rPr>
                <w:rFonts w:cs="Arial"/>
              </w:rPr>
              <w:t>4</w:t>
            </w:r>
          </w:p>
        </w:tc>
        <w:tc>
          <w:tcPr>
            <w:tcW w:w="1498" w:type="dxa"/>
            <w:tcBorders>
              <w:top w:val="single" w:sz="4" w:space="0" w:color="auto"/>
            </w:tcBorders>
          </w:tcPr>
          <w:p w:rsidR="00A95E9F" w:rsidRPr="00EB058C" w:rsidRDefault="00A95E9F" w:rsidP="00A72801">
            <w:pPr>
              <w:spacing w:before="120" w:after="120"/>
              <w:jc w:val="center"/>
              <w:rPr>
                <w:rFonts w:cs="Arial"/>
              </w:rPr>
            </w:pPr>
            <w:r w:rsidRPr="00EB058C">
              <w:rPr>
                <w:rFonts w:cs="Arial"/>
              </w:rPr>
              <w:t>$35,</w:t>
            </w:r>
            <w:r w:rsidR="00A72801">
              <w:rPr>
                <w:rFonts w:cs="Arial"/>
              </w:rPr>
              <w:t>823,538</w:t>
            </w:r>
          </w:p>
        </w:tc>
      </w:tr>
      <w:tr w:rsidR="00A95E9F" w:rsidRPr="00EB058C" w:rsidTr="00CE5EFF">
        <w:trPr>
          <w:cantSplit/>
          <w:trHeight w:val="340"/>
          <w:jc w:val="center"/>
        </w:trPr>
        <w:tc>
          <w:tcPr>
            <w:tcW w:w="1501" w:type="dxa"/>
            <w:tcBorders>
              <w:bottom w:val="single" w:sz="4" w:space="0" w:color="000000"/>
            </w:tcBorders>
          </w:tcPr>
          <w:p w:rsidR="00A95E9F" w:rsidRPr="00EB058C" w:rsidRDefault="00A95E9F" w:rsidP="001F4DDE">
            <w:pPr>
              <w:pStyle w:val="TableText1"/>
              <w:spacing w:before="120" w:after="120"/>
              <w:jc w:val="left"/>
              <w:rPr>
                <w:rFonts w:cs="Arial"/>
                <w:sz w:val="20"/>
              </w:rPr>
            </w:pPr>
            <w:r w:rsidRPr="00EB058C">
              <w:rPr>
                <w:rFonts w:cs="Arial"/>
                <w:sz w:val="20"/>
              </w:rPr>
              <w:t>Council Operations</w:t>
            </w:r>
          </w:p>
        </w:tc>
        <w:tc>
          <w:tcPr>
            <w:tcW w:w="2551" w:type="dxa"/>
          </w:tcPr>
          <w:p w:rsidR="00A95E9F" w:rsidRPr="00EB058C" w:rsidRDefault="00A95E9F" w:rsidP="00FC7C66">
            <w:pPr>
              <w:spacing w:before="120" w:after="120"/>
              <w:jc w:val="left"/>
              <w:rPr>
                <w:rFonts w:cs="Arial"/>
              </w:rPr>
            </w:pPr>
            <w:r w:rsidRPr="00EB058C">
              <w:rPr>
                <w:rFonts w:cs="Arial"/>
              </w:rPr>
              <w:t>Buildings that are used by Council staff for the support and management of Council services, or by internal operational staff that are providing services to the community.</w:t>
            </w:r>
          </w:p>
        </w:tc>
        <w:tc>
          <w:tcPr>
            <w:tcW w:w="2694" w:type="dxa"/>
          </w:tcPr>
          <w:p w:rsidR="00A95E9F" w:rsidRPr="00EB058C" w:rsidRDefault="00A95E9F" w:rsidP="00FC7C66">
            <w:pPr>
              <w:spacing w:before="120" w:after="120"/>
              <w:jc w:val="left"/>
              <w:rPr>
                <w:rFonts w:cs="Arial"/>
              </w:rPr>
            </w:pPr>
            <w:r w:rsidRPr="00EB058C">
              <w:rPr>
                <w:rFonts w:cs="Arial"/>
              </w:rPr>
              <w:t>Depot buildings and Town Halls.</w:t>
            </w:r>
          </w:p>
        </w:tc>
        <w:tc>
          <w:tcPr>
            <w:tcW w:w="992" w:type="dxa"/>
          </w:tcPr>
          <w:p w:rsidR="00A95E9F" w:rsidRPr="00EB058C" w:rsidRDefault="00A95E9F" w:rsidP="00E60728">
            <w:pPr>
              <w:keepNext/>
              <w:keepLines/>
              <w:tabs>
                <w:tab w:val="decimal" w:pos="252"/>
              </w:tabs>
              <w:spacing w:before="120" w:after="120"/>
              <w:jc w:val="center"/>
              <w:rPr>
                <w:rFonts w:cs="Arial"/>
              </w:rPr>
            </w:pPr>
            <w:r w:rsidRPr="00EB058C">
              <w:rPr>
                <w:rFonts w:cs="Arial"/>
              </w:rPr>
              <w:t>2</w:t>
            </w:r>
            <w:r w:rsidR="00A72801">
              <w:rPr>
                <w:rFonts w:cs="Arial"/>
              </w:rPr>
              <w:t>4</w:t>
            </w:r>
          </w:p>
        </w:tc>
        <w:tc>
          <w:tcPr>
            <w:tcW w:w="1498" w:type="dxa"/>
          </w:tcPr>
          <w:p w:rsidR="00A95E9F" w:rsidRPr="00EB058C" w:rsidRDefault="00CE1D57" w:rsidP="00A72801">
            <w:pPr>
              <w:spacing w:before="120" w:after="120"/>
              <w:jc w:val="center"/>
              <w:rPr>
                <w:rFonts w:cs="Arial"/>
              </w:rPr>
            </w:pPr>
            <w:r w:rsidRPr="00EB058C">
              <w:rPr>
                <w:rFonts w:cs="Arial"/>
              </w:rPr>
              <w:t>$106,4</w:t>
            </w:r>
            <w:r w:rsidR="00A72801">
              <w:rPr>
                <w:rFonts w:cs="Arial"/>
              </w:rPr>
              <w:t>9</w:t>
            </w:r>
            <w:r w:rsidR="00A95E9F" w:rsidRPr="00EB058C">
              <w:rPr>
                <w:rFonts w:cs="Arial"/>
              </w:rPr>
              <w:t>5,3</w:t>
            </w:r>
            <w:r w:rsidR="00A72801">
              <w:rPr>
                <w:rFonts w:cs="Arial"/>
              </w:rPr>
              <w:t>1</w:t>
            </w:r>
            <w:r w:rsidR="00A95E9F" w:rsidRPr="00EB058C">
              <w:rPr>
                <w:rFonts w:cs="Arial"/>
              </w:rPr>
              <w:t>1</w:t>
            </w:r>
          </w:p>
        </w:tc>
      </w:tr>
      <w:tr w:rsidR="00A95E9F" w:rsidRPr="00EB058C" w:rsidTr="00CE5EFF">
        <w:trPr>
          <w:cantSplit/>
          <w:trHeight w:val="340"/>
          <w:jc w:val="center"/>
        </w:trPr>
        <w:tc>
          <w:tcPr>
            <w:tcW w:w="1501" w:type="dxa"/>
            <w:tcBorders>
              <w:bottom w:val="single" w:sz="4" w:space="0" w:color="000000"/>
            </w:tcBorders>
          </w:tcPr>
          <w:p w:rsidR="00A95E9F" w:rsidRPr="00EB058C" w:rsidRDefault="00A95E9F" w:rsidP="001F4DDE">
            <w:pPr>
              <w:pStyle w:val="TableText1"/>
              <w:spacing w:before="120" w:after="120"/>
              <w:jc w:val="left"/>
              <w:rPr>
                <w:rFonts w:cs="Arial"/>
                <w:sz w:val="20"/>
              </w:rPr>
            </w:pPr>
            <w:r w:rsidRPr="00EB058C">
              <w:rPr>
                <w:rFonts w:cs="Arial"/>
                <w:sz w:val="20"/>
              </w:rPr>
              <w:lastRenderedPageBreak/>
              <w:t>Leisure Services</w:t>
            </w:r>
          </w:p>
        </w:tc>
        <w:tc>
          <w:tcPr>
            <w:tcW w:w="2551" w:type="dxa"/>
          </w:tcPr>
          <w:p w:rsidR="00A95E9F" w:rsidRPr="00EB058C" w:rsidRDefault="00A95E9F" w:rsidP="00FC7C66">
            <w:pPr>
              <w:spacing w:before="120" w:after="120"/>
              <w:jc w:val="left"/>
              <w:rPr>
                <w:rFonts w:cs="Arial"/>
              </w:rPr>
            </w:pPr>
            <w:r w:rsidRPr="00EB058C">
              <w:rPr>
                <w:rFonts w:cs="Arial"/>
              </w:rPr>
              <w:t>The three leisure centres and golf course buildings.</w:t>
            </w:r>
          </w:p>
        </w:tc>
        <w:tc>
          <w:tcPr>
            <w:tcW w:w="2694" w:type="dxa"/>
          </w:tcPr>
          <w:p w:rsidR="00A95E9F" w:rsidRPr="00EB058C" w:rsidRDefault="00A95E9F" w:rsidP="00FC7C66">
            <w:pPr>
              <w:spacing w:before="120" w:after="120"/>
              <w:jc w:val="left"/>
              <w:rPr>
                <w:rFonts w:cs="Arial"/>
              </w:rPr>
            </w:pPr>
            <w:r w:rsidRPr="00EB058C">
              <w:rPr>
                <w:rFonts w:cs="Arial"/>
              </w:rPr>
              <w:t>Leisure Centres, Office Administration, Stores, Sheds, and Garages</w:t>
            </w:r>
          </w:p>
        </w:tc>
        <w:tc>
          <w:tcPr>
            <w:tcW w:w="992" w:type="dxa"/>
          </w:tcPr>
          <w:p w:rsidR="00A95E9F" w:rsidRPr="00EB058C" w:rsidRDefault="00A95E9F" w:rsidP="00E60728">
            <w:pPr>
              <w:keepNext/>
              <w:keepLines/>
              <w:tabs>
                <w:tab w:val="decimal" w:pos="252"/>
              </w:tabs>
              <w:spacing w:before="120" w:after="120"/>
              <w:jc w:val="center"/>
              <w:rPr>
                <w:rFonts w:cs="Arial"/>
              </w:rPr>
            </w:pPr>
            <w:r w:rsidRPr="00EB058C">
              <w:rPr>
                <w:rFonts w:cs="Arial"/>
              </w:rPr>
              <w:t>9</w:t>
            </w:r>
          </w:p>
        </w:tc>
        <w:tc>
          <w:tcPr>
            <w:tcW w:w="1498" w:type="dxa"/>
          </w:tcPr>
          <w:p w:rsidR="00A95E9F" w:rsidRPr="00EB058C" w:rsidRDefault="00A95E9F" w:rsidP="00FC7C66">
            <w:pPr>
              <w:spacing w:before="120" w:after="120"/>
              <w:jc w:val="center"/>
              <w:rPr>
                <w:rFonts w:cs="Arial"/>
              </w:rPr>
            </w:pPr>
            <w:r w:rsidRPr="00EB058C">
              <w:rPr>
                <w:rFonts w:cs="Arial"/>
              </w:rPr>
              <w:t>$34,471,518</w:t>
            </w:r>
          </w:p>
        </w:tc>
      </w:tr>
      <w:tr w:rsidR="00A95E9F" w:rsidRPr="00EB058C" w:rsidTr="00CE5EFF">
        <w:trPr>
          <w:cantSplit/>
          <w:trHeight w:val="340"/>
          <w:jc w:val="center"/>
        </w:trPr>
        <w:tc>
          <w:tcPr>
            <w:tcW w:w="1501" w:type="dxa"/>
            <w:tcBorders>
              <w:bottom w:val="single" w:sz="4" w:space="0" w:color="000000"/>
            </w:tcBorders>
          </w:tcPr>
          <w:p w:rsidR="00A95E9F" w:rsidRPr="00EB058C" w:rsidRDefault="00A95E9F" w:rsidP="001F4DDE">
            <w:pPr>
              <w:pStyle w:val="TableText1"/>
              <w:spacing w:before="120" w:after="120"/>
              <w:jc w:val="left"/>
              <w:rPr>
                <w:rFonts w:cs="Arial"/>
                <w:sz w:val="20"/>
              </w:rPr>
            </w:pPr>
            <w:r w:rsidRPr="00EB058C">
              <w:rPr>
                <w:rFonts w:cs="Arial"/>
                <w:sz w:val="20"/>
              </w:rPr>
              <w:t xml:space="preserve">Recreation </w:t>
            </w:r>
            <w:r w:rsidR="001F4DDE">
              <w:rPr>
                <w:rFonts w:cs="Arial"/>
                <w:sz w:val="20"/>
              </w:rPr>
              <w:t>and</w:t>
            </w:r>
            <w:r w:rsidRPr="00EB058C">
              <w:rPr>
                <w:rFonts w:cs="Arial"/>
                <w:sz w:val="20"/>
              </w:rPr>
              <w:t xml:space="preserve"> Open Space</w:t>
            </w:r>
          </w:p>
        </w:tc>
        <w:tc>
          <w:tcPr>
            <w:tcW w:w="2551" w:type="dxa"/>
          </w:tcPr>
          <w:p w:rsidR="00A95E9F" w:rsidRPr="00EB058C" w:rsidRDefault="00A95E9F" w:rsidP="00FC7C66">
            <w:pPr>
              <w:spacing w:before="120" w:after="120"/>
              <w:jc w:val="left"/>
              <w:rPr>
                <w:rFonts w:cs="Arial"/>
              </w:rPr>
            </w:pPr>
            <w:r w:rsidRPr="00EB058C">
              <w:rPr>
                <w:rFonts w:cs="Arial"/>
              </w:rPr>
              <w:t>Building</w:t>
            </w:r>
            <w:r w:rsidR="00776EB5" w:rsidRPr="00EB058C">
              <w:rPr>
                <w:rFonts w:cs="Arial"/>
              </w:rPr>
              <w:t xml:space="preserve">s </w:t>
            </w:r>
            <w:r w:rsidRPr="00EB058C">
              <w:rPr>
                <w:rFonts w:cs="Arial"/>
              </w:rPr>
              <w:t>that are located in areas of open space that support both passive and active recreation.</w:t>
            </w:r>
          </w:p>
        </w:tc>
        <w:tc>
          <w:tcPr>
            <w:tcW w:w="2694" w:type="dxa"/>
          </w:tcPr>
          <w:p w:rsidR="00A95E9F" w:rsidRPr="00EB058C" w:rsidRDefault="00A95E9F" w:rsidP="008473C2">
            <w:pPr>
              <w:spacing w:before="120" w:after="120"/>
              <w:jc w:val="left"/>
              <w:rPr>
                <w:rFonts w:cs="Arial"/>
              </w:rPr>
            </w:pPr>
            <w:r w:rsidRPr="00EB058C">
              <w:rPr>
                <w:rFonts w:cs="Arial"/>
              </w:rPr>
              <w:t>Bowlin</w:t>
            </w:r>
            <w:r w:rsidR="008473C2">
              <w:rPr>
                <w:rFonts w:cs="Arial"/>
              </w:rPr>
              <w:t>g Clubs, Grandstands, Pavilions</w:t>
            </w:r>
            <w:r w:rsidRPr="00EB058C">
              <w:rPr>
                <w:rFonts w:cs="Arial"/>
              </w:rPr>
              <w:t>/ Clubrooms, Rotundas/ Shelters and Tennis Clubhouses.</w:t>
            </w:r>
          </w:p>
        </w:tc>
        <w:tc>
          <w:tcPr>
            <w:tcW w:w="992" w:type="dxa"/>
          </w:tcPr>
          <w:p w:rsidR="00A95E9F" w:rsidRPr="00EB058C" w:rsidRDefault="00A72801" w:rsidP="00E60728">
            <w:pPr>
              <w:keepNext/>
              <w:keepLines/>
              <w:tabs>
                <w:tab w:val="decimal" w:pos="252"/>
              </w:tabs>
              <w:spacing w:before="120" w:after="120"/>
              <w:jc w:val="center"/>
              <w:rPr>
                <w:rFonts w:cs="Arial"/>
              </w:rPr>
            </w:pPr>
            <w:r>
              <w:rPr>
                <w:rFonts w:cs="Arial"/>
              </w:rPr>
              <w:t>55</w:t>
            </w:r>
          </w:p>
        </w:tc>
        <w:tc>
          <w:tcPr>
            <w:tcW w:w="1498" w:type="dxa"/>
          </w:tcPr>
          <w:p w:rsidR="00A95E9F" w:rsidRPr="00EB058C" w:rsidRDefault="00A72801" w:rsidP="00A72801">
            <w:pPr>
              <w:spacing w:before="120" w:after="120"/>
              <w:jc w:val="center"/>
              <w:rPr>
                <w:rFonts w:cs="Arial"/>
              </w:rPr>
            </w:pPr>
            <w:r>
              <w:rPr>
                <w:rFonts w:cs="Arial"/>
              </w:rPr>
              <w:t>$28,485,878</w:t>
            </w:r>
          </w:p>
        </w:tc>
      </w:tr>
      <w:tr w:rsidR="00A95E9F" w:rsidRPr="00EB058C" w:rsidTr="00CE5EFF">
        <w:trPr>
          <w:cantSplit/>
          <w:trHeight w:val="340"/>
          <w:jc w:val="center"/>
        </w:trPr>
        <w:tc>
          <w:tcPr>
            <w:tcW w:w="1501" w:type="dxa"/>
            <w:tcBorders>
              <w:bottom w:val="single" w:sz="4" w:space="0" w:color="000000"/>
            </w:tcBorders>
          </w:tcPr>
          <w:p w:rsidR="00A95E9F" w:rsidRPr="00EB058C" w:rsidRDefault="00A95E9F" w:rsidP="001F4DDE">
            <w:pPr>
              <w:pStyle w:val="TableText1"/>
              <w:spacing w:before="120" w:after="120"/>
              <w:jc w:val="left"/>
              <w:rPr>
                <w:rFonts w:cs="Arial"/>
                <w:sz w:val="20"/>
              </w:rPr>
            </w:pPr>
            <w:r w:rsidRPr="00EB058C">
              <w:rPr>
                <w:rFonts w:cs="Arial"/>
                <w:sz w:val="20"/>
              </w:rPr>
              <w:t>Amenities</w:t>
            </w:r>
          </w:p>
        </w:tc>
        <w:tc>
          <w:tcPr>
            <w:tcW w:w="2551" w:type="dxa"/>
          </w:tcPr>
          <w:p w:rsidR="00A95E9F" w:rsidRPr="00EB058C" w:rsidRDefault="00A95E9F" w:rsidP="00FC7C66">
            <w:pPr>
              <w:spacing w:before="120" w:after="120"/>
              <w:jc w:val="left"/>
              <w:rPr>
                <w:rFonts w:cs="Arial"/>
              </w:rPr>
            </w:pPr>
            <w:r w:rsidRPr="00EB058C">
              <w:rPr>
                <w:rFonts w:cs="Arial"/>
              </w:rPr>
              <w:t>Standalone public toilets that are in the urban environment.</w:t>
            </w:r>
          </w:p>
        </w:tc>
        <w:tc>
          <w:tcPr>
            <w:tcW w:w="2694" w:type="dxa"/>
          </w:tcPr>
          <w:p w:rsidR="00A95E9F" w:rsidRPr="00EB058C" w:rsidRDefault="00A95E9F" w:rsidP="00FC7C66">
            <w:pPr>
              <w:spacing w:before="120" w:after="120"/>
              <w:jc w:val="left"/>
              <w:rPr>
                <w:rFonts w:cs="Arial"/>
              </w:rPr>
            </w:pPr>
            <w:r w:rsidRPr="00EB058C">
              <w:rPr>
                <w:rFonts w:cs="Arial"/>
              </w:rPr>
              <w:t xml:space="preserve">Only standalone public toilets </w:t>
            </w:r>
          </w:p>
        </w:tc>
        <w:tc>
          <w:tcPr>
            <w:tcW w:w="992" w:type="dxa"/>
          </w:tcPr>
          <w:p w:rsidR="00A95E9F" w:rsidRPr="00EB058C" w:rsidRDefault="00A72801" w:rsidP="00A72801">
            <w:pPr>
              <w:keepNext/>
              <w:keepLines/>
              <w:tabs>
                <w:tab w:val="decimal" w:pos="252"/>
              </w:tabs>
              <w:spacing w:before="120" w:after="120"/>
              <w:jc w:val="center"/>
              <w:rPr>
                <w:rFonts w:cs="Arial"/>
              </w:rPr>
            </w:pPr>
            <w:r>
              <w:rPr>
                <w:rFonts w:cs="Arial"/>
              </w:rPr>
              <w:t>9</w:t>
            </w:r>
          </w:p>
        </w:tc>
        <w:tc>
          <w:tcPr>
            <w:tcW w:w="1498" w:type="dxa"/>
          </w:tcPr>
          <w:p w:rsidR="00A95E9F" w:rsidRPr="00EB058C" w:rsidRDefault="00A95E9F" w:rsidP="00A72801">
            <w:pPr>
              <w:spacing w:before="120" w:after="120"/>
              <w:jc w:val="center"/>
              <w:rPr>
                <w:rFonts w:cs="Arial"/>
              </w:rPr>
            </w:pPr>
            <w:r w:rsidRPr="00EB058C">
              <w:rPr>
                <w:rFonts w:cs="Arial"/>
              </w:rPr>
              <w:t>$1,</w:t>
            </w:r>
            <w:r w:rsidR="00A72801">
              <w:rPr>
                <w:rFonts w:cs="Arial"/>
              </w:rPr>
              <w:t>232</w:t>
            </w:r>
            <w:r w:rsidRPr="00EB058C">
              <w:rPr>
                <w:rFonts w:cs="Arial"/>
              </w:rPr>
              <w:t>,</w:t>
            </w:r>
            <w:r w:rsidR="00A72801">
              <w:rPr>
                <w:rFonts w:cs="Arial"/>
              </w:rPr>
              <w:t>148</w:t>
            </w:r>
          </w:p>
        </w:tc>
      </w:tr>
      <w:tr w:rsidR="00A95E9F" w:rsidRPr="00EB058C" w:rsidTr="00CE5EFF">
        <w:trPr>
          <w:cantSplit/>
          <w:trHeight w:val="340"/>
          <w:jc w:val="center"/>
        </w:trPr>
        <w:tc>
          <w:tcPr>
            <w:tcW w:w="1501" w:type="dxa"/>
            <w:tcBorders>
              <w:bottom w:val="single" w:sz="4" w:space="0" w:color="000000"/>
            </w:tcBorders>
          </w:tcPr>
          <w:p w:rsidR="00A95E9F" w:rsidRPr="00EB058C" w:rsidRDefault="00A95E9F" w:rsidP="001F4DDE">
            <w:pPr>
              <w:pStyle w:val="TableText1"/>
              <w:spacing w:before="120" w:after="120"/>
              <w:jc w:val="left"/>
              <w:rPr>
                <w:rFonts w:cs="Arial"/>
                <w:sz w:val="20"/>
              </w:rPr>
            </w:pPr>
            <w:r w:rsidRPr="00EB058C">
              <w:rPr>
                <w:rFonts w:cs="Arial"/>
                <w:sz w:val="20"/>
              </w:rPr>
              <w:t>Miscellaneous</w:t>
            </w:r>
          </w:p>
        </w:tc>
        <w:tc>
          <w:tcPr>
            <w:tcW w:w="2551" w:type="dxa"/>
            <w:tcBorders>
              <w:bottom w:val="single" w:sz="4" w:space="0" w:color="000000"/>
            </w:tcBorders>
          </w:tcPr>
          <w:p w:rsidR="00A95E9F" w:rsidRPr="00EB058C" w:rsidRDefault="00A95E9F" w:rsidP="00FC7C66">
            <w:pPr>
              <w:pStyle w:val="Bullet"/>
              <w:numPr>
                <w:ilvl w:val="0"/>
                <w:numId w:val="0"/>
              </w:numPr>
              <w:spacing w:before="120" w:after="120"/>
              <w:ind w:left="34"/>
              <w:rPr>
                <w:rFonts w:ascii="Arial" w:hAnsi="Arial" w:cs="Arial"/>
                <w:sz w:val="20"/>
              </w:rPr>
            </w:pPr>
            <w:r w:rsidRPr="00EB058C">
              <w:rPr>
                <w:rFonts w:ascii="Arial" w:hAnsi="Arial" w:cs="Arial"/>
                <w:sz w:val="20"/>
              </w:rPr>
              <w:t>Structures that are not classified as buildings that are maintained by the Buildings and Property Branch.</w:t>
            </w:r>
          </w:p>
        </w:tc>
        <w:tc>
          <w:tcPr>
            <w:tcW w:w="2694" w:type="dxa"/>
            <w:tcBorders>
              <w:bottom w:val="single" w:sz="4" w:space="0" w:color="000000"/>
            </w:tcBorders>
          </w:tcPr>
          <w:p w:rsidR="00A95E9F" w:rsidRPr="00EB058C" w:rsidRDefault="00A72801" w:rsidP="00FC7C66">
            <w:pPr>
              <w:pStyle w:val="Bullet"/>
              <w:numPr>
                <w:ilvl w:val="0"/>
                <w:numId w:val="0"/>
              </w:numPr>
              <w:spacing w:before="120" w:after="120"/>
              <w:ind w:left="34"/>
              <w:rPr>
                <w:rFonts w:ascii="Arial" w:hAnsi="Arial" w:cs="Arial"/>
                <w:sz w:val="20"/>
              </w:rPr>
            </w:pPr>
            <w:r>
              <w:rPr>
                <w:rFonts w:ascii="Arial" w:hAnsi="Arial" w:cs="Arial"/>
                <w:sz w:val="20"/>
              </w:rPr>
              <w:t>Structures</w:t>
            </w:r>
            <w:r w:rsidR="00A95E9F" w:rsidRPr="00EB058C">
              <w:rPr>
                <w:rFonts w:ascii="Arial" w:hAnsi="Arial" w:cs="Arial"/>
                <w:sz w:val="20"/>
              </w:rPr>
              <w:t xml:space="preserve"> </w:t>
            </w:r>
          </w:p>
        </w:tc>
        <w:tc>
          <w:tcPr>
            <w:tcW w:w="992" w:type="dxa"/>
          </w:tcPr>
          <w:p w:rsidR="00A95E9F" w:rsidRPr="00EB058C" w:rsidRDefault="005D47C9" w:rsidP="005D47C9">
            <w:pPr>
              <w:keepNext/>
              <w:keepLines/>
              <w:tabs>
                <w:tab w:val="decimal" w:pos="252"/>
              </w:tabs>
              <w:spacing w:before="120" w:after="120"/>
              <w:jc w:val="center"/>
              <w:rPr>
                <w:rFonts w:cs="Arial"/>
              </w:rPr>
            </w:pPr>
            <w:r>
              <w:rPr>
                <w:rFonts w:cs="Arial"/>
              </w:rPr>
              <w:t>6</w:t>
            </w:r>
          </w:p>
        </w:tc>
        <w:tc>
          <w:tcPr>
            <w:tcW w:w="1498" w:type="dxa"/>
          </w:tcPr>
          <w:p w:rsidR="00A95E9F" w:rsidRPr="00EB058C" w:rsidRDefault="00A95E9F" w:rsidP="005D47C9">
            <w:pPr>
              <w:spacing w:before="120" w:after="120"/>
              <w:jc w:val="center"/>
              <w:rPr>
                <w:rFonts w:cs="Arial"/>
              </w:rPr>
            </w:pPr>
            <w:r w:rsidRPr="00EB058C">
              <w:rPr>
                <w:rFonts w:cs="Arial"/>
              </w:rPr>
              <w:t xml:space="preserve">$ </w:t>
            </w:r>
            <w:r w:rsidR="005D47C9">
              <w:rPr>
                <w:rFonts w:cs="Arial"/>
              </w:rPr>
              <w:t>240</w:t>
            </w:r>
            <w:r w:rsidRPr="00EB058C">
              <w:rPr>
                <w:rFonts w:cs="Arial"/>
              </w:rPr>
              <w:t>,000</w:t>
            </w:r>
          </w:p>
        </w:tc>
      </w:tr>
      <w:tr w:rsidR="00FC7C66" w:rsidRPr="00EB058C" w:rsidTr="00CE5EFF">
        <w:trPr>
          <w:cantSplit/>
          <w:trHeight w:val="340"/>
          <w:jc w:val="center"/>
        </w:trPr>
        <w:tc>
          <w:tcPr>
            <w:tcW w:w="6746" w:type="dxa"/>
            <w:gridSpan w:val="3"/>
            <w:tcBorders>
              <w:bottom w:val="single" w:sz="4" w:space="0" w:color="000000"/>
            </w:tcBorders>
          </w:tcPr>
          <w:p w:rsidR="00FC7C66" w:rsidRPr="00EB058C" w:rsidRDefault="00FC7C66" w:rsidP="001F4DDE">
            <w:pPr>
              <w:spacing w:before="120" w:after="120"/>
              <w:jc w:val="left"/>
              <w:rPr>
                <w:rFonts w:cs="Arial"/>
                <w:b/>
              </w:rPr>
            </w:pPr>
            <w:r w:rsidRPr="00EB058C">
              <w:rPr>
                <w:rFonts w:cs="Arial"/>
                <w:b/>
              </w:rPr>
              <w:t>Building Portfolio Total</w:t>
            </w:r>
          </w:p>
        </w:tc>
        <w:tc>
          <w:tcPr>
            <w:tcW w:w="992" w:type="dxa"/>
          </w:tcPr>
          <w:p w:rsidR="00FC7C66" w:rsidRPr="005D47C9" w:rsidRDefault="00FC7C66" w:rsidP="005D47C9">
            <w:pPr>
              <w:keepNext/>
              <w:keepLines/>
              <w:tabs>
                <w:tab w:val="decimal" w:pos="252"/>
              </w:tabs>
              <w:spacing w:before="120" w:after="120"/>
              <w:jc w:val="center"/>
              <w:rPr>
                <w:rFonts w:cs="Arial"/>
                <w:b/>
              </w:rPr>
            </w:pPr>
            <w:r w:rsidRPr="005D47C9">
              <w:rPr>
                <w:rFonts w:cs="Arial"/>
                <w:b/>
              </w:rPr>
              <w:t>1</w:t>
            </w:r>
            <w:r w:rsidR="005D47C9">
              <w:rPr>
                <w:rFonts w:cs="Arial"/>
                <w:b/>
              </w:rPr>
              <w:t>59</w:t>
            </w:r>
          </w:p>
        </w:tc>
        <w:tc>
          <w:tcPr>
            <w:tcW w:w="1498" w:type="dxa"/>
          </w:tcPr>
          <w:p w:rsidR="00FC7C66" w:rsidRPr="005D47C9" w:rsidRDefault="00FC7C66" w:rsidP="005D47C9">
            <w:pPr>
              <w:spacing w:before="120" w:after="120"/>
              <w:jc w:val="center"/>
              <w:rPr>
                <w:rFonts w:cs="Arial"/>
                <w:b/>
              </w:rPr>
            </w:pPr>
            <w:r w:rsidRPr="005D47C9">
              <w:rPr>
                <w:rFonts w:cs="Arial"/>
                <w:b/>
              </w:rPr>
              <w:t>$22</w:t>
            </w:r>
            <w:r w:rsidR="005D47C9">
              <w:rPr>
                <w:rFonts w:cs="Arial"/>
                <w:b/>
              </w:rPr>
              <w:t>8,046</w:t>
            </w:r>
            <w:r w:rsidRPr="005D47C9">
              <w:rPr>
                <w:rFonts w:cs="Arial"/>
                <w:b/>
              </w:rPr>
              <w:t>,</w:t>
            </w:r>
            <w:r w:rsidR="005D47C9">
              <w:rPr>
                <w:rFonts w:cs="Arial"/>
                <w:b/>
              </w:rPr>
              <w:t>837</w:t>
            </w:r>
          </w:p>
        </w:tc>
      </w:tr>
    </w:tbl>
    <w:p w:rsidR="00AB76D0" w:rsidRPr="0091425F" w:rsidRDefault="00737599" w:rsidP="0033721F">
      <w:pPr>
        <w:pStyle w:val="Caption"/>
        <w:spacing w:before="240" w:after="240"/>
        <w:ind w:left="0"/>
        <w:jc w:val="center"/>
        <w:rPr>
          <w:rFonts w:ascii="Arial" w:hAnsi="Arial"/>
          <w:i w:val="0"/>
          <w:iCs w:val="0"/>
          <w:sz w:val="20"/>
          <w:lang w:val="en-AU"/>
        </w:rPr>
      </w:pPr>
      <w:bookmarkStart w:id="17" w:name="_Toc364945409"/>
      <w:r w:rsidRPr="0091425F">
        <w:rPr>
          <w:rFonts w:ascii="Arial" w:hAnsi="Arial"/>
          <w:i w:val="0"/>
          <w:iCs w:val="0"/>
          <w:sz w:val="20"/>
          <w:lang w:val="en-AU"/>
        </w:rPr>
        <w:t xml:space="preserve">Table </w:t>
      </w:r>
      <w:r w:rsidR="0090414C" w:rsidRPr="0091425F">
        <w:rPr>
          <w:rFonts w:ascii="Arial" w:hAnsi="Arial"/>
          <w:i w:val="0"/>
          <w:iCs w:val="0"/>
          <w:sz w:val="20"/>
          <w:lang w:val="en-AU"/>
        </w:rPr>
        <w:fldChar w:fldCharType="begin"/>
      </w:r>
      <w:r w:rsidRPr="0091425F">
        <w:rPr>
          <w:rFonts w:ascii="Arial" w:hAnsi="Arial"/>
          <w:i w:val="0"/>
          <w:iCs w:val="0"/>
          <w:sz w:val="20"/>
          <w:lang w:val="en-AU"/>
        </w:rPr>
        <w:instrText xml:space="preserve"> SEQ Table \* ARABIC </w:instrText>
      </w:r>
      <w:r w:rsidR="0090414C" w:rsidRPr="0091425F">
        <w:rPr>
          <w:rFonts w:ascii="Arial" w:hAnsi="Arial"/>
          <w:i w:val="0"/>
          <w:iCs w:val="0"/>
          <w:sz w:val="20"/>
          <w:lang w:val="en-AU"/>
        </w:rPr>
        <w:fldChar w:fldCharType="separate"/>
      </w:r>
      <w:r w:rsidR="00751CEC">
        <w:rPr>
          <w:rFonts w:ascii="Arial" w:hAnsi="Arial"/>
          <w:i w:val="0"/>
          <w:iCs w:val="0"/>
          <w:noProof/>
          <w:sz w:val="20"/>
          <w:lang w:val="en-AU"/>
        </w:rPr>
        <w:t>5</w:t>
      </w:r>
      <w:r w:rsidR="0090414C" w:rsidRPr="0091425F">
        <w:rPr>
          <w:rFonts w:ascii="Arial" w:hAnsi="Arial"/>
          <w:i w:val="0"/>
          <w:iCs w:val="0"/>
          <w:sz w:val="20"/>
          <w:lang w:val="en-AU"/>
        </w:rPr>
        <w:fldChar w:fldCharType="end"/>
      </w:r>
      <w:r w:rsidR="00AB76D0" w:rsidRPr="0091425F">
        <w:rPr>
          <w:rFonts w:ascii="Arial" w:hAnsi="Arial"/>
          <w:i w:val="0"/>
          <w:iCs w:val="0"/>
          <w:sz w:val="20"/>
          <w:lang w:val="en-AU"/>
        </w:rPr>
        <w:t>:</w:t>
      </w:r>
      <w:r w:rsidR="0033721F" w:rsidRPr="0091425F">
        <w:rPr>
          <w:rFonts w:ascii="Arial" w:hAnsi="Arial"/>
          <w:i w:val="0"/>
          <w:iCs w:val="0"/>
          <w:sz w:val="20"/>
          <w:lang w:val="en-AU"/>
        </w:rPr>
        <w:t xml:space="preserve"> </w:t>
      </w:r>
      <w:r w:rsidR="00AB76D0" w:rsidRPr="0091425F">
        <w:rPr>
          <w:rFonts w:ascii="Arial" w:hAnsi="Arial"/>
          <w:i w:val="0"/>
          <w:iCs w:val="0"/>
          <w:sz w:val="20"/>
          <w:lang w:val="en-AU"/>
        </w:rPr>
        <w:t xml:space="preserve"> Summary of Building Assets Portfolio</w:t>
      </w:r>
      <w:bookmarkEnd w:id="17"/>
    </w:p>
    <w:p w:rsidR="00E96F28" w:rsidRPr="00CF2212" w:rsidRDefault="0054361F" w:rsidP="00CF2212">
      <w:pPr>
        <w:pStyle w:val="Heading2"/>
      </w:pPr>
      <w:bookmarkStart w:id="18" w:name="_Toc364945229"/>
      <w:r w:rsidRPr="00CF2212">
        <w:t xml:space="preserve">Levels of Service and </w:t>
      </w:r>
      <w:r w:rsidR="00E96F28" w:rsidRPr="00CF2212">
        <w:t>Performance</w:t>
      </w:r>
      <w:r w:rsidRPr="00CF2212">
        <w:t xml:space="preserve"> Measures</w:t>
      </w:r>
      <w:bookmarkEnd w:id="18"/>
    </w:p>
    <w:p w:rsidR="00AF7FEB" w:rsidRDefault="00AF7FEB" w:rsidP="00A431C9">
      <w:pPr>
        <w:keepNext/>
        <w:keepLines/>
      </w:pPr>
      <w:r w:rsidRPr="00355797">
        <w:t xml:space="preserve">The following table identifies the key community service areas and the community’s expectations in terms of those service areas. In addition the table identifies the service standards, performance measures and service targets to </w:t>
      </w:r>
      <w:r w:rsidR="00854A7F">
        <w:t>meet the community expectations:</w:t>
      </w:r>
    </w:p>
    <w:p w:rsidR="00AF7FEB" w:rsidRDefault="00AF7FEB" w:rsidP="00A431C9">
      <w:pPr>
        <w:keepNext/>
        <w:keepLines/>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0"/>
        <w:gridCol w:w="1559"/>
        <w:gridCol w:w="1417"/>
        <w:gridCol w:w="1560"/>
        <w:gridCol w:w="1559"/>
        <w:gridCol w:w="1701"/>
      </w:tblGrid>
      <w:tr w:rsidR="00854A7F" w:rsidRPr="00BC0499" w:rsidTr="00897C2D">
        <w:trPr>
          <w:cantSplit/>
          <w:tblHeader/>
        </w:trPr>
        <w:tc>
          <w:tcPr>
            <w:tcW w:w="1560" w:type="dxa"/>
            <w:shd w:val="clear" w:color="auto" w:fill="95B3D7" w:themeFill="accent1" w:themeFillTint="99"/>
            <w:vAlign w:val="bottom"/>
          </w:tcPr>
          <w:p w:rsidR="00AF7FEB" w:rsidRPr="00BC0499" w:rsidRDefault="00AF7FEB" w:rsidP="00A431C9">
            <w:pPr>
              <w:keepNext/>
              <w:keepLines/>
              <w:spacing w:before="120" w:after="120"/>
              <w:jc w:val="left"/>
              <w:rPr>
                <w:rFonts w:cs="Arial"/>
                <w:b/>
              </w:rPr>
            </w:pPr>
            <w:r w:rsidRPr="00BC0499">
              <w:rPr>
                <w:rFonts w:cs="Arial"/>
                <w:b/>
              </w:rPr>
              <w:t>Key Service Area</w:t>
            </w:r>
          </w:p>
        </w:tc>
        <w:tc>
          <w:tcPr>
            <w:tcW w:w="1559" w:type="dxa"/>
            <w:shd w:val="clear" w:color="auto" w:fill="95B3D7" w:themeFill="accent1" w:themeFillTint="99"/>
            <w:vAlign w:val="bottom"/>
          </w:tcPr>
          <w:p w:rsidR="00AF7FEB" w:rsidRPr="00BC0499" w:rsidRDefault="00AF7FEB" w:rsidP="00A431C9">
            <w:pPr>
              <w:keepNext/>
              <w:keepLines/>
              <w:spacing w:before="120" w:after="120"/>
              <w:jc w:val="center"/>
              <w:rPr>
                <w:rFonts w:cs="Arial"/>
                <w:b/>
              </w:rPr>
            </w:pPr>
            <w:r w:rsidRPr="00BC0499">
              <w:rPr>
                <w:rFonts w:cs="Arial"/>
                <w:b/>
              </w:rPr>
              <w:t>Level of Service (Service Statement)</w:t>
            </w:r>
          </w:p>
        </w:tc>
        <w:tc>
          <w:tcPr>
            <w:tcW w:w="1417" w:type="dxa"/>
            <w:shd w:val="clear" w:color="auto" w:fill="95B3D7" w:themeFill="accent1" w:themeFillTint="99"/>
            <w:vAlign w:val="bottom"/>
          </w:tcPr>
          <w:p w:rsidR="00AF7FEB" w:rsidRPr="00BC0499" w:rsidRDefault="00AF7FEB" w:rsidP="00A431C9">
            <w:pPr>
              <w:keepNext/>
              <w:keepLines/>
              <w:spacing w:before="120" w:after="120"/>
              <w:jc w:val="center"/>
              <w:rPr>
                <w:rFonts w:cs="Arial"/>
                <w:b/>
              </w:rPr>
            </w:pPr>
            <w:r w:rsidRPr="00BC0499">
              <w:rPr>
                <w:rFonts w:cs="Arial"/>
                <w:b/>
              </w:rPr>
              <w:t>Service standard</w:t>
            </w:r>
          </w:p>
        </w:tc>
        <w:tc>
          <w:tcPr>
            <w:tcW w:w="1560" w:type="dxa"/>
            <w:shd w:val="clear" w:color="auto" w:fill="95B3D7" w:themeFill="accent1" w:themeFillTint="99"/>
            <w:vAlign w:val="bottom"/>
          </w:tcPr>
          <w:p w:rsidR="00AF7FEB" w:rsidRPr="00BC0499" w:rsidRDefault="00AF7FEB" w:rsidP="00A431C9">
            <w:pPr>
              <w:keepNext/>
              <w:keepLines/>
              <w:spacing w:before="120" w:after="120"/>
              <w:jc w:val="center"/>
              <w:rPr>
                <w:rFonts w:cs="Arial"/>
                <w:b/>
              </w:rPr>
            </w:pPr>
            <w:r w:rsidRPr="00BC0499">
              <w:rPr>
                <w:rFonts w:cs="Arial"/>
                <w:b/>
              </w:rPr>
              <w:t>Performance Measure</w:t>
            </w:r>
          </w:p>
        </w:tc>
        <w:tc>
          <w:tcPr>
            <w:tcW w:w="1559" w:type="dxa"/>
            <w:shd w:val="clear" w:color="auto" w:fill="95B3D7" w:themeFill="accent1" w:themeFillTint="99"/>
            <w:vAlign w:val="bottom"/>
          </w:tcPr>
          <w:p w:rsidR="00AF7FEB" w:rsidRPr="00BC0499" w:rsidRDefault="00AF7FEB" w:rsidP="00A431C9">
            <w:pPr>
              <w:keepNext/>
              <w:keepLines/>
              <w:spacing w:before="120" w:after="120"/>
              <w:jc w:val="center"/>
              <w:rPr>
                <w:rFonts w:cs="Arial"/>
                <w:b/>
              </w:rPr>
            </w:pPr>
            <w:r w:rsidRPr="00BC0499">
              <w:rPr>
                <w:rFonts w:cs="Arial"/>
                <w:b/>
              </w:rPr>
              <w:t>Target</w:t>
            </w:r>
          </w:p>
        </w:tc>
        <w:tc>
          <w:tcPr>
            <w:tcW w:w="1701" w:type="dxa"/>
            <w:shd w:val="clear" w:color="auto" w:fill="95B3D7" w:themeFill="accent1" w:themeFillTint="99"/>
            <w:vAlign w:val="bottom"/>
          </w:tcPr>
          <w:p w:rsidR="00AF7FEB" w:rsidRPr="00BC0499" w:rsidRDefault="00AF7FEB" w:rsidP="00A431C9">
            <w:pPr>
              <w:keepNext/>
              <w:keepLines/>
              <w:spacing w:before="120" w:after="120"/>
              <w:jc w:val="center"/>
              <w:rPr>
                <w:rFonts w:cs="Arial"/>
                <w:b/>
              </w:rPr>
            </w:pPr>
            <w:r w:rsidRPr="00BC0499">
              <w:rPr>
                <w:rFonts w:cs="Arial"/>
                <w:b/>
              </w:rPr>
              <w:t>Reporting</w:t>
            </w:r>
          </w:p>
        </w:tc>
      </w:tr>
      <w:tr w:rsidR="00854A7F" w:rsidRPr="00BC0499" w:rsidTr="00897C2D">
        <w:trPr>
          <w:cantSplit/>
        </w:trPr>
        <w:tc>
          <w:tcPr>
            <w:tcW w:w="1560" w:type="dxa"/>
            <w:shd w:val="clear" w:color="auto" w:fill="auto"/>
          </w:tcPr>
          <w:p w:rsidR="00AF7FEB" w:rsidRPr="00FC7C66" w:rsidRDefault="00AF7FEB" w:rsidP="00A431C9">
            <w:pPr>
              <w:pStyle w:val="BodyText10"/>
              <w:keepNext/>
              <w:keepLines/>
              <w:spacing w:before="120" w:after="120"/>
              <w:ind w:left="0"/>
              <w:jc w:val="left"/>
            </w:pPr>
            <w:r w:rsidRPr="00FC7C66">
              <w:t>Availability</w:t>
            </w:r>
          </w:p>
        </w:tc>
        <w:tc>
          <w:tcPr>
            <w:tcW w:w="1559" w:type="dxa"/>
          </w:tcPr>
          <w:p w:rsidR="00AF7FEB" w:rsidRPr="00FC7C66" w:rsidRDefault="00AF7FEB" w:rsidP="00A431C9">
            <w:pPr>
              <w:pStyle w:val="BodyText10"/>
              <w:keepNext/>
              <w:keepLines/>
              <w:spacing w:before="120" w:after="120"/>
              <w:ind w:left="0"/>
              <w:jc w:val="left"/>
            </w:pPr>
            <w:r w:rsidRPr="00FC7C66">
              <w:t>Buildings are available for operational use and service delivery</w:t>
            </w:r>
            <w:r w:rsidR="003F78F8">
              <w:t>.</w:t>
            </w:r>
          </w:p>
        </w:tc>
        <w:tc>
          <w:tcPr>
            <w:tcW w:w="1417" w:type="dxa"/>
          </w:tcPr>
          <w:p w:rsidR="00AF7FEB" w:rsidRPr="00FC7C66" w:rsidRDefault="00AF7FEB" w:rsidP="00A431C9">
            <w:pPr>
              <w:pStyle w:val="BodyText10"/>
              <w:keepNext/>
              <w:keepLines/>
              <w:spacing w:before="120" w:after="120"/>
              <w:ind w:left="0"/>
              <w:jc w:val="left"/>
            </w:pPr>
            <w:r w:rsidRPr="00FC7C66">
              <w:t>Works are planned to provide minimal impact on service delivery</w:t>
            </w:r>
            <w:r w:rsidR="003F78F8">
              <w:t>.</w:t>
            </w:r>
          </w:p>
        </w:tc>
        <w:tc>
          <w:tcPr>
            <w:tcW w:w="1560" w:type="dxa"/>
          </w:tcPr>
          <w:p w:rsidR="00AF7FEB" w:rsidRPr="00FC7C66" w:rsidRDefault="00AF7FEB" w:rsidP="00A431C9">
            <w:pPr>
              <w:pStyle w:val="BodyText10"/>
              <w:keepNext/>
              <w:keepLines/>
              <w:spacing w:before="120" w:after="120"/>
              <w:ind w:left="0"/>
              <w:jc w:val="left"/>
            </w:pPr>
            <w:r w:rsidRPr="00FC7C66">
              <w:t>Number of unplanned building closures due to building faults or degraded asset condition.</w:t>
            </w:r>
          </w:p>
        </w:tc>
        <w:tc>
          <w:tcPr>
            <w:tcW w:w="1559" w:type="dxa"/>
          </w:tcPr>
          <w:p w:rsidR="00AF7FEB" w:rsidRPr="00FC7C66" w:rsidRDefault="00AF7FEB" w:rsidP="00A431C9">
            <w:pPr>
              <w:pStyle w:val="BodyText10"/>
              <w:keepNext/>
              <w:keepLines/>
              <w:spacing w:before="120" w:after="120"/>
              <w:ind w:left="0"/>
              <w:jc w:val="left"/>
            </w:pPr>
            <w:r w:rsidRPr="00FC7C66">
              <w:t>No more than two unplanned closures per annum per building.</w:t>
            </w:r>
          </w:p>
        </w:tc>
        <w:tc>
          <w:tcPr>
            <w:tcW w:w="1701" w:type="dxa"/>
          </w:tcPr>
          <w:p w:rsidR="00AF7FEB" w:rsidRPr="00FC7C66" w:rsidRDefault="00AF7FEB" w:rsidP="00A431C9">
            <w:pPr>
              <w:pStyle w:val="BodyText10"/>
              <w:keepNext/>
              <w:keepLines/>
              <w:spacing w:before="120" w:after="120"/>
              <w:ind w:left="0"/>
              <w:jc w:val="left"/>
            </w:pPr>
            <w:r w:rsidRPr="00FC7C66">
              <w:t xml:space="preserve">Annual report </w:t>
            </w:r>
            <w:r w:rsidR="001B08C8">
              <w:t>(</w:t>
            </w:r>
            <w:r w:rsidR="00897C2D">
              <w:t>TechnologyOne</w:t>
            </w:r>
            <w:r w:rsidR="001B08C8">
              <w:t xml:space="preserve"> Asset Management System)</w:t>
            </w:r>
          </w:p>
        </w:tc>
      </w:tr>
      <w:tr w:rsidR="00854A7F" w:rsidRPr="00BC0499" w:rsidTr="00897C2D">
        <w:trPr>
          <w:cantSplit/>
        </w:trPr>
        <w:tc>
          <w:tcPr>
            <w:tcW w:w="1560" w:type="dxa"/>
            <w:shd w:val="clear" w:color="auto" w:fill="auto"/>
          </w:tcPr>
          <w:p w:rsidR="00AF7FEB" w:rsidRPr="00FC7C66" w:rsidRDefault="00AF7FEB" w:rsidP="00FC7C66">
            <w:pPr>
              <w:pStyle w:val="BodyText10"/>
              <w:spacing w:before="120" w:after="120"/>
              <w:ind w:left="0"/>
              <w:jc w:val="left"/>
            </w:pPr>
            <w:r w:rsidRPr="00FC7C66">
              <w:t>Quality</w:t>
            </w:r>
          </w:p>
          <w:p w:rsidR="00AF7FEB" w:rsidRPr="00FC7C66" w:rsidRDefault="00AF7FEB" w:rsidP="00A431C9">
            <w:pPr>
              <w:pStyle w:val="BodyText10"/>
              <w:spacing w:before="120" w:after="120"/>
              <w:ind w:left="0"/>
              <w:jc w:val="left"/>
            </w:pPr>
            <w:r w:rsidRPr="00FC7C66">
              <w:t>Presentation and Cleanliness</w:t>
            </w:r>
          </w:p>
        </w:tc>
        <w:tc>
          <w:tcPr>
            <w:tcW w:w="1559" w:type="dxa"/>
          </w:tcPr>
          <w:p w:rsidR="00AF7FEB" w:rsidRPr="00FC7C66" w:rsidRDefault="00AF7FEB" w:rsidP="00FC7C66">
            <w:pPr>
              <w:pStyle w:val="BodyText11"/>
              <w:spacing w:before="120" w:after="120"/>
              <w:ind w:left="0"/>
              <w:jc w:val="left"/>
            </w:pPr>
            <w:r w:rsidRPr="00FC7C66">
              <w:t>Buildings are well presented clean and fit for use.</w:t>
            </w:r>
          </w:p>
        </w:tc>
        <w:tc>
          <w:tcPr>
            <w:tcW w:w="1417" w:type="dxa"/>
          </w:tcPr>
          <w:p w:rsidR="00AF7FEB" w:rsidRPr="00FC7C66" w:rsidRDefault="00AF7FEB" w:rsidP="00FC7C66">
            <w:pPr>
              <w:pStyle w:val="BodyText11"/>
              <w:spacing w:before="120" w:after="120"/>
              <w:ind w:left="0"/>
              <w:jc w:val="left"/>
            </w:pPr>
            <w:r w:rsidRPr="00FC7C66">
              <w:t>Cleaning and maintenance program meets service needs</w:t>
            </w:r>
            <w:r w:rsidR="003F78F8">
              <w:t>.</w:t>
            </w:r>
          </w:p>
        </w:tc>
        <w:tc>
          <w:tcPr>
            <w:tcW w:w="1560" w:type="dxa"/>
          </w:tcPr>
          <w:p w:rsidR="00AF7FEB" w:rsidRPr="00FC7C66" w:rsidRDefault="00AF7FEB" w:rsidP="00FC7C66">
            <w:pPr>
              <w:pStyle w:val="BodyText11"/>
              <w:spacing w:before="120" w:after="120"/>
              <w:ind w:left="0"/>
              <w:jc w:val="left"/>
            </w:pPr>
            <w:r w:rsidRPr="00FC7C66">
              <w:t>Number of customer service requests received annually.</w:t>
            </w:r>
          </w:p>
        </w:tc>
        <w:tc>
          <w:tcPr>
            <w:tcW w:w="1559" w:type="dxa"/>
          </w:tcPr>
          <w:p w:rsidR="00AF7FEB" w:rsidRPr="00FC7C66" w:rsidRDefault="00AF7FEB" w:rsidP="00FC7C66">
            <w:pPr>
              <w:pStyle w:val="BodyText11"/>
              <w:spacing w:before="120" w:after="120"/>
              <w:ind w:left="0"/>
              <w:jc w:val="left"/>
            </w:pPr>
            <w:r w:rsidRPr="00FC7C66">
              <w:t>10% reduction in customer complaints per annum from base year 2011-12</w:t>
            </w:r>
            <w:r w:rsidR="00A72801">
              <w:t>.</w:t>
            </w:r>
          </w:p>
        </w:tc>
        <w:tc>
          <w:tcPr>
            <w:tcW w:w="1701" w:type="dxa"/>
          </w:tcPr>
          <w:p w:rsidR="00AF7FEB" w:rsidRPr="00FC7C66" w:rsidRDefault="001B08C8" w:rsidP="001B08C8">
            <w:pPr>
              <w:pStyle w:val="BodyText11"/>
              <w:spacing w:before="120" w:after="120"/>
              <w:ind w:left="0"/>
              <w:jc w:val="left"/>
            </w:pPr>
            <w:r w:rsidRPr="00FC7C66">
              <w:t xml:space="preserve">Annual report </w:t>
            </w:r>
            <w:r>
              <w:t>(TechnologyOne Asset Management System)</w:t>
            </w:r>
          </w:p>
        </w:tc>
      </w:tr>
      <w:tr w:rsidR="00854A7F" w:rsidRPr="00BC0499" w:rsidTr="00897C2D">
        <w:trPr>
          <w:cantSplit/>
        </w:trPr>
        <w:tc>
          <w:tcPr>
            <w:tcW w:w="1560" w:type="dxa"/>
            <w:shd w:val="clear" w:color="auto" w:fill="auto"/>
          </w:tcPr>
          <w:p w:rsidR="00AF7FEB" w:rsidRPr="00FC7C66" w:rsidRDefault="00AF7FEB" w:rsidP="00FC7C66">
            <w:pPr>
              <w:pStyle w:val="BodyText10"/>
              <w:spacing w:before="120" w:after="120"/>
              <w:ind w:left="0"/>
              <w:jc w:val="left"/>
            </w:pPr>
            <w:r w:rsidRPr="00FC7C66">
              <w:lastRenderedPageBreak/>
              <w:t>Quality</w:t>
            </w:r>
          </w:p>
          <w:p w:rsidR="00AF7FEB" w:rsidRPr="00FC7C66" w:rsidRDefault="00AF7FEB" w:rsidP="00FC7C66">
            <w:pPr>
              <w:pStyle w:val="BodyText10"/>
              <w:spacing w:before="120" w:after="120"/>
              <w:ind w:left="0"/>
              <w:jc w:val="left"/>
            </w:pPr>
            <w:r w:rsidRPr="00FC7C66">
              <w:t>Building condition</w:t>
            </w:r>
          </w:p>
        </w:tc>
        <w:tc>
          <w:tcPr>
            <w:tcW w:w="1559" w:type="dxa"/>
          </w:tcPr>
          <w:p w:rsidR="00AF7FEB" w:rsidRPr="00FC7C66" w:rsidRDefault="00AF7FEB" w:rsidP="00FC7C66">
            <w:pPr>
              <w:pStyle w:val="BodyText11"/>
              <w:spacing w:before="120" w:after="120"/>
              <w:ind w:left="0"/>
              <w:jc w:val="left"/>
            </w:pPr>
            <w:r w:rsidRPr="00FC7C66">
              <w:t>All Council buildings and associated components are maintained in an appropriate condition.</w:t>
            </w:r>
          </w:p>
        </w:tc>
        <w:tc>
          <w:tcPr>
            <w:tcW w:w="1417" w:type="dxa"/>
          </w:tcPr>
          <w:p w:rsidR="00AF7FEB" w:rsidRPr="00FC7C66" w:rsidRDefault="00AF7FEB" w:rsidP="00FC7C66">
            <w:pPr>
              <w:pStyle w:val="BodyText11"/>
              <w:spacing w:before="120" w:after="120"/>
              <w:ind w:left="0"/>
              <w:jc w:val="left"/>
            </w:pPr>
            <w:r w:rsidRPr="00FC7C66">
              <w:t>Buildings are available, serviceable and maintained in good condition.</w:t>
            </w:r>
          </w:p>
        </w:tc>
        <w:tc>
          <w:tcPr>
            <w:tcW w:w="1560" w:type="dxa"/>
          </w:tcPr>
          <w:p w:rsidR="00AF7FEB" w:rsidRPr="00FC7C66" w:rsidRDefault="00AF7FEB" w:rsidP="00FC7C66">
            <w:pPr>
              <w:pStyle w:val="BodyText11"/>
              <w:spacing w:before="120" w:after="120"/>
              <w:ind w:left="0"/>
              <w:jc w:val="left"/>
            </w:pPr>
            <w:r w:rsidRPr="00FC7C66">
              <w:t>Condition of complex buildings (Town Halls) is maintained to a condition grade of 8 or better.</w:t>
            </w:r>
          </w:p>
          <w:p w:rsidR="00AF7FEB" w:rsidRPr="00FC7C66" w:rsidRDefault="00AF7FEB" w:rsidP="00FC7C66">
            <w:pPr>
              <w:pStyle w:val="BodyText11"/>
              <w:spacing w:before="120" w:after="120"/>
              <w:ind w:left="0"/>
              <w:jc w:val="left"/>
            </w:pPr>
            <w:r w:rsidRPr="00FC7C66">
              <w:t>Condition of long life other buildings (Pavilions, Child care Centres) are maintained to a condition grade of 8 or better.</w:t>
            </w:r>
          </w:p>
          <w:p w:rsidR="00AF7FEB" w:rsidRPr="00FC7C66" w:rsidRDefault="00AF7FEB" w:rsidP="00FC7C66">
            <w:pPr>
              <w:pStyle w:val="BodyText11"/>
              <w:spacing w:before="120" w:after="120"/>
              <w:ind w:left="0"/>
              <w:jc w:val="left"/>
            </w:pPr>
            <w:r w:rsidRPr="00FC7C66">
              <w:t>Condition of short life buildings (sheds) are maintained to a condition grade of 8 or better.</w:t>
            </w:r>
          </w:p>
        </w:tc>
        <w:tc>
          <w:tcPr>
            <w:tcW w:w="1559" w:type="dxa"/>
          </w:tcPr>
          <w:p w:rsidR="00AF7FEB" w:rsidRPr="00FC7C66" w:rsidRDefault="00AF7FEB" w:rsidP="00FC7C66">
            <w:pPr>
              <w:pStyle w:val="BodyText11"/>
              <w:spacing w:before="120" w:after="120"/>
              <w:ind w:left="0"/>
              <w:jc w:val="left"/>
            </w:pPr>
            <w:r w:rsidRPr="00FC7C66">
              <w:t>No more than 1% of total replacement cost of complex buildings greater than condition 7</w:t>
            </w:r>
          </w:p>
          <w:p w:rsidR="00AF7FEB" w:rsidRPr="00FC7C66" w:rsidRDefault="00AF7FEB" w:rsidP="00FC7C66">
            <w:pPr>
              <w:pStyle w:val="BodyText11"/>
              <w:spacing w:before="120" w:after="120"/>
              <w:ind w:left="0"/>
              <w:jc w:val="left"/>
            </w:pPr>
            <w:r w:rsidRPr="00FC7C66">
              <w:t>No more than 3% of total replacement cost of long life other  buildings greater than condition 7</w:t>
            </w:r>
          </w:p>
          <w:p w:rsidR="00AF7FEB" w:rsidRPr="00FC7C66" w:rsidRDefault="00AF7FEB" w:rsidP="00FC7C66">
            <w:pPr>
              <w:pStyle w:val="BodyText11"/>
              <w:spacing w:before="120" w:after="120"/>
              <w:ind w:left="0"/>
              <w:jc w:val="left"/>
            </w:pPr>
            <w:r w:rsidRPr="00FC7C66">
              <w:t>No more than 5% of total replacement cost of short life buildings greater than condition 7</w:t>
            </w:r>
          </w:p>
        </w:tc>
        <w:tc>
          <w:tcPr>
            <w:tcW w:w="1701" w:type="dxa"/>
          </w:tcPr>
          <w:p w:rsidR="00AF7FEB" w:rsidRPr="00FC7C66" w:rsidRDefault="00AF7FEB" w:rsidP="00FC7C66">
            <w:pPr>
              <w:pStyle w:val="BodyText11"/>
              <w:spacing w:before="120" w:after="120"/>
              <w:ind w:left="0"/>
              <w:jc w:val="left"/>
            </w:pPr>
            <w:r w:rsidRPr="00FC7C66">
              <w:t>Four yearly condition assessment report.</w:t>
            </w:r>
          </w:p>
        </w:tc>
      </w:tr>
      <w:tr w:rsidR="00854A7F" w:rsidRPr="00BC0499" w:rsidTr="00897C2D">
        <w:trPr>
          <w:cantSplit/>
        </w:trPr>
        <w:tc>
          <w:tcPr>
            <w:tcW w:w="1560" w:type="dxa"/>
            <w:shd w:val="clear" w:color="auto" w:fill="auto"/>
          </w:tcPr>
          <w:p w:rsidR="00AF7FEB" w:rsidRPr="00FC7C66" w:rsidRDefault="00AF7FEB" w:rsidP="00A431C9">
            <w:pPr>
              <w:pStyle w:val="BodyText10"/>
              <w:spacing w:before="120" w:after="120"/>
              <w:ind w:left="0"/>
              <w:jc w:val="left"/>
            </w:pPr>
            <w:r w:rsidRPr="00FC7C66">
              <w:t>Safety</w:t>
            </w:r>
          </w:p>
        </w:tc>
        <w:tc>
          <w:tcPr>
            <w:tcW w:w="1559" w:type="dxa"/>
          </w:tcPr>
          <w:p w:rsidR="00AF7FEB" w:rsidRPr="00FC7C66" w:rsidRDefault="00AF7FEB" w:rsidP="00FC7C66">
            <w:pPr>
              <w:pStyle w:val="BodyText11"/>
              <w:spacing w:before="120" w:after="120"/>
              <w:ind w:left="0"/>
              <w:jc w:val="left"/>
            </w:pPr>
            <w:r w:rsidRPr="00FC7C66">
              <w:t>Buildings are safe and free of hazards</w:t>
            </w:r>
          </w:p>
        </w:tc>
        <w:tc>
          <w:tcPr>
            <w:tcW w:w="1417" w:type="dxa"/>
          </w:tcPr>
          <w:p w:rsidR="00AF7FEB" w:rsidRPr="00FC7C66" w:rsidRDefault="00AF7FEB" w:rsidP="00FC7C66">
            <w:pPr>
              <w:pStyle w:val="BodyText11"/>
              <w:spacing w:before="120" w:after="120"/>
              <w:ind w:left="0"/>
              <w:jc w:val="left"/>
            </w:pPr>
            <w:r w:rsidRPr="00FC7C66">
              <w:t>Buildings are regularly inspected and works programmed base on risk assessment.</w:t>
            </w:r>
          </w:p>
        </w:tc>
        <w:tc>
          <w:tcPr>
            <w:tcW w:w="1560" w:type="dxa"/>
          </w:tcPr>
          <w:p w:rsidR="00AF7FEB" w:rsidRPr="00FC7C66" w:rsidRDefault="00AF7FEB" w:rsidP="00FC7C66">
            <w:pPr>
              <w:pStyle w:val="BodyText11"/>
              <w:spacing w:before="120" w:after="120"/>
              <w:ind w:left="0"/>
              <w:jc w:val="left"/>
            </w:pPr>
            <w:r w:rsidRPr="00FC7C66">
              <w:t>Number of incidents reported annually.</w:t>
            </w:r>
          </w:p>
        </w:tc>
        <w:tc>
          <w:tcPr>
            <w:tcW w:w="1559" w:type="dxa"/>
          </w:tcPr>
          <w:p w:rsidR="00AF7FEB" w:rsidRPr="00FC7C66" w:rsidRDefault="00AF7FEB" w:rsidP="00FC7C66">
            <w:pPr>
              <w:pStyle w:val="BodyText11"/>
              <w:spacing w:before="120" w:after="120"/>
              <w:ind w:left="0"/>
              <w:jc w:val="left"/>
            </w:pPr>
            <w:r w:rsidRPr="00FC7C66">
              <w:t>Reduction 1% of incidents reported annually to OH&amp;S Co-ordinator from base year 2011-12</w:t>
            </w:r>
          </w:p>
        </w:tc>
        <w:tc>
          <w:tcPr>
            <w:tcW w:w="1701" w:type="dxa"/>
          </w:tcPr>
          <w:p w:rsidR="00AF7FEB" w:rsidRPr="00FC7C66" w:rsidRDefault="00AF7FEB" w:rsidP="00FC7C66">
            <w:pPr>
              <w:pStyle w:val="BodyText11"/>
              <w:spacing w:before="120" w:after="120"/>
              <w:ind w:left="0"/>
              <w:jc w:val="left"/>
            </w:pPr>
            <w:r w:rsidRPr="00FC7C66">
              <w:t>OH&amp;S annual report</w:t>
            </w:r>
          </w:p>
        </w:tc>
      </w:tr>
      <w:tr w:rsidR="00854A7F" w:rsidRPr="00BC0499" w:rsidTr="00897C2D">
        <w:trPr>
          <w:cantSplit/>
        </w:trPr>
        <w:tc>
          <w:tcPr>
            <w:tcW w:w="1560" w:type="dxa"/>
            <w:shd w:val="clear" w:color="auto" w:fill="auto"/>
          </w:tcPr>
          <w:p w:rsidR="00AF7FEB" w:rsidRPr="00FC7C66" w:rsidRDefault="00AF7FEB" w:rsidP="00A431C9">
            <w:pPr>
              <w:pStyle w:val="BodyText10"/>
              <w:spacing w:before="120" w:after="120"/>
              <w:ind w:left="0"/>
              <w:jc w:val="left"/>
            </w:pPr>
            <w:r w:rsidRPr="00FC7C66">
              <w:t>Safety</w:t>
            </w:r>
          </w:p>
        </w:tc>
        <w:tc>
          <w:tcPr>
            <w:tcW w:w="1559" w:type="dxa"/>
          </w:tcPr>
          <w:p w:rsidR="00AF7FEB" w:rsidRPr="00FC7C66" w:rsidRDefault="00AF7FEB" w:rsidP="00FC7C66">
            <w:pPr>
              <w:spacing w:before="120" w:after="120"/>
              <w:jc w:val="left"/>
              <w:rPr>
                <w:rFonts w:cs="Arial"/>
                <w:u w:val="single"/>
              </w:rPr>
            </w:pPr>
            <w:r w:rsidRPr="00FC7C66">
              <w:rPr>
                <w:rFonts w:cs="Arial"/>
              </w:rPr>
              <w:t>All hazards and defect identified and either fixed or placed on a defined program for completion.</w:t>
            </w:r>
          </w:p>
        </w:tc>
        <w:tc>
          <w:tcPr>
            <w:tcW w:w="1417" w:type="dxa"/>
          </w:tcPr>
          <w:p w:rsidR="00AF7FEB" w:rsidRPr="00FC7C66" w:rsidRDefault="00AF7FEB" w:rsidP="00FC7C66">
            <w:pPr>
              <w:spacing w:before="120" w:after="120"/>
              <w:jc w:val="left"/>
              <w:rPr>
                <w:rFonts w:cs="Arial"/>
              </w:rPr>
            </w:pPr>
            <w:r w:rsidRPr="00FC7C66">
              <w:rPr>
                <w:rFonts w:cs="Arial"/>
              </w:rPr>
              <w:t>All buildings will be inspected on at least an annual basis via a programmed approach.</w:t>
            </w:r>
          </w:p>
        </w:tc>
        <w:tc>
          <w:tcPr>
            <w:tcW w:w="1560" w:type="dxa"/>
          </w:tcPr>
          <w:p w:rsidR="00AF7FEB" w:rsidRPr="00FC7C66" w:rsidRDefault="00AF7FEB" w:rsidP="00FC7C66">
            <w:pPr>
              <w:spacing w:before="120" w:after="120"/>
              <w:jc w:val="left"/>
              <w:rPr>
                <w:rFonts w:cs="Arial"/>
              </w:rPr>
            </w:pPr>
            <w:r w:rsidRPr="00FC7C66">
              <w:rPr>
                <w:rFonts w:cs="Arial"/>
              </w:rPr>
              <w:t>Number of inspections</w:t>
            </w:r>
          </w:p>
          <w:p w:rsidR="00AF7FEB" w:rsidRPr="00FC7C66" w:rsidRDefault="00AF7FEB" w:rsidP="00FC7C66">
            <w:pPr>
              <w:spacing w:before="120" w:after="120"/>
              <w:jc w:val="left"/>
              <w:rPr>
                <w:rFonts w:cs="Arial"/>
              </w:rPr>
            </w:pPr>
            <w:r w:rsidRPr="00FC7C66">
              <w:rPr>
                <w:rFonts w:cs="Arial"/>
              </w:rPr>
              <w:t>Level of compliance to inspection program.</w:t>
            </w:r>
          </w:p>
        </w:tc>
        <w:tc>
          <w:tcPr>
            <w:tcW w:w="1559" w:type="dxa"/>
          </w:tcPr>
          <w:p w:rsidR="00AF7FEB" w:rsidRPr="00FC7C66" w:rsidRDefault="00AF7FEB" w:rsidP="00FC7C66">
            <w:pPr>
              <w:spacing w:before="120" w:after="120"/>
              <w:jc w:val="left"/>
              <w:rPr>
                <w:rFonts w:cs="Arial"/>
              </w:rPr>
            </w:pPr>
            <w:r w:rsidRPr="00FC7C66">
              <w:rPr>
                <w:rFonts w:cs="Arial"/>
              </w:rPr>
              <w:t>100% compliant</w:t>
            </w:r>
          </w:p>
          <w:p w:rsidR="00AF7FEB" w:rsidRPr="00FC7C66" w:rsidRDefault="00AF7FEB" w:rsidP="00FC7C66">
            <w:pPr>
              <w:spacing w:before="120" w:after="120"/>
              <w:jc w:val="left"/>
              <w:rPr>
                <w:rFonts w:cs="Arial"/>
              </w:rPr>
            </w:pPr>
            <w:r w:rsidRPr="00FC7C66">
              <w:rPr>
                <w:rFonts w:cs="Arial"/>
              </w:rPr>
              <w:t>95% compliant</w:t>
            </w:r>
          </w:p>
        </w:tc>
        <w:tc>
          <w:tcPr>
            <w:tcW w:w="1701" w:type="dxa"/>
          </w:tcPr>
          <w:p w:rsidR="00AF7FEB" w:rsidRPr="00FC7C66" w:rsidRDefault="001B08C8" w:rsidP="001B08C8">
            <w:pPr>
              <w:spacing w:before="120" w:after="120"/>
              <w:jc w:val="left"/>
              <w:rPr>
                <w:rFonts w:cs="Arial"/>
              </w:rPr>
            </w:pPr>
            <w:r>
              <w:rPr>
                <w:rFonts w:cs="Arial"/>
              </w:rPr>
              <w:t>Annual report</w:t>
            </w:r>
            <w:r w:rsidR="00AF7FEB" w:rsidRPr="00FC7C66">
              <w:rPr>
                <w:rFonts w:cs="Arial"/>
              </w:rPr>
              <w:t xml:space="preserve"> Merit </w:t>
            </w:r>
            <w:r>
              <w:t>(TechnologyOne Asset Management System)</w:t>
            </w:r>
          </w:p>
        </w:tc>
      </w:tr>
      <w:tr w:rsidR="00854A7F" w:rsidRPr="00BC0499" w:rsidTr="00897C2D">
        <w:trPr>
          <w:cantSplit/>
        </w:trPr>
        <w:tc>
          <w:tcPr>
            <w:tcW w:w="1560" w:type="dxa"/>
            <w:shd w:val="clear" w:color="auto" w:fill="auto"/>
          </w:tcPr>
          <w:p w:rsidR="00AF7FEB" w:rsidRPr="00FC7C66" w:rsidRDefault="00AF7FEB" w:rsidP="00FC7C66">
            <w:pPr>
              <w:pStyle w:val="BodyText10"/>
              <w:spacing w:before="120" w:after="120"/>
              <w:ind w:left="0"/>
              <w:jc w:val="left"/>
            </w:pPr>
            <w:r w:rsidRPr="00FC7C66">
              <w:lastRenderedPageBreak/>
              <w:t>Responsiveness</w:t>
            </w:r>
          </w:p>
          <w:p w:rsidR="00AF7FEB" w:rsidRPr="00FC7C66" w:rsidRDefault="00AF7FEB" w:rsidP="00FC7C66">
            <w:pPr>
              <w:pStyle w:val="BodyText10"/>
              <w:spacing w:before="120" w:after="120"/>
              <w:ind w:left="0"/>
              <w:jc w:val="left"/>
            </w:pPr>
          </w:p>
        </w:tc>
        <w:tc>
          <w:tcPr>
            <w:tcW w:w="1559" w:type="dxa"/>
          </w:tcPr>
          <w:p w:rsidR="00AF7FEB" w:rsidRPr="00FC7C66" w:rsidRDefault="00AF7FEB" w:rsidP="00FC7C66">
            <w:pPr>
              <w:pStyle w:val="BodyText11"/>
              <w:spacing w:before="120" w:after="120"/>
              <w:ind w:left="0"/>
              <w:jc w:val="left"/>
            </w:pPr>
            <w:r w:rsidRPr="00FC7C66">
              <w:t>Customer service requests will be responded to in a timely manner and rectified within agreed timelines.</w:t>
            </w:r>
          </w:p>
        </w:tc>
        <w:tc>
          <w:tcPr>
            <w:tcW w:w="1417" w:type="dxa"/>
          </w:tcPr>
          <w:p w:rsidR="00AF7FEB" w:rsidRPr="00FC7C66" w:rsidRDefault="00AF7FEB" w:rsidP="00FC7C66">
            <w:pPr>
              <w:spacing w:before="120" w:after="120"/>
              <w:jc w:val="left"/>
              <w:rPr>
                <w:rFonts w:cs="Arial"/>
              </w:rPr>
            </w:pPr>
            <w:r w:rsidRPr="00FC7C66">
              <w:rPr>
                <w:rFonts w:cs="Arial"/>
              </w:rPr>
              <w:t>Response targets based on risk assessment:</w:t>
            </w:r>
          </w:p>
          <w:p w:rsidR="00AF7FEB" w:rsidRPr="00FC7C66" w:rsidRDefault="00AF7FEB" w:rsidP="00FC7C66">
            <w:pPr>
              <w:spacing w:before="120" w:after="120"/>
              <w:jc w:val="left"/>
              <w:rPr>
                <w:rFonts w:cs="Arial"/>
              </w:rPr>
            </w:pPr>
            <w:r w:rsidRPr="00FC7C66">
              <w:rPr>
                <w:rFonts w:cs="Arial"/>
              </w:rPr>
              <w:t>Extreme: immediate response</w:t>
            </w:r>
          </w:p>
          <w:p w:rsidR="00AF7FEB" w:rsidRPr="00FC7C66" w:rsidRDefault="00AF7FEB" w:rsidP="00FC7C66">
            <w:pPr>
              <w:spacing w:before="120" w:after="120"/>
              <w:jc w:val="left"/>
              <w:rPr>
                <w:rFonts w:cs="Arial"/>
              </w:rPr>
            </w:pPr>
            <w:r w:rsidRPr="00FC7C66">
              <w:rPr>
                <w:rFonts w:cs="Arial"/>
              </w:rPr>
              <w:t>High: within 24 hours</w:t>
            </w:r>
          </w:p>
          <w:p w:rsidR="00AF7FEB" w:rsidRPr="00FC7C66" w:rsidRDefault="00AF7FEB" w:rsidP="00FC7C66">
            <w:pPr>
              <w:spacing w:before="120" w:after="120"/>
              <w:jc w:val="left"/>
              <w:rPr>
                <w:rFonts w:cs="Arial"/>
              </w:rPr>
            </w:pPr>
            <w:r w:rsidRPr="00FC7C66">
              <w:rPr>
                <w:rFonts w:cs="Arial"/>
              </w:rPr>
              <w:t>Medium: within 5 working days</w:t>
            </w:r>
          </w:p>
          <w:p w:rsidR="00AF7FEB" w:rsidRPr="00FC7C66" w:rsidRDefault="00AF7FEB" w:rsidP="00FC7C66">
            <w:pPr>
              <w:spacing w:before="120" w:after="120"/>
              <w:jc w:val="left"/>
              <w:rPr>
                <w:rFonts w:cs="Arial"/>
              </w:rPr>
            </w:pPr>
            <w:r w:rsidRPr="00FC7C66">
              <w:rPr>
                <w:rFonts w:cs="Arial"/>
              </w:rPr>
              <w:t>Low: within routine procedures and timeframes</w:t>
            </w:r>
          </w:p>
        </w:tc>
        <w:tc>
          <w:tcPr>
            <w:tcW w:w="1560" w:type="dxa"/>
          </w:tcPr>
          <w:p w:rsidR="00AF7FEB" w:rsidRPr="00FC7C66" w:rsidRDefault="00AF7FEB" w:rsidP="00FC7C66">
            <w:pPr>
              <w:pStyle w:val="BodyText11"/>
              <w:spacing w:before="120" w:after="120"/>
              <w:ind w:left="0"/>
              <w:jc w:val="left"/>
            </w:pPr>
            <w:r w:rsidRPr="00FC7C66">
              <w:t>Compliance with target response times</w:t>
            </w:r>
          </w:p>
        </w:tc>
        <w:tc>
          <w:tcPr>
            <w:tcW w:w="1559" w:type="dxa"/>
          </w:tcPr>
          <w:p w:rsidR="00AF7FEB" w:rsidRPr="00FC7C66" w:rsidRDefault="00AF7FEB" w:rsidP="00A431C9">
            <w:pPr>
              <w:pStyle w:val="BodyText11"/>
              <w:spacing w:before="120" w:after="120"/>
              <w:ind w:left="0"/>
              <w:jc w:val="left"/>
            </w:pPr>
            <w:r w:rsidRPr="00FC7C66">
              <w:t>90% of defect notifications dealt within target response times.</w:t>
            </w:r>
          </w:p>
        </w:tc>
        <w:tc>
          <w:tcPr>
            <w:tcW w:w="1701" w:type="dxa"/>
          </w:tcPr>
          <w:p w:rsidR="00AF7FEB" w:rsidRPr="00FC7C66" w:rsidRDefault="00BC0499" w:rsidP="001B08C8">
            <w:pPr>
              <w:pStyle w:val="BodyText11"/>
              <w:spacing w:before="120" w:after="120"/>
              <w:ind w:left="0"/>
              <w:jc w:val="left"/>
            </w:pPr>
            <w:r w:rsidRPr="00FC7C66">
              <w:t>Monthly Merit and</w:t>
            </w:r>
            <w:r w:rsidR="00AF7FEB" w:rsidRPr="00FC7C66">
              <w:t xml:space="preserve"> </w:t>
            </w:r>
            <w:r w:rsidR="001B08C8" w:rsidRPr="00FC7C66">
              <w:t xml:space="preserve">Annual report </w:t>
            </w:r>
            <w:r w:rsidR="001B08C8">
              <w:t>(TechnologyOne Asset Management System)</w:t>
            </w:r>
            <w:r w:rsidR="00AF7FEB" w:rsidRPr="00FC7C66">
              <w:t>.</w:t>
            </w:r>
          </w:p>
        </w:tc>
      </w:tr>
      <w:tr w:rsidR="00854A7F" w:rsidRPr="00BC0499" w:rsidTr="00897C2D">
        <w:trPr>
          <w:cantSplit/>
        </w:trPr>
        <w:tc>
          <w:tcPr>
            <w:tcW w:w="1560" w:type="dxa"/>
            <w:shd w:val="clear" w:color="auto" w:fill="auto"/>
          </w:tcPr>
          <w:p w:rsidR="00AF7FEB" w:rsidRPr="00FC7C66" w:rsidRDefault="00AF7FEB" w:rsidP="00FC7C66">
            <w:pPr>
              <w:pStyle w:val="BodyText11"/>
              <w:spacing w:before="120" w:after="120"/>
              <w:ind w:left="0"/>
              <w:jc w:val="left"/>
            </w:pPr>
            <w:r w:rsidRPr="00FC7C66">
              <w:t>Environmental Sustainability</w:t>
            </w:r>
          </w:p>
        </w:tc>
        <w:tc>
          <w:tcPr>
            <w:tcW w:w="1559" w:type="dxa"/>
          </w:tcPr>
          <w:p w:rsidR="00AF7FEB" w:rsidRPr="00FC7C66" w:rsidRDefault="00AF7FEB" w:rsidP="00FC7C66">
            <w:pPr>
              <w:spacing w:before="120" w:after="120"/>
              <w:jc w:val="left"/>
              <w:rPr>
                <w:rFonts w:cs="Arial"/>
              </w:rPr>
            </w:pPr>
            <w:r w:rsidRPr="00FC7C66">
              <w:rPr>
                <w:rFonts w:cs="Arial"/>
              </w:rPr>
              <w:t>Council’s buildings are managed and maintained to minimise their impact on the environment.</w:t>
            </w:r>
          </w:p>
        </w:tc>
        <w:tc>
          <w:tcPr>
            <w:tcW w:w="1417" w:type="dxa"/>
          </w:tcPr>
          <w:p w:rsidR="00AF7FEB" w:rsidRPr="00FC7C66" w:rsidRDefault="00AF7FEB" w:rsidP="00FC7C66">
            <w:pPr>
              <w:spacing w:before="120" w:after="120"/>
              <w:jc w:val="left"/>
              <w:rPr>
                <w:rFonts w:cs="Arial"/>
              </w:rPr>
            </w:pPr>
            <w:r w:rsidRPr="00FC7C66">
              <w:rPr>
                <w:rFonts w:cs="Arial"/>
              </w:rPr>
              <w:t>100% of all new buildings to be designed to minimise environmental impacts</w:t>
            </w:r>
          </w:p>
          <w:p w:rsidR="00AF7FEB" w:rsidRPr="00FC7C66" w:rsidRDefault="00AF7FEB" w:rsidP="00FC7C66">
            <w:pPr>
              <w:spacing w:before="120" w:after="120"/>
              <w:jc w:val="left"/>
              <w:rPr>
                <w:rFonts w:cs="Arial"/>
              </w:rPr>
            </w:pPr>
            <w:r w:rsidRPr="00FC7C66">
              <w:rPr>
                <w:rFonts w:cs="Arial"/>
              </w:rPr>
              <w:t>Water energy consumption decreased and waste is minimised.</w:t>
            </w:r>
          </w:p>
        </w:tc>
        <w:tc>
          <w:tcPr>
            <w:tcW w:w="1560" w:type="dxa"/>
          </w:tcPr>
          <w:p w:rsidR="00AF7FEB" w:rsidRPr="00FC7C66" w:rsidRDefault="00AF7FEB" w:rsidP="00FC7C66">
            <w:pPr>
              <w:spacing w:before="120" w:after="120"/>
              <w:jc w:val="left"/>
              <w:rPr>
                <w:rFonts w:cs="Arial"/>
              </w:rPr>
            </w:pPr>
            <w:r w:rsidRPr="00FC7C66">
              <w:rPr>
                <w:rFonts w:cs="Arial"/>
              </w:rPr>
              <w:t>Environmental impact assessment for all new facilities.</w:t>
            </w:r>
          </w:p>
          <w:p w:rsidR="00AF7FEB" w:rsidRPr="00FC7C66" w:rsidRDefault="00AF7FEB" w:rsidP="00FC7C66">
            <w:pPr>
              <w:spacing w:before="120" w:after="120"/>
              <w:jc w:val="left"/>
              <w:rPr>
                <w:rFonts w:cs="Arial"/>
              </w:rPr>
            </w:pPr>
            <w:r w:rsidRPr="00FC7C66">
              <w:rPr>
                <w:rFonts w:cs="Arial"/>
              </w:rPr>
              <w:t>Reduced energy consumption</w:t>
            </w:r>
          </w:p>
          <w:p w:rsidR="00AF7FEB" w:rsidRPr="00FC7C66" w:rsidRDefault="00AF7FEB" w:rsidP="00FC7C66">
            <w:pPr>
              <w:spacing w:before="120" w:after="120"/>
              <w:jc w:val="left"/>
              <w:rPr>
                <w:rFonts w:cs="Arial"/>
              </w:rPr>
            </w:pPr>
            <w:r w:rsidRPr="00FC7C66">
              <w:rPr>
                <w:rFonts w:cs="Arial"/>
              </w:rPr>
              <w:t>Compliance with ESD policy.</w:t>
            </w:r>
          </w:p>
        </w:tc>
        <w:tc>
          <w:tcPr>
            <w:tcW w:w="1559" w:type="dxa"/>
          </w:tcPr>
          <w:p w:rsidR="00AF7FEB" w:rsidRPr="00FC7C66" w:rsidRDefault="00AF7FEB" w:rsidP="00FC7C66">
            <w:pPr>
              <w:spacing w:before="120" w:after="120"/>
              <w:jc w:val="left"/>
              <w:rPr>
                <w:rFonts w:cs="Arial"/>
              </w:rPr>
            </w:pPr>
            <w:r w:rsidRPr="00FC7C66">
              <w:rPr>
                <w:rFonts w:cs="Arial"/>
              </w:rPr>
              <w:t>Council</w:t>
            </w:r>
            <w:r w:rsidR="003B7425">
              <w:rPr>
                <w:rFonts w:cs="Arial"/>
              </w:rPr>
              <w:t>’</w:t>
            </w:r>
            <w:r w:rsidRPr="00FC7C66">
              <w:rPr>
                <w:rFonts w:cs="Arial"/>
              </w:rPr>
              <w:t>s environmental targets are achieved</w:t>
            </w:r>
          </w:p>
        </w:tc>
        <w:tc>
          <w:tcPr>
            <w:tcW w:w="1701" w:type="dxa"/>
          </w:tcPr>
          <w:p w:rsidR="00AF7FEB" w:rsidRPr="00FC7C66" w:rsidRDefault="00AF7FEB" w:rsidP="00FC7C66">
            <w:pPr>
              <w:spacing w:before="120" w:after="120"/>
              <w:jc w:val="left"/>
              <w:rPr>
                <w:rFonts w:cs="Arial"/>
              </w:rPr>
            </w:pPr>
            <w:r w:rsidRPr="00FC7C66">
              <w:rPr>
                <w:rFonts w:cs="Arial"/>
              </w:rPr>
              <w:t>Annual environmental footprint report.</w:t>
            </w:r>
          </w:p>
        </w:tc>
      </w:tr>
      <w:tr w:rsidR="00854A7F" w:rsidRPr="00BC0499" w:rsidTr="00897C2D">
        <w:trPr>
          <w:cantSplit/>
        </w:trPr>
        <w:tc>
          <w:tcPr>
            <w:tcW w:w="1560" w:type="dxa"/>
            <w:shd w:val="clear" w:color="auto" w:fill="auto"/>
          </w:tcPr>
          <w:p w:rsidR="00AF7FEB" w:rsidRPr="00FC7C66" w:rsidRDefault="00AF7FEB" w:rsidP="00FC7C66">
            <w:pPr>
              <w:pStyle w:val="BodyText11"/>
              <w:spacing w:before="120" w:after="120"/>
              <w:ind w:left="0"/>
              <w:jc w:val="left"/>
            </w:pPr>
            <w:r w:rsidRPr="00FC7C66">
              <w:t>Legislative compliance</w:t>
            </w:r>
          </w:p>
        </w:tc>
        <w:tc>
          <w:tcPr>
            <w:tcW w:w="1559" w:type="dxa"/>
          </w:tcPr>
          <w:p w:rsidR="00AF7FEB" w:rsidRPr="00FC7C66" w:rsidRDefault="00AF7FEB" w:rsidP="00FC7C66">
            <w:pPr>
              <w:spacing w:before="120" w:after="120"/>
              <w:jc w:val="left"/>
              <w:rPr>
                <w:rFonts w:cs="Arial"/>
              </w:rPr>
            </w:pPr>
            <w:r w:rsidRPr="00FC7C66">
              <w:rPr>
                <w:rFonts w:cs="Arial"/>
              </w:rPr>
              <w:t>Buildings are compliant with all legislation regulations and standards.</w:t>
            </w:r>
          </w:p>
        </w:tc>
        <w:tc>
          <w:tcPr>
            <w:tcW w:w="1417" w:type="dxa"/>
          </w:tcPr>
          <w:p w:rsidR="00AF7FEB" w:rsidRPr="00FC7C66" w:rsidRDefault="00AF7FEB" w:rsidP="00FC7C66">
            <w:pPr>
              <w:spacing w:before="120" w:after="120"/>
              <w:jc w:val="left"/>
              <w:rPr>
                <w:rFonts w:cs="Arial"/>
              </w:rPr>
            </w:pPr>
            <w:r w:rsidRPr="00FC7C66">
              <w:rPr>
                <w:rFonts w:cs="Arial"/>
              </w:rPr>
              <w:t>Buildings are regularly inspected and assessed for compliance with current legislative requirements and standards.</w:t>
            </w:r>
          </w:p>
          <w:p w:rsidR="00AF7FEB" w:rsidRPr="00FC7C66" w:rsidRDefault="00AF7FEB" w:rsidP="00FC7C66">
            <w:pPr>
              <w:spacing w:before="120" w:after="120"/>
              <w:jc w:val="left"/>
              <w:rPr>
                <w:rFonts w:cs="Arial"/>
              </w:rPr>
            </w:pPr>
            <w:r w:rsidRPr="00FC7C66">
              <w:rPr>
                <w:rFonts w:cs="Arial"/>
              </w:rPr>
              <w:t xml:space="preserve">When major building work is carried out the building will be made compliant with </w:t>
            </w:r>
            <w:r w:rsidR="00094746">
              <w:rPr>
                <w:rFonts w:cs="Arial"/>
              </w:rPr>
              <w:t>current legislative requirements</w:t>
            </w:r>
            <w:r w:rsidRPr="00FC7C66">
              <w:rPr>
                <w:rFonts w:cs="Arial"/>
              </w:rPr>
              <w:t>.</w:t>
            </w:r>
          </w:p>
        </w:tc>
        <w:tc>
          <w:tcPr>
            <w:tcW w:w="1560" w:type="dxa"/>
          </w:tcPr>
          <w:p w:rsidR="00FB2B5A" w:rsidRPr="00FC7C66" w:rsidRDefault="00AF7FEB" w:rsidP="00FC7C66">
            <w:pPr>
              <w:spacing w:before="120" w:after="120"/>
              <w:jc w:val="left"/>
              <w:rPr>
                <w:rFonts w:cs="Arial"/>
              </w:rPr>
            </w:pPr>
            <w:r w:rsidRPr="00FC7C66">
              <w:rPr>
                <w:rFonts w:cs="Arial"/>
              </w:rPr>
              <w:t>All buildings occupied and available where physically possible for service delivery are compliant.</w:t>
            </w:r>
          </w:p>
          <w:p w:rsidR="00AF7FEB" w:rsidRPr="00FC7C66" w:rsidRDefault="00AF7FEB" w:rsidP="00A431C9">
            <w:pPr>
              <w:spacing w:before="120" w:after="120"/>
              <w:jc w:val="left"/>
              <w:rPr>
                <w:rFonts w:cs="Arial"/>
              </w:rPr>
            </w:pPr>
            <w:r w:rsidRPr="00FC7C66">
              <w:rPr>
                <w:rFonts w:cs="Arial"/>
              </w:rPr>
              <w:t>All buildings are inspected annually for compliance.</w:t>
            </w:r>
          </w:p>
        </w:tc>
        <w:tc>
          <w:tcPr>
            <w:tcW w:w="1559" w:type="dxa"/>
          </w:tcPr>
          <w:p w:rsidR="00AF7FEB" w:rsidRPr="00FC7C66" w:rsidRDefault="00AF7FEB" w:rsidP="00FC7C66">
            <w:pPr>
              <w:spacing w:before="120" w:after="120"/>
              <w:jc w:val="left"/>
              <w:rPr>
                <w:rFonts w:cs="Arial"/>
              </w:rPr>
            </w:pPr>
            <w:r w:rsidRPr="00FC7C66">
              <w:rPr>
                <w:rFonts w:cs="Arial"/>
              </w:rPr>
              <w:t>80% BCA, and DDA compliant.</w:t>
            </w:r>
          </w:p>
          <w:p w:rsidR="00AF7FEB" w:rsidRPr="00FC7C66" w:rsidRDefault="00FB2B5A" w:rsidP="00FC7C66">
            <w:pPr>
              <w:spacing w:before="120" w:after="120"/>
              <w:jc w:val="left"/>
              <w:rPr>
                <w:rFonts w:cs="Arial"/>
              </w:rPr>
            </w:pPr>
            <w:r w:rsidRPr="00FC7C66">
              <w:rPr>
                <w:rFonts w:cs="Arial"/>
              </w:rPr>
              <w:t>1</w:t>
            </w:r>
            <w:r w:rsidR="00AF7FEB" w:rsidRPr="00FC7C66">
              <w:rPr>
                <w:rFonts w:cs="Arial"/>
              </w:rPr>
              <w:t>00% Essential Services Maintenance (Safe exiting from buildings)</w:t>
            </w:r>
          </w:p>
        </w:tc>
        <w:tc>
          <w:tcPr>
            <w:tcW w:w="1701" w:type="dxa"/>
          </w:tcPr>
          <w:p w:rsidR="00AF7FEB" w:rsidRPr="00FC7C66" w:rsidRDefault="005F4FB7" w:rsidP="001B08C8">
            <w:pPr>
              <w:spacing w:before="120" w:after="120"/>
              <w:jc w:val="left"/>
              <w:rPr>
                <w:rFonts w:cs="Arial"/>
              </w:rPr>
            </w:pPr>
            <w:r w:rsidRPr="00FC7C66">
              <w:rPr>
                <w:rFonts w:cs="Arial"/>
              </w:rPr>
              <w:t>Monthly</w:t>
            </w:r>
            <w:r w:rsidR="00AF7FEB" w:rsidRPr="00FC7C66">
              <w:rPr>
                <w:rFonts w:cs="Arial"/>
              </w:rPr>
              <w:t>/</w:t>
            </w:r>
            <w:r w:rsidRPr="00FC7C66">
              <w:rPr>
                <w:rFonts w:cs="Arial"/>
              </w:rPr>
              <w:t xml:space="preserve"> </w:t>
            </w:r>
            <w:r w:rsidR="00AF7FEB" w:rsidRPr="00FC7C66">
              <w:rPr>
                <w:rFonts w:cs="Arial"/>
              </w:rPr>
              <w:t xml:space="preserve">Annual report </w:t>
            </w:r>
            <w:r w:rsidR="001B08C8" w:rsidRPr="00FC7C66">
              <w:t xml:space="preserve">Annual report </w:t>
            </w:r>
            <w:r w:rsidR="001B08C8">
              <w:t>(TechnologyOne Asset Management System).</w:t>
            </w:r>
          </w:p>
        </w:tc>
      </w:tr>
      <w:tr w:rsidR="00854A7F" w:rsidRPr="00BC0499" w:rsidTr="00897C2D">
        <w:trPr>
          <w:cantSplit/>
        </w:trPr>
        <w:tc>
          <w:tcPr>
            <w:tcW w:w="1560" w:type="dxa"/>
            <w:shd w:val="clear" w:color="auto" w:fill="auto"/>
          </w:tcPr>
          <w:p w:rsidR="00AF7FEB" w:rsidRPr="00FC7C66" w:rsidRDefault="00AF7FEB" w:rsidP="00FC7C66">
            <w:pPr>
              <w:pStyle w:val="BodyText11"/>
              <w:spacing w:before="120" w:after="120"/>
              <w:ind w:left="0"/>
              <w:jc w:val="left"/>
            </w:pPr>
            <w:r w:rsidRPr="00FC7C66">
              <w:t>Heritage Preservation</w:t>
            </w:r>
          </w:p>
        </w:tc>
        <w:tc>
          <w:tcPr>
            <w:tcW w:w="1559" w:type="dxa"/>
          </w:tcPr>
          <w:p w:rsidR="00AF7FEB" w:rsidRPr="00FC7C66" w:rsidRDefault="00AF7FEB" w:rsidP="00FC7C66">
            <w:pPr>
              <w:spacing w:before="120" w:after="120"/>
              <w:jc w:val="left"/>
              <w:rPr>
                <w:rFonts w:cs="Arial"/>
              </w:rPr>
            </w:pPr>
            <w:r w:rsidRPr="00FC7C66">
              <w:rPr>
                <w:rFonts w:cs="Arial"/>
              </w:rPr>
              <w:t>Heritage buildings are maintained and preserved.</w:t>
            </w:r>
          </w:p>
        </w:tc>
        <w:tc>
          <w:tcPr>
            <w:tcW w:w="1417" w:type="dxa"/>
          </w:tcPr>
          <w:p w:rsidR="00AF7FEB" w:rsidRPr="00FC7C66" w:rsidRDefault="00AF7FEB" w:rsidP="00FC7C66">
            <w:pPr>
              <w:spacing w:before="120" w:after="120"/>
              <w:jc w:val="left"/>
              <w:rPr>
                <w:rFonts w:cs="Arial"/>
              </w:rPr>
            </w:pPr>
            <w:r w:rsidRPr="00FC7C66">
              <w:rPr>
                <w:rFonts w:cs="Arial"/>
              </w:rPr>
              <w:t>Buildings that are listed on Victorian Heritage Register are maintained and preserved.</w:t>
            </w:r>
          </w:p>
        </w:tc>
        <w:tc>
          <w:tcPr>
            <w:tcW w:w="1560" w:type="dxa"/>
          </w:tcPr>
          <w:p w:rsidR="00AF7FEB" w:rsidRPr="00FC7C66" w:rsidRDefault="00AF7FEB" w:rsidP="00FC7C66">
            <w:pPr>
              <w:spacing w:before="120" w:after="120"/>
              <w:jc w:val="left"/>
              <w:rPr>
                <w:rFonts w:cs="Arial"/>
              </w:rPr>
            </w:pPr>
            <w:r w:rsidRPr="00FC7C66">
              <w:rPr>
                <w:rFonts w:cs="Arial"/>
              </w:rPr>
              <w:t>Heritage buildings are preserved permits are obtained prior to work being undertaken.</w:t>
            </w:r>
          </w:p>
        </w:tc>
        <w:tc>
          <w:tcPr>
            <w:tcW w:w="1559" w:type="dxa"/>
          </w:tcPr>
          <w:p w:rsidR="00AF7FEB" w:rsidRPr="00FC7C66" w:rsidRDefault="00AF7FEB" w:rsidP="00FC7C66">
            <w:pPr>
              <w:spacing w:before="120" w:after="120"/>
              <w:jc w:val="left"/>
              <w:rPr>
                <w:rFonts w:cs="Arial"/>
              </w:rPr>
            </w:pPr>
            <w:r w:rsidRPr="00FC7C66">
              <w:rPr>
                <w:rFonts w:cs="Arial"/>
              </w:rPr>
              <w:t>100% compliant</w:t>
            </w:r>
          </w:p>
        </w:tc>
        <w:tc>
          <w:tcPr>
            <w:tcW w:w="1701" w:type="dxa"/>
          </w:tcPr>
          <w:p w:rsidR="00AF7FEB" w:rsidRPr="00FC7C66" w:rsidRDefault="00BC0499" w:rsidP="001B08C8">
            <w:pPr>
              <w:spacing w:before="120" w:after="120"/>
              <w:jc w:val="left"/>
              <w:rPr>
                <w:rFonts w:cs="Arial"/>
              </w:rPr>
            </w:pPr>
            <w:r w:rsidRPr="00FC7C66">
              <w:rPr>
                <w:rFonts w:cs="Arial"/>
              </w:rPr>
              <w:t>Monthly</w:t>
            </w:r>
            <w:r w:rsidR="00AF7FEB" w:rsidRPr="00FC7C66">
              <w:rPr>
                <w:rFonts w:cs="Arial"/>
              </w:rPr>
              <w:t>/</w:t>
            </w:r>
            <w:r w:rsidR="005F4FB7" w:rsidRPr="00FC7C66">
              <w:rPr>
                <w:rFonts w:cs="Arial"/>
              </w:rPr>
              <w:t xml:space="preserve"> </w:t>
            </w:r>
            <w:r w:rsidRPr="00FC7C66">
              <w:rPr>
                <w:rFonts w:cs="Arial"/>
              </w:rPr>
              <w:t>Annual report Merit</w:t>
            </w:r>
            <w:r w:rsidR="00AF7FEB" w:rsidRPr="00FC7C66">
              <w:rPr>
                <w:rFonts w:cs="Arial"/>
              </w:rPr>
              <w:t>/</w:t>
            </w:r>
            <w:r w:rsidR="00897C2D">
              <w:rPr>
                <w:rFonts w:cs="Arial"/>
              </w:rPr>
              <w:t xml:space="preserve"> </w:t>
            </w:r>
            <w:r w:rsidR="001B08C8" w:rsidRPr="00FC7C66">
              <w:t xml:space="preserve">Annual report </w:t>
            </w:r>
            <w:r w:rsidR="001B08C8">
              <w:t>(TechnologyOne Asset Management System)</w:t>
            </w:r>
          </w:p>
        </w:tc>
      </w:tr>
      <w:tr w:rsidR="00854A7F" w:rsidRPr="00BC0499" w:rsidTr="00897C2D">
        <w:trPr>
          <w:cantSplit/>
        </w:trPr>
        <w:tc>
          <w:tcPr>
            <w:tcW w:w="1560" w:type="dxa"/>
            <w:shd w:val="clear" w:color="auto" w:fill="auto"/>
          </w:tcPr>
          <w:p w:rsidR="00AF7FEB" w:rsidRPr="00FC7C66" w:rsidRDefault="00AF7FEB" w:rsidP="00FC7C66">
            <w:pPr>
              <w:spacing w:before="120" w:after="120"/>
              <w:jc w:val="left"/>
              <w:rPr>
                <w:rFonts w:cs="Arial"/>
              </w:rPr>
            </w:pPr>
            <w:r w:rsidRPr="00FC7C66">
              <w:rPr>
                <w:rFonts w:cs="Arial"/>
              </w:rPr>
              <w:t>Affordability</w:t>
            </w:r>
          </w:p>
          <w:p w:rsidR="00AF7FEB" w:rsidRPr="00FC7C66" w:rsidRDefault="00AF7FEB" w:rsidP="00FC7C66">
            <w:pPr>
              <w:spacing w:before="120" w:after="120"/>
              <w:jc w:val="left"/>
              <w:rPr>
                <w:rFonts w:cs="Arial"/>
              </w:rPr>
            </w:pPr>
            <w:r w:rsidRPr="00FC7C66">
              <w:rPr>
                <w:rFonts w:cs="Arial"/>
              </w:rPr>
              <w:t>Financial Sustainability</w:t>
            </w:r>
          </w:p>
        </w:tc>
        <w:tc>
          <w:tcPr>
            <w:tcW w:w="1559" w:type="dxa"/>
          </w:tcPr>
          <w:p w:rsidR="00AF7FEB" w:rsidRPr="00FC7C66" w:rsidRDefault="00AF7FEB" w:rsidP="00FC7C66">
            <w:pPr>
              <w:spacing w:before="120" w:after="120"/>
              <w:jc w:val="left"/>
              <w:rPr>
                <w:rFonts w:cs="Arial"/>
              </w:rPr>
            </w:pPr>
            <w:r w:rsidRPr="00FC7C66">
              <w:rPr>
                <w:rFonts w:cs="Arial"/>
              </w:rPr>
              <w:t>To ensure target level of service is met.</w:t>
            </w:r>
          </w:p>
        </w:tc>
        <w:tc>
          <w:tcPr>
            <w:tcW w:w="1417" w:type="dxa"/>
          </w:tcPr>
          <w:p w:rsidR="00AF7FEB" w:rsidRPr="00FC7C66" w:rsidRDefault="00AF7FEB" w:rsidP="00FC7C66">
            <w:pPr>
              <w:spacing w:before="120" w:after="120"/>
              <w:jc w:val="left"/>
              <w:rPr>
                <w:rFonts w:cs="Arial"/>
              </w:rPr>
            </w:pPr>
            <w:r w:rsidRPr="00FC7C66">
              <w:rPr>
                <w:rFonts w:cs="Arial"/>
              </w:rPr>
              <w:t>All services and goods delivered by internal or external resources that provide best value for money service.</w:t>
            </w:r>
          </w:p>
        </w:tc>
        <w:tc>
          <w:tcPr>
            <w:tcW w:w="1560" w:type="dxa"/>
          </w:tcPr>
          <w:p w:rsidR="00AF7FEB" w:rsidRPr="00FC7C66" w:rsidRDefault="00AF7FEB" w:rsidP="008473C2">
            <w:pPr>
              <w:spacing w:before="120" w:after="120"/>
              <w:jc w:val="left"/>
              <w:rPr>
                <w:rFonts w:cs="Arial"/>
              </w:rPr>
            </w:pPr>
            <w:r w:rsidRPr="00FC7C66">
              <w:rPr>
                <w:rFonts w:cs="Arial"/>
              </w:rPr>
              <w:t>% of maintenance and renewal services/ projects achieved on time, on budget and to appropriate standards</w:t>
            </w:r>
          </w:p>
        </w:tc>
        <w:tc>
          <w:tcPr>
            <w:tcW w:w="1559" w:type="dxa"/>
          </w:tcPr>
          <w:p w:rsidR="00AF7FEB" w:rsidRPr="00FC7C66" w:rsidRDefault="00AF7FEB" w:rsidP="00FC7C66">
            <w:pPr>
              <w:spacing w:before="120" w:after="120"/>
              <w:jc w:val="left"/>
              <w:rPr>
                <w:rFonts w:cs="Arial"/>
              </w:rPr>
            </w:pPr>
            <w:r w:rsidRPr="00FC7C66">
              <w:rPr>
                <w:rFonts w:cs="Arial"/>
              </w:rPr>
              <w:t>90% of work completed on time and within budget and standards.</w:t>
            </w:r>
          </w:p>
        </w:tc>
        <w:tc>
          <w:tcPr>
            <w:tcW w:w="1701" w:type="dxa"/>
          </w:tcPr>
          <w:p w:rsidR="00AF7FEB" w:rsidRPr="00FC7C66" w:rsidRDefault="00AF7FEB" w:rsidP="00FC7C66">
            <w:pPr>
              <w:spacing w:before="120" w:after="120"/>
              <w:jc w:val="left"/>
              <w:rPr>
                <w:rFonts w:cs="Arial"/>
              </w:rPr>
            </w:pPr>
            <w:r w:rsidRPr="00FC7C66">
              <w:rPr>
                <w:rFonts w:cs="Arial"/>
              </w:rPr>
              <w:t>Annual report</w:t>
            </w:r>
          </w:p>
        </w:tc>
      </w:tr>
    </w:tbl>
    <w:p w:rsidR="00E60728" w:rsidRPr="0091425F" w:rsidRDefault="00E60728" w:rsidP="00E60728">
      <w:pPr>
        <w:pStyle w:val="Caption"/>
        <w:spacing w:before="240" w:after="240"/>
        <w:ind w:left="0"/>
        <w:jc w:val="center"/>
        <w:rPr>
          <w:rFonts w:ascii="Arial" w:hAnsi="Arial"/>
          <w:i w:val="0"/>
          <w:iCs w:val="0"/>
          <w:sz w:val="20"/>
          <w:lang w:val="en-AU"/>
        </w:rPr>
      </w:pPr>
      <w:bookmarkStart w:id="19" w:name="_Toc364945410"/>
      <w:r w:rsidRPr="0091425F">
        <w:rPr>
          <w:rFonts w:ascii="Arial" w:hAnsi="Arial"/>
          <w:i w:val="0"/>
          <w:iCs w:val="0"/>
          <w:sz w:val="20"/>
          <w:lang w:val="en-AU"/>
        </w:rPr>
        <w:t xml:space="preserve">Table </w:t>
      </w:r>
      <w:r w:rsidR="0090414C" w:rsidRPr="0091425F">
        <w:rPr>
          <w:rFonts w:ascii="Arial" w:hAnsi="Arial"/>
          <w:i w:val="0"/>
          <w:iCs w:val="0"/>
          <w:sz w:val="20"/>
          <w:lang w:val="en-AU"/>
        </w:rPr>
        <w:fldChar w:fldCharType="begin"/>
      </w:r>
      <w:r w:rsidRPr="0091425F">
        <w:rPr>
          <w:rFonts w:ascii="Arial" w:hAnsi="Arial"/>
          <w:i w:val="0"/>
          <w:iCs w:val="0"/>
          <w:sz w:val="20"/>
          <w:lang w:val="en-AU"/>
        </w:rPr>
        <w:instrText xml:space="preserve"> SEQ Table \* ARABIC </w:instrText>
      </w:r>
      <w:r w:rsidR="0090414C" w:rsidRPr="0091425F">
        <w:rPr>
          <w:rFonts w:ascii="Arial" w:hAnsi="Arial"/>
          <w:i w:val="0"/>
          <w:iCs w:val="0"/>
          <w:sz w:val="20"/>
          <w:lang w:val="en-AU"/>
        </w:rPr>
        <w:fldChar w:fldCharType="separate"/>
      </w:r>
      <w:r w:rsidR="00751CEC">
        <w:rPr>
          <w:rFonts w:ascii="Arial" w:hAnsi="Arial"/>
          <w:i w:val="0"/>
          <w:iCs w:val="0"/>
          <w:noProof/>
          <w:sz w:val="20"/>
          <w:lang w:val="en-AU"/>
        </w:rPr>
        <w:t>6</w:t>
      </w:r>
      <w:r w:rsidR="0090414C" w:rsidRPr="0091425F">
        <w:rPr>
          <w:rFonts w:ascii="Arial" w:hAnsi="Arial"/>
          <w:i w:val="0"/>
          <w:iCs w:val="0"/>
          <w:sz w:val="20"/>
          <w:lang w:val="en-AU"/>
        </w:rPr>
        <w:fldChar w:fldCharType="end"/>
      </w:r>
      <w:r w:rsidRPr="0091425F">
        <w:rPr>
          <w:rFonts w:ascii="Arial" w:hAnsi="Arial"/>
          <w:i w:val="0"/>
          <w:iCs w:val="0"/>
          <w:sz w:val="20"/>
          <w:lang w:val="en-AU"/>
        </w:rPr>
        <w:t>:  Levels of Service and Performance Measures</w:t>
      </w:r>
      <w:bookmarkEnd w:id="19"/>
    </w:p>
    <w:p w:rsidR="00E96F28" w:rsidRPr="00CF2212" w:rsidRDefault="00E96F28" w:rsidP="00CF2212">
      <w:pPr>
        <w:pStyle w:val="Heading2"/>
      </w:pPr>
      <w:bookmarkStart w:id="20" w:name="_Toc364945230"/>
      <w:r w:rsidRPr="00CF2212">
        <w:t xml:space="preserve">Managing Growth </w:t>
      </w:r>
      <w:r w:rsidR="00237E04" w:rsidRPr="00CF2212">
        <w:t xml:space="preserve">and </w:t>
      </w:r>
      <w:r w:rsidRPr="00CF2212">
        <w:t>Demand</w:t>
      </w:r>
      <w:bookmarkEnd w:id="20"/>
    </w:p>
    <w:p w:rsidR="0049484E" w:rsidRDefault="0049484E" w:rsidP="00FB2B5A">
      <w:r w:rsidRPr="004A5546">
        <w:t>Demand management strategies provide alternatives to the creation of new assets in order to meet demand and look at ways of modifying customer demands in order that the utilisation of existing assets is maximised and the need for new assets is deferred or reduced.</w:t>
      </w:r>
    </w:p>
    <w:p w:rsidR="00FB2B5A" w:rsidRPr="004A5546" w:rsidRDefault="00FB2B5A" w:rsidP="00FB2B5A"/>
    <w:p w:rsidR="0049484E" w:rsidRDefault="0049484E" w:rsidP="00FB2B5A">
      <w:r w:rsidRPr="004A5546">
        <w:t>As existing facilities begin to reach the end of their useful life, decisions will have to be made as to whether existing usage rates justify the capital expenditure to replace them.  Consideration will be given wherever it is possible and/or feasible to the development of multipurpose facilities in smaller community centres.  This should allow the retirement of older singular facilities that have reached the end of their useful life.  This strategy will be subject to normal community consultation.</w:t>
      </w:r>
    </w:p>
    <w:p w:rsidR="00FB2B5A" w:rsidRPr="004A5546" w:rsidRDefault="00FB2B5A" w:rsidP="00FB2B5A"/>
    <w:p w:rsidR="0049484E" w:rsidRDefault="0049484E" w:rsidP="0024611A">
      <w:pPr>
        <w:keepNext/>
        <w:keepLines/>
      </w:pPr>
      <w:r w:rsidRPr="004A5546">
        <w:t>The following are some of the possible strategies to manage the impact on Council facilities due to demand growth:</w:t>
      </w:r>
    </w:p>
    <w:p w:rsidR="00FB2B5A" w:rsidRPr="004A5546" w:rsidRDefault="00FB2B5A" w:rsidP="0024611A">
      <w:pPr>
        <w:keepNext/>
        <w:keepLines/>
      </w:pPr>
    </w:p>
    <w:p w:rsidR="0049484E" w:rsidRPr="00FB2B5A" w:rsidRDefault="0049484E" w:rsidP="0024611A">
      <w:pPr>
        <w:pStyle w:val="ListParagraph"/>
        <w:keepNext/>
        <w:keepLines/>
        <w:numPr>
          <w:ilvl w:val="0"/>
          <w:numId w:val="35"/>
        </w:numPr>
        <w:ind w:left="714" w:hanging="357"/>
        <w:contextualSpacing/>
        <w:rPr>
          <w:rFonts w:ascii="Arial" w:hAnsi="Arial" w:cs="Arial"/>
          <w:snapToGrid w:val="0"/>
          <w:sz w:val="20"/>
          <w:szCs w:val="20"/>
          <w:lang w:eastAsia="en-US"/>
        </w:rPr>
      </w:pPr>
      <w:r w:rsidRPr="00FB2B5A">
        <w:rPr>
          <w:rFonts w:ascii="Arial" w:hAnsi="Arial" w:cs="Arial"/>
          <w:snapToGrid w:val="0"/>
          <w:sz w:val="20"/>
          <w:szCs w:val="20"/>
          <w:lang w:eastAsia="en-US"/>
        </w:rPr>
        <w:t>Review existing facilities to ensure continuing suitability;</w:t>
      </w:r>
    </w:p>
    <w:p w:rsidR="0049484E" w:rsidRPr="00FB2B5A" w:rsidRDefault="0049484E" w:rsidP="0024611A">
      <w:pPr>
        <w:pStyle w:val="ListParagraph"/>
        <w:keepNext/>
        <w:keepLines/>
        <w:numPr>
          <w:ilvl w:val="0"/>
          <w:numId w:val="35"/>
        </w:numPr>
        <w:ind w:left="714" w:hanging="357"/>
        <w:contextualSpacing/>
        <w:rPr>
          <w:rFonts w:ascii="Arial" w:hAnsi="Arial" w:cs="Arial"/>
          <w:snapToGrid w:val="0"/>
          <w:sz w:val="20"/>
          <w:szCs w:val="20"/>
          <w:lang w:eastAsia="en-US"/>
        </w:rPr>
      </w:pPr>
      <w:r w:rsidRPr="00FB2B5A">
        <w:rPr>
          <w:rFonts w:ascii="Arial" w:hAnsi="Arial" w:cs="Arial"/>
          <w:snapToGrid w:val="0"/>
          <w:sz w:val="20"/>
          <w:szCs w:val="20"/>
          <w:lang w:eastAsia="en-US"/>
        </w:rPr>
        <w:t>Alter service programming to ensure increased utilization of existing facilities (7 days a week, non-core hours);</w:t>
      </w:r>
    </w:p>
    <w:p w:rsidR="0049484E" w:rsidRPr="00FB2B5A" w:rsidRDefault="0049484E" w:rsidP="008348B5">
      <w:pPr>
        <w:pStyle w:val="ListParagraph"/>
        <w:numPr>
          <w:ilvl w:val="0"/>
          <w:numId w:val="35"/>
        </w:numPr>
        <w:ind w:left="714" w:hanging="357"/>
        <w:contextualSpacing/>
        <w:rPr>
          <w:rFonts w:ascii="Arial" w:hAnsi="Arial" w:cs="Arial"/>
          <w:snapToGrid w:val="0"/>
          <w:sz w:val="20"/>
          <w:szCs w:val="20"/>
          <w:lang w:eastAsia="en-US"/>
        </w:rPr>
      </w:pPr>
      <w:r w:rsidRPr="00FB2B5A">
        <w:rPr>
          <w:rFonts w:ascii="Arial" w:hAnsi="Arial" w:cs="Arial"/>
          <w:snapToGrid w:val="0"/>
          <w:sz w:val="20"/>
          <w:szCs w:val="20"/>
          <w:lang w:eastAsia="en-US"/>
        </w:rPr>
        <w:t>Planning for more flexible spaces (ability to have different groups at the one facility at different times);</w:t>
      </w:r>
    </w:p>
    <w:p w:rsidR="0049484E" w:rsidRPr="00FB2B5A" w:rsidRDefault="0049484E" w:rsidP="008348B5">
      <w:pPr>
        <w:pStyle w:val="ListParagraph"/>
        <w:numPr>
          <w:ilvl w:val="0"/>
          <w:numId w:val="35"/>
        </w:numPr>
        <w:ind w:left="714" w:hanging="357"/>
        <w:contextualSpacing/>
        <w:rPr>
          <w:rFonts w:ascii="Arial" w:hAnsi="Arial" w:cs="Arial"/>
          <w:snapToGrid w:val="0"/>
          <w:sz w:val="20"/>
          <w:szCs w:val="20"/>
          <w:lang w:eastAsia="en-US"/>
        </w:rPr>
      </w:pPr>
      <w:r w:rsidRPr="00FB2B5A">
        <w:rPr>
          <w:rFonts w:ascii="Arial" w:hAnsi="Arial" w:cs="Arial"/>
          <w:snapToGrid w:val="0"/>
          <w:sz w:val="20"/>
          <w:szCs w:val="20"/>
          <w:lang w:eastAsia="en-US"/>
        </w:rPr>
        <w:t>Development of building shells that can absorb modified use over time as demand changes;</w:t>
      </w:r>
    </w:p>
    <w:p w:rsidR="0049484E" w:rsidRPr="00FB2B5A" w:rsidRDefault="0049484E" w:rsidP="008348B5">
      <w:pPr>
        <w:pStyle w:val="ListParagraph"/>
        <w:numPr>
          <w:ilvl w:val="0"/>
          <w:numId w:val="35"/>
        </w:numPr>
        <w:ind w:left="714" w:hanging="357"/>
        <w:contextualSpacing/>
        <w:rPr>
          <w:rFonts w:ascii="Arial" w:hAnsi="Arial" w:cs="Arial"/>
          <w:snapToGrid w:val="0"/>
          <w:sz w:val="20"/>
          <w:szCs w:val="20"/>
          <w:lang w:eastAsia="en-US"/>
        </w:rPr>
      </w:pPr>
      <w:r w:rsidRPr="00FB2B5A">
        <w:rPr>
          <w:rFonts w:ascii="Arial" w:hAnsi="Arial" w:cs="Arial"/>
          <w:snapToGrid w:val="0"/>
          <w:sz w:val="20"/>
          <w:szCs w:val="20"/>
          <w:lang w:eastAsia="en-US"/>
        </w:rPr>
        <w:t xml:space="preserve">Relocation of community groups into </w:t>
      </w:r>
      <w:r w:rsidR="00DD5F07">
        <w:rPr>
          <w:rFonts w:ascii="Arial" w:hAnsi="Arial" w:cs="Arial"/>
          <w:snapToGrid w:val="0"/>
          <w:sz w:val="20"/>
          <w:szCs w:val="20"/>
          <w:lang w:eastAsia="en-US"/>
        </w:rPr>
        <w:t xml:space="preserve">multi-purpose </w:t>
      </w:r>
      <w:r w:rsidRPr="00FB2B5A">
        <w:rPr>
          <w:rFonts w:ascii="Arial" w:hAnsi="Arial" w:cs="Arial"/>
          <w:snapToGrid w:val="0"/>
          <w:sz w:val="20"/>
          <w:szCs w:val="20"/>
          <w:lang w:eastAsia="en-US"/>
        </w:rPr>
        <w:t>facilities to create community hubs;</w:t>
      </w:r>
    </w:p>
    <w:p w:rsidR="0049484E" w:rsidRPr="00FB2B5A" w:rsidRDefault="0049484E" w:rsidP="008348B5">
      <w:pPr>
        <w:pStyle w:val="ListParagraph"/>
        <w:numPr>
          <w:ilvl w:val="0"/>
          <w:numId w:val="35"/>
        </w:numPr>
        <w:ind w:left="714" w:hanging="357"/>
        <w:contextualSpacing/>
        <w:rPr>
          <w:rFonts w:ascii="Arial" w:hAnsi="Arial" w:cs="Arial"/>
          <w:snapToGrid w:val="0"/>
          <w:sz w:val="20"/>
          <w:szCs w:val="20"/>
          <w:lang w:eastAsia="en-US"/>
        </w:rPr>
      </w:pPr>
      <w:r w:rsidRPr="00FB2B5A">
        <w:rPr>
          <w:rFonts w:ascii="Arial" w:hAnsi="Arial" w:cs="Arial"/>
          <w:snapToGrid w:val="0"/>
          <w:sz w:val="20"/>
          <w:szCs w:val="20"/>
          <w:lang w:eastAsia="en-US"/>
        </w:rPr>
        <w:t>Investigate redevelopment options of existing facilities in central locations where appropriate;</w:t>
      </w:r>
    </w:p>
    <w:p w:rsidR="0049484E" w:rsidRPr="00FB2B5A" w:rsidRDefault="0049484E" w:rsidP="008348B5">
      <w:pPr>
        <w:pStyle w:val="ListParagraph"/>
        <w:numPr>
          <w:ilvl w:val="0"/>
          <w:numId w:val="35"/>
        </w:numPr>
        <w:ind w:left="714" w:hanging="357"/>
        <w:contextualSpacing/>
        <w:rPr>
          <w:rFonts w:ascii="Arial" w:hAnsi="Arial" w:cs="Arial"/>
          <w:snapToGrid w:val="0"/>
          <w:sz w:val="20"/>
          <w:szCs w:val="20"/>
          <w:lang w:eastAsia="en-US"/>
        </w:rPr>
      </w:pPr>
      <w:r w:rsidRPr="00FB2B5A">
        <w:rPr>
          <w:rFonts w:ascii="Arial" w:hAnsi="Arial" w:cs="Arial"/>
          <w:snapToGrid w:val="0"/>
          <w:sz w:val="20"/>
          <w:szCs w:val="20"/>
          <w:lang w:eastAsia="en-US"/>
        </w:rPr>
        <w:t>Conduct precinct studies of identified areas to assess needs;</w:t>
      </w:r>
    </w:p>
    <w:p w:rsidR="0049484E" w:rsidRPr="00FB2B5A" w:rsidRDefault="0049484E" w:rsidP="008348B5">
      <w:pPr>
        <w:pStyle w:val="ListParagraph"/>
        <w:numPr>
          <w:ilvl w:val="0"/>
          <w:numId w:val="35"/>
        </w:numPr>
        <w:ind w:left="714" w:hanging="357"/>
        <w:contextualSpacing/>
        <w:rPr>
          <w:rFonts w:ascii="Arial" w:hAnsi="Arial" w:cs="Arial"/>
          <w:snapToGrid w:val="0"/>
          <w:sz w:val="20"/>
          <w:szCs w:val="20"/>
          <w:lang w:eastAsia="en-US"/>
        </w:rPr>
      </w:pPr>
      <w:r w:rsidRPr="00FB2B5A">
        <w:rPr>
          <w:rFonts w:ascii="Arial" w:hAnsi="Arial" w:cs="Arial"/>
          <w:snapToGrid w:val="0"/>
          <w:sz w:val="20"/>
          <w:szCs w:val="20"/>
          <w:lang w:eastAsia="en-US"/>
        </w:rPr>
        <w:t>Rationalisation and/or disposal of under-utilised, standalone, or poor condition facilities;</w:t>
      </w:r>
    </w:p>
    <w:p w:rsidR="0049484E" w:rsidRPr="00FB2B5A" w:rsidRDefault="0049484E" w:rsidP="008348B5">
      <w:pPr>
        <w:pStyle w:val="ListParagraph"/>
        <w:numPr>
          <w:ilvl w:val="0"/>
          <w:numId w:val="35"/>
        </w:numPr>
        <w:ind w:left="714" w:hanging="357"/>
        <w:contextualSpacing/>
        <w:rPr>
          <w:rFonts w:ascii="Arial" w:hAnsi="Arial" w:cs="Arial"/>
          <w:snapToGrid w:val="0"/>
          <w:sz w:val="20"/>
          <w:szCs w:val="20"/>
          <w:lang w:eastAsia="en-US"/>
        </w:rPr>
      </w:pPr>
      <w:r w:rsidRPr="00FB2B5A">
        <w:rPr>
          <w:rFonts w:ascii="Arial" w:hAnsi="Arial" w:cs="Arial"/>
          <w:snapToGrid w:val="0"/>
          <w:sz w:val="20"/>
          <w:szCs w:val="20"/>
          <w:lang w:eastAsia="en-US"/>
        </w:rPr>
        <w:t>Advocating ageing in place and supporting this by providing increased home and community care services; and</w:t>
      </w:r>
    </w:p>
    <w:p w:rsidR="0049484E" w:rsidRDefault="0049484E" w:rsidP="008348B5">
      <w:pPr>
        <w:pStyle w:val="ListParagraph"/>
        <w:numPr>
          <w:ilvl w:val="0"/>
          <w:numId w:val="35"/>
        </w:numPr>
        <w:ind w:left="714" w:hanging="357"/>
        <w:contextualSpacing/>
        <w:rPr>
          <w:rFonts w:ascii="Arial" w:hAnsi="Arial" w:cs="Arial"/>
          <w:snapToGrid w:val="0"/>
          <w:sz w:val="20"/>
          <w:szCs w:val="20"/>
          <w:lang w:eastAsia="en-US"/>
        </w:rPr>
      </w:pPr>
      <w:r w:rsidRPr="00FB2B5A">
        <w:rPr>
          <w:rFonts w:ascii="Arial" w:hAnsi="Arial" w:cs="Arial"/>
          <w:snapToGrid w:val="0"/>
          <w:sz w:val="20"/>
          <w:szCs w:val="20"/>
          <w:lang w:eastAsia="en-US"/>
        </w:rPr>
        <w:t>Reviewing fees and charges for use of buildings to better reflect service delivery costs.</w:t>
      </w:r>
    </w:p>
    <w:p w:rsidR="00FB2B5A" w:rsidRPr="005F4FB7" w:rsidRDefault="00FB2B5A" w:rsidP="005F4FB7"/>
    <w:p w:rsidR="00E96F28" w:rsidRPr="00CF2212" w:rsidRDefault="00E96F28" w:rsidP="00CF2212">
      <w:pPr>
        <w:pStyle w:val="Heading2"/>
      </w:pPr>
      <w:bookmarkStart w:id="21" w:name="_Toc364945231"/>
      <w:r w:rsidRPr="00CF2212">
        <w:t>Lifecycle Management</w:t>
      </w:r>
      <w:r w:rsidR="00F602AC" w:rsidRPr="00CF2212">
        <w:t xml:space="preserve"> Plan</w:t>
      </w:r>
      <w:bookmarkEnd w:id="21"/>
    </w:p>
    <w:p w:rsidR="00800B72" w:rsidRPr="00CD7D4F" w:rsidRDefault="00800B72" w:rsidP="00FB2B5A">
      <w:r w:rsidRPr="00CD7D4F">
        <w:t>Effective lifecycle planning is about making the right investment at the right time to ensure that the asset delivers the desired level of service over its full expected life, at the minimum total cost. The useful life of an asset may be different from its original design life. A number of factors relating to operational issues and physical issues can influence this difference. Decisions made in one phase of an asset’s life will affect its performance in others. For example, a preventive maintenance program may affect the operating and maintenance costs, downtime, and longevity of an asset.</w:t>
      </w:r>
    </w:p>
    <w:p w:rsidR="00800B72" w:rsidRPr="00CD7D4F" w:rsidRDefault="00800B72" w:rsidP="00FB2B5A"/>
    <w:p w:rsidR="00800B72" w:rsidRDefault="00800B72" w:rsidP="00FB2B5A">
      <w:r w:rsidRPr="00CD7D4F">
        <w:t>This section therefore outlines the tactical plans for managing assets at agreed levels of service over</w:t>
      </w:r>
      <w:r w:rsidR="009F2FCB">
        <w:t xml:space="preserve"> their life</w:t>
      </w:r>
      <w:r w:rsidRPr="00CD7D4F">
        <w:t>cycle while optimising the whole</w:t>
      </w:r>
      <w:r w:rsidR="009F2FCB">
        <w:t xml:space="preserve"> of life cost. It explains the Council group</w:t>
      </w:r>
      <w:r w:rsidRPr="00CD7D4F">
        <w:t>s tactics for:</w:t>
      </w:r>
    </w:p>
    <w:p w:rsidR="00FB2B5A" w:rsidRPr="00CD7D4F" w:rsidRDefault="00FB2B5A" w:rsidP="00FB2B5A"/>
    <w:p w:rsidR="00800B72" w:rsidRPr="00FB2B5A" w:rsidRDefault="00800B72" w:rsidP="008348B5">
      <w:pPr>
        <w:pStyle w:val="ListParagraph"/>
        <w:numPr>
          <w:ilvl w:val="0"/>
          <w:numId w:val="35"/>
        </w:numPr>
        <w:ind w:left="714" w:hanging="357"/>
        <w:contextualSpacing/>
        <w:rPr>
          <w:rFonts w:ascii="Arial" w:hAnsi="Arial" w:cs="Arial"/>
          <w:snapToGrid w:val="0"/>
          <w:sz w:val="20"/>
          <w:szCs w:val="20"/>
          <w:lang w:eastAsia="en-US"/>
        </w:rPr>
      </w:pPr>
      <w:r w:rsidRPr="00FB2B5A">
        <w:rPr>
          <w:rFonts w:ascii="Arial" w:hAnsi="Arial" w:cs="Arial"/>
          <w:snapToGrid w:val="0"/>
          <w:sz w:val="20"/>
          <w:szCs w:val="20"/>
          <w:lang w:eastAsia="en-US"/>
        </w:rPr>
        <w:t>providing new or upgraded assets (to improve service levels and provide for growth and demand)</w:t>
      </w:r>
    </w:p>
    <w:p w:rsidR="00800B72" w:rsidRPr="00FB2B5A" w:rsidRDefault="00800B72" w:rsidP="008348B5">
      <w:pPr>
        <w:pStyle w:val="ListParagraph"/>
        <w:numPr>
          <w:ilvl w:val="0"/>
          <w:numId w:val="35"/>
        </w:numPr>
        <w:ind w:left="714" w:hanging="357"/>
        <w:contextualSpacing/>
        <w:rPr>
          <w:rFonts w:ascii="Arial" w:hAnsi="Arial" w:cs="Arial"/>
          <w:snapToGrid w:val="0"/>
          <w:sz w:val="20"/>
          <w:szCs w:val="20"/>
          <w:lang w:eastAsia="en-US"/>
        </w:rPr>
      </w:pPr>
      <w:r w:rsidRPr="00FB2B5A">
        <w:rPr>
          <w:rFonts w:ascii="Arial" w:hAnsi="Arial" w:cs="Arial"/>
          <w:snapToGrid w:val="0"/>
          <w:sz w:val="20"/>
          <w:szCs w:val="20"/>
          <w:lang w:eastAsia="en-US"/>
        </w:rPr>
        <w:t>operating and maintaining assets</w:t>
      </w:r>
    </w:p>
    <w:p w:rsidR="00800B72" w:rsidRPr="00FB2B5A" w:rsidRDefault="00800B72" w:rsidP="008348B5">
      <w:pPr>
        <w:pStyle w:val="ListParagraph"/>
        <w:numPr>
          <w:ilvl w:val="0"/>
          <w:numId w:val="35"/>
        </w:numPr>
        <w:ind w:left="714" w:hanging="357"/>
        <w:contextualSpacing/>
        <w:rPr>
          <w:rFonts w:ascii="Arial" w:hAnsi="Arial" w:cs="Arial"/>
          <w:snapToGrid w:val="0"/>
          <w:sz w:val="20"/>
          <w:szCs w:val="20"/>
          <w:lang w:eastAsia="en-US"/>
        </w:rPr>
      </w:pPr>
      <w:r w:rsidRPr="00FB2B5A">
        <w:rPr>
          <w:rFonts w:ascii="Arial" w:hAnsi="Arial" w:cs="Arial"/>
          <w:snapToGrid w:val="0"/>
          <w:sz w:val="20"/>
          <w:szCs w:val="20"/>
          <w:lang w:eastAsia="en-US"/>
        </w:rPr>
        <w:t>renewing or replacing assets</w:t>
      </w:r>
    </w:p>
    <w:p w:rsidR="00800B72" w:rsidRPr="00FB2B5A" w:rsidRDefault="00800B72" w:rsidP="008348B5">
      <w:pPr>
        <w:pStyle w:val="ListParagraph"/>
        <w:numPr>
          <w:ilvl w:val="0"/>
          <w:numId w:val="35"/>
        </w:numPr>
        <w:ind w:left="714" w:hanging="357"/>
        <w:contextualSpacing/>
        <w:rPr>
          <w:rFonts w:ascii="Arial" w:hAnsi="Arial" w:cs="Arial"/>
          <w:snapToGrid w:val="0"/>
          <w:sz w:val="20"/>
          <w:szCs w:val="20"/>
          <w:lang w:eastAsia="en-US"/>
        </w:rPr>
      </w:pPr>
      <w:r w:rsidRPr="00FB2B5A">
        <w:rPr>
          <w:rFonts w:ascii="Arial" w:hAnsi="Arial" w:cs="Arial"/>
          <w:snapToGrid w:val="0"/>
          <w:sz w:val="20"/>
          <w:szCs w:val="20"/>
          <w:lang w:eastAsia="en-US"/>
        </w:rPr>
        <w:t>disposing of assets at the end of their useful life.</w:t>
      </w:r>
    </w:p>
    <w:p w:rsidR="00FB2B5A" w:rsidRDefault="00FB2B5A" w:rsidP="00FB2B5A"/>
    <w:p w:rsidR="00371B8A" w:rsidRPr="004A5546" w:rsidRDefault="00371B8A" w:rsidP="00FB2B5A">
      <w:r w:rsidRPr="00CD7D4F">
        <w:t xml:space="preserve">The useful life of an asset may be different from its original design life. A number of factors relating to operational issues and physical issues can influence this difference. </w:t>
      </w:r>
      <w:r w:rsidRPr="004A5546">
        <w:t>Council must ensure that it manages all assets on a lifecycle basis, with full knowledge of the social, environmental and financial costs, benefits and risks asso</w:t>
      </w:r>
      <w:r w:rsidR="009F2FCB">
        <w:t>ciated with the asset. The life</w:t>
      </w:r>
      <w:r w:rsidRPr="004A5546">
        <w:t>cycle model must give proper consideration to each phase of an asset’s life from inception</w:t>
      </w:r>
      <w:r w:rsidR="009F2FCB">
        <w:t xml:space="preserve"> through to disposal. This life</w:t>
      </w:r>
      <w:r w:rsidRPr="004A5546">
        <w:t>cycle model is illustrated in the figure below:</w:t>
      </w:r>
    </w:p>
    <w:p w:rsidR="00371B8A" w:rsidRDefault="00371B8A" w:rsidP="002F775C"/>
    <w:p w:rsidR="00371B8A" w:rsidRDefault="00ED394A" w:rsidP="007B2A4F">
      <w:r>
        <w:rPr>
          <w:noProof/>
        </w:rPr>
        <w:object w:dxaOrig="1440" w:dyaOrig="1440">
          <v:shape id="_x0000_s1035" type="#_x0000_t75" style="position:absolute;left:0;text-align:left;margin-left:77.15pt;margin-top:-.15pt;width:313.05pt;height:142.7pt;z-index:251674112">
            <v:imagedata r:id="rId16" o:title=""/>
            <w10:wrap type="square" side="right"/>
          </v:shape>
          <o:OLEObject Type="Embed" ProgID="Visio.Drawing.11" ShapeID="_x0000_s1035" DrawAspect="Content" ObjectID="_1607929771" r:id="rId17"/>
        </w:object>
      </w:r>
      <w:r w:rsidR="007B2A4F">
        <w:br w:type="textWrapping" w:clear="all"/>
      </w:r>
    </w:p>
    <w:p w:rsidR="00E60728" w:rsidRPr="0024611A" w:rsidRDefault="00E60728" w:rsidP="00E60728">
      <w:pPr>
        <w:pStyle w:val="Caption"/>
        <w:spacing w:before="240" w:after="240"/>
        <w:ind w:left="720"/>
        <w:jc w:val="center"/>
        <w:rPr>
          <w:rFonts w:ascii="Arial" w:hAnsi="Arial"/>
          <w:i w:val="0"/>
          <w:iCs w:val="0"/>
          <w:sz w:val="20"/>
          <w:lang w:val="en-AU"/>
        </w:rPr>
      </w:pPr>
      <w:bookmarkStart w:id="22" w:name="_Toc364945365"/>
      <w:r w:rsidRPr="0024611A">
        <w:rPr>
          <w:rFonts w:ascii="Arial" w:hAnsi="Arial"/>
          <w:i w:val="0"/>
          <w:iCs w:val="0"/>
          <w:sz w:val="20"/>
          <w:lang w:val="en-AU"/>
        </w:rPr>
        <w:t xml:space="preserve">Figure </w:t>
      </w:r>
      <w:r w:rsidR="0090414C" w:rsidRPr="0024611A">
        <w:rPr>
          <w:rFonts w:ascii="Arial" w:hAnsi="Arial"/>
          <w:i w:val="0"/>
          <w:iCs w:val="0"/>
          <w:sz w:val="20"/>
          <w:lang w:val="en-AU"/>
        </w:rPr>
        <w:fldChar w:fldCharType="begin"/>
      </w:r>
      <w:r w:rsidRPr="0024611A">
        <w:rPr>
          <w:rFonts w:ascii="Arial" w:hAnsi="Arial"/>
          <w:i w:val="0"/>
          <w:iCs w:val="0"/>
          <w:sz w:val="20"/>
          <w:lang w:val="en-AU"/>
        </w:rPr>
        <w:instrText xml:space="preserve"> SEQ Figure \* ARABIC \s 1 </w:instrText>
      </w:r>
      <w:r w:rsidR="0090414C" w:rsidRPr="0024611A">
        <w:rPr>
          <w:rFonts w:ascii="Arial" w:hAnsi="Arial"/>
          <w:i w:val="0"/>
          <w:iCs w:val="0"/>
          <w:sz w:val="20"/>
          <w:lang w:val="en-AU"/>
        </w:rPr>
        <w:fldChar w:fldCharType="separate"/>
      </w:r>
      <w:r w:rsidR="00751CEC">
        <w:rPr>
          <w:rFonts w:ascii="Arial" w:hAnsi="Arial"/>
          <w:i w:val="0"/>
          <w:iCs w:val="0"/>
          <w:noProof/>
          <w:sz w:val="20"/>
          <w:lang w:val="en-AU"/>
        </w:rPr>
        <w:t>1</w:t>
      </w:r>
      <w:r w:rsidR="0090414C" w:rsidRPr="0024611A">
        <w:rPr>
          <w:rFonts w:ascii="Arial" w:hAnsi="Arial"/>
          <w:i w:val="0"/>
          <w:iCs w:val="0"/>
          <w:sz w:val="20"/>
          <w:lang w:val="en-AU"/>
        </w:rPr>
        <w:fldChar w:fldCharType="end"/>
      </w:r>
      <w:r w:rsidRPr="0024611A">
        <w:rPr>
          <w:rFonts w:ascii="Arial" w:hAnsi="Arial"/>
          <w:i w:val="0"/>
          <w:iCs w:val="0"/>
          <w:sz w:val="20"/>
          <w:lang w:val="en-AU"/>
        </w:rPr>
        <w:t>:  Lifecycle Management</w:t>
      </w:r>
      <w:bookmarkEnd w:id="22"/>
    </w:p>
    <w:p w:rsidR="00800B72" w:rsidRDefault="00800B72" w:rsidP="0024611A">
      <w:pPr>
        <w:keepNext/>
        <w:keepLines/>
      </w:pPr>
      <w:r w:rsidRPr="004A5546">
        <w:t>The key issues are:</w:t>
      </w:r>
    </w:p>
    <w:p w:rsidR="00FB2B5A" w:rsidRPr="004A5546" w:rsidRDefault="00FB2B5A" w:rsidP="0024611A">
      <w:pPr>
        <w:keepNext/>
        <w:keepLines/>
      </w:pPr>
    </w:p>
    <w:p w:rsidR="00800B72" w:rsidRPr="00FB2B5A" w:rsidRDefault="00800B72" w:rsidP="0024611A">
      <w:pPr>
        <w:pStyle w:val="ListParagraph"/>
        <w:keepNext/>
        <w:keepLines/>
        <w:numPr>
          <w:ilvl w:val="0"/>
          <w:numId w:val="35"/>
        </w:numPr>
        <w:ind w:left="714" w:hanging="357"/>
        <w:contextualSpacing/>
        <w:rPr>
          <w:rFonts w:ascii="Arial" w:hAnsi="Arial" w:cs="Arial"/>
          <w:snapToGrid w:val="0"/>
          <w:sz w:val="20"/>
          <w:szCs w:val="20"/>
          <w:lang w:eastAsia="en-US"/>
        </w:rPr>
      </w:pPr>
      <w:r w:rsidRPr="00FB2B5A">
        <w:rPr>
          <w:rFonts w:ascii="Arial" w:hAnsi="Arial" w:cs="Arial"/>
          <w:snapToGrid w:val="0"/>
          <w:sz w:val="20"/>
          <w:szCs w:val="20"/>
          <w:lang w:eastAsia="en-US"/>
        </w:rPr>
        <w:t xml:space="preserve">Understanding the condition, utilisation and serviceability of buildings; </w:t>
      </w:r>
    </w:p>
    <w:p w:rsidR="00800B72" w:rsidRPr="00FB2B5A" w:rsidRDefault="00800B72" w:rsidP="0024611A">
      <w:pPr>
        <w:pStyle w:val="ListParagraph"/>
        <w:keepNext/>
        <w:keepLines/>
        <w:numPr>
          <w:ilvl w:val="0"/>
          <w:numId w:val="35"/>
        </w:numPr>
        <w:ind w:left="714" w:hanging="357"/>
        <w:contextualSpacing/>
        <w:rPr>
          <w:rFonts w:ascii="Arial" w:hAnsi="Arial" w:cs="Arial"/>
          <w:snapToGrid w:val="0"/>
          <w:sz w:val="20"/>
          <w:szCs w:val="20"/>
          <w:lang w:eastAsia="en-US"/>
        </w:rPr>
      </w:pPr>
      <w:r w:rsidRPr="00FB2B5A">
        <w:rPr>
          <w:rFonts w:ascii="Arial" w:hAnsi="Arial" w:cs="Arial"/>
          <w:snapToGrid w:val="0"/>
          <w:sz w:val="20"/>
          <w:szCs w:val="20"/>
          <w:lang w:eastAsia="en-US"/>
        </w:rPr>
        <w:t>Understanding community expectations and levels of service;</w:t>
      </w:r>
    </w:p>
    <w:p w:rsidR="00800B72" w:rsidRPr="00FB2B5A" w:rsidRDefault="00800B72" w:rsidP="0024611A">
      <w:pPr>
        <w:pStyle w:val="ListParagraph"/>
        <w:keepNext/>
        <w:keepLines/>
        <w:numPr>
          <w:ilvl w:val="0"/>
          <w:numId w:val="35"/>
        </w:numPr>
        <w:ind w:left="714" w:hanging="357"/>
        <w:contextualSpacing/>
        <w:rPr>
          <w:rFonts w:ascii="Arial" w:hAnsi="Arial" w:cs="Arial"/>
          <w:snapToGrid w:val="0"/>
          <w:sz w:val="20"/>
          <w:szCs w:val="20"/>
          <w:lang w:eastAsia="en-US"/>
        </w:rPr>
      </w:pPr>
      <w:r w:rsidRPr="00FB2B5A">
        <w:rPr>
          <w:rFonts w:ascii="Arial" w:hAnsi="Arial" w:cs="Arial"/>
          <w:snapToGrid w:val="0"/>
          <w:sz w:val="20"/>
          <w:szCs w:val="20"/>
          <w:lang w:eastAsia="en-US"/>
        </w:rPr>
        <w:t>Assessing the viability of all buildings in the portfolio;</w:t>
      </w:r>
    </w:p>
    <w:p w:rsidR="00800B72" w:rsidRPr="00FB2B5A" w:rsidRDefault="00800B72" w:rsidP="0024611A">
      <w:pPr>
        <w:pStyle w:val="ListParagraph"/>
        <w:keepNext/>
        <w:keepLines/>
        <w:numPr>
          <w:ilvl w:val="0"/>
          <w:numId w:val="35"/>
        </w:numPr>
        <w:ind w:left="714" w:hanging="357"/>
        <w:contextualSpacing/>
        <w:rPr>
          <w:rFonts w:ascii="Arial" w:hAnsi="Arial" w:cs="Arial"/>
          <w:snapToGrid w:val="0"/>
          <w:sz w:val="20"/>
          <w:szCs w:val="20"/>
          <w:lang w:eastAsia="en-US"/>
        </w:rPr>
      </w:pPr>
      <w:r w:rsidRPr="00FB2B5A">
        <w:rPr>
          <w:rFonts w:ascii="Arial" w:hAnsi="Arial" w:cs="Arial"/>
          <w:snapToGrid w:val="0"/>
          <w:sz w:val="20"/>
          <w:szCs w:val="20"/>
          <w:lang w:eastAsia="en-US"/>
        </w:rPr>
        <w:t>Forecasting the impact of Yarra’s growth rate on building needs; and</w:t>
      </w:r>
    </w:p>
    <w:p w:rsidR="00800B72" w:rsidRPr="00FB2B5A" w:rsidRDefault="00800B72" w:rsidP="0024611A">
      <w:pPr>
        <w:pStyle w:val="ListParagraph"/>
        <w:keepNext/>
        <w:keepLines/>
        <w:numPr>
          <w:ilvl w:val="0"/>
          <w:numId w:val="35"/>
        </w:numPr>
        <w:ind w:left="714" w:hanging="357"/>
        <w:contextualSpacing/>
        <w:rPr>
          <w:rFonts w:ascii="Arial" w:hAnsi="Arial" w:cs="Arial"/>
          <w:snapToGrid w:val="0"/>
          <w:sz w:val="20"/>
          <w:szCs w:val="20"/>
          <w:lang w:eastAsia="en-US"/>
        </w:rPr>
      </w:pPr>
      <w:r w:rsidRPr="00FB2B5A">
        <w:rPr>
          <w:rFonts w:ascii="Arial" w:hAnsi="Arial" w:cs="Arial"/>
          <w:snapToGrid w:val="0"/>
          <w:sz w:val="20"/>
          <w:szCs w:val="20"/>
          <w:lang w:eastAsia="en-US"/>
        </w:rPr>
        <w:t>Addressing any renewal funding gap.</w:t>
      </w:r>
    </w:p>
    <w:p w:rsidR="00800B72" w:rsidRPr="004A5546" w:rsidRDefault="00800B72" w:rsidP="002F775C"/>
    <w:p w:rsidR="00800B72" w:rsidRPr="004A5546" w:rsidRDefault="00800B72" w:rsidP="002F775C">
      <w:r w:rsidRPr="004A5546">
        <w:t>These issues and, where it sits within its intended lifecycle, need to be considered when determining the most appropriate course of action for the asset. The choices to be considered by the asset manager include;</w:t>
      </w:r>
    </w:p>
    <w:p w:rsidR="00800B72" w:rsidRPr="00FB2B5A" w:rsidRDefault="00800B72" w:rsidP="002F775C">
      <w:pPr>
        <w:rPr>
          <w:snapToGrid w:val="0"/>
          <w:lang w:eastAsia="en-US"/>
        </w:rPr>
      </w:pPr>
    </w:p>
    <w:p w:rsidR="00800B72" w:rsidRPr="00FB2B5A" w:rsidRDefault="00800B72" w:rsidP="008348B5">
      <w:pPr>
        <w:pStyle w:val="ListParagraph"/>
        <w:numPr>
          <w:ilvl w:val="0"/>
          <w:numId w:val="35"/>
        </w:numPr>
        <w:ind w:left="714" w:hanging="357"/>
        <w:contextualSpacing/>
        <w:rPr>
          <w:rFonts w:ascii="Arial" w:hAnsi="Arial" w:cs="Arial"/>
          <w:snapToGrid w:val="0"/>
          <w:sz w:val="20"/>
          <w:szCs w:val="20"/>
          <w:lang w:eastAsia="en-US"/>
        </w:rPr>
      </w:pPr>
      <w:r w:rsidRPr="00FB2B5A">
        <w:rPr>
          <w:rFonts w:ascii="Arial" w:hAnsi="Arial" w:cs="Arial"/>
          <w:b/>
          <w:snapToGrid w:val="0"/>
          <w:sz w:val="20"/>
          <w:szCs w:val="20"/>
          <w:lang w:eastAsia="en-US"/>
        </w:rPr>
        <w:t xml:space="preserve">Creation </w:t>
      </w:r>
      <w:r w:rsidR="00927AFA">
        <w:rPr>
          <w:rFonts w:ascii="Arial" w:hAnsi="Arial" w:cs="Arial"/>
          <w:b/>
          <w:snapToGrid w:val="0"/>
          <w:sz w:val="20"/>
          <w:szCs w:val="20"/>
          <w:lang w:eastAsia="en-US"/>
        </w:rPr>
        <w:t>and</w:t>
      </w:r>
      <w:r w:rsidRPr="00FB2B5A">
        <w:rPr>
          <w:rFonts w:ascii="Arial" w:hAnsi="Arial" w:cs="Arial"/>
          <w:b/>
          <w:snapToGrid w:val="0"/>
          <w:sz w:val="20"/>
          <w:szCs w:val="20"/>
          <w:lang w:eastAsia="en-US"/>
        </w:rPr>
        <w:t xml:space="preserve"> Acquisition (Capital New Works </w:t>
      </w:r>
      <w:r w:rsidR="00927AFA">
        <w:rPr>
          <w:rFonts w:ascii="Arial" w:hAnsi="Arial" w:cs="Arial"/>
          <w:b/>
          <w:snapToGrid w:val="0"/>
          <w:sz w:val="20"/>
          <w:szCs w:val="20"/>
          <w:lang w:eastAsia="en-US"/>
        </w:rPr>
        <w:t>and</w:t>
      </w:r>
      <w:r w:rsidRPr="00FB2B5A">
        <w:rPr>
          <w:rFonts w:ascii="Arial" w:hAnsi="Arial" w:cs="Arial"/>
          <w:b/>
          <w:snapToGrid w:val="0"/>
          <w:sz w:val="20"/>
          <w:szCs w:val="20"/>
          <w:lang w:eastAsia="en-US"/>
        </w:rPr>
        <w:t xml:space="preserve"> Upgrade)</w:t>
      </w:r>
      <w:r w:rsidRPr="00FB2B5A">
        <w:rPr>
          <w:rFonts w:ascii="Arial" w:hAnsi="Arial" w:cs="Arial"/>
          <w:snapToGrid w:val="0"/>
          <w:sz w:val="20"/>
          <w:szCs w:val="20"/>
          <w:lang w:eastAsia="en-US"/>
        </w:rPr>
        <w:t xml:space="preserve"> This includes the creation of a new asset to provide a new service or the upgrading of an existing building;</w:t>
      </w:r>
    </w:p>
    <w:p w:rsidR="00800B72" w:rsidRPr="00FB2B5A" w:rsidRDefault="00800B72" w:rsidP="008348B5">
      <w:pPr>
        <w:pStyle w:val="ListParagraph"/>
        <w:numPr>
          <w:ilvl w:val="0"/>
          <w:numId w:val="35"/>
        </w:numPr>
        <w:ind w:left="714" w:hanging="357"/>
        <w:contextualSpacing/>
        <w:rPr>
          <w:rFonts w:ascii="Arial" w:hAnsi="Arial" w:cs="Arial"/>
          <w:snapToGrid w:val="0"/>
          <w:sz w:val="20"/>
          <w:szCs w:val="20"/>
          <w:lang w:eastAsia="en-US"/>
        </w:rPr>
      </w:pPr>
      <w:r w:rsidRPr="00FB2B5A">
        <w:rPr>
          <w:rFonts w:ascii="Arial" w:hAnsi="Arial" w:cs="Arial"/>
          <w:b/>
          <w:snapToGrid w:val="0"/>
          <w:sz w:val="20"/>
          <w:szCs w:val="20"/>
          <w:lang w:eastAsia="en-US"/>
        </w:rPr>
        <w:t>Operations</w:t>
      </w:r>
      <w:r w:rsidRPr="00FB2B5A">
        <w:rPr>
          <w:rFonts w:ascii="Arial" w:hAnsi="Arial" w:cs="Arial"/>
          <w:snapToGrid w:val="0"/>
          <w:sz w:val="20"/>
          <w:szCs w:val="20"/>
          <w:lang w:eastAsia="en-US"/>
        </w:rPr>
        <w:t xml:space="preserve"> Activities undertaken to ensure efficient operation and serviceability of the assets such as cleaning and running costs;</w:t>
      </w:r>
    </w:p>
    <w:p w:rsidR="00800B72" w:rsidRPr="00FB2B5A" w:rsidRDefault="00800B72" w:rsidP="008348B5">
      <w:pPr>
        <w:pStyle w:val="ListParagraph"/>
        <w:numPr>
          <w:ilvl w:val="0"/>
          <w:numId w:val="35"/>
        </w:numPr>
        <w:ind w:left="714" w:hanging="357"/>
        <w:contextualSpacing/>
        <w:rPr>
          <w:rFonts w:ascii="Arial" w:hAnsi="Arial" w:cs="Arial"/>
          <w:snapToGrid w:val="0"/>
          <w:sz w:val="20"/>
          <w:szCs w:val="20"/>
          <w:lang w:eastAsia="en-US"/>
        </w:rPr>
      </w:pPr>
      <w:r w:rsidRPr="00FB2B5A">
        <w:rPr>
          <w:rFonts w:ascii="Arial" w:hAnsi="Arial" w:cs="Arial"/>
          <w:b/>
          <w:snapToGrid w:val="0"/>
          <w:sz w:val="20"/>
          <w:szCs w:val="20"/>
          <w:lang w:eastAsia="en-US"/>
        </w:rPr>
        <w:t>Maintenance</w:t>
      </w:r>
      <w:r w:rsidRPr="00FB2B5A">
        <w:rPr>
          <w:rFonts w:ascii="Arial" w:hAnsi="Arial" w:cs="Arial"/>
          <w:snapToGrid w:val="0"/>
          <w:sz w:val="20"/>
          <w:szCs w:val="20"/>
          <w:lang w:eastAsia="en-US"/>
        </w:rPr>
        <w:t xml:space="preserve"> Reactive and routine activities undertaken to ensure efficient operation and serviceability of the assets, and therefore that assets retain their service potential over their useful life;</w:t>
      </w:r>
    </w:p>
    <w:p w:rsidR="00800B72" w:rsidRPr="00FB2B5A" w:rsidRDefault="00800B72" w:rsidP="008348B5">
      <w:pPr>
        <w:pStyle w:val="ListParagraph"/>
        <w:numPr>
          <w:ilvl w:val="0"/>
          <w:numId w:val="35"/>
        </w:numPr>
        <w:ind w:left="714" w:hanging="357"/>
        <w:contextualSpacing/>
        <w:rPr>
          <w:rFonts w:ascii="Arial" w:hAnsi="Arial" w:cs="Arial"/>
          <w:snapToGrid w:val="0"/>
          <w:sz w:val="20"/>
          <w:szCs w:val="20"/>
          <w:lang w:eastAsia="en-US"/>
        </w:rPr>
      </w:pPr>
      <w:r w:rsidRPr="00FB2B5A">
        <w:rPr>
          <w:rFonts w:ascii="Arial" w:hAnsi="Arial" w:cs="Arial"/>
          <w:b/>
          <w:snapToGrid w:val="0"/>
          <w:sz w:val="20"/>
          <w:szCs w:val="20"/>
          <w:lang w:eastAsia="en-US"/>
        </w:rPr>
        <w:t>Renewal (Rehabilitation, Replacement)</w:t>
      </w:r>
      <w:r w:rsidRPr="00FB2B5A">
        <w:rPr>
          <w:rFonts w:ascii="Arial" w:hAnsi="Arial" w:cs="Arial"/>
          <w:snapToGrid w:val="0"/>
          <w:sz w:val="20"/>
          <w:szCs w:val="20"/>
          <w:lang w:eastAsia="en-US"/>
        </w:rPr>
        <w:t xml:space="preserve"> To provide for the progressive replacement of assets or components which have reached or nearing the end of their useful life,. Deteriorating asset condition primarily drives renewal needs. Renewal activities bring the asset back to its original condition prolonging the life of the asset; and</w:t>
      </w:r>
    </w:p>
    <w:p w:rsidR="00800B72" w:rsidRDefault="00800B72" w:rsidP="008348B5">
      <w:pPr>
        <w:pStyle w:val="ListParagraph"/>
        <w:numPr>
          <w:ilvl w:val="0"/>
          <w:numId w:val="35"/>
        </w:numPr>
        <w:ind w:left="714" w:hanging="357"/>
        <w:contextualSpacing/>
        <w:rPr>
          <w:rFonts w:ascii="Arial" w:hAnsi="Arial" w:cs="Arial"/>
          <w:snapToGrid w:val="0"/>
          <w:sz w:val="20"/>
          <w:szCs w:val="20"/>
          <w:lang w:eastAsia="en-US"/>
        </w:rPr>
      </w:pPr>
      <w:r w:rsidRPr="00FB2B5A">
        <w:rPr>
          <w:rFonts w:ascii="Arial" w:hAnsi="Arial" w:cs="Arial"/>
          <w:b/>
          <w:snapToGrid w:val="0"/>
          <w:sz w:val="20"/>
          <w:szCs w:val="20"/>
          <w:lang w:eastAsia="en-US"/>
        </w:rPr>
        <w:t>Rationalisation</w:t>
      </w:r>
      <w:r w:rsidRPr="00FB2B5A">
        <w:rPr>
          <w:rFonts w:ascii="Arial" w:hAnsi="Arial" w:cs="Arial"/>
          <w:snapToGrid w:val="0"/>
          <w:sz w:val="20"/>
          <w:szCs w:val="20"/>
          <w:lang w:eastAsia="en-US"/>
        </w:rPr>
        <w:t xml:space="preserve"> Considers the process undertaken to dispose or rationalise of Council buildings. </w:t>
      </w:r>
    </w:p>
    <w:p w:rsidR="00747F70" w:rsidRDefault="00747F70" w:rsidP="00747F70">
      <w:pPr>
        <w:contextualSpacing/>
        <w:rPr>
          <w:rFonts w:cs="Arial"/>
          <w:snapToGrid w:val="0"/>
          <w:lang w:eastAsia="en-US"/>
        </w:rPr>
      </w:pPr>
    </w:p>
    <w:p w:rsidR="00747F70" w:rsidRDefault="00747F70" w:rsidP="00747F70">
      <w:pPr>
        <w:contextualSpacing/>
        <w:rPr>
          <w:rFonts w:cs="Arial"/>
          <w:snapToGrid w:val="0"/>
          <w:lang w:eastAsia="en-US"/>
        </w:rPr>
      </w:pPr>
      <w:r>
        <w:rPr>
          <w:rFonts w:cs="Arial"/>
          <w:snapToGrid w:val="0"/>
          <w:u w:val="single"/>
          <w:lang w:eastAsia="en-US"/>
        </w:rPr>
        <w:t>Definition and Application of Lifecycle Costs</w:t>
      </w:r>
    </w:p>
    <w:p w:rsidR="00747F70" w:rsidRDefault="00747F70" w:rsidP="00747F70">
      <w:pPr>
        <w:contextualSpacing/>
        <w:rPr>
          <w:rFonts w:cs="Arial"/>
          <w:snapToGrid w:val="0"/>
          <w:lang w:eastAsia="en-US"/>
        </w:rPr>
      </w:pPr>
    </w:p>
    <w:p w:rsidR="00747F70" w:rsidRDefault="00747F70" w:rsidP="00747F70">
      <w:pPr>
        <w:contextualSpacing/>
        <w:rPr>
          <w:rFonts w:cs="Arial"/>
          <w:snapToGrid w:val="0"/>
          <w:lang w:eastAsia="en-US"/>
        </w:rPr>
      </w:pPr>
      <w:r>
        <w:rPr>
          <w:rFonts w:cs="Arial"/>
          <w:snapToGrid w:val="0"/>
          <w:lang w:eastAsia="en-US"/>
        </w:rPr>
        <w:t>Yarra City Council has adopted a lifecycle cost definition</w:t>
      </w:r>
      <w:r w:rsidR="00100D34">
        <w:rPr>
          <w:rFonts w:cs="Arial"/>
          <w:snapToGrid w:val="0"/>
          <w:lang w:eastAsia="en-US"/>
        </w:rPr>
        <w:t xml:space="preserve"> </w:t>
      </w:r>
      <w:r>
        <w:rPr>
          <w:rFonts w:cs="Arial"/>
          <w:snapToGrid w:val="0"/>
          <w:lang w:eastAsia="en-US"/>
        </w:rPr>
        <w:t xml:space="preserve">for consistency in budgeting.  This is consistent with definitions in the </w:t>
      </w:r>
      <w:r w:rsidRPr="00747F70">
        <w:rPr>
          <w:rFonts w:cs="Arial"/>
          <w:i/>
          <w:snapToGrid w:val="0"/>
          <w:lang w:eastAsia="en-US"/>
        </w:rPr>
        <w:t>Application Guide AS/NZS 4536:1999</w:t>
      </w:r>
      <w:r>
        <w:rPr>
          <w:rFonts w:cs="Arial"/>
          <w:snapToGrid w:val="0"/>
          <w:lang w:eastAsia="en-US"/>
        </w:rPr>
        <w:t>.</w:t>
      </w:r>
    </w:p>
    <w:p w:rsidR="00747F70" w:rsidRDefault="00747F70" w:rsidP="00747F70">
      <w:pPr>
        <w:contextualSpacing/>
        <w:rPr>
          <w:rFonts w:cs="Arial"/>
          <w:snapToGrid w:val="0"/>
          <w:lang w:eastAsia="en-US"/>
        </w:rPr>
      </w:pPr>
    </w:p>
    <w:p w:rsidR="00747F70" w:rsidRDefault="00747F70" w:rsidP="00747F70">
      <w:pPr>
        <w:contextualSpacing/>
        <w:rPr>
          <w:rFonts w:cs="Arial"/>
          <w:snapToGrid w:val="0"/>
          <w:lang w:eastAsia="en-US"/>
        </w:rPr>
      </w:pPr>
      <w:r>
        <w:rPr>
          <w:rFonts w:cs="Arial"/>
          <w:snapToGrid w:val="0"/>
          <w:lang w:eastAsia="en-US"/>
        </w:rPr>
        <w:t xml:space="preserve">The </w:t>
      </w:r>
      <w:r w:rsidR="00100D34">
        <w:rPr>
          <w:rFonts w:cs="Arial"/>
          <w:snapToGrid w:val="0"/>
          <w:lang w:eastAsia="en-US"/>
        </w:rPr>
        <w:t>d</w:t>
      </w:r>
      <w:r>
        <w:rPr>
          <w:rFonts w:cs="Arial"/>
          <w:snapToGrid w:val="0"/>
          <w:lang w:eastAsia="en-US"/>
        </w:rPr>
        <w:t>efinitions are as follows:</w:t>
      </w:r>
    </w:p>
    <w:p w:rsidR="00747F70" w:rsidRDefault="00747F70" w:rsidP="00747F70">
      <w:pPr>
        <w:contextualSpacing/>
        <w:rPr>
          <w:rFonts w:cs="Arial"/>
          <w:snapToGrid w:val="0"/>
          <w:lang w:eastAsia="en-US"/>
        </w:rPr>
      </w:pPr>
    </w:p>
    <w:p w:rsidR="00747F70" w:rsidRDefault="00747F70" w:rsidP="00747F70">
      <w:pPr>
        <w:contextualSpacing/>
        <w:rPr>
          <w:rFonts w:cs="Arial"/>
          <w:snapToGrid w:val="0"/>
          <w:lang w:eastAsia="en-US"/>
        </w:rPr>
      </w:pPr>
      <w:r>
        <w:rPr>
          <w:rFonts w:cs="Arial"/>
          <w:snapToGrid w:val="0"/>
          <w:lang w:eastAsia="en-US"/>
        </w:rPr>
        <w:t>Lifecycle costs are future assets replaced/refurbishment costs undertaken greater than annually.  For example:</w:t>
      </w:r>
    </w:p>
    <w:p w:rsidR="00747F70" w:rsidRDefault="00747F70" w:rsidP="00747F70">
      <w:pPr>
        <w:contextualSpacing/>
        <w:rPr>
          <w:rFonts w:cs="Arial"/>
          <w:snapToGrid w:val="0"/>
          <w:lang w:eastAsia="en-US"/>
        </w:rPr>
      </w:pPr>
    </w:p>
    <w:p w:rsidR="00747F70" w:rsidRPr="00747F70" w:rsidRDefault="00747F70" w:rsidP="008348B5">
      <w:pPr>
        <w:pStyle w:val="ListParagraph"/>
        <w:numPr>
          <w:ilvl w:val="0"/>
          <w:numId w:val="114"/>
        </w:numPr>
        <w:contextualSpacing/>
        <w:rPr>
          <w:rFonts w:ascii="Arial" w:hAnsi="Arial" w:cs="Arial"/>
          <w:snapToGrid w:val="0"/>
          <w:sz w:val="20"/>
          <w:szCs w:val="20"/>
          <w:lang w:eastAsia="en-US"/>
        </w:rPr>
      </w:pPr>
      <w:r w:rsidRPr="00747F70">
        <w:rPr>
          <w:rFonts w:ascii="Arial" w:hAnsi="Arial" w:cs="Arial"/>
          <w:snapToGrid w:val="0"/>
          <w:sz w:val="20"/>
          <w:szCs w:val="20"/>
          <w:lang w:eastAsia="en-US"/>
        </w:rPr>
        <w:t>Boiler replacement</w:t>
      </w:r>
      <w:r>
        <w:rPr>
          <w:rFonts w:ascii="Arial" w:hAnsi="Arial" w:cs="Arial"/>
          <w:snapToGrid w:val="0"/>
          <w:sz w:val="20"/>
          <w:szCs w:val="20"/>
          <w:lang w:eastAsia="en-US"/>
        </w:rPr>
        <w:t xml:space="preserve">; and </w:t>
      </w:r>
    </w:p>
    <w:p w:rsidR="00747F70" w:rsidRPr="00747F70" w:rsidRDefault="00747F70" w:rsidP="008348B5">
      <w:pPr>
        <w:pStyle w:val="ListParagraph"/>
        <w:numPr>
          <w:ilvl w:val="0"/>
          <w:numId w:val="114"/>
        </w:numPr>
        <w:contextualSpacing/>
        <w:rPr>
          <w:rFonts w:ascii="Arial" w:hAnsi="Arial" w:cs="Arial"/>
          <w:snapToGrid w:val="0"/>
          <w:sz w:val="20"/>
          <w:szCs w:val="20"/>
          <w:lang w:eastAsia="en-US"/>
        </w:rPr>
      </w:pPr>
      <w:r w:rsidRPr="00747F70">
        <w:rPr>
          <w:rFonts w:ascii="Arial" w:hAnsi="Arial" w:cs="Arial"/>
          <w:snapToGrid w:val="0"/>
          <w:sz w:val="20"/>
          <w:szCs w:val="20"/>
          <w:lang w:eastAsia="en-US"/>
        </w:rPr>
        <w:t>Refurbishment of toilets, kitchens, etc.</w:t>
      </w:r>
    </w:p>
    <w:p w:rsidR="00747F70" w:rsidRDefault="00747F70" w:rsidP="00747F70">
      <w:pPr>
        <w:contextualSpacing/>
        <w:rPr>
          <w:rFonts w:cs="Arial"/>
          <w:snapToGrid w:val="0"/>
          <w:lang w:eastAsia="en-US"/>
        </w:rPr>
      </w:pPr>
    </w:p>
    <w:p w:rsidR="00747F70" w:rsidRDefault="00747F70" w:rsidP="00747F70">
      <w:pPr>
        <w:contextualSpacing/>
        <w:rPr>
          <w:rFonts w:cs="Arial"/>
          <w:snapToGrid w:val="0"/>
          <w:lang w:eastAsia="en-US"/>
        </w:rPr>
      </w:pPr>
      <w:r>
        <w:rPr>
          <w:rFonts w:cs="Arial"/>
          <w:snapToGrid w:val="0"/>
          <w:lang w:eastAsia="en-US"/>
        </w:rPr>
        <w:t>Operational costs are ongoing maintenance expenditure undertaken less than, or equal to, annually.  For example:</w:t>
      </w:r>
    </w:p>
    <w:p w:rsidR="00747F70" w:rsidRDefault="00747F70" w:rsidP="00747F70">
      <w:pPr>
        <w:contextualSpacing/>
        <w:rPr>
          <w:rFonts w:cs="Arial"/>
          <w:snapToGrid w:val="0"/>
          <w:lang w:eastAsia="en-US"/>
        </w:rPr>
      </w:pPr>
    </w:p>
    <w:p w:rsidR="00747F70" w:rsidRDefault="00747F70" w:rsidP="008348B5">
      <w:pPr>
        <w:pStyle w:val="ListParagraph"/>
        <w:numPr>
          <w:ilvl w:val="0"/>
          <w:numId w:val="115"/>
        </w:numPr>
        <w:contextualSpacing/>
        <w:rPr>
          <w:rFonts w:ascii="Arial" w:hAnsi="Arial" w:cs="Arial"/>
          <w:snapToGrid w:val="0"/>
          <w:sz w:val="20"/>
          <w:szCs w:val="20"/>
          <w:lang w:eastAsia="en-US"/>
        </w:rPr>
      </w:pPr>
      <w:r>
        <w:rPr>
          <w:rFonts w:ascii="Arial" w:hAnsi="Arial" w:cs="Arial"/>
          <w:snapToGrid w:val="0"/>
          <w:sz w:val="20"/>
          <w:szCs w:val="20"/>
          <w:lang w:eastAsia="en-US"/>
        </w:rPr>
        <w:t>Testing of fire equipment;</w:t>
      </w:r>
    </w:p>
    <w:p w:rsidR="00747F70" w:rsidRDefault="00747F70" w:rsidP="008348B5">
      <w:pPr>
        <w:pStyle w:val="ListParagraph"/>
        <w:numPr>
          <w:ilvl w:val="0"/>
          <w:numId w:val="115"/>
        </w:numPr>
        <w:contextualSpacing/>
        <w:rPr>
          <w:rFonts w:ascii="Arial" w:hAnsi="Arial" w:cs="Arial"/>
          <w:snapToGrid w:val="0"/>
          <w:sz w:val="20"/>
          <w:szCs w:val="20"/>
          <w:lang w:eastAsia="en-US"/>
        </w:rPr>
      </w:pPr>
      <w:r>
        <w:rPr>
          <w:rFonts w:ascii="Arial" w:hAnsi="Arial" w:cs="Arial"/>
          <w:snapToGrid w:val="0"/>
          <w:sz w:val="20"/>
          <w:szCs w:val="20"/>
          <w:lang w:eastAsia="en-US"/>
        </w:rPr>
        <w:t>Inspection of air</w:t>
      </w:r>
      <w:r w:rsidR="001D0E77">
        <w:rPr>
          <w:rFonts w:ascii="Arial" w:hAnsi="Arial" w:cs="Arial"/>
          <w:snapToGrid w:val="0"/>
          <w:sz w:val="20"/>
          <w:szCs w:val="20"/>
          <w:lang w:eastAsia="en-US"/>
        </w:rPr>
        <w:t xml:space="preserve"> </w:t>
      </w:r>
      <w:r>
        <w:rPr>
          <w:rFonts w:ascii="Arial" w:hAnsi="Arial" w:cs="Arial"/>
          <w:snapToGrid w:val="0"/>
          <w:sz w:val="20"/>
          <w:szCs w:val="20"/>
          <w:lang w:eastAsia="en-US"/>
        </w:rPr>
        <w:t>conditioning systems; and</w:t>
      </w:r>
    </w:p>
    <w:p w:rsidR="00747F70" w:rsidRPr="00747F70" w:rsidRDefault="00747F70" w:rsidP="008348B5">
      <w:pPr>
        <w:pStyle w:val="ListParagraph"/>
        <w:numPr>
          <w:ilvl w:val="0"/>
          <w:numId w:val="115"/>
        </w:numPr>
        <w:contextualSpacing/>
        <w:rPr>
          <w:rFonts w:ascii="Arial" w:hAnsi="Arial" w:cs="Arial"/>
          <w:snapToGrid w:val="0"/>
          <w:sz w:val="20"/>
          <w:szCs w:val="20"/>
          <w:lang w:eastAsia="en-US"/>
        </w:rPr>
      </w:pPr>
      <w:r>
        <w:rPr>
          <w:rFonts w:ascii="Arial" w:hAnsi="Arial" w:cs="Arial"/>
          <w:snapToGrid w:val="0"/>
          <w:sz w:val="20"/>
          <w:szCs w:val="20"/>
          <w:lang w:eastAsia="en-US"/>
        </w:rPr>
        <w:t>cleaning</w:t>
      </w:r>
    </w:p>
    <w:p w:rsidR="00747F70" w:rsidRDefault="00747F70" w:rsidP="00582CB0">
      <w:pPr>
        <w:contextualSpacing/>
        <w:rPr>
          <w:rFonts w:cs="Arial"/>
          <w:snapToGrid w:val="0"/>
          <w:highlight w:val="yellow"/>
          <w:lang w:eastAsia="en-US"/>
        </w:rPr>
      </w:pPr>
    </w:p>
    <w:p w:rsidR="00747F70" w:rsidRPr="001D0E77" w:rsidRDefault="00747F70" w:rsidP="00582CB0">
      <w:pPr>
        <w:contextualSpacing/>
        <w:rPr>
          <w:rFonts w:cs="Arial"/>
          <w:snapToGrid w:val="0"/>
          <w:lang w:eastAsia="en-US"/>
        </w:rPr>
      </w:pPr>
      <w:r w:rsidRPr="001D0E77">
        <w:rPr>
          <w:rFonts w:cs="Arial"/>
          <w:snapToGrid w:val="0"/>
          <w:lang w:eastAsia="en-US"/>
        </w:rPr>
        <w:t>For further clarification, lifecycle costs relate to the architecture systems and other components of the build</w:t>
      </w:r>
      <w:r w:rsidR="001D0E77" w:rsidRPr="001D0E77">
        <w:rPr>
          <w:rFonts w:cs="Arial"/>
          <w:snapToGrid w:val="0"/>
          <w:lang w:eastAsia="en-US"/>
        </w:rPr>
        <w:t>in</w:t>
      </w:r>
      <w:r w:rsidRPr="001D0E77">
        <w:rPr>
          <w:rFonts w:cs="Arial"/>
          <w:snapToGrid w:val="0"/>
          <w:lang w:eastAsia="en-US"/>
        </w:rPr>
        <w:t>g.</w:t>
      </w:r>
    </w:p>
    <w:p w:rsidR="00747F70" w:rsidRPr="001D0E77" w:rsidRDefault="00747F70" w:rsidP="00582CB0">
      <w:pPr>
        <w:contextualSpacing/>
        <w:rPr>
          <w:rFonts w:cs="Arial"/>
          <w:snapToGrid w:val="0"/>
          <w:lang w:eastAsia="en-US"/>
        </w:rPr>
      </w:pPr>
    </w:p>
    <w:p w:rsidR="00747F70" w:rsidRPr="001D0E77" w:rsidRDefault="00747F70" w:rsidP="00582CB0">
      <w:pPr>
        <w:contextualSpacing/>
        <w:rPr>
          <w:rFonts w:cs="Arial"/>
          <w:snapToGrid w:val="0"/>
          <w:lang w:eastAsia="en-US"/>
        </w:rPr>
      </w:pPr>
      <w:r w:rsidRPr="001D0E77">
        <w:rPr>
          <w:rFonts w:cs="Arial"/>
          <w:snapToGrid w:val="0"/>
          <w:lang w:eastAsia="en-US"/>
        </w:rPr>
        <w:t>It is important to distinguish b</w:t>
      </w:r>
      <w:r w:rsidR="001D0E77" w:rsidRPr="001D0E77">
        <w:rPr>
          <w:rFonts w:cs="Arial"/>
          <w:snapToGrid w:val="0"/>
          <w:lang w:eastAsia="en-US"/>
        </w:rPr>
        <w:t>etween revenue (operational) co</w:t>
      </w:r>
      <w:r w:rsidRPr="001D0E77">
        <w:rPr>
          <w:rFonts w:cs="Arial"/>
          <w:snapToGrid w:val="0"/>
          <w:lang w:eastAsia="en-US"/>
        </w:rPr>
        <w:t>sts and capital costs.</w:t>
      </w:r>
    </w:p>
    <w:p w:rsidR="00800B72" w:rsidRPr="003E5B9F" w:rsidRDefault="00800B72" w:rsidP="003E5B9F">
      <w:pPr>
        <w:pStyle w:val="StyleHeading3Heading3Char10ptBefore6pt"/>
      </w:pPr>
      <w:bookmarkStart w:id="23" w:name="_Toc364945232"/>
      <w:r w:rsidRPr="003E5B9F">
        <w:t>Condition Assessment</w:t>
      </w:r>
      <w:bookmarkEnd w:id="23"/>
    </w:p>
    <w:p w:rsidR="00800B72" w:rsidRPr="00B000ED" w:rsidRDefault="00800B72" w:rsidP="002E3FD9">
      <w:pPr>
        <w:ind w:left="720"/>
        <w:rPr>
          <w:snapToGrid w:val="0"/>
          <w:lang w:eastAsia="en-US"/>
        </w:rPr>
      </w:pPr>
      <w:r w:rsidRPr="00B000ED">
        <w:rPr>
          <w:snapToGrid w:val="0"/>
          <w:lang w:eastAsia="en-US"/>
        </w:rPr>
        <w:t xml:space="preserve">The most recent audit of Council buildings was conducted in March 2012.  The overall condition of a building is determined by separately assessing the condition of the components of the building. The following figure depicts the general condition profile by building service type. The condition rating is one of the key considerations in planning future renewal and replacement works. The majority of </w:t>
      </w:r>
      <w:r w:rsidR="003B7425">
        <w:rPr>
          <w:snapToGrid w:val="0"/>
          <w:lang w:eastAsia="en-US"/>
        </w:rPr>
        <w:t>C</w:t>
      </w:r>
      <w:r w:rsidR="00ED7798" w:rsidRPr="00B000ED">
        <w:rPr>
          <w:snapToGrid w:val="0"/>
          <w:lang w:eastAsia="en-US"/>
        </w:rPr>
        <w:t xml:space="preserve">ouncil building </w:t>
      </w:r>
      <w:r w:rsidRPr="00B000ED">
        <w:rPr>
          <w:snapToGrid w:val="0"/>
          <w:lang w:eastAsia="en-US"/>
        </w:rPr>
        <w:t>assets are in good to very good condition. The assets that are below average will most likely have an impact on the renewal program in five years</w:t>
      </w:r>
      <w:r w:rsidR="00CF6A2B" w:rsidRPr="00B000ED">
        <w:rPr>
          <w:snapToGrid w:val="0"/>
          <w:lang w:eastAsia="en-US"/>
        </w:rPr>
        <w:t>’</w:t>
      </w:r>
      <w:r w:rsidRPr="00B000ED">
        <w:rPr>
          <w:snapToGrid w:val="0"/>
          <w:lang w:eastAsia="en-US"/>
        </w:rPr>
        <w:t xml:space="preserve"> time.</w:t>
      </w:r>
    </w:p>
    <w:p w:rsidR="00BD0018" w:rsidRPr="00B000ED" w:rsidRDefault="00BD0018" w:rsidP="002E3FD9">
      <w:pPr>
        <w:ind w:left="720"/>
        <w:rPr>
          <w:snapToGrid w:val="0"/>
          <w:lang w:eastAsia="en-US"/>
        </w:rPr>
      </w:pPr>
    </w:p>
    <w:p w:rsidR="00800B72" w:rsidRPr="00E65525" w:rsidRDefault="00BD0018" w:rsidP="002E3FD9">
      <w:pPr>
        <w:ind w:left="720"/>
        <w:jc w:val="center"/>
      </w:pPr>
      <w:r>
        <w:rPr>
          <w:noProof/>
        </w:rPr>
        <w:drawing>
          <wp:inline distT="0" distB="0" distL="0" distR="0" wp14:anchorId="60B0D5ED" wp14:editId="7B0BD988">
            <wp:extent cx="5202626" cy="3460266"/>
            <wp:effectExtent l="19050" t="0" r="0" b="0"/>
            <wp:docPr id="10"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8" cstate="print"/>
                    <a:srcRect/>
                    <a:stretch>
                      <a:fillRect/>
                    </a:stretch>
                  </pic:blipFill>
                  <pic:spPr bwMode="auto">
                    <a:xfrm>
                      <a:off x="0" y="0"/>
                      <a:ext cx="5206626" cy="3462926"/>
                    </a:xfrm>
                    <a:prstGeom prst="rect">
                      <a:avLst/>
                    </a:prstGeom>
                    <a:noFill/>
                  </pic:spPr>
                </pic:pic>
              </a:graphicData>
            </a:graphic>
          </wp:inline>
        </w:drawing>
      </w:r>
    </w:p>
    <w:p w:rsidR="00514D7F" w:rsidRPr="0024611A" w:rsidRDefault="00514D7F" w:rsidP="00D17B90">
      <w:pPr>
        <w:pStyle w:val="Caption"/>
        <w:spacing w:before="240" w:after="240"/>
        <w:ind w:left="720"/>
        <w:jc w:val="center"/>
        <w:rPr>
          <w:rFonts w:ascii="Arial" w:hAnsi="Arial"/>
          <w:i w:val="0"/>
          <w:iCs w:val="0"/>
          <w:sz w:val="20"/>
          <w:lang w:val="en-AU"/>
        </w:rPr>
      </w:pPr>
      <w:bookmarkStart w:id="24" w:name="_Toc364945366"/>
      <w:r w:rsidRPr="0024611A">
        <w:rPr>
          <w:rFonts w:ascii="Arial" w:hAnsi="Arial"/>
          <w:i w:val="0"/>
          <w:iCs w:val="0"/>
          <w:sz w:val="20"/>
          <w:lang w:val="en-AU"/>
        </w:rPr>
        <w:t xml:space="preserve">Figure </w:t>
      </w:r>
      <w:r w:rsidR="0090414C" w:rsidRPr="0024611A">
        <w:rPr>
          <w:rFonts w:ascii="Arial" w:hAnsi="Arial"/>
          <w:i w:val="0"/>
          <w:iCs w:val="0"/>
          <w:sz w:val="20"/>
          <w:lang w:val="en-AU"/>
        </w:rPr>
        <w:fldChar w:fldCharType="begin"/>
      </w:r>
      <w:r w:rsidRPr="0024611A">
        <w:rPr>
          <w:rFonts w:ascii="Arial" w:hAnsi="Arial"/>
          <w:i w:val="0"/>
          <w:iCs w:val="0"/>
          <w:sz w:val="20"/>
          <w:lang w:val="en-AU"/>
        </w:rPr>
        <w:instrText xml:space="preserve"> SEQ Figure \* ARABIC \s 1 </w:instrText>
      </w:r>
      <w:r w:rsidR="0090414C" w:rsidRPr="0024611A">
        <w:rPr>
          <w:rFonts w:ascii="Arial" w:hAnsi="Arial"/>
          <w:i w:val="0"/>
          <w:iCs w:val="0"/>
          <w:sz w:val="20"/>
          <w:lang w:val="en-AU"/>
        </w:rPr>
        <w:fldChar w:fldCharType="separate"/>
      </w:r>
      <w:r w:rsidR="00751CEC">
        <w:rPr>
          <w:rFonts w:ascii="Arial" w:hAnsi="Arial"/>
          <w:i w:val="0"/>
          <w:iCs w:val="0"/>
          <w:noProof/>
          <w:sz w:val="20"/>
          <w:lang w:val="en-AU"/>
        </w:rPr>
        <w:t>2</w:t>
      </w:r>
      <w:r w:rsidR="0090414C" w:rsidRPr="0024611A">
        <w:rPr>
          <w:rFonts w:ascii="Arial" w:hAnsi="Arial"/>
          <w:i w:val="0"/>
          <w:iCs w:val="0"/>
          <w:sz w:val="20"/>
          <w:lang w:val="en-AU"/>
        </w:rPr>
        <w:fldChar w:fldCharType="end"/>
      </w:r>
      <w:r w:rsidRPr="0024611A">
        <w:rPr>
          <w:rFonts w:ascii="Arial" w:hAnsi="Arial"/>
          <w:i w:val="0"/>
          <w:iCs w:val="0"/>
          <w:sz w:val="20"/>
          <w:lang w:val="en-AU"/>
        </w:rPr>
        <w:t>:  Building Condition Ratings</w:t>
      </w:r>
      <w:bookmarkEnd w:id="24"/>
    </w:p>
    <w:p w:rsidR="00800B72" w:rsidRDefault="00800B72" w:rsidP="003E5B9F">
      <w:pPr>
        <w:pStyle w:val="StyleHeading3Heading3Char10ptBefore6pt"/>
      </w:pPr>
      <w:bookmarkStart w:id="25" w:name="_Toc364945233"/>
      <w:r>
        <w:t>Fit</w:t>
      </w:r>
      <w:r w:rsidR="00237E04">
        <w:t>ness</w:t>
      </w:r>
      <w:r>
        <w:t xml:space="preserve"> for Purpose Assessment</w:t>
      </w:r>
      <w:bookmarkEnd w:id="25"/>
    </w:p>
    <w:p w:rsidR="001909A3" w:rsidRDefault="001909A3" w:rsidP="002E3FD9">
      <w:pPr>
        <w:ind w:left="720"/>
      </w:pPr>
      <w:r w:rsidRPr="001909A3">
        <w:t>The fitness for purpose assessment determines how suitable buildings are for the purpose of delivering services thro</w:t>
      </w:r>
      <w:r>
        <w:t>ugh them and how well they meet</w:t>
      </w:r>
      <w:r w:rsidRPr="001909A3">
        <w:t xml:space="preserve"> the needs of users. The results provide a means of judging the value of a building from the perspective of service delivery now and into the future. The information used to inform the assessment was gathered directly from service managers and building occupants through a survey that asked questions under four headings:</w:t>
      </w:r>
    </w:p>
    <w:p w:rsidR="006C7701" w:rsidRPr="001909A3" w:rsidRDefault="006C7701" w:rsidP="002E3FD9">
      <w:pPr>
        <w:ind w:left="720"/>
      </w:pPr>
    </w:p>
    <w:p w:rsidR="001909A3" w:rsidRPr="006C7701" w:rsidRDefault="001909A3" w:rsidP="008348B5">
      <w:pPr>
        <w:pStyle w:val="ListParagraph"/>
        <w:numPr>
          <w:ilvl w:val="0"/>
          <w:numId w:val="42"/>
        </w:numPr>
        <w:rPr>
          <w:rFonts w:ascii="Arial" w:hAnsi="Arial" w:cs="Arial"/>
          <w:sz w:val="20"/>
          <w:szCs w:val="20"/>
        </w:rPr>
      </w:pPr>
      <w:r w:rsidRPr="006C7701">
        <w:rPr>
          <w:rFonts w:ascii="Arial" w:hAnsi="Arial" w:cs="Arial"/>
          <w:sz w:val="20"/>
          <w:szCs w:val="20"/>
        </w:rPr>
        <w:t>Location (proximity to customers, staff and to transport connections)</w:t>
      </w:r>
      <w:r w:rsidR="006C7701">
        <w:rPr>
          <w:rFonts w:ascii="Arial" w:hAnsi="Arial" w:cs="Arial"/>
          <w:sz w:val="20"/>
          <w:szCs w:val="20"/>
        </w:rPr>
        <w:t>;</w:t>
      </w:r>
    </w:p>
    <w:p w:rsidR="001909A3" w:rsidRPr="006C7701" w:rsidRDefault="001909A3" w:rsidP="008348B5">
      <w:pPr>
        <w:pStyle w:val="ListParagraph"/>
        <w:numPr>
          <w:ilvl w:val="0"/>
          <w:numId w:val="42"/>
        </w:numPr>
        <w:rPr>
          <w:rFonts w:ascii="Arial" w:hAnsi="Arial" w:cs="Arial"/>
          <w:sz w:val="20"/>
          <w:szCs w:val="20"/>
        </w:rPr>
      </w:pPr>
      <w:r w:rsidRPr="006C7701">
        <w:rPr>
          <w:rFonts w:ascii="Arial" w:hAnsi="Arial" w:cs="Arial"/>
          <w:sz w:val="20"/>
          <w:szCs w:val="20"/>
        </w:rPr>
        <w:t>Capacity (size of internal spaces)</w:t>
      </w:r>
      <w:r w:rsidR="006C7701">
        <w:rPr>
          <w:rFonts w:ascii="Arial" w:hAnsi="Arial" w:cs="Arial"/>
          <w:sz w:val="20"/>
          <w:szCs w:val="20"/>
        </w:rPr>
        <w:t>;</w:t>
      </w:r>
    </w:p>
    <w:p w:rsidR="001909A3" w:rsidRPr="006C7701" w:rsidRDefault="001909A3" w:rsidP="008348B5">
      <w:pPr>
        <w:pStyle w:val="ListParagraph"/>
        <w:numPr>
          <w:ilvl w:val="0"/>
          <w:numId w:val="42"/>
        </w:numPr>
        <w:rPr>
          <w:rFonts w:ascii="Arial" w:hAnsi="Arial" w:cs="Arial"/>
          <w:sz w:val="20"/>
          <w:szCs w:val="20"/>
        </w:rPr>
      </w:pPr>
      <w:r w:rsidRPr="006C7701">
        <w:rPr>
          <w:rFonts w:ascii="Arial" w:hAnsi="Arial" w:cs="Arial"/>
          <w:sz w:val="20"/>
          <w:szCs w:val="20"/>
        </w:rPr>
        <w:t>Configuration (internal layout, usability and types of space)</w:t>
      </w:r>
      <w:r w:rsidR="006C7701">
        <w:rPr>
          <w:rFonts w:ascii="Arial" w:hAnsi="Arial" w:cs="Arial"/>
          <w:sz w:val="20"/>
          <w:szCs w:val="20"/>
        </w:rPr>
        <w:t>;</w:t>
      </w:r>
      <w:r w:rsidR="009E4B10">
        <w:rPr>
          <w:rFonts w:ascii="Arial" w:hAnsi="Arial" w:cs="Arial"/>
          <w:sz w:val="20"/>
          <w:szCs w:val="20"/>
        </w:rPr>
        <w:t xml:space="preserve"> and</w:t>
      </w:r>
    </w:p>
    <w:p w:rsidR="001909A3" w:rsidRDefault="001909A3" w:rsidP="008348B5">
      <w:pPr>
        <w:pStyle w:val="ListParagraph"/>
        <w:numPr>
          <w:ilvl w:val="0"/>
          <w:numId w:val="42"/>
        </w:numPr>
        <w:rPr>
          <w:rFonts w:ascii="Arial" w:hAnsi="Arial" w:cs="Arial"/>
          <w:sz w:val="20"/>
          <w:szCs w:val="20"/>
        </w:rPr>
      </w:pPr>
      <w:r w:rsidRPr="006C7701">
        <w:rPr>
          <w:rFonts w:ascii="Arial" w:hAnsi="Arial" w:cs="Arial"/>
          <w:sz w:val="20"/>
          <w:szCs w:val="20"/>
        </w:rPr>
        <w:t>Features (services, fixtures and fittings)</w:t>
      </w:r>
      <w:r w:rsidR="009E4B10">
        <w:rPr>
          <w:rFonts w:ascii="Arial" w:hAnsi="Arial" w:cs="Arial"/>
          <w:sz w:val="20"/>
          <w:szCs w:val="20"/>
        </w:rPr>
        <w:t>.</w:t>
      </w:r>
    </w:p>
    <w:p w:rsidR="009E4B10" w:rsidRPr="009E4B10" w:rsidRDefault="009E4B10" w:rsidP="002E3FD9">
      <w:pPr>
        <w:ind w:left="720"/>
      </w:pPr>
    </w:p>
    <w:p w:rsidR="001909A3" w:rsidRDefault="001909A3" w:rsidP="002E3FD9">
      <w:pPr>
        <w:ind w:left="720"/>
      </w:pPr>
      <w:r w:rsidRPr="001909A3">
        <w:t>For each question</w:t>
      </w:r>
      <w:r w:rsidR="009E4B10">
        <w:t>,</w:t>
      </w:r>
      <w:r w:rsidRPr="001909A3">
        <w:t xml:space="preserve"> service managers gave a building a rating from 1 to 5, identified key asset management issues and provided comments on the how effectively that building meets their current service needs and those in 5 </w:t>
      </w:r>
      <w:r w:rsidRPr="00EE0F60">
        <w:t>years</w:t>
      </w:r>
      <w:r w:rsidR="00852378" w:rsidRPr="00EE0F60">
        <w:t>'</w:t>
      </w:r>
      <w:r w:rsidRPr="00EE0F60">
        <w:t xml:space="preserve"> time.</w:t>
      </w:r>
      <w:r w:rsidRPr="001909A3">
        <w:t xml:space="preserve"> The ratings were subsequently weighted, averaged and sorted to identify which were least fit for purpose and therefore require a considered asset management response through this BAMP.</w:t>
      </w:r>
      <w:r w:rsidR="00344B67">
        <w:t xml:space="preserve"> There were a number of building assets that were not assessed as they are leased to external service providers.</w:t>
      </w:r>
    </w:p>
    <w:p w:rsidR="009E4B10" w:rsidRDefault="009E4B10" w:rsidP="002E3FD9">
      <w:pPr>
        <w:ind w:left="720"/>
      </w:pPr>
    </w:p>
    <w:p w:rsidR="00344B67" w:rsidRDefault="00344B67" w:rsidP="002E3FD9">
      <w:pPr>
        <w:ind w:left="720"/>
      </w:pPr>
      <w:r>
        <w:t>Service Managers have indicated th</w:t>
      </w:r>
      <w:r w:rsidR="00CE5EFF">
        <w:t>at</w:t>
      </w:r>
      <w:r>
        <w:t xml:space="preserve"> there are 12 buildings </w:t>
      </w:r>
      <w:r w:rsidR="00C85022">
        <w:t>that are no longer fit for purpose that require significant capital expenditure to enable service delivery.</w:t>
      </w:r>
    </w:p>
    <w:p w:rsidR="00BD0018" w:rsidRPr="001909A3" w:rsidRDefault="00BD0018" w:rsidP="002E3FD9">
      <w:pPr>
        <w:ind w:left="720"/>
      </w:pPr>
    </w:p>
    <w:p w:rsidR="00800B72" w:rsidRDefault="00BD0018" w:rsidP="002E3FD9">
      <w:pPr>
        <w:pStyle w:val="BodyText"/>
        <w:ind w:left="720"/>
        <w:jc w:val="center"/>
        <w:rPr>
          <w:lang w:val="en-NZ"/>
        </w:rPr>
      </w:pPr>
      <w:r>
        <w:rPr>
          <w:noProof/>
          <w:lang w:val="en-AU" w:eastAsia="en-AU"/>
        </w:rPr>
        <w:drawing>
          <wp:inline distT="0" distB="0" distL="0" distR="0" wp14:anchorId="10A540F4" wp14:editId="2EB97E93">
            <wp:extent cx="4807364" cy="2627216"/>
            <wp:effectExtent l="19050" t="0" r="0" b="0"/>
            <wp:docPr id="12"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9" cstate="print"/>
                    <a:srcRect/>
                    <a:stretch>
                      <a:fillRect/>
                    </a:stretch>
                  </pic:blipFill>
                  <pic:spPr bwMode="auto">
                    <a:xfrm>
                      <a:off x="0" y="0"/>
                      <a:ext cx="4806223" cy="2626592"/>
                    </a:xfrm>
                    <a:prstGeom prst="rect">
                      <a:avLst/>
                    </a:prstGeom>
                    <a:noFill/>
                  </pic:spPr>
                </pic:pic>
              </a:graphicData>
            </a:graphic>
          </wp:inline>
        </w:drawing>
      </w:r>
    </w:p>
    <w:p w:rsidR="00E60728" w:rsidRPr="0024611A" w:rsidRDefault="00E60728" w:rsidP="00E60728">
      <w:pPr>
        <w:pStyle w:val="Caption"/>
        <w:spacing w:before="240" w:after="240"/>
        <w:ind w:left="720"/>
        <w:jc w:val="center"/>
        <w:rPr>
          <w:rFonts w:ascii="Arial" w:hAnsi="Arial"/>
          <w:i w:val="0"/>
          <w:iCs w:val="0"/>
          <w:sz w:val="20"/>
          <w:lang w:val="en-AU"/>
        </w:rPr>
      </w:pPr>
      <w:bookmarkStart w:id="26" w:name="_Toc364945367"/>
      <w:r w:rsidRPr="0024611A">
        <w:rPr>
          <w:rFonts w:ascii="Arial" w:hAnsi="Arial"/>
          <w:i w:val="0"/>
          <w:iCs w:val="0"/>
          <w:sz w:val="20"/>
          <w:lang w:val="en-AU"/>
        </w:rPr>
        <w:t xml:space="preserve">Figure </w:t>
      </w:r>
      <w:r w:rsidR="0090414C" w:rsidRPr="0024611A">
        <w:rPr>
          <w:rFonts w:ascii="Arial" w:hAnsi="Arial"/>
          <w:i w:val="0"/>
          <w:iCs w:val="0"/>
          <w:sz w:val="20"/>
          <w:lang w:val="en-AU"/>
        </w:rPr>
        <w:fldChar w:fldCharType="begin"/>
      </w:r>
      <w:r w:rsidRPr="0024611A">
        <w:rPr>
          <w:rFonts w:ascii="Arial" w:hAnsi="Arial"/>
          <w:i w:val="0"/>
          <w:iCs w:val="0"/>
          <w:sz w:val="20"/>
          <w:lang w:val="en-AU"/>
        </w:rPr>
        <w:instrText xml:space="preserve"> SEQ Figure \* ARABIC \s 1 </w:instrText>
      </w:r>
      <w:r w:rsidR="0090414C" w:rsidRPr="0024611A">
        <w:rPr>
          <w:rFonts w:ascii="Arial" w:hAnsi="Arial"/>
          <w:i w:val="0"/>
          <w:iCs w:val="0"/>
          <w:sz w:val="20"/>
          <w:lang w:val="en-AU"/>
        </w:rPr>
        <w:fldChar w:fldCharType="separate"/>
      </w:r>
      <w:r w:rsidR="00751CEC">
        <w:rPr>
          <w:rFonts w:ascii="Arial" w:hAnsi="Arial"/>
          <w:i w:val="0"/>
          <w:iCs w:val="0"/>
          <w:noProof/>
          <w:sz w:val="20"/>
          <w:lang w:val="en-AU"/>
        </w:rPr>
        <w:t>3</w:t>
      </w:r>
      <w:r w:rsidR="0090414C" w:rsidRPr="0024611A">
        <w:rPr>
          <w:rFonts w:ascii="Arial" w:hAnsi="Arial"/>
          <w:i w:val="0"/>
          <w:iCs w:val="0"/>
          <w:sz w:val="20"/>
          <w:lang w:val="en-AU"/>
        </w:rPr>
        <w:fldChar w:fldCharType="end"/>
      </w:r>
      <w:r w:rsidRPr="0024611A">
        <w:rPr>
          <w:rFonts w:ascii="Arial" w:hAnsi="Arial"/>
          <w:i w:val="0"/>
          <w:iCs w:val="0"/>
          <w:sz w:val="20"/>
          <w:lang w:val="en-AU"/>
        </w:rPr>
        <w:t>:  Fitness for Purpose Summary</w:t>
      </w:r>
      <w:bookmarkEnd w:id="26"/>
    </w:p>
    <w:p w:rsidR="00EF3253" w:rsidRPr="00EF3253" w:rsidRDefault="00EF3253" w:rsidP="002E3FD9">
      <w:pPr>
        <w:ind w:left="720"/>
      </w:pPr>
      <w:r w:rsidRPr="00EF3253">
        <w:t xml:space="preserve">When considered with the building condition assessment, this graph indicates that while many of Council buildings are structurally sound there are location, capacity, configuration and features of the buildings that require capital expenditure to meet current and future service needs. </w:t>
      </w:r>
    </w:p>
    <w:p w:rsidR="00800B72" w:rsidRDefault="00800B72" w:rsidP="00CE5EFF">
      <w:pPr>
        <w:pStyle w:val="StyleHeading3Heading3Char10ptBefore6pt"/>
        <w:keepLines/>
      </w:pPr>
      <w:bookmarkStart w:id="27" w:name="_Toc364945234"/>
      <w:r>
        <w:t>Operational and Maintenance</w:t>
      </w:r>
      <w:bookmarkEnd w:id="27"/>
    </w:p>
    <w:p w:rsidR="00514D7F" w:rsidRDefault="00514D7F" w:rsidP="00CE5EFF">
      <w:pPr>
        <w:keepNext/>
        <w:keepLines/>
        <w:ind w:left="720"/>
      </w:pPr>
      <w:r>
        <w:t>The following figure</w:t>
      </w:r>
      <w:r w:rsidRPr="001066E5">
        <w:t xml:space="preserve"> demonstrates the operations and maintenance costs of the </w:t>
      </w:r>
      <w:r>
        <w:t>building activities</w:t>
      </w:r>
      <w:r w:rsidRPr="001066E5">
        <w:t xml:space="preserve"> </w:t>
      </w:r>
      <w:r>
        <w:t>for 2011-12 and is typical of historical expenditure over the past</w:t>
      </w:r>
      <w:r w:rsidRPr="001066E5">
        <w:t xml:space="preserve"> 10 years.</w:t>
      </w:r>
    </w:p>
    <w:p w:rsidR="009E4B10" w:rsidRDefault="009E4B10" w:rsidP="00CE5EFF">
      <w:pPr>
        <w:keepNext/>
        <w:keepLines/>
        <w:ind w:left="720"/>
      </w:pPr>
    </w:p>
    <w:p w:rsidR="002625E9" w:rsidRDefault="00514D7F" w:rsidP="00CE5EFF">
      <w:pPr>
        <w:pStyle w:val="BodyText0"/>
        <w:keepNext/>
        <w:keepLines/>
        <w:ind w:left="720"/>
        <w:jc w:val="center"/>
      </w:pPr>
      <w:r w:rsidRPr="00514D7F">
        <w:rPr>
          <w:noProof/>
        </w:rPr>
        <w:drawing>
          <wp:inline distT="0" distB="0" distL="0" distR="0" wp14:anchorId="1D398E25" wp14:editId="440ED285">
            <wp:extent cx="5122932" cy="2631881"/>
            <wp:effectExtent l="0" t="0" r="1905" b="0"/>
            <wp:docPr id="17" name="Picture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1066E5" w:rsidRPr="0024611A" w:rsidRDefault="009E4B10" w:rsidP="00CE5EFF">
      <w:pPr>
        <w:pStyle w:val="Caption"/>
        <w:keepNext/>
        <w:keepLines/>
        <w:spacing w:before="240" w:after="240"/>
        <w:ind w:left="720"/>
        <w:jc w:val="center"/>
        <w:rPr>
          <w:rFonts w:ascii="Arial" w:hAnsi="Arial"/>
          <w:i w:val="0"/>
          <w:iCs w:val="0"/>
          <w:sz w:val="20"/>
          <w:lang w:val="en-AU"/>
        </w:rPr>
      </w:pPr>
      <w:bookmarkStart w:id="28" w:name="_Toc364945368"/>
      <w:r w:rsidRPr="0024611A">
        <w:rPr>
          <w:rFonts w:ascii="Arial" w:hAnsi="Arial"/>
          <w:i w:val="0"/>
          <w:iCs w:val="0"/>
          <w:sz w:val="20"/>
          <w:lang w:val="en-AU"/>
        </w:rPr>
        <w:t xml:space="preserve">Figure </w:t>
      </w:r>
      <w:r w:rsidR="0090414C" w:rsidRPr="0024611A">
        <w:rPr>
          <w:rFonts w:ascii="Arial" w:hAnsi="Arial"/>
          <w:i w:val="0"/>
          <w:iCs w:val="0"/>
          <w:sz w:val="20"/>
          <w:lang w:val="en-AU"/>
        </w:rPr>
        <w:fldChar w:fldCharType="begin"/>
      </w:r>
      <w:r w:rsidRPr="0024611A">
        <w:rPr>
          <w:rFonts w:ascii="Arial" w:hAnsi="Arial"/>
          <w:i w:val="0"/>
          <w:iCs w:val="0"/>
          <w:sz w:val="20"/>
          <w:lang w:val="en-AU"/>
        </w:rPr>
        <w:instrText xml:space="preserve"> SEQ Figure \* ARABIC \s 1 </w:instrText>
      </w:r>
      <w:r w:rsidR="0090414C" w:rsidRPr="0024611A">
        <w:rPr>
          <w:rFonts w:ascii="Arial" w:hAnsi="Arial"/>
          <w:i w:val="0"/>
          <w:iCs w:val="0"/>
          <w:sz w:val="20"/>
          <w:lang w:val="en-AU"/>
        </w:rPr>
        <w:fldChar w:fldCharType="separate"/>
      </w:r>
      <w:r w:rsidR="00751CEC">
        <w:rPr>
          <w:rFonts w:ascii="Arial" w:hAnsi="Arial"/>
          <w:i w:val="0"/>
          <w:iCs w:val="0"/>
          <w:noProof/>
          <w:sz w:val="20"/>
          <w:lang w:val="en-AU"/>
        </w:rPr>
        <w:t>4</w:t>
      </w:r>
      <w:r w:rsidR="0090414C" w:rsidRPr="0024611A">
        <w:rPr>
          <w:rFonts w:ascii="Arial" w:hAnsi="Arial"/>
          <w:i w:val="0"/>
          <w:iCs w:val="0"/>
          <w:sz w:val="20"/>
          <w:lang w:val="en-AU"/>
        </w:rPr>
        <w:fldChar w:fldCharType="end"/>
      </w:r>
      <w:r w:rsidRPr="0024611A">
        <w:rPr>
          <w:rFonts w:ascii="Arial" w:hAnsi="Arial"/>
          <w:i w:val="0"/>
          <w:iCs w:val="0"/>
          <w:sz w:val="20"/>
          <w:lang w:val="en-AU"/>
        </w:rPr>
        <w:t xml:space="preserve">:  </w:t>
      </w:r>
      <w:r w:rsidR="00514D7F" w:rsidRPr="0024611A">
        <w:rPr>
          <w:rFonts w:ascii="Arial" w:hAnsi="Arial"/>
          <w:i w:val="0"/>
          <w:iCs w:val="0"/>
          <w:sz w:val="20"/>
          <w:lang w:val="en-AU"/>
        </w:rPr>
        <w:t>Operational and Maintenance Expenditure</w:t>
      </w:r>
      <w:bookmarkEnd w:id="28"/>
    </w:p>
    <w:p w:rsidR="001066E5" w:rsidRPr="009E4B10" w:rsidRDefault="00237E04" w:rsidP="002E3FD9">
      <w:pPr>
        <w:ind w:left="720"/>
        <w:rPr>
          <w:u w:val="single"/>
        </w:rPr>
      </w:pPr>
      <w:r w:rsidRPr="009E4B10">
        <w:rPr>
          <w:u w:val="single"/>
        </w:rPr>
        <w:t>Operational Activities and</w:t>
      </w:r>
      <w:r w:rsidR="00514D7F" w:rsidRPr="009E4B10">
        <w:rPr>
          <w:u w:val="single"/>
        </w:rPr>
        <w:t xml:space="preserve"> Strategy</w:t>
      </w:r>
    </w:p>
    <w:p w:rsidR="009E4B10" w:rsidRDefault="009E4B10" w:rsidP="002E3FD9">
      <w:pPr>
        <w:ind w:left="720"/>
      </w:pPr>
    </w:p>
    <w:p w:rsidR="00514D7F" w:rsidRDefault="00514D7F" w:rsidP="002E3FD9">
      <w:pPr>
        <w:ind w:left="720"/>
      </w:pPr>
      <w:r w:rsidRPr="00892C25">
        <w:t xml:space="preserve">The operations activities are designed to ensure sufficient utilisation of the asset. These are the regular tasks that are undertaken to ensure the assets achieve their service potential and include such activities as cleaning, graffiti removal, </w:t>
      </w:r>
      <w:r w:rsidR="009F2FCB" w:rsidRPr="00892C25">
        <w:t>and pest</w:t>
      </w:r>
      <w:r w:rsidRPr="00892C25">
        <w:t xml:space="preserve"> control</w:t>
      </w:r>
      <w:r w:rsidR="009F2FCB">
        <w:t>. T</w:t>
      </w:r>
      <w:r w:rsidRPr="00892C25">
        <w:t>hey also include the day to day running</w:t>
      </w:r>
      <w:r w:rsidR="009E4B10">
        <w:t xml:space="preserve"> costs such as power and water.</w:t>
      </w:r>
    </w:p>
    <w:p w:rsidR="009E4B10" w:rsidRPr="00892C25" w:rsidRDefault="009E4B10" w:rsidP="002E3FD9">
      <w:pPr>
        <w:ind w:left="720"/>
      </w:pPr>
    </w:p>
    <w:p w:rsidR="00514D7F" w:rsidRDefault="00514D7F" w:rsidP="002E3FD9">
      <w:pPr>
        <w:ind w:left="720"/>
      </w:pPr>
      <w:r w:rsidRPr="00892C25">
        <w:t xml:space="preserve">As can be seen </w:t>
      </w:r>
      <w:r w:rsidR="009F2FCB">
        <w:t>above</w:t>
      </w:r>
      <w:r w:rsidRPr="00892C25">
        <w:t xml:space="preserve"> </w:t>
      </w:r>
      <w:r>
        <w:t xml:space="preserve">the </w:t>
      </w:r>
      <w:r w:rsidRPr="00892C25">
        <w:t xml:space="preserve">cleaning and utility costs to </w:t>
      </w:r>
      <w:r>
        <w:t>keep</w:t>
      </w:r>
      <w:r w:rsidRPr="00892C25">
        <w:t xml:space="preserve"> Council</w:t>
      </w:r>
      <w:r w:rsidR="009F2FCB">
        <w:t>’</w:t>
      </w:r>
      <w:r w:rsidRPr="00892C25">
        <w:t xml:space="preserve">s building assets </w:t>
      </w:r>
      <w:r>
        <w:t xml:space="preserve">operational </w:t>
      </w:r>
      <w:r w:rsidR="009F2FCB">
        <w:t>are a significant annual cost</w:t>
      </w:r>
      <w:r w:rsidRPr="00892C25">
        <w:t>.</w:t>
      </w:r>
    </w:p>
    <w:p w:rsidR="00E60728" w:rsidRDefault="00E60728" w:rsidP="002E3FD9">
      <w:pPr>
        <w:ind w:left="720"/>
      </w:pPr>
    </w:p>
    <w:p w:rsidR="00514D7F" w:rsidRDefault="00514D7F" w:rsidP="002E3FD9">
      <w:pPr>
        <w:ind w:left="720"/>
      </w:pPr>
      <w:r w:rsidRPr="00C94308">
        <w:t>Strategies that are in place to reduce operational costs include, on the physical side the gradual replacement of light fittings to low energy , installation of solar panels for alternative electricity, introduction of water tanks to reduce reliance of potable water. To track progress there is regular monitoring and reporting of utility use any change in use is investigated and measures put in place to rectify any change. Cleaning contracts are regularly reviewed in order to obtain best value for Council.</w:t>
      </w:r>
    </w:p>
    <w:p w:rsidR="009E4B10" w:rsidRPr="00C94308" w:rsidRDefault="009E4B10" w:rsidP="002E3FD9">
      <w:pPr>
        <w:ind w:left="720"/>
      </w:pPr>
    </w:p>
    <w:p w:rsidR="00514D7F" w:rsidRPr="009E4B10" w:rsidRDefault="00514D7F" w:rsidP="002E3FD9">
      <w:pPr>
        <w:ind w:left="720"/>
        <w:rPr>
          <w:u w:val="single"/>
        </w:rPr>
      </w:pPr>
      <w:r w:rsidRPr="009E4B10">
        <w:rPr>
          <w:u w:val="single"/>
        </w:rPr>
        <w:t xml:space="preserve">Maintenance Activities </w:t>
      </w:r>
      <w:r w:rsidR="00237E04" w:rsidRPr="009E4B10">
        <w:rPr>
          <w:u w:val="single"/>
        </w:rPr>
        <w:t>and</w:t>
      </w:r>
      <w:r w:rsidRPr="009E4B10">
        <w:rPr>
          <w:u w:val="single"/>
        </w:rPr>
        <w:t xml:space="preserve"> Strategy</w:t>
      </w:r>
    </w:p>
    <w:p w:rsidR="009E4B10" w:rsidRPr="00522071" w:rsidRDefault="009E4B10" w:rsidP="002E3FD9">
      <w:pPr>
        <w:ind w:left="720"/>
      </w:pPr>
    </w:p>
    <w:p w:rsidR="00514D7F" w:rsidRDefault="00514D7F" w:rsidP="002E3FD9">
      <w:pPr>
        <w:ind w:left="720"/>
      </w:pPr>
      <w:r w:rsidRPr="005B4E4B">
        <w:t>The Buildings and Property Branch has the responsibility to manage and maintain Council</w:t>
      </w:r>
      <w:r w:rsidR="003B7425">
        <w:t>’</w:t>
      </w:r>
      <w:r w:rsidRPr="005B4E4B">
        <w:t>s building portfolio. Not all C</w:t>
      </w:r>
      <w:r w:rsidR="000C2DBE">
        <w:t>ouncil buildings are on Council-</w:t>
      </w:r>
      <w:r w:rsidRPr="005B4E4B">
        <w:t xml:space="preserve">owned land. The </w:t>
      </w:r>
      <w:r w:rsidR="00027AAF">
        <w:t>Yarra City Council</w:t>
      </w:r>
      <w:r w:rsidRPr="005B4E4B">
        <w:t xml:space="preserve"> has a high proportion of buildings on Crown Land for which we are Committee of Management (COM) or leased to </w:t>
      </w:r>
      <w:r w:rsidR="00027AAF">
        <w:t>Yarra City Council</w:t>
      </w:r>
      <w:r w:rsidRPr="005B4E4B">
        <w:t xml:space="preserve"> from other agencies.</w:t>
      </w:r>
    </w:p>
    <w:p w:rsidR="009E4B10" w:rsidRPr="005B4E4B" w:rsidRDefault="009E4B10" w:rsidP="002E3FD9">
      <w:pPr>
        <w:ind w:left="720"/>
      </w:pPr>
    </w:p>
    <w:p w:rsidR="00514D7F" w:rsidRDefault="00514D7F" w:rsidP="002E3FD9">
      <w:pPr>
        <w:ind w:left="720"/>
      </w:pPr>
      <w:r w:rsidRPr="005B4E4B">
        <w:t>Council maintenance responsibilities vary by building ownership and occupancy type. There are three main types:</w:t>
      </w:r>
    </w:p>
    <w:p w:rsidR="009E4B10" w:rsidRPr="005B4E4B" w:rsidRDefault="009E4B10" w:rsidP="002E3FD9">
      <w:pPr>
        <w:ind w:left="720"/>
      </w:pPr>
    </w:p>
    <w:p w:rsidR="00514D7F" w:rsidRPr="009E4B10" w:rsidRDefault="00514D7F" w:rsidP="008348B5">
      <w:pPr>
        <w:pStyle w:val="ListParagraph"/>
        <w:numPr>
          <w:ilvl w:val="0"/>
          <w:numId w:val="39"/>
        </w:numPr>
        <w:rPr>
          <w:rFonts w:ascii="Arial" w:hAnsi="Arial" w:cs="Arial"/>
          <w:sz w:val="20"/>
        </w:rPr>
      </w:pPr>
      <w:r w:rsidRPr="009E4B10">
        <w:rPr>
          <w:rFonts w:ascii="Arial" w:hAnsi="Arial" w:cs="Arial"/>
          <w:sz w:val="20"/>
        </w:rPr>
        <w:t>Buildings owned and occupied by Council;</w:t>
      </w:r>
    </w:p>
    <w:p w:rsidR="00514D7F" w:rsidRPr="009E4B10" w:rsidRDefault="00514D7F" w:rsidP="008348B5">
      <w:pPr>
        <w:pStyle w:val="ListParagraph"/>
        <w:numPr>
          <w:ilvl w:val="0"/>
          <w:numId w:val="39"/>
        </w:numPr>
        <w:rPr>
          <w:rFonts w:ascii="Arial" w:hAnsi="Arial" w:cs="Arial"/>
          <w:sz w:val="20"/>
        </w:rPr>
      </w:pPr>
      <w:r w:rsidRPr="009E4B10">
        <w:rPr>
          <w:rFonts w:ascii="Arial" w:hAnsi="Arial" w:cs="Arial"/>
          <w:sz w:val="20"/>
        </w:rPr>
        <w:t>Buildings owned by Council and occupied by others; and</w:t>
      </w:r>
    </w:p>
    <w:p w:rsidR="00514D7F" w:rsidRPr="009E4B10" w:rsidRDefault="00514D7F" w:rsidP="008348B5">
      <w:pPr>
        <w:pStyle w:val="ListParagraph"/>
        <w:numPr>
          <w:ilvl w:val="0"/>
          <w:numId w:val="39"/>
        </w:numPr>
        <w:rPr>
          <w:rFonts w:ascii="Arial" w:hAnsi="Arial" w:cs="Arial"/>
          <w:sz w:val="20"/>
        </w:rPr>
      </w:pPr>
      <w:r w:rsidRPr="009E4B10">
        <w:rPr>
          <w:rFonts w:ascii="Arial" w:hAnsi="Arial" w:cs="Arial"/>
          <w:sz w:val="20"/>
        </w:rPr>
        <w:t>Buildings owned by others on Council-owned land.</w:t>
      </w:r>
    </w:p>
    <w:p w:rsidR="009E4B10" w:rsidRPr="00400446" w:rsidRDefault="009E4B10" w:rsidP="002E3FD9">
      <w:pPr>
        <w:ind w:left="720"/>
      </w:pPr>
    </w:p>
    <w:p w:rsidR="00514D7F" w:rsidRDefault="00514D7F" w:rsidP="002E3FD9">
      <w:pPr>
        <w:ind w:left="720"/>
      </w:pPr>
      <w:r w:rsidRPr="005B4E4B">
        <w:t>All maintenance work for buildings that are owned and occupied by Council is managed by Council.</w:t>
      </w:r>
    </w:p>
    <w:p w:rsidR="00400446" w:rsidRPr="005B4E4B" w:rsidRDefault="00400446" w:rsidP="002E3FD9">
      <w:pPr>
        <w:ind w:left="720"/>
      </w:pPr>
    </w:p>
    <w:p w:rsidR="00514D7F" w:rsidRPr="005B4E4B" w:rsidRDefault="00514D7F" w:rsidP="00CE5EFF">
      <w:pPr>
        <w:keepNext/>
        <w:keepLines/>
        <w:ind w:left="720"/>
      </w:pPr>
      <w:r w:rsidRPr="005B4E4B">
        <w:t xml:space="preserve">Maintenance activities are identified under three major categories </w:t>
      </w:r>
      <w:r w:rsidR="00CE5EFF">
        <w:t>as shown in the following table:</w:t>
      </w:r>
    </w:p>
    <w:p w:rsidR="007612EB" w:rsidRPr="005520A3" w:rsidRDefault="007612EB" w:rsidP="00CE5EFF">
      <w:pPr>
        <w:keepNext/>
        <w:keepLines/>
        <w:ind w:left="720"/>
      </w:pPr>
    </w:p>
    <w:tbl>
      <w:tblPr>
        <w:tblW w:w="8421"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11"/>
        <w:gridCol w:w="3402"/>
        <w:gridCol w:w="3508"/>
      </w:tblGrid>
      <w:tr w:rsidR="002E3FD9" w:rsidRPr="00400446" w:rsidTr="0070296D">
        <w:trPr>
          <w:cantSplit/>
          <w:tblHeader/>
          <w:jc w:val="right"/>
        </w:trPr>
        <w:tc>
          <w:tcPr>
            <w:tcW w:w="1511" w:type="dxa"/>
            <w:shd w:val="clear" w:color="auto" w:fill="95B3D7" w:themeFill="accent1" w:themeFillTint="99"/>
          </w:tcPr>
          <w:p w:rsidR="00514D7F" w:rsidRPr="00400446" w:rsidRDefault="00514D7F" w:rsidP="00CE5EFF">
            <w:pPr>
              <w:keepNext/>
              <w:keepLines/>
              <w:spacing w:before="120" w:after="120"/>
              <w:rPr>
                <w:b/>
              </w:rPr>
            </w:pPr>
            <w:r w:rsidRPr="00400446">
              <w:rPr>
                <w:b/>
              </w:rPr>
              <w:t>Maintenance</w:t>
            </w:r>
          </w:p>
        </w:tc>
        <w:tc>
          <w:tcPr>
            <w:tcW w:w="3402" w:type="dxa"/>
            <w:shd w:val="clear" w:color="auto" w:fill="95B3D7" w:themeFill="accent1" w:themeFillTint="99"/>
          </w:tcPr>
          <w:p w:rsidR="00514D7F" w:rsidRPr="00400446" w:rsidRDefault="00514D7F" w:rsidP="00CE5EFF">
            <w:pPr>
              <w:keepNext/>
              <w:keepLines/>
              <w:spacing w:before="120" w:after="120"/>
              <w:jc w:val="center"/>
              <w:rPr>
                <w:b/>
              </w:rPr>
            </w:pPr>
            <w:r w:rsidRPr="00400446">
              <w:rPr>
                <w:b/>
              </w:rPr>
              <w:t>Description</w:t>
            </w:r>
          </w:p>
        </w:tc>
        <w:tc>
          <w:tcPr>
            <w:tcW w:w="3508" w:type="dxa"/>
            <w:shd w:val="clear" w:color="auto" w:fill="95B3D7" w:themeFill="accent1" w:themeFillTint="99"/>
          </w:tcPr>
          <w:p w:rsidR="00514D7F" w:rsidRPr="00400446" w:rsidRDefault="00514D7F" w:rsidP="00CE5EFF">
            <w:pPr>
              <w:keepNext/>
              <w:keepLines/>
              <w:spacing w:before="120" w:after="120"/>
              <w:jc w:val="center"/>
              <w:rPr>
                <w:b/>
              </w:rPr>
            </w:pPr>
            <w:r w:rsidRPr="00400446">
              <w:rPr>
                <w:b/>
              </w:rPr>
              <w:t>Examples</w:t>
            </w:r>
          </w:p>
        </w:tc>
      </w:tr>
      <w:tr w:rsidR="002E3FD9" w:rsidRPr="00400446" w:rsidTr="0070296D">
        <w:trPr>
          <w:cantSplit/>
          <w:jc w:val="right"/>
        </w:trPr>
        <w:tc>
          <w:tcPr>
            <w:tcW w:w="1511" w:type="dxa"/>
          </w:tcPr>
          <w:p w:rsidR="00514D7F" w:rsidRPr="00400446" w:rsidRDefault="00514D7F" w:rsidP="00CE5EFF">
            <w:pPr>
              <w:keepNext/>
              <w:keepLines/>
              <w:spacing w:before="120" w:after="120"/>
              <w:jc w:val="left"/>
            </w:pPr>
            <w:r w:rsidRPr="00400446">
              <w:t>Compliance</w:t>
            </w:r>
          </w:p>
        </w:tc>
        <w:tc>
          <w:tcPr>
            <w:tcW w:w="3402" w:type="dxa"/>
          </w:tcPr>
          <w:p w:rsidR="00514D7F" w:rsidRPr="00400446" w:rsidRDefault="00514D7F" w:rsidP="00CE5EFF">
            <w:pPr>
              <w:keepNext/>
              <w:keepLines/>
              <w:spacing w:before="120" w:after="120"/>
              <w:jc w:val="left"/>
            </w:pPr>
            <w:r w:rsidRPr="00400446">
              <w:t>They include works which are identified from annual building audits, to comply with regulations</w:t>
            </w:r>
          </w:p>
        </w:tc>
        <w:tc>
          <w:tcPr>
            <w:tcW w:w="3508" w:type="dxa"/>
          </w:tcPr>
          <w:p w:rsidR="00514D7F" w:rsidRPr="00400446" w:rsidRDefault="00514D7F" w:rsidP="00CE5EFF">
            <w:pPr>
              <w:keepNext/>
              <w:keepLines/>
              <w:spacing w:before="120" w:after="120"/>
              <w:jc w:val="left"/>
            </w:pPr>
            <w:r w:rsidRPr="00400446">
              <w:t>Essential Safety Me</w:t>
            </w:r>
            <w:r w:rsidR="00415F10" w:rsidRPr="00400446">
              <w:t xml:space="preserve">asures such as emergency lifts </w:t>
            </w:r>
            <w:r w:rsidR="00027AAF" w:rsidRPr="00400446">
              <w:t xml:space="preserve">and </w:t>
            </w:r>
            <w:r w:rsidRPr="00400446">
              <w:t>fire protection system</w:t>
            </w:r>
            <w:r w:rsidR="00027AAF" w:rsidRPr="00400446">
              <w:t>s</w:t>
            </w:r>
            <w:r w:rsidRPr="00400446">
              <w:t>.</w:t>
            </w:r>
          </w:p>
        </w:tc>
      </w:tr>
      <w:tr w:rsidR="002E3FD9" w:rsidRPr="00400446" w:rsidTr="0070296D">
        <w:trPr>
          <w:cantSplit/>
          <w:jc w:val="right"/>
        </w:trPr>
        <w:tc>
          <w:tcPr>
            <w:tcW w:w="1511" w:type="dxa"/>
          </w:tcPr>
          <w:p w:rsidR="00514D7F" w:rsidRPr="00400446" w:rsidRDefault="00514D7F" w:rsidP="00CE5EFF">
            <w:pPr>
              <w:keepNext/>
              <w:keepLines/>
              <w:spacing w:before="120" w:after="120"/>
              <w:jc w:val="left"/>
            </w:pPr>
            <w:r w:rsidRPr="00400446">
              <w:t>Routine</w:t>
            </w:r>
            <w:r w:rsidR="00E27317" w:rsidRPr="00400446">
              <w:t>/</w:t>
            </w:r>
            <w:r w:rsidR="00400446">
              <w:t xml:space="preserve"> </w:t>
            </w:r>
            <w:r w:rsidR="00E27317" w:rsidRPr="00400446">
              <w:t>Programmed</w:t>
            </w:r>
          </w:p>
        </w:tc>
        <w:tc>
          <w:tcPr>
            <w:tcW w:w="3402" w:type="dxa"/>
          </w:tcPr>
          <w:p w:rsidR="00514D7F" w:rsidRPr="00400446" w:rsidRDefault="00514D7F" w:rsidP="00CE5EFF">
            <w:pPr>
              <w:keepNext/>
              <w:keepLines/>
              <w:spacing w:before="120" w:after="120"/>
              <w:jc w:val="left"/>
            </w:pPr>
            <w:r w:rsidRPr="00400446">
              <w:t xml:space="preserve">Works which are required to be undertaken </w:t>
            </w:r>
            <w:r w:rsidR="00415F10" w:rsidRPr="00400446">
              <w:t>on a cyclical basis</w:t>
            </w:r>
            <w:r w:rsidRPr="00400446">
              <w:t xml:space="preserve"> and are scheduled</w:t>
            </w:r>
            <w:r w:rsidR="00415F10" w:rsidRPr="00400446">
              <w:t>.</w:t>
            </w:r>
          </w:p>
        </w:tc>
        <w:tc>
          <w:tcPr>
            <w:tcW w:w="3508" w:type="dxa"/>
          </w:tcPr>
          <w:p w:rsidR="00514D7F" w:rsidRPr="00400446" w:rsidRDefault="00514D7F" w:rsidP="00CE5EFF">
            <w:pPr>
              <w:keepNext/>
              <w:keepLines/>
              <w:spacing w:before="120" w:after="120"/>
              <w:jc w:val="left"/>
            </w:pPr>
            <w:r w:rsidRPr="00400446">
              <w:t xml:space="preserve">Floor sealing, gutter cleaning, inspection, fire, electrical </w:t>
            </w:r>
            <w:r w:rsidR="00927AFA">
              <w:t>and</w:t>
            </w:r>
            <w:r w:rsidRPr="00400446">
              <w:t xml:space="preserve"> mechanical servicing, painting etc</w:t>
            </w:r>
            <w:r w:rsidR="00400446">
              <w:t>.</w:t>
            </w:r>
          </w:p>
        </w:tc>
      </w:tr>
      <w:tr w:rsidR="002E3FD9" w:rsidRPr="00400446" w:rsidTr="0070296D">
        <w:trPr>
          <w:cantSplit/>
          <w:jc w:val="right"/>
        </w:trPr>
        <w:tc>
          <w:tcPr>
            <w:tcW w:w="1511" w:type="dxa"/>
          </w:tcPr>
          <w:p w:rsidR="00514D7F" w:rsidRPr="00400446" w:rsidRDefault="00514D7F" w:rsidP="00CE5EFF">
            <w:pPr>
              <w:keepNext/>
              <w:keepLines/>
              <w:spacing w:before="120" w:after="120"/>
              <w:jc w:val="left"/>
            </w:pPr>
            <w:r w:rsidRPr="00400446">
              <w:t>Reactive</w:t>
            </w:r>
          </w:p>
        </w:tc>
        <w:tc>
          <w:tcPr>
            <w:tcW w:w="3402" w:type="dxa"/>
          </w:tcPr>
          <w:p w:rsidR="00514D7F" w:rsidRPr="00400446" w:rsidRDefault="00514D7F" w:rsidP="00CE5EFF">
            <w:pPr>
              <w:keepNext/>
              <w:keepLines/>
              <w:spacing w:before="120" w:after="120"/>
              <w:jc w:val="left"/>
            </w:pPr>
            <w:r w:rsidRPr="00400446">
              <w:t>Works which are required to be undertaken in response to reported problems, i.e. on reactive requests that are not foreseen.</w:t>
            </w:r>
          </w:p>
        </w:tc>
        <w:tc>
          <w:tcPr>
            <w:tcW w:w="3508" w:type="dxa"/>
          </w:tcPr>
          <w:p w:rsidR="00514D7F" w:rsidRPr="00400446" w:rsidRDefault="00514D7F" w:rsidP="00CE5EFF">
            <w:pPr>
              <w:keepNext/>
              <w:keepLines/>
              <w:spacing w:before="120" w:after="120"/>
              <w:jc w:val="left"/>
            </w:pPr>
            <w:r w:rsidRPr="00400446">
              <w:t>Broken glass, plumbing leaks and blockages, roof damage, vandalism.</w:t>
            </w:r>
          </w:p>
        </w:tc>
      </w:tr>
    </w:tbl>
    <w:p w:rsidR="00340BAF" w:rsidRPr="0024611A" w:rsidRDefault="00737599" w:rsidP="00CE5EFF">
      <w:pPr>
        <w:pStyle w:val="Caption"/>
        <w:keepNext/>
        <w:keepLines/>
        <w:spacing w:before="240" w:after="240"/>
        <w:ind w:left="720"/>
        <w:jc w:val="center"/>
        <w:rPr>
          <w:rFonts w:ascii="Arial" w:hAnsi="Arial"/>
          <w:i w:val="0"/>
          <w:iCs w:val="0"/>
          <w:sz w:val="20"/>
          <w:lang w:val="en-AU"/>
        </w:rPr>
      </w:pPr>
      <w:bookmarkStart w:id="29" w:name="_Toc364945411"/>
      <w:r w:rsidRPr="0024611A">
        <w:rPr>
          <w:rFonts w:ascii="Arial" w:hAnsi="Arial"/>
          <w:i w:val="0"/>
          <w:iCs w:val="0"/>
          <w:sz w:val="20"/>
          <w:lang w:val="en-AU"/>
        </w:rPr>
        <w:t xml:space="preserve">Table </w:t>
      </w:r>
      <w:r w:rsidR="0090414C" w:rsidRPr="0024611A">
        <w:rPr>
          <w:rFonts w:ascii="Arial" w:hAnsi="Arial"/>
          <w:i w:val="0"/>
          <w:iCs w:val="0"/>
          <w:sz w:val="20"/>
          <w:lang w:val="en-AU"/>
        </w:rPr>
        <w:fldChar w:fldCharType="begin"/>
      </w:r>
      <w:r w:rsidRPr="0024611A">
        <w:rPr>
          <w:rFonts w:ascii="Arial" w:hAnsi="Arial"/>
          <w:i w:val="0"/>
          <w:iCs w:val="0"/>
          <w:sz w:val="20"/>
          <w:lang w:val="en-AU"/>
        </w:rPr>
        <w:instrText xml:space="preserve"> SEQ Table \* ARABIC </w:instrText>
      </w:r>
      <w:r w:rsidR="0090414C" w:rsidRPr="0024611A">
        <w:rPr>
          <w:rFonts w:ascii="Arial" w:hAnsi="Arial"/>
          <w:i w:val="0"/>
          <w:iCs w:val="0"/>
          <w:sz w:val="20"/>
          <w:lang w:val="en-AU"/>
        </w:rPr>
        <w:fldChar w:fldCharType="separate"/>
      </w:r>
      <w:r w:rsidR="00751CEC">
        <w:rPr>
          <w:rFonts w:ascii="Arial" w:hAnsi="Arial"/>
          <w:i w:val="0"/>
          <w:iCs w:val="0"/>
          <w:noProof/>
          <w:sz w:val="20"/>
          <w:lang w:val="en-AU"/>
        </w:rPr>
        <w:t>7</w:t>
      </w:r>
      <w:r w:rsidR="0090414C" w:rsidRPr="0024611A">
        <w:rPr>
          <w:rFonts w:ascii="Arial" w:hAnsi="Arial"/>
          <w:i w:val="0"/>
          <w:iCs w:val="0"/>
          <w:sz w:val="20"/>
          <w:lang w:val="en-AU"/>
        </w:rPr>
        <w:fldChar w:fldCharType="end"/>
      </w:r>
      <w:r w:rsidR="00340BAF" w:rsidRPr="0024611A">
        <w:rPr>
          <w:rFonts w:ascii="Arial" w:hAnsi="Arial"/>
          <w:i w:val="0"/>
          <w:iCs w:val="0"/>
          <w:sz w:val="20"/>
          <w:lang w:val="en-AU"/>
        </w:rPr>
        <w:t>:</w:t>
      </w:r>
      <w:r w:rsidR="0033721F" w:rsidRPr="0024611A">
        <w:rPr>
          <w:rFonts w:ascii="Arial" w:hAnsi="Arial"/>
          <w:i w:val="0"/>
          <w:iCs w:val="0"/>
          <w:sz w:val="20"/>
          <w:lang w:val="en-AU"/>
        </w:rPr>
        <w:t xml:space="preserve"> </w:t>
      </w:r>
      <w:r w:rsidR="00340BAF" w:rsidRPr="0024611A">
        <w:rPr>
          <w:rFonts w:ascii="Arial" w:hAnsi="Arial"/>
          <w:i w:val="0"/>
          <w:iCs w:val="0"/>
          <w:sz w:val="20"/>
          <w:lang w:val="en-AU"/>
        </w:rPr>
        <w:t xml:space="preserve"> Building Maintenance Activities</w:t>
      </w:r>
      <w:bookmarkEnd w:id="29"/>
    </w:p>
    <w:p w:rsidR="00340BAF" w:rsidRPr="0077153D" w:rsidRDefault="00340BAF" w:rsidP="002E3FD9">
      <w:pPr>
        <w:ind w:left="720"/>
      </w:pPr>
      <w:r w:rsidRPr="005B4E4B">
        <w:t>Council has a documented Building Management Operational Plan which covers the operational and maintenance activities in more detail.</w:t>
      </w:r>
      <w:r>
        <w:t xml:space="preserve"> </w:t>
      </w:r>
      <w:r w:rsidRPr="0077153D">
        <w:t xml:space="preserve">Proactive inspections of buildings are the cornerstone of the maintenance and renewal programs for these assets. </w:t>
      </w:r>
    </w:p>
    <w:p w:rsidR="002B25DA" w:rsidRPr="005B4E4B" w:rsidRDefault="002B25DA" w:rsidP="002E3FD9">
      <w:pPr>
        <w:ind w:left="720"/>
        <w:rPr>
          <w:color w:val="000000"/>
        </w:rPr>
      </w:pPr>
    </w:p>
    <w:p w:rsidR="00340BAF" w:rsidRDefault="00340BAF" w:rsidP="002E3FD9">
      <w:pPr>
        <w:ind w:left="720"/>
      </w:pPr>
      <w:r w:rsidRPr="005B4E4B">
        <w:t xml:space="preserve">There are a number of inspection programs that are undertaken by the Buildings and Property Branch in order to identify defects and obtain condition data on the building infrastructure. Inspections are carried out either by Council staff or, by industry specialists where compliances with relevant legislation are required such as the Essential Safety Measures or building evacuation systems etc. The information obtained from these inspections is used to prioritise maintenance activities and develop future capital works programs. </w:t>
      </w:r>
    </w:p>
    <w:p w:rsidR="002B25DA" w:rsidRPr="005B4E4B" w:rsidRDefault="002B25DA" w:rsidP="002E3FD9">
      <w:pPr>
        <w:ind w:left="720"/>
      </w:pPr>
    </w:p>
    <w:p w:rsidR="00340BAF" w:rsidRDefault="00340BAF" w:rsidP="002E3FD9">
      <w:pPr>
        <w:ind w:left="720"/>
      </w:pPr>
      <w:r w:rsidRPr="005B4E4B">
        <w:t>The inspection programs fall into two categories:</w:t>
      </w:r>
    </w:p>
    <w:p w:rsidR="00237E04" w:rsidRPr="005B4E4B" w:rsidRDefault="00237E04" w:rsidP="002E3FD9">
      <w:pPr>
        <w:ind w:left="720"/>
      </w:pPr>
    </w:p>
    <w:p w:rsidR="00340BAF" w:rsidRPr="002B25DA" w:rsidRDefault="00CE5EFF" w:rsidP="008348B5">
      <w:pPr>
        <w:pStyle w:val="ListParagraph"/>
        <w:numPr>
          <w:ilvl w:val="0"/>
          <w:numId w:val="40"/>
        </w:numPr>
        <w:rPr>
          <w:rFonts w:ascii="Arial" w:hAnsi="Arial" w:cs="Arial"/>
          <w:sz w:val="20"/>
        </w:rPr>
      </w:pPr>
      <w:r>
        <w:rPr>
          <w:rFonts w:ascii="Arial" w:hAnsi="Arial" w:cs="Arial"/>
          <w:sz w:val="20"/>
        </w:rPr>
        <w:t>Asset Defect</w:t>
      </w:r>
      <w:r w:rsidR="00340BAF" w:rsidRPr="002B25DA">
        <w:rPr>
          <w:rFonts w:ascii="Arial" w:hAnsi="Arial" w:cs="Arial"/>
          <w:sz w:val="20"/>
        </w:rPr>
        <w:t>/Hazard Inspection; and</w:t>
      </w:r>
    </w:p>
    <w:p w:rsidR="00340BAF" w:rsidRPr="002B25DA" w:rsidRDefault="00CE5EFF" w:rsidP="008348B5">
      <w:pPr>
        <w:pStyle w:val="ListParagraph"/>
        <w:numPr>
          <w:ilvl w:val="0"/>
          <w:numId w:val="40"/>
        </w:numPr>
        <w:rPr>
          <w:rFonts w:ascii="Arial" w:hAnsi="Arial" w:cs="Arial"/>
          <w:sz w:val="20"/>
        </w:rPr>
      </w:pPr>
      <w:r>
        <w:rPr>
          <w:rFonts w:ascii="Arial" w:hAnsi="Arial" w:cs="Arial"/>
          <w:sz w:val="20"/>
        </w:rPr>
        <w:t>Facility Audit</w:t>
      </w:r>
      <w:r w:rsidR="00340BAF" w:rsidRPr="002B25DA">
        <w:rPr>
          <w:rFonts w:ascii="Arial" w:hAnsi="Arial" w:cs="Arial"/>
          <w:sz w:val="20"/>
        </w:rPr>
        <w:t xml:space="preserve">/Condition </w:t>
      </w:r>
      <w:r w:rsidR="00237E04" w:rsidRPr="002B25DA">
        <w:rPr>
          <w:rFonts w:ascii="Arial" w:hAnsi="Arial" w:cs="Arial"/>
          <w:sz w:val="20"/>
        </w:rPr>
        <w:t>a</w:t>
      </w:r>
      <w:r w:rsidR="00340BAF" w:rsidRPr="002B25DA">
        <w:rPr>
          <w:rFonts w:ascii="Arial" w:hAnsi="Arial" w:cs="Arial"/>
          <w:sz w:val="20"/>
        </w:rPr>
        <w:t>ssessment.</w:t>
      </w:r>
    </w:p>
    <w:p w:rsidR="00237E04" w:rsidRPr="005B4E4B" w:rsidRDefault="00237E04" w:rsidP="002E3FD9">
      <w:pPr>
        <w:ind w:left="720"/>
        <w:rPr>
          <w:rFonts w:cs="Arial"/>
        </w:rPr>
      </w:pPr>
    </w:p>
    <w:p w:rsidR="00340BAF" w:rsidRDefault="00340BAF" w:rsidP="00C47D09">
      <w:pPr>
        <w:ind w:left="720"/>
      </w:pPr>
      <w:r w:rsidRPr="005B4E4B">
        <w:t>Generally, defects identified are captured at the asset sub-component level, i.e. windows, curtains, guttering, hot water units, etc whereas condition assessment is recorded at the asset component level, i.e. floor, wall, roof, etc. Defects data form the basis of maintenance and repair programs whereas the condition information guides the d</w:t>
      </w:r>
      <w:r w:rsidR="00CE5EFF">
        <w:t>evelopment of long term renewal</w:t>
      </w:r>
      <w:r w:rsidRPr="005B4E4B">
        <w:t>/replacement program.</w:t>
      </w:r>
    </w:p>
    <w:p w:rsidR="00340BAF" w:rsidRDefault="00340BAF" w:rsidP="002E3FD9">
      <w:pPr>
        <w:ind w:left="720"/>
      </w:pPr>
    </w:p>
    <w:p w:rsidR="00340BAF" w:rsidRDefault="00340BAF" w:rsidP="002E3FD9">
      <w:pPr>
        <w:ind w:left="720"/>
      </w:pPr>
      <w:r w:rsidRPr="005B4E4B">
        <w:t>Maintenance strategies are designed to enable existing assets to operate to their service potential over their useful life. The primary considerations, in the order of priority, that drive the building maintenance programs are:</w:t>
      </w:r>
    </w:p>
    <w:p w:rsidR="00340BAF" w:rsidRPr="005B4E4B" w:rsidRDefault="00340BAF" w:rsidP="002E3FD9">
      <w:pPr>
        <w:ind w:left="720"/>
      </w:pPr>
    </w:p>
    <w:tbl>
      <w:tblPr>
        <w:tblW w:w="8421"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04"/>
        <w:gridCol w:w="4217"/>
      </w:tblGrid>
      <w:tr w:rsidR="00340BAF" w:rsidRPr="002B25DA" w:rsidTr="0070296D">
        <w:trPr>
          <w:trHeight w:val="460"/>
          <w:jc w:val="right"/>
        </w:trPr>
        <w:tc>
          <w:tcPr>
            <w:tcW w:w="8421" w:type="dxa"/>
            <w:gridSpan w:val="2"/>
            <w:shd w:val="clear" w:color="auto" w:fill="95B3D7" w:themeFill="accent1" w:themeFillTint="99"/>
            <w:vAlign w:val="center"/>
          </w:tcPr>
          <w:p w:rsidR="00340BAF" w:rsidRPr="002B25DA" w:rsidRDefault="00340BAF" w:rsidP="002B25DA">
            <w:pPr>
              <w:spacing w:before="120" w:after="120"/>
              <w:rPr>
                <w:b/>
              </w:rPr>
            </w:pPr>
            <w:r w:rsidRPr="002B25DA">
              <w:rPr>
                <w:b/>
              </w:rPr>
              <w:t>Maintenance Strategies</w:t>
            </w:r>
          </w:p>
        </w:tc>
      </w:tr>
      <w:tr w:rsidR="00883500" w:rsidRPr="002B25DA" w:rsidTr="0070296D">
        <w:trPr>
          <w:trHeight w:val="460"/>
          <w:jc w:val="right"/>
        </w:trPr>
        <w:tc>
          <w:tcPr>
            <w:tcW w:w="4204" w:type="dxa"/>
            <w:vAlign w:val="center"/>
          </w:tcPr>
          <w:p w:rsidR="00340BAF" w:rsidRPr="002B25DA" w:rsidRDefault="00CE5EFF" w:rsidP="002B25DA">
            <w:pPr>
              <w:spacing w:before="120" w:after="120"/>
              <w:jc w:val="left"/>
            </w:pPr>
            <w:r>
              <w:t>Safety/Liability</w:t>
            </w:r>
            <w:r w:rsidR="00340BAF" w:rsidRPr="002B25DA">
              <w:t>/Structural</w:t>
            </w:r>
          </w:p>
        </w:tc>
        <w:tc>
          <w:tcPr>
            <w:tcW w:w="4217" w:type="dxa"/>
            <w:vAlign w:val="center"/>
          </w:tcPr>
          <w:p w:rsidR="00340BAF" w:rsidRPr="002B25DA" w:rsidRDefault="00340BAF" w:rsidP="002B25DA">
            <w:pPr>
              <w:spacing w:before="120" w:after="120"/>
              <w:jc w:val="left"/>
            </w:pPr>
            <w:r w:rsidRPr="002B25DA">
              <w:t>Is there a health and/or safety risk?</w:t>
            </w:r>
          </w:p>
        </w:tc>
      </w:tr>
      <w:tr w:rsidR="00883500" w:rsidRPr="002B25DA" w:rsidTr="0070296D">
        <w:trPr>
          <w:jc w:val="right"/>
        </w:trPr>
        <w:tc>
          <w:tcPr>
            <w:tcW w:w="4204" w:type="dxa"/>
            <w:vAlign w:val="center"/>
          </w:tcPr>
          <w:p w:rsidR="00340BAF" w:rsidRPr="002B25DA" w:rsidRDefault="00CE5EFF" w:rsidP="002B25DA">
            <w:pPr>
              <w:spacing w:before="120" w:after="120"/>
              <w:jc w:val="left"/>
            </w:pPr>
            <w:r>
              <w:t>Security</w:t>
            </w:r>
            <w:r w:rsidR="00340BAF" w:rsidRPr="002B25DA">
              <w:t>/Compliance (Essential Safety Measures)</w:t>
            </w:r>
          </w:p>
        </w:tc>
        <w:tc>
          <w:tcPr>
            <w:tcW w:w="4217" w:type="dxa"/>
            <w:vAlign w:val="center"/>
          </w:tcPr>
          <w:p w:rsidR="00340BAF" w:rsidRPr="002B25DA" w:rsidRDefault="00340BAF" w:rsidP="002B25DA">
            <w:pPr>
              <w:spacing w:before="120" w:after="120"/>
              <w:jc w:val="left"/>
            </w:pPr>
            <w:r w:rsidRPr="002B25DA">
              <w:t>Is there a security risk or breach of compliance?</w:t>
            </w:r>
          </w:p>
        </w:tc>
      </w:tr>
      <w:tr w:rsidR="00883500" w:rsidRPr="002B25DA" w:rsidTr="0070296D">
        <w:trPr>
          <w:trHeight w:val="465"/>
          <w:jc w:val="right"/>
        </w:trPr>
        <w:tc>
          <w:tcPr>
            <w:tcW w:w="4204" w:type="dxa"/>
            <w:vAlign w:val="center"/>
          </w:tcPr>
          <w:p w:rsidR="00340BAF" w:rsidRPr="002B25DA" w:rsidRDefault="00CE5EFF" w:rsidP="002B25DA">
            <w:pPr>
              <w:spacing w:before="120" w:after="120"/>
              <w:jc w:val="left"/>
            </w:pPr>
            <w:r>
              <w:t>Functional/Operations</w:t>
            </w:r>
            <w:r w:rsidR="00340BAF" w:rsidRPr="002B25DA">
              <w:t>/Condition</w:t>
            </w:r>
          </w:p>
        </w:tc>
        <w:tc>
          <w:tcPr>
            <w:tcW w:w="4217" w:type="dxa"/>
            <w:vAlign w:val="center"/>
          </w:tcPr>
          <w:p w:rsidR="00340BAF" w:rsidRPr="002B25DA" w:rsidRDefault="00340BAF" w:rsidP="002B25DA">
            <w:pPr>
              <w:spacing w:before="120" w:after="120"/>
              <w:jc w:val="left"/>
            </w:pPr>
            <w:r w:rsidRPr="002B25DA">
              <w:t>How well does it function?</w:t>
            </w:r>
          </w:p>
        </w:tc>
      </w:tr>
      <w:tr w:rsidR="00883500" w:rsidRPr="002B25DA" w:rsidTr="0070296D">
        <w:trPr>
          <w:jc w:val="right"/>
        </w:trPr>
        <w:tc>
          <w:tcPr>
            <w:tcW w:w="4204" w:type="dxa"/>
            <w:vAlign w:val="center"/>
          </w:tcPr>
          <w:p w:rsidR="00340BAF" w:rsidRPr="002B25DA" w:rsidRDefault="00CE5EFF" w:rsidP="002B25DA">
            <w:pPr>
              <w:spacing w:before="120" w:after="120"/>
              <w:jc w:val="left"/>
            </w:pPr>
            <w:r>
              <w:t>Appearance</w:t>
            </w:r>
            <w:r w:rsidR="00340BAF" w:rsidRPr="002B25DA">
              <w:t>/Aesthetics</w:t>
            </w:r>
          </w:p>
        </w:tc>
        <w:tc>
          <w:tcPr>
            <w:tcW w:w="4217" w:type="dxa"/>
            <w:vAlign w:val="center"/>
          </w:tcPr>
          <w:p w:rsidR="00340BAF" w:rsidRPr="002B25DA" w:rsidRDefault="00340BAF" w:rsidP="002B25DA">
            <w:pPr>
              <w:spacing w:before="120" w:after="120"/>
              <w:jc w:val="left"/>
            </w:pPr>
            <w:r w:rsidRPr="002B25DA">
              <w:t>Is the level of amenity acceptable?</w:t>
            </w:r>
          </w:p>
        </w:tc>
      </w:tr>
    </w:tbl>
    <w:p w:rsidR="008D324C" w:rsidRPr="0024611A" w:rsidRDefault="00737599" w:rsidP="002E3FD9">
      <w:pPr>
        <w:pStyle w:val="Caption"/>
        <w:spacing w:before="240" w:after="240"/>
        <w:ind w:left="720"/>
        <w:jc w:val="center"/>
        <w:rPr>
          <w:rFonts w:ascii="Arial" w:hAnsi="Arial"/>
          <w:i w:val="0"/>
          <w:iCs w:val="0"/>
          <w:sz w:val="20"/>
          <w:lang w:val="en-AU"/>
        </w:rPr>
      </w:pPr>
      <w:bookmarkStart w:id="30" w:name="_Toc364945412"/>
      <w:r w:rsidRPr="0024611A">
        <w:rPr>
          <w:rFonts w:ascii="Arial" w:hAnsi="Arial"/>
          <w:i w:val="0"/>
          <w:iCs w:val="0"/>
          <w:sz w:val="20"/>
          <w:lang w:val="en-AU"/>
        </w:rPr>
        <w:t xml:space="preserve">Table </w:t>
      </w:r>
      <w:r w:rsidR="0090414C" w:rsidRPr="0024611A">
        <w:rPr>
          <w:rFonts w:ascii="Arial" w:hAnsi="Arial"/>
          <w:i w:val="0"/>
          <w:iCs w:val="0"/>
          <w:sz w:val="20"/>
          <w:lang w:val="en-AU"/>
        </w:rPr>
        <w:fldChar w:fldCharType="begin"/>
      </w:r>
      <w:r w:rsidRPr="0024611A">
        <w:rPr>
          <w:rFonts w:ascii="Arial" w:hAnsi="Arial"/>
          <w:i w:val="0"/>
          <w:iCs w:val="0"/>
          <w:sz w:val="20"/>
          <w:lang w:val="en-AU"/>
        </w:rPr>
        <w:instrText xml:space="preserve"> SEQ Table \* ARABIC </w:instrText>
      </w:r>
      <w:r w:rsidR="0090414C" w:rsidRPr="0024611A">
        <w:rPr>
          <w:rFonts w:ascii="Arial" w:hAnsi="Arial"/>
          <w:i w:val="0"/>
          <w:iCs w:val="0"/>
          <w:sz w:val="20"/>
          <w:lang w:val="en-AU"/>
        </w:rPr>
        <w:fldChar w:fldCharType="separate"/>
      </w:r>
      <w:r w:rsidR="00751CEC">
        <w:rPr>
          <w:rFonts w:ascii="Arial" w:hAnsi="Arial"/>
          <w:i w:val="0"/>
          <w:iCs w:val="0"/>
          <w:noProof/>
          <w:sz w:val="20"/>
          <w:lang w:val="en-AU"/>
        </w:rPr>
        <w:t>8</w:t>
      </w:r>
      <w:r w:rsidR="0090414C" w:rsidRPr="0024611A">
        <w:rPr>
          <w:rFonts w:ascii="Arial" w:hAnsi="Arial"/>
          <w:i w:val="0"/>
          <w:iCs w:val="0"/>
          <w:sz w:val="20"/>
          <w:lang w:val="en-AU"/>
        </w:rPr>
        <w:fldChar w:fldCharType="end"/>
      </w:r>
      <w:r w:rsidRPr="0024611A">
        <w:rPr>
          <w:rFonts w:ascii="Arial" w:hAnsi="Arial"/>
          <w:i w:val="0"/>
          <w:iCs w:val="0"/>
          <w:sz w:val="20"/>
          <w:lang w:val="en-AU"/>
        </w:rPr>
        <w:t xml:space="preserve">:  </w:t>
      </w:r>
      <w:r w:rsidR="008D324C" w:rsidRPr="0024611A">
        <w:rPr>
          <w:rFonts w:ascii="Arial" w:hAnsi="Arial"/>
          <w:i w:val="0"/>
          <w:iCs w:val="0"/>
          <w:sz w:val="20"/>
          <w:lang w:val="en-AU"/>
        </w:rPr>
        <w:t>Building Maintenance Strategies</w:t>
      </w:r>
      <w:bookmarkEnd w:id="30"/>
    </w:p>
    <w:p w:rsidR="00340BAF" w:rsidRDefault="00340BAF" w:rsidP="002E3FD9">
      <w:pPr>
        <w:ind w:left="720"/>
      </w:pPr>
      <w:r w:rsidRPr="005B4E4B">
        <w:t>Acts and regulation</w:t>
      </w:r>
      <w:r w:rsidR="003B7425">
        <w:t>s impact on the maintenance of C</w:t>
      </w:r>
      <w:r w:rsidRPr="005B4E4B">
        <w:t xml:space="preserve">ouncil facilities. The requirements may be changed by the introduction of new or amended legislation and regulations. </w:t>
      </w:r>
      <w:r w:rsidR="002B25DA">
        <w:t xml:space="preserve"> </w:t>
      </w:r>
      <w:r w:rsidRPr="005B4E4B">
        <w:t xml:space="preserve">Staff responsible </w:t>
      </w:r>
      <w:r>
        <w:t xml:space="preserve">for the maintenance of </w:t>
      </w:r>
      <w:r w:rsidR="00415F10">
        <w:t>C</w:t>
      </w:r>
      <w:r>
        <w:t>ouncil buildings</w:t>
      </w:r>
      <w:r w:rsidR="00852378">
        <w:t>,</w:t>
      </w:r>
      <w:r w:rsidRPr="005B4E4B">
        <w:t xml:space="preserve"> monitor changes to the statutory requirements as they may affect their scope of operations. </w:t>
      </w:r>
    </w:p>
    <w:p w:rsidR="00FE42F9" w:rsidRDefault="00FE42F9" w:rsidP="002E3FD9">
      <w:pPr>
        <w:ind w:left="720"/>
      </w:pPr>
    </w:p>
    <w:p w:rsidR="00FE42F9" w:rsidRDefault="00FE42F9" w:rsidP="002E3FD9">
      <w:pPr>
        <w:ind w:left="720"/>
      </w:pPr>
      <w:r>
        <w:t>The following figure represents the projected operational and maintenance budget required for the next 10 years from 2013-23</w:t>
      </w:r>
      <w:r w:rsidR="002B25DA">
        <w:t>.</w:t>
      </w:r>
    </w:p>
    <w:p w:rsidR="00FE42F9" w:rsidRDefault="00FE42F9" w:rsidP="002E3FD9">
      <w:pPr>
        <w:ind w:left="720"/>
      </w:pPr>
    </w:p>
    <w:p w:rsidR="00FE42F9" w:rsidRPr="005B4E4B" w:rsidRDefault="00FE42F9" w:rsidP="00883500">
      <w:pPr>
        <w:ind w:left="720"/>
        <w:jc w:val="center"/>
      </w:pPr>
      <w:r w:rsidRPr="00FE42F9">
        <w:rPr>
          <w:noProof/>
        </w:rPr>
        <w:drawing>
          <wp:inline distT="0" distB="0" distL="0" distR="0" wp14:anchorId="07AF112F" wp14:editId="6232FBE2">
            <wp:extent cx="5418944" cy="2585803"/>
            <wp:effectExtent l="0" t="0" r="0" b="508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E60728" w:rsidRPr="0024611A" w:rsidRDefault="00E60728" w:rsidP="00E60728">
      <w:pPr>
        <w:pStyle w:val="Caption"/>
        <w:spacing w:before="240" w:after="240"/>
        <w:ind w:left="720"/>
        <w:jc w:val="center"/>
        <w:rPr>
          <w:rFonts w:ascii="Arial" w:hAnsi="Arial"/>
          <w:i w:val="0"/>
          <w:iCs w:val="0"/>
          <w:sz w:val="20"/>
          <w:lang w:val="en-AU"/>
        </w:rPr>
      </w:pPr>
      <w:bookmarkStart w:id="31" w:name="_Toc364945369"/>
      <w:r w:rsidRPr="0024611A">
        <w:rPr>
          <w:rFonts w:ascii="Arial" w:hAnsi="Arial"/>
          <w:i w:val="0"/>
          <w:iCs w:val="0"/>
          <w:sz w:val="20"/>
          <w:lang w:val="en-AU"/>
        </w:rPr>
        <w:t xml:space="preserve">Figure </w:t>
      </w:r>
      <w:r w:rsidR="0090414C" w:rsidRPr="0024611A">
        <w:rPr>
          <w:rFonts w:ascii="Arial" w:hAnsi="Arial"/>
          <w:i w:val="0"/>
          <w:iCs w:val="0"/>
          <w:sz w:val="20"/>
          <w:lang w:val="en-AU"/>
        </w:rPr>
        <w:fldChar w:fldCharType="begin"/>
      </w:r>
      <w:r w:rsidRPr="0024611A">
        <w:rPr>
          <w:rFonts w:ascii="Arial" w:hAnsi="Arial"/>
          <w:i w:val="0"/>
          <w:iCs w:val="0"/>
          <w:sz w:val="20"/>
          <w:lang w:val="en-AU"/>
        </w:rPr>
        <w:instrText xml:space="preserve"> SEQ Figure \* ARABIC \s 1 </w:instrText>
      </w:r>
      <w:r w:rsidR="0090414C" w:rsidRPr="0024611A">
        <w:rPr>
          <w:rFonts w:ascii="Arial" w:hAnsi="Arial"/>
          <w:i w:val="0"/>
          <w:iCs w:val="0"/>
          <w:sz w:val="20"/>
          <w:lang w:val="en-AU"/>
        </w:rPr>
        <w:fldChar w:fldCharType="separate"/>
      </w:r>
      <w:r w:rsidR="00751CEC">
        <w:rPr>
          <w:rFonts w:ascii="Arial" w:hAnsi="Arial"/>
          <w:i w:val="0"/>
          <w:iCs w:val="0"/>
          <w:noProof/>
          <w:sz w:val="20"/>
          <w:lang w:val="en-AU"/>
        </w:rPr>
        <w:t>5</w:t>
      </w:r>
      <w:r w:rsidR="0090414C" w:rsidRPr="0024611A">
        <w:rPr>
          <w:rFonts w:ascii="Arial" w:hAnsi="Arial"/>
          <w:i w:val="0"/>
          <w:iCs w:val="0"/>
          <w:sz w:val="20"/>
          <w:lang w:val="en-AU"/>
        </w:rPr>
        <w:fldChar w:fldCharType="end"/>
      </w:r>
      <w:r w:rsidR="005419D7">
        <w:rPr>
          <w:rFonts w:ascii="Arial" w:hAnsi="Arial"/>
          <w:i w:val="0"/>
          <w:iCs w:val="0"/>
          <w:sz w:val="20"/>
          <w:lang w:val="en-AU"/>
        </w:rPr>
        <w:t xml:space="preserve">:  10 </w:t>
      </w:r>
      <w:r w:rsidRPr="0024611A">
        <w:rPr>
          <w:rFonts w:ascii="Arial" w:hAnsi="Arial"/>
          <w:i w:val="0"/>
          <w:iCs w:val="0"/>
          <w:sz w:val="20"/>
          <w:lang w:val="en-AU"/>
        </w:rPr>
        <w:t>Year Operational and Maintenance Budget Projection</w:t>
      </w:r>
      <w:bookmarkEnd w:id="31"/>
    </w:p>
    <w:p w:rsidR="00340BAF" w:rsidRDefault="00340BAF" w:rsidP="003E5B9F">
      <w:pPr>
        <w:pStyle w:val="StyleHeading3Heading3Char10ptBefore6pt"/>
      </w:pPr>
      <w:bookmarkStart w:id="32" w:name="_Toc364945235"/>
      <w:r>
        <w:t>Renewal</w:t>
      </w:r>
      <w:bookmarkEnd w:id="32"/>
      <w:r>
        <w:t xml:space="preserve"> </w:t>
      </w:r>
    </w:p>
    <w:p w:rsidR="004C04B1" w:rsidRDefault="004C04B1" w:rsidP="00883500">
      <w:pPr>
        <w:ind w:left="720"/>
      </w:pPr>
      <w:r w:rsidRPr="00CD7D4F">
        <w:t>Asset renewal is the process of restoring the level of service delivered by an asset to its original design level</w:t>
      </w:r>
      <w:r w:rsidR="00100D34">
        <w:t xml:space="preserve"> </w:t>
      </w:r>
      <w:r w:rsidRPr="00CD7D4F">
        <w:t>by repairing or replacing the worn components. The purpose of the renewal strategy is to maintain the levels of service by identifying the most cost effective time to renew the asset.</w:t>
      </w:r>
    </w:p>
    <w:p w:rsidR="00883500" w:rsidRPr="00CD7D4F" w:rsidRDefault="00883500" w:rsidP="00883500">
      <w:pPr>
        <w:ind w:left="720"/>
      </w:pPr>
    </w:p>
    <w:p w:rsidR="00340BAF" w:rsidRDefault="00340BAF" w:rsidP="0024611A">
      <w:pPr>
        <w:keepNext/>
        <w:keepLines/>
        <w:ind w:left="720"/>
      </w:pPr>
      <w:r w:rsidRPr="005B4E4B">
        <w:t>The general renewal strategy is to renew assets when justified by:</w:t>
      </w:r>
    </w:p>
    <w:p w:rsidR="00415F10" w:rsidRPr="005B4E4B" w:rsidRDefault="00415F10" w:rsidP="0024611A">
      <w:pPr>
        <w:keepNext/>
        <w:keepLines/>
        <w:ind w:left="720"/>
      </w:pPr>
    </w:p>
    <w:p w:rsidR="00340BAF" w:rsidRPr="00BC6B48" w:rsidRDefault="00340BAF" w:rsidP="0024611A">
      <w:pPr>
        <w:pStyle w:val="ListParagraph"/>
        <w:keepNext/>
        <w:keepLines/>
        <w:numPr>
          <w:ilvl w:val="0"/>
          <w:numId w:val="41"/>
        </w:numPr>
        <w:rPr>
          <w:rFonts w:ascii="Arial" w:hAnsi="Arial" w:cs="Arial"/>
          <w:sz w:val="20"/>
        </w:rPr>
      </w:pPr>
      <w:r w:rsidRPr="00BC6B48">
        <w:rPr>
          <w:rFonts w:ascii="Arial" w:hAnsi="Arial" w:cs="Arial"/>
          <w:b/>
          <w:sz w:val="20"/>
        </w:rPr>
        <w:t>Risk</w:t>
      </w:r>
      <w:r w:rsidRPr="00BC6B48">
        <w:rPr>
          <w:rFonts w:ascii="Arial" w:hAnsi="Arial" w:cs="Arial"/>
          <w:sz w:val="20"/>
        </w:rPr>
        <w:t xml:space="preserve"> – When the risk of failure and associated impact justifies action (building or individual building service (Vertical transport system etc</w:t>
      </w:r>
      <w:r w:rsidR="00272423">
        <w:rPr>
          <w:rFonts w:ascii="Arial" w:hAnsi="Arial" w:cs="Arial"/>
          <w:sz w:val="20"/>
        </w:rPr>
        <w:t>.</w:t>
      </w:r>
      <w:r w:rsidRPr="00BC6B48">
        <w:rPr>
          <w:rFonts w:ascii="Arial" w:hAnsi="Arial" w:cs="Arial"/>
          <w:sz w:val="20"/>
        </w:rPr>
        <w:t>), probable damage to property/person as a result of inaction);</w:t>
      </w:r>
    </w:p>
    <w:p w:rsidR="00340BAF" w:rsidRPr="00BC6B48" w:rsidRDefault="00340BAF" w:rsidP="008348B5">
      <w:pPr>
        <w:pStyle w:val="ListParagraph"/>
        <w:numPr>
          <w:ilvl w:val="0"/>
          <w:numId w:val="41"/>
        </w:numPr>
        <w:rPr>
          <w:rFonts w:ascii="Arial" w:hAnsi="Arial" w:cs="Arial"/>
          <w:sz w:val="20"/>
        </w:rPr>
      </w:pPr>
      <w:r w:rsidRPr="00BC6B48">
        <w:rPr>
          <w:rFonts w:ascii="Arial" w:hAnsi="Arial" w:cs="Arial"/>
          <w:b/>
          <w:sz w:val="20"/>
        </w:rPr>
        <w:t>Asset performance</w:t>
      </w:r>
      <w:r w:rsidRPr="00BC6B48">
        <w:rPr>
          <w:rFonts w:ascii="Arial" w:hAnsi="Arial" w:cs="Arial"/>
          <w:sz w:val="20"/>
        </w:rPr>
        <w:t xml:space="preserve"> – When the asset fails to meet the required levels of service. Non-performing assets are identified by monitoring asset reliability, capacity and efficiency during planned maintenance and inspections. Indicators of non-performing assets are frequent air conditioner breakdowns, repeated out of service </w:t>
      </w:r>
      <w:r w:rsidR="00027AAF" w:rsidRPr="00BC6B48">
        <w:rPr>
          <w:rFonts w:ascii="Arial" w:hAnsi="Arial" w:cs="Arial"/>
          <w:sz w:val="20"/>
        </w:rPr>
        <w:t xml:space="preserve">lifts </w:t>
      </w:r>
      <w:r w:rsidRPr="00BC6B48">
        <w:rPr>
          <w:rFonts w:ascii="Arial" w:hAnsi="Arial" w:cs="Arial"/>
          <w:sz w:val="20"/>
        </w:rPr>
        <w:t>etc</w:t>
      </w:r>
      <w:r w:rsidR="00272423">
        <w:rPr>
          <w:rFonts w:ascii="Arial" w:hAnsi="Arial" w:cs="Arial"/>
          <w:sz w:val="20"/>
        </w:rPr>
        <w:t>.</w:t>
      </w:r>
      <w:r w:rsidRPr="00BC6B48">
        <w:rPr>
          <w:rFonts w:ascii="Arial" w:hAnsi="Arial" w:cs="Arial"/>
          <w:sz w:val="20"/>
        </w:rPr>
        <w:t>; and</w:t>
      </w:r>
    </w:p>
    <w:p w:rsidR="00340BAF" w:rsidRPr="00BC6B48" w:rsidRDefault="00340BAF" w:rsidP="008348B5">
      <w:pPr>
        <w:pStyle w:val="ListParagraph"/>
        <w:numPr>
          <w:ilvl w:val="0"/>
          <w:numId w:val="41"/>
        </w:numPr>
        <w:rPr>
          <w:rFonts w:ascii="Arial" w:hAnsi="Arial" w:cs="Arial"/>
          <w:sz w:val="20"/>
        </w:rPr>
      </w:pPr>
      <w:r w:rsidRPr="00BC6B48">
        <w:rPr>
          <w:rFonts w:ascii="Arial" w:hAnsi="Arial" w:cs="Arial"/>
          <w:b/>
          <w:sz w:val="20"/>
        </w:rPr>
        <w:t>Economics</w:t>
      </w:r>
      <w:r w:rsidRPr="00BC6B48">
        <w:rPr>
          <w:rFonts w:ascii="Arial" w:hAnsi="Arial" w:cs="Arial"/>
          <w:sz w:val="20"/>
        </w:rPr>
        <w:t xml:space="preserve"> – When it is no longer economically viable to continue to maintain the asset.</w:t>
      </w:r>
    </w:p>
    <w:p w:rsidR="00340BAF" w:rsidRDefault="00340BAF" w:rsidP="002E3FD9">
      <w:pPr>
        <w:ind w:left="720"/>
      </w:pPr>
    </w:p>
    <w:p w:rsidR="00340BAF" w:rsidRDefault="00340BAF" w:rsidP="002E3FD9">
      <w:pPr>
        <w:ind w:left="720"/>
      </w:pPr>
      <w:r w:rsidRPr="005B4E4B">
        <w:t xml:space="preserve">Assets requiring renewal are identified during the program of regular inspections and condition data obtained from the asset register through the ‘Renewal Model’. The renewal model is based on renewing assets or components, within or at the expiration of their useful life. This is called the “intervention level” and reflects the condition where the asset or component no longer meets the service needs required. </w:t>
      </w:r>
    </w:p>
    <w:p w:rsidR="00883500" w:rsidRDefault="00883500" w:rsidP="002E3FD9">
      <w:pPr>
        <w:ind w:left="720"/>
      </w:pPr>
    </w:p>
    <w:p w:rsidR="004C04B1" w:rsidRDefault="004C04B1" w:rsidP="002E3FD9">
      <w:pPr>
        <w:ind w:left="720"/>
      </w:pPr>
      <w:r w:rsidRPr="00452813">
        <w:t>Renewal works identified in terms of renewal strategies may be deferred if the cost (or aggregate cost) is beyond the current financial ability to fund it. This can occur when there are short term renewal profile peaks or higher priority works are required on other infrastructure asset classes.</w:t>
      </w:r>
    </w:p>
    <w:p w:rsidR="00883500" w:rsidRPr="00452813" w:rsidRDefault="00883500" w:rsidP="002E3FD9">
      <w:pPr>
        <w:ind w:left="720"/>
      </w:pPr>
    </w:p>
    <w:p w:rsidR="004C04B1" w:rsidRDefault="004C04B1" w:rsidP="002E3FD9">
      <w:pPr>
        <w:ind w:left="720"/>
      </w:pPr>
      <w:r w:rsidRPr="00452813">
        <w:t>When renewal works are deferred, the impact of the deferral on the system’s ability to continue to provide the required level of service will be assessed. Although the deferral of some renewal works may not impact significantly on the short-term operation of the assets, repeated deferral will create a liability in the longer term.</w:t>
      </w:r>
      <w:r>
        <w:t xml:space="preserve"> It may also result in higher costs for both maintenance to keep the building operational and then actual renewal costs as a result of further deterioration of the asset.</w:t>
      </w:r>
    </w:p>
    <w:p w:rsidR="00883500" w:rsidRDefault="00883500" w:rsidP="002E3FD9">
      <w:pPr>
        <w:ind w:left="720"/>
      </w:pPr>
    </w:p>
    <w:p w:rsidR="005F230A" w:rsidRDefault="005F230A" w:rsidP="000873C4">
      <w:pPr>
        <w:spacing w:before="60"/>
        <w:ind w:left="720"/>
      </w:pPr>
      <w:r w:rsidRPr="005F230A">
        <w:rPr>
          <w:noProof/>
        </w:rPr>
        <w:drawing>
          <wp:inline distT="0" distB="0" distL="0" distR="0" wp14:anchorId="58F5F5B3" wp14:editId="6EDFC3BE">
            <wp:extent cx="5493895" cy="3260361"/>
            <wp:effectExtent l="0" t="0" r="12065" b="16510"/>
            <wp:docPr id="2"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F3761D" w:rsidRPr="0024611A" w:rsidRDefault="00F3761D" w:rsidP="00D17B90">
      <w:pPr>
        <w:pStyle w:val="Caption"/>
        <w:spacing w:before="240" w:after="240"/>
        <w:ind w:left="720"/>
        <w:jc w:val="center"/>
        <w:rPr>
          <w:rFonts w:ascii="Arial" w:hAnsi="Arial"/>
          <w:i w:val="0"/>
          <w:iCs w:val="0"/>
          <w:sz w:val="20"/>
          <w:lang w:val="en-AU"/>
        </w:rPr>
      </w:pPr>
      <w:bookmarkStart w:id="33" w:name="_Toc364945370"/>
      <w:r w:rsidRPr="0024611A">
        <w:rPr>
          <w:rFonts w:ascii="Arial" w:hAnsi="Arial"/>
          <w:i w:val="0"/>
          <w:iCs w:val="0"/>
          <w:sz w:val="20"/>
          <w:lang w:val="en-AU"/>
        </w:rPr>
        <w:t xml:space="preserve">Figure </w:t>
      </w:r>
      <w:r w:rsidR="0090414C" w:rsidRPr="0024611A">
        <w:rPr>
          <w:rFonts w:ascii="Arial" w:hAnsi="Arial"/>
          <w:i w:val="0"/>
          <w:iCs w:val="0"/>
          <w:sz w:val="20"/>
          <w:lang w:val="en-AU"/>
        </w:rPr>
        <w:fldChar w:fldCharType="begin"/>
      </w:r>
      <w:r w:rsidRPr="0024611A">
        <w:rPr>
          <w:rFonts w:ascii="Arial" w:hAnsi="Arial"/>
          <w:i w:val="0"/>
          <w:iCs w:val="0"/>
          <w:sz w:val="20"/>
          <w:lang w:val="en-AU"/>
        </w:rPr>
        <w:instrText xml:space="preserve"> SEQ Figure \* ARABIC \s 1 </w:instrText>
      </w:r>
      <w:r w:rsidR="0090414C" w:rsidRPr="0024611A">
        <w:rPr>
          <w:rFonts w:ascii="Arial" w:hAnsi="Arial"/>
          <w:i w:val="0"/>
          <w:iCs w:val="0"/>
          <w:sz w:val="20"/>
          <w:lang w:val="en-AU"/>
        </w:rPr>
        <w:fldChar w:fldCharType="separate"/>
      </w:r>
      <w:r w:rsidR="00751CEC">
        <w:rPr>
          <w:rFonts w:ascii="Arial" w:hAnsi="Arial"/>
          <w:i w:val="0"/>
          <w:iCs w:val="0"/>
          <w:noProof/>
          <w:sz w:val="20"/>
          <w:lang w:val="en-AU"/>
        </w:rPr>
        <w:t>6</w:t>
      </w:r>
      <w:r w:rsidR="0090414C" w:rsidRPr="0024611A">
        <w:rPr>
          <w:rFonts w:ascii="Arial" w:hAnsi="Arial"/>
          <w:i w:val="0"/>
          <w:iCs w:val="0"/>
          <w:sz w:val="20"/>
          <w:lang w:val="en-AU"/>
        </w:rPr>
        <w:fldChar w:fldCharType="end"/>
      </w:r>
      <w:r w:rsidRPr="0024611A">
        <w:rPr>
          <w:rFonts w:ascii="Arial" w:hAnsi="Arial"/>
          <w:i w:val="0"/>
          <w:iCs w:val="0"/>
          <w:sz w:val="20"/>
          <w:lang w:val="en-AU"/>
        </w:rPr>
        <w:t>:  Renewal Budget Past 5 Years</w:t>
      </w:r>
      <w:bookmarkEnd w:id="33"/>
    </w:p>
    <w:p w:rsidR="00CB58DD" w:rsidRPr="00EB04FF" w:rsidRDefault="004C04B1" w:rsidP="00272423">
      <w:pPr>
        <w:keepNext/>
        <w:keepLines/>
        <w:ind w:left="720"/>
        <w:rPr>
          <w:u w:val="single"/>
        </w:rPr>
      </w:pPr>
      <w:r w:rsidRPr="00EB04FF">
        <w:rPr>
          <w:u w:val="single"/>
        </w:rPr>
        <w:t>Renewal</w:t>
      </w:r>
      <w:r w:rsidR="005C59D4" w:rsidRPr="00EB04FF">
        <w:rPr>
          <w:u w:val="single"/>
        </w:rPr>
        <w:t xml:space="preserve"> Works Programme</w:t>
      </w:r>
    </w:p>
    <w:p w:rsidR="00EB04FF" w:rsidRDefault="00EB04FF" w:rsidP="00272423">
      <w:pPr>
        <w:keepNext/>
        <w:keepLines/>
        <w:ind w:left="720"/>
      </w:pPr>
    </w:p>
    <w:p w:rsidR="00134428" w:rsidRDefault="00085EB8" w:rsidP="00272423">
      <w:pPr>
        <w:keepNext/>
        <w:keepLines/>
        <w:ind w:left="720"/>
      </w:pPr>
      <w:r w:rsidRPr="00085EB8">
        <w:t xml:space="preserve">Currently $48.27M has been included in the 10 year financial plan for building renewal funding. </w:t>
      </w:r>
      <w:r w:rsidR="00134428">
        <w:t>As indicated in the figure below in accordance with Council</w:t>
      </w:r>
      <w:r w:rsidR="003B7425">
        <w:t>’</w:t>
      </w:r>
      <w:r w:rsidR="00134428">
        <w:t xml:space="preserve">s adopted 10 year financial plan. </w:t>
      </w:r>
    </w:p>
    <w:p w:rsidR="00EE0F60" w:rsidRDefault="00EE0F60" w:rsidP="00272423">
      <w:pPr>
        <w:keepNext/>
        <w:keepLines/>
        <w:ind w:left="720"/>
      </w:pPr>
    </w:p>
    <w:p w:rsidR="00134428" w:rsidRDefault="00134428" w:rsidP="00272423">
      <w:pPr>
        <w:keepNext/>
        <w:keepLines/>
        <w:ind w:left="720"/>
      </w:pPr>
      <w:r w:rsidRPr="00134428">
        <w:rPr>
          <w:noProof/>
        </w:rPr>
        <w:drawing>
          <wp:inline distT="0" distB="0" distL="0" distR="0" wp14:anchorId="1965498F" wp14:editId="5DC3BE40">
            <wp:extent cx="5411449" cy="2743200"/>
            <wp:effectExtent l="0" t="0" r="18415" b="19050"/>
            <wp:docPr id="231"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E60728" w:rsidRPr="0024611A" w:rsidRDefault="00E60728" w:rsidP="00272423">
      <w:pPr>
        <w:pStyle w:val="Caption"/>
        <w:keepNext/>
        <w:keepLines/>
        <w:spacing w:before="240" w:after="240"/>
        <w:ind w:left="720"/>
        <w:jc w:val="center"/>
        <w:rPr>
          <w:rFonts w:ascii="Arial" w:hAnsi="Arial"/>
          <w:i w:val="0"/>
          <w:iCs w:val="0"/>
          <w:sz w:val="20"/>
          <w:lang w:val="en-AU"/>
        </w:rPr>
      </w:pPr>
      <w:bookmarkStart w:id="34" w:name="_Toc364945371"/>
      <w:r w:rsidRPr="0024611A">
        <w:rPr>
          <w:rFonts w:ascii="Arial" w:hAnsi="Arial"/>
          <w:i w:val="0"/>
          <w:iCs w:val="0"/>
          <w:sz w:val="20"/>
          <w:lang w:val="en-AU"/>
        </w:rPr>
        <w:t xml:space="preserve">Figure </w:t>
      </w:r>
      <w:r w:rsidR="0090414C" w:rsidRPr="0024611A">
        <w:rPr>
          <w:rFonts w:ascii="Arial" w:hAnsi="Arial"/>
          <w:i w:val="0"/>
          <w:iCs w:val="0"/>
          <w:sz w:val="20"/>
          <w:lang w:val="en-AU"/>
        </w:rPr>
        <w:fldChar w:fldCharType="begin"/>
      </w:r>
      <w:r w:rsidRPr="0024611A">
        <w:rPr>
          <w:rFonts w:ascii="Arial" w:hAnsi="Arial"/>
          <w:i w:val="0"/>
          <w:iCs w:val="0"/>
          <w:sz w:val="20"/>
          <w:lang w:val="en-AU"/>
        </w:rPr>
        <w:instrText xml:space="preserve"> SEQ Figure \* ARABIC \s 1 </w:instrText>
      </w:r>
      <w:r w:rsidR="0090414C" w:rsidRPr="0024611A">
        <w:rPr>
          <w:rFonts w:ascii="Arial" w:hAnsi="Arial"/>
          <w:i w:val="0"/>
          <w:iCs w:val="0"/>
          <w:sz w:val="20"/>
          <w:lang w:val="en-AU"/>
        </w:rPr>
        <w:fldChar w:fldCharType="separate"/>
      </w:r>
      <w:r w:rsidR="00751CEC">
        <w:rPr>
          <w:rFonts w:ascii="Arial" w:hAnsi="Arial"/>
          <w:i w:val="0"/>
          <w:iCs w:val="0"/>
          <w:noProof/>
          <w:sz w:val="20"/>
          <w:lang w:val="en-AU"/>
        </w:rPr>
        <w:t>7</w:t>
      </w:r>
      <w:r w:rsidR="0090414C" w:rsidRPr="0024611A">
        <w:rPr>
          <w:rFonts w:ascii="Arial" w:hAnsi="Arial"/>
          <w:i w:val="0"/>
          <w:iCs w:val="0"/>
          <w:sz w:val="20"/>
          <w:lang w:val="en-AU"/>
        </w:rPr>
        <w:fldChar w:fldCharType="end"/>
      </w:r>
      <w:r w:rsidRPr="0024611A">
        <w:rPr>
          <w:rFonts w:ascii="Arial" w:hAnsi="Arial"/>
          <w:i w:val="0"/>
          <w:iCs w:val="0"/>
          <w:sz w:val="20"/>
          <w:lang w:val="en-AU"/>
        </w:rPr>
        <w:t>:  10 Year Capital Works Renewal Budget</w:t>
      </w:r>
      <w:bookmarkEnd w:id="34"/>
    </w:p>
    <w:p w:rsidR="00134428" w:rsidRDefault="00134428" w:rsidP="00EB04FF">
      <w:pPr>
        <w:ind w:left="720"/>
      </w:pPr>
      <w:r>
        <w:t>Mod</w:t>
      </w:r>
      <w:r w:rsidRPr="00085EB8">
        <w:t>elling based on condition audits indicates a total of $66.46M is required for building renewals. This equates to an</w:t>
      </w:r>
      <w:r>
        <w:t xml:space="preserve"> average</w:t>
      </w:r>
      <w:r w:rsidRPr="00085EB8">
        <w:t xml:space="preserve"> increase of $1.8M annually to meet the renewal needs</w:t>
      </w:r>
      <w:r w:rsidR="00B270CC">
        <w:t>. The 10 year financial plan would require review to meet this short fall</w:t>
      </w:r>
      <w:r w:rsidRPr="00085EB8">
        <w:t xml:space="preserve">, </w:t>
      </w:r>
      <w:r w:rsidR="00B270CC">
        <w:t>additionally</w:t>
      </w:r>
      <w:r w:rsidRPr="00085EB8">
        <w:t xml:space="preserve"> the annual distribution may need to be reviewed if renewal projects for the buildings that are currently vacant are brought forward.</w:t>
      </w:r>
    </w:p>
    <w:p w:rsidR="00EB04FF" w:rsidRDefault="00EB04FF" w:rsidP="00EB04FF">
      <w:pPr>
        <w:ind w:left="720"/>
      </w:pPr>
    </w:p>
    <w:p w:rsidR="00134428" w:rsidRDefault="00B270CC" w:rsidP="00EB04FF">
      <w:pPr>
        <w:ind w:left="720"/>
      </w:pPr>
      <w:r>
        <w:t>The following figure represents the 20 year f</w:t>
      </w:r>
      <w:r w:rsidR="0078674E">
        <w:t>unding based on the current 10 y</w:t>
      </w:r>
      <w:r w:rsidR="00AE0AB4">
        <w:t>ear F</w:t>
      </w:r>
      <w:r>
        <w:t xml:space="preserve">inancial </w:t>
      </w:r>
      <w:r w:rsidR="00AE0AB4">
        <w:t>P</w:t>
      </w:r>
      <w:r>
        <w:t xml:space="preserve">lan and the desired renewal funding following </w:t>
      </w:r>
      <w:r w:rsidR="004B306D">
        <w:t>modelling of the condition data:</w:t>
      </w:r>
    </w:p>
    <w:p w:rsidR="001C5EBC" w:rsidRDefault="001C5EBC" w:rsidP="00EB04FF">
      <w:pPr>
        <w:ind w:left="720"/>
      </w:pPr>
    </w:p>
    <w:p w:rsidR="001C5EBC" w:rsidRDefault="001C5EBC" w:rsidP="001C5EBC">
      <w:pPr>
        <w:ind w:left="720"/>
      </w:pPr>
      <w:r>
        <w:rPr>
          <w:noProof/>
        </w:rPr>
        <w:drawing>
          <wp:inline distT="0" distB="0" distL="0" distR="0" wp14:anchorId="39668C25" wp14:editId="2E1B3AB0">
            <wp:extent cx="5402580" cy="33528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402580" cy="3352800"/>
                    </a:xfrm>
                    <a:prstGeom prst="rect">
                      <a:avLst/>
                    </a:prstGeom>
                    <a:noFill/>
                  </pic:spPr>
                </pic:pic>
              </a:graphicData>
            </a:graphic>
          </wp:inline>
        </w:drawing>
      </w:r>
    </w:p>
    <w:p w:rsidR="00E60728" w:rsidRPr="0024611A" w:rsidRDefault="00E60728" w:rsidP="00E60728">
      <w:pPr>
        <w:pStyle w:val="Caption"/>
        <w:spacing w:before="240" w:after="240"/>
        <w:ind w:left="720"/>
        <w:jc w:val="center"/>
        <w:rPr>
          <w:rFonts w:ascii="Arial" w:hAnsi="Arial"/>
          <w:i w:val="0"/>
          <w:iCs w:val="0"/>
          <w:sz w:val="20"/>
          <w:lang w:val="en-AU"/>
        </w:rPr>
      </w:pPr>
      <w:bookmarkStart w:id="35" w:name="_Toc364945372"/>
      <w:r w:rsidRPr="0024611A">
        <w:rPr>
          <w:rFonts w:ascii="Arial" w:hAnsi="Arial"/>
          <w:i w:val="0"/>
          <w:iCs w:val="0"/>
          <w:sz w:val="20"/>
          <w:lang w:val="en-AU"/>
        </w:rPr>
        <w:t xml:space="preserve">Figure </w:t>
      </w:r>
      <w:r w:rsidR="0090414C" w:rsidRPr="0024611A">
        <w:rPr>
          <w:rFonts w:ascii="Arial" w:hAnsi="Arial"/>
          <w:i w:val="0"/>
          <w:iCs w:val="0"/>
          <w:sz w:val="20"/>
          <w:lang w:val="en-AU"/>
        </w:rPr>
        <w:fldChar w:fldCharType="begin"/>
      </w:r>
      <w:r w:rsidRPr="0024611A">
        <w:rPr>
          <w:rFonts w:ascii="Arial" w:hAnsi="Arial"/>
          <w:i w:val="0"/>
          <w:iCs w:val="0"/>
          <w:sz w:val="20"/>
          <w:lang w:val="en-AU"/>
        </w:rPr>
        <w:instrText xml:space="preserve"> SEQ Figure \* ARABIC \s 1 </w:instrText>
      </w:r>
      <w:r w:rsidR="0090414C" w:rsidRPr="0024611A">
        <w:rPr>
          <w:rFonts w:ascii="Arial" w:hAnsi="Arial"/>
          <w:i w:val="0"/>
          <w:iCs w:val="0"/>
          <w:sz w:val="20"/>
          <w:lang w:val="en-AU"/>
        </w:rPr>
        <w:fldChar w:fldCharType="separate"/>
      </w:r>
      <w:r w:rsidR="00751CEC">
        <w:rPr>
          <w:rFonts w:ascii="Arial" w:hAnsi="Arial"/>
          <w:i w:val="0"/>
          <w:iCs w:val="0"/>
          <w:noProof/>
          <w:sz w:val="20"/>
          <w:lang w:val="en-AU"/>
        </w:rPr>
        <w:t>8</w:t>
      </w:r>
      <w:r w:rsidR="0090414C" w:rsidRPr="0024611A">
        <w:rPr>
          <w:rFonts w:ascii="Arial" w:hAnsi="Arial"/>
          <w:i w:val="0"/>
          <w:iCs w:val="0"/>
          <w:sz w:val="20"/>
          <w:lang w:val="en-AU"/>
        </w:rPr>
        <w:fldChar w:fldCharType="end"/>
      </w:r>
      <w:r w:rsidR="001E3E86">
        <w:rPr>
          <w:rFonts w:ascii="Arial" w:hAnsi="Arial"/>
          <w:i w:val="0"/>
          <w:iCs w:val="0"/>
          <w:sz w:val="20"/>
          <w:lang w:val="en-AU"/>
        </w:rPr>
        <w:t>:  Proposed Buildings Capital Renewal Expenditure in line with 10 Year Financial Plan</w:t>
      </w:r>
      <w:bookmarkEnd w:id="35"/>
    </w:p>
    <w:p w:rsidR="00272423" w:rsidRDefault="00272423" w:rsidP="00D17B90">
      <w:pPr>
        <w:pStyle w:val="Caption"/>
        <w:spacing w:before="240" w:after="240"/>
        <w:ind w:left="720"/>
        <w:jc w:val="center"/>
        <w:rPr>
          <w:rFonts w:ascii="Arial" w:hAnsi="Arial"/>
          <w:i w:val="0"/>
          <w:iCs w:val="0"/>
          <w:sz w:val="20"/>
          <w:lang w:val="en-AU"/>
        </w:rPr>
      </w:pPr>
      <w:r>
        <w:rPr>
          <w:noProof/>
          <w:lang w:val="en-AU" w:eastAsia="en-AU"/>
        </w:rPr>
        <w:drawing>
          <wp:inline distT="0" distB="0" distL="0" distR="0" wp14:anchorId="65A74435" wp14:editId="5CF09006">
            <wp:extent cx="5227320" cy="344424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227271" cy="3444208"/>
                    </a:xfrm>
                    <a:prstGeom prst="rect">
                      <a:avLst/>
                    </a:prstGeom>
                    <a:noFill/>
                  </pic:spPr>
                </pic:pic>
              </a:graphicData>
            </a:graphic>
          </wp:inline>
        </w:drawing>
      </w:r>
    </w:p>
    <w:p w:rsidR="0078674E" w:rsidRPr="0024611A" w:rsidRDefault="0078674E" w:rsidP="00D17B90">
      <w:pPr>
        <w:pStyle w:val="Caption"/>
        <w:spacing w:before="240" w:after="240"/>
        <w:ind w:left="720"/>
        <w:jc w:val="center"/>
        <w:rPr>
          <w:rFonts w:ascii="Arial" w:hAnsi="Arial"/>
          <w:i w:val="0"/>
          <w:iCs w:val="0"/>
          <w:sz w:val="20"/>
          <w:lang w:val="en-AU"/>
        </w:rPr>
      </w:pPr>
      <w:bookmarkStart w:id="36" w:name="_Toc364945373"/>
      <w:r w:rsidRPr="0024611A">
        <w:rPr>
          <w:rFonts w:ascii="Arial" w:hAnsi="Arial"/>
          <w:i w:val="0"/>
          <w:iCs w:val="0"/>
          <w:sz w:val="20"/>
          <w:lang w:val="en-AU"/>
        </w:rPr>
        <w:t xml:space="preserve">Figure </w:t>
      </w:r>
      <w:r w:rsidR="0090414C" w:rsidRPr="0024611A">
        <w:rPr>
          <w:rFonts w:ascii="Arial" w:hAnsi="Arial"/>
          <w:i w:val="0"/>
          <w:iCs w:val="0"/>
          <w:sz w:val="20"/>
          <w:lang w:val="en-AU"/>
        </w:rPr>
        <w:fldChar w:fldCharType="begin"/>
      </w:r>
      <w:r w:rsidRPr="0024611A">
        <w:rPr>
          <w:rFonts w:ascii="Arial" w:hAnsi="Arial"/>
          <w:i w:val="0"/>
          <w:iCs w:val="0"/>
          <w:sz w:val="20"/>
          <w:lang w:val="en-AU"/>
        </w:rPr>
        <w:instrText xml:space="preserve"> SEQ Figure \* ARABIC \s 1 </w:instrText>
      </w:r>
      <w:r w:rsidR="0090414C" w:rsidRPr="0024611A">
        <w:rPr>
          <w:rFonts w:ascii="Arial" w:hAnsi="Arial"/>
          <w:i w:val="0"/>
          <w:iCs w:val="0"/>
          <w:sz w:val="20"/>
          <w:lang w:val="en-AU"/>
        </w:rPr>
        <w:fldChar w:fldCharType="separate"/>
      </w:r>
      <w:r w:rsidR="00751CEC">
        <w:rPr>
          <w:rFonts w:ascii="Arial" w:hAnsi="Arial"/>
          <w:i w:val="0"/>
          <w:iCs w:val="0"/>
          <w:noProof/>
          <w:sz w:val="20"/>
          <w:lang w:val="en-AU"/>
        </w:rPr>
        <w:t>9</w:t>
      </w:r>
      <w:r w:rsidR="0090414C" w:rsidRPr="0024611A">
        <w:rPr>
          <w:rFonts w:ascii="Arial" w:hAnsi="Arial"/>
          <w:i w:val="0"/>
          <w:iCs w:val="0"/>
          <w:sz w:val="20"/>
          <w:lang w:val="en-AU"/>
        </w:rPr>
        <w:fldChar w:fldCharType="end"/>
      </w:r>
      <w:r w:rsidRPr="0024611A">
        <w:rPr>
          <w:rFonts w:ascii="Arial" w:hAnsi="Arial"/>
          <w:i w:val="0"/>
          <w:iCs w:val="0"/>
          <w:sz w:val="20"/>
          <w:lang w:val="en-AU"/>
        </w:rPr>
        <w:t xml:space="preserve">:  </w:t>
      </w:r>
      <w:r w:rsidR="00E60728" w:rsidRPr="0024611A">
        <w:rPr>
          <w:rFonts w:ascii="Arial" w:hAnsi="Arial"/>
          <w:i w:val="0"/>
          <w:iCs w:val="0"/>
          <w:sz w:val="20"/>
          <w:lang w:val="en-AU"/>
        </w:rPr>
        <w:t>Recommended Buildings Capital Works Renewal Expenditure</w:t>
      </w:r>
      <w:bookmarkEnd w:id="36"/>
    </w:p>
    <w:p w:rsidR="0069727B" w:rsidRPr="00C47D09" w:rsidRDefault="0069727B" w:rsidP="00C47D09">
      <w:pPr>
        <w:ind w:left="720"/>
      </w:pPr>
      <w:r w:rsidRPr="00C47D09">
        <w:t>Industry benchmarks suggest the average annual renewal for these buildings should be between 2.5% and 3% per annum. Based on the current valuation information the total replacement value for all buildings is $228M, this would mean Council should invest $5.7M - $6.8M in renewal funding annually. Prior to the refurbishment of the Collingwood Town H</w:t>
      </w:r>
      <w:r w:rsidR="00272423">
        <w:t xml:space="preserve">all Council has averaged $1.8M </w:t>
      </w:r>
      <w:r w:rsidRPr="00C47D09">
        <w:t>annually on its renewal program.</w:t>
      </w:r>
      <w:r w:rsidRPr="0069727B">
        <w:t xml:space="preserve">  </w:t>
      </w:r>
    </w:p>
    <w:p w:rsidR="00B542E8" w:rsidRDefault="008216BA" w:rsidP="003E5B9F">
      <w:pPr>
        <w:pStyle w:val="StyleHeading3Heading3Char10ptBefore6pt"/>
      </w:pPr>
      <w:bookmarkStart w:id="37" w:name="_Toc364945236"/>
      <w:r w:rsidRPr="0069727B">
        <w:rPr>
          <w:color w:val="000000" w:themeColor="text1"/>
        </w:rPr>
        <w:t>Capital Wo</w:t>
      </w:r>
      <w:r>
        <w:t xml:space="preserve">rks New </w:t>
      </w:r>
      <w:r w:rsidR="00237E04">
        <w:t>and</w:t>
      </w:r>
      <w:r>
        <w:t xml:space="preserve"> Upgrade</w:t>
      </w:r>
      <w:bookmarkEnd w:id="37"/>
    </w:p>
    <w:p w:rsidR="008216BA" w:rsidRDefault="008216BA" w:rsidP="0078674E">
      <w:pPr>
        <w:ind w:left="720"/>
      </w:pPr>
      <w:r w:rsidRPr="005520A3">
        <w:t>All new works (associated with service level increase or growth) are required to have individual supporting concept/business cases to justify their need and show how they meet strategic requirements.</w:t>
      </w:r>
    </w:p>
    <w:p w:rsidR="0078674E" w:rsidRPr="005520A3" w:rsidRDefault="0078674E" w:rsidP="0078674E">
      <w:pPr>
        <w:ind w:left="720"/>
      </w:pPr>
    </w:p>
    <w:p w:rsidR="008216BA" w:rsidRDefault="008216BA" w:rsidP="0078674E">
      <w:pPr>
        <w:ind w:left="720"/>
      </w:pPr>
      <w:r>
        <w:t>New and upgrade projects are identified by service managers and the scope of works is developed</w:t>
      </w:r>
      <w:r w:rsidR="00415F10">
        <w:t xml:space="preserve"> with the assistance of project</w:t>
      </w:r>
      <w:r>
        <w:t xml:space="preserve"> managers from the Buildings and Property </w:t>
      </w:r>
      <w:r w:rsidR="00415F10">
        <w:t>B</w:t>
      </w:r>
      <w:r>
        <w:t>ranch. In some instances when developing the scope of renewal projects in order to meet the service manager’s requirements for fit for purpose, or to meet legislative requirements such as DDA upgrade works are incorporated into the scope of works. The project is then assessed and included into the various programs depending on the percentage of either renewal or upgrade components.</w:t>
      </w:r>
    </w:p>
    <w:p w:rsidR="0078674E" w:rsidRDefault="0078674E" w:rsidP="0078674E">
      <w:pPr>
        <w:ind w:left="720"/>
      </w:pPr>
    </w:p>
    <w:p w:rsidR="005F230A" w:rsidRDefault="005F230A" w:rsidP="00272423">
      <w:pPr>
        <w:keepNext/>
        <w:keepLines/>
        <w:ind w:left="720"/>
      </w:pPr>
      <w:r>
        <w:t xml:space="preserve">The following figure shows the capital works expenditure for upgrades and new work over the past five years. </w:t>
      </w:r>
    </w:p>
    <w:p w:rsidR="0078674E" w:rsidRPr="00CD7D4F" w:rsidRDefault="0078674E" w:rsidP="00272423">
      <w:pPr>
        <w:keepNext/>
        <w:keepLines/>
        <w:ind w:left="720"/>
      </w:pPr>
    </w:p>
    <w:p w:rsidR="008216BA" w:rsidRDefault="005F230A" w:rsidP="00272423">
      <w:pPr>
        <w:pStyle w:val="BodyText"/>
        <w:keepNext/>
        <w:keepLines/>
        <w:ind w:left="720"/>
      </w:pPr>
      <w:r w:rsidRPr="005F230A">
        <w:rPr>
          <w:noProof/>
          <w:lang w:val="en-AU" w:eastAsia="en-AU"/>
        </w:rPr>
        <w:drawing>
          <wp:inline distT="0" distB="0" distL="0" distR="0" wp14:anchorId="13D2302A" wp14:editId="018E8A03">
            <wp:extent cx="5501390" cy="2623279"/>
            <wp:effectExtent l="0" t="0" r="4445" b="5715"/>
            <wp:docPr id="5"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78674E" w:rsidRPr="0024611A" w:rsidRDefault="0078674E" w:rsidP="00272423">
      <w:pPr>
        <w:pStyle w:val="Caption"/>
        <w:keepNext/>
        <w:keepLines/>
        <w:spacing w:before="240" w:after="240"/>
        <w:ind w:left="720"/>
        <w:jc w:val="center"/>
        <w:rPr>
          <w:rFonts w:ascii="Arial" w:hAnsi="Arial"/>
          <w:i w:val="0"/>
          <w:iCs w:val="0"/>
          <w:sz w:val="20"/>
          <w:lang w:val="en-AU"/>
        </w:rPr>
      </w:pPr>
      <w:bookmarkStart w:id="38" w:name="_Toc364945374"/>
      <w:r w:rsidRPr="0024611A">
        <w:rPr>
          <w:rFonts w:ascii="Arial" w:hAnsi="Arial"/>
          <w:i w:val="0"/>
          <w:iCs w:val="0"/>
          <w:sz w:val="20"/>
          <w:lang w:val="en-AU"/>
        </w:rPr>
        <w:t xml:space="preserve">Figure </w:t>
      </w:r>
      <w:r w:rsidR="0090414C" w:rsidRPr="0024611A">
        <w:rPr>
          <w:rFonts w:ascii="Arial" w:hAnsi="Arial"/>
          <w:i w:val="0"/>
          <w:iCs w:val="0"/>
          <w:sz w:val="20"/>
          <w:lang w:val="en-AU"/>
        </w:rPr>
        <w:fldChar w:fldCharType="begin"/>
      </w:r>
      <w:r w:rsidR="00DB2D76" w:rsidRPr="0024611A">
        <w:rPr>
          <w:rFonts w:ascii="Arial" w:hAnsi="Arial"/>
          <w:i w:val="0"/>
          <w:iCs w:val="0"/>
          <w:sz w:val="20"/>
          <w:lang w:val="en-AU"/>
        </w:rPr>
        <w:instrText xml:space="preserve"> SEQ Figure \* ARABIC \s 1 </w:instrText>
      </w:r>
      <w:r w:rsidR="0090414C" w:rsidRPr="0024611A">
        <w:rPr>
          <w:rFonts w:ascii="Arial" w:hAnsi="Arial"/>
          <w:i w:val="0"/>
          <w:iCs w:val="0"/>
          <w:sz w:val="20"/>
          <w:lang w:val="en-AU"/>
        </w:rPr>
        <w:fldChar w:fldCharType="separate"/>
      </w:r>
      <w:r w:rsidR="00751CEC">
        <w:rPr>
          <w:rFonts w:ascii="Arial" w:hAnsi="Arial"/>
          <w:i w:val="0"/>
          <w:iCs w:val="0"/>
          <w:noProof/>
          <w:sz w:val="20"/>
          <w:lang w:val="en-AU"/>
        </w:rPr>
        <w:t>10</w:t>
      </w:r>
      <w:r w:rsidR="0090414C" w:rsidRPr="0024611A">
        <w:rPr>
          <w:rFonts w:ascii="Arial" w:hAnsi="Arial"/>
          <w:i w:val="0"/>
          <w:iCs w:val="0"/>
          <w:sz w:val="20"/>
          <w:lang w:val="en-AU"/>
        </w:rPr>
        <w:fldChar w:fldCharType="end"/>
      </w:r>
      <w:r w:rsidRPr="0024611A">
        <w:rPr>
          <w:rFonts w:ascii="Arial" w:hAnsi="Arial"/>
          <w:i w:val="0"/>
          <w:iCs w:val="0"/>
          <w:sz w:val="20"/>
          <w:lang w:val="en-AU"/>
        </w:rPr>
        <w:t>:  Capital Works Upgrade and New Works Past 5 Years</w:t>
      </w:r>
      <w:bookmarkEnd w:id="38"/>
    </w:p>
    <w:p w:rsidR="00CB58DD" w:rsidRPr="0078674E" w:rsidRDefault="000B0ACB" w:rsidP="0078674E">
      <w:pPr>
        <w:ind w:left="720"/>
        <w:rPr>
          <w:u w:val="single"/>
        </w:rPr>
      </w:pPr>
      <w:r w:rsidRPr="0078674E">
        <w:rPr>
          <w:u w:val="single"/>
        </w:rPr>
        <w:t>Capital W</w:t>
      </w:r>
      <w:r w:rsidR="00CB58DD" w:rsidRPr="0078674E">
        <w:rPr>
          <w:u w:val="single"/>
        </w:rPr>
        <w:t xml:space="preserve">orks </w:t>
      </w:r>
      <w:r w:rsidR="00237E04" w:rsidRPr="0078674E">
        <w:rPr>
          <w:u w:val="single"/>
        </w:rPr>
        <w:t>New and</w:t>
      </w:r>
      <w:r w:rsidR="008216BA" w:rsidRPr="0078674E">
        <w:rPr>
          <w:u w:val="single"/>
        </w:rPr>
        <w:t xml:space="preserve"> Upgrade </w:t>
      </w:r>
      <w:r w:rsidRPr="0078674E">
        <w:rPr>
          <w:u w:val="single"/>
        </w:rPr>
        <w:t>S</w:t>
      </w:r>
      <w:r w:rsidR="00CB58DD" w:rsidRPr="0078674E">
        <w:rPr>
          <w:u w:val="single"/>
        </w:rPr>
        <w:t xml:space="preserve">trategy </w:t>
      </w:r>
      <w:r w:rsidRPr="0078674E">
        <w:rPr>
          <w:u w:val="single"/>
        </w:rPr>
        <w:t>and Works Programme</w:t>
      </w:r>
    </w:p>
    <w:p w:rsidR="0078674E" w:rsidRDefault="0078674E" w:rsidP="0078674E">
      <w:pPr>
        <w:ind w:left="720"/>
      </w:pPr>
    </w:p>
    <w:p w:rsidR="008216BA" w:rsidRDefault="008216BA" w:rsidP="0078674E">
      <w:pPr>
        <w:ind w:left="720"/>
      </w:pPr>
      <w:r w:rsidRPr="00306C00">
        <w:t>Council’s Asset Management Policy accords priority to renewal works ahead of upgra</w:t>
      </w:r>
      <w:r w:rsidR="00EB4B0F">
        <w:t>de and new works.   T</w:t>
      </w:r>
      <w:r w:rsidR="00EB4B0F" w:rsidRPr="00306C00">
        <w:t>he recent MAV Step program</w:t>
      </w:r>
      <w:r w:rsidR="0078674E">
        <w:t>me</w:t>
      </w:r>
      <w:r w:rsidR="00EB4B0F" w:rsidRPr="00306C00">
        <w:t xml:space="preserve">, </w:t>
      </w:r>
      <w:r w:rsidR="00EB4B0F">
        <w:t xml:space="preserve">and </w:t>
      </w:r>
      <w:r w:rsidR="00EB4B0F" w:rsidRPr="00306C00">
        <w:t>feedback across Victoria</w:t>
      </w:r>
      <w:r w:rsidR="00EB4B0F">
        <w:t>n Councils</w:t>
      </w:r>
      <w:r w:rsidR="0078674E">
        <w:t>,</w:t>
      </w:r>
      <w:r w:rsidR="00EB4B0F" w:rsidRPr="00306C00">
        <w:t xml:space="preserve"> suggests </w:t>
      </w:r>
      <w:r w:rsidR="00EB4B0F">
        <w:t xml:space="preserve">a suitable </w:t>
      </w:r>
      <w:r w:rsidR="00EB4B0F" w:rsidRPr="00306C00">
        <w:t xml:space="preserve">budget allocation </w:t>
      </w:r>
      <w:r w:rsidR="00EB4B0F">
        <w:t xml:space="preserve">is a blend of </w:t>
      </w:r>
      <w:r w:rsidR="00EB4B0F" w:rsidRPr="00306C00">
        <w:t xml:space="preserve">70% Renewal and 30% </w:t>
      </w:r>
      <w:r w:rsidR="00EB4B0F">
        <w:t xml:space="preserve">for </w:t>
      </w:r>
      <w:r w:rsidR="00CE5EFF">
        <w:t>Upgrades</w:t>
      </w:r>
      <w:r w:rsidR="00EB4B0F" w:rsidRPr="00306C00">
        <w:t>/New Work</w:t>
      </w:r>
      <w:r w:rsidR="00EB4B0F">
        <w:t>.</w:t>
      </w:r>
    </w:p>
    <w:p w:rsidR="0078674E" w:rsidRPr="00306C00" w:rsidRDefault="0078674E" w:rsidP="0078674E">
      <w:pPr>
        <w:ind w:left="720"/>
      </w:pPr>
    </w:p>
    <w:p w:rsidR="008216BA" w:rsidRDefault="008216BA" w:rsidP="0078674E">
      <w:pPr>
        <w:ind w:left="720"/>
      </w:pPr>
      <w:r w:rsidRPr="00306C00">
        <w:t>In recent years</w:t>
      </w:r>
      <w:r w:rsidR="0078674E">
        <w:t>,</w:t>
      </w:r>
      <w:r w:rsidRPr="00306C00">
        <w:t xml:space="preserve"> the capital works budgets for buildings had been biased towards new works and upgrades with the follow</w:t>
      </w:r>
      <w:r w:rsidR="0078674E">
        <w:t>ing projects being initiated:</w:t>
      </w:r>
    </w:p>
    <w:p w:rsidR="0078674E" w:rsidRPr="00306C00" w:rsidRDefault="0078674E" w:rsidP="0078674E">
      <w:pPr>
        <w:ind w:left="720"/>
      </w:pPr>
    </w:p>
    <w:p w:rsidR="008216BA" w:rsidRPr="0078674E" w:rsidRDefault="008216BA" w:rsidP="008348B5">
      <w:pPr>
        <w:pStyle w:val="ListParagraph"/>
        <w:numPr>
          <w:ilvl w:val="0"/>
          <w:numId w:val="43"/>
        </w:numPr>
        <w:rPr>
          <w:rFonts w:ascii="Arial" w:hAnsi="Arial" w:cs="Arial"/>
          <w:sz w:val="20"/>
        </w:rPr>
      </w:pPr>
      <w:r w:rsidRPr="0078674E">
        <w:rPr>
          <w:rFonts w:ascii="Arial" w:hAnsi="Arial" w:cs="Arial"/>
          <w:sz w:val="20"/>
        </w:rPr>
        <w:t>Edinburgh Gardens Cricket Pavilion;</w:t>
      </w:r>
    </w:p>
    <w:p w:rsidR="008216BA" w:rsidRPr="0078674E" w:rsidRDefault="008216BA" w:rsidP="008348B5">
      <w:pPr>
        <w:pStyle w:val="ListParagraph"/>
        <w:numPr>
          <w:ilvl w:val="0"/>
          <w:numId w:val="43"/>
        </w:numPr>
        <w:rPr>
          <w:rFonts w:ascii="Arial" w:hAnsi="Arial" w:cs="Arial"/>
          <w:sz w:val="20"/>
        </w:rPr>
      </w:pPr>
      <w:r w:rsidRPr="0078674E">
        <w:rPr>
          <w:rFonts w:ascii="Arial" w:hAnsi="Arial" w:cs="Arial"/>
          <w:sz w:val="20"/>
        </w:rPr>
        <w:t>Collingwood Leisure Centre Redevelopment;</w:t>
      </w:r>
    </w:p>
    <w:p w:rsidR="008216BA" w:rsidRPr="0078674E" w:rsidRDefault="008216BA" w:rsidP="008348B5">
      <w:pPr>
        <w:pStyle w:val="ListParagraph"/>
        <w:numPr>
          <w:ilvl w:val="0"/>
          <w:numId w:val="43"/>
        </w:numPr>
        <w:rPr>
          <w:rFonts w:ascii="Arial" w:hAnsi="Arial" w:cs="Arial"/>
          <w:sz w:val="20"/>
        </w:rPr>
      </w:pPr>
      <w:r w:rsidRPr="0078674E">
        <w:rPr>
          <w:rFonts w:ascii="Arial" w:hAnsi="Arial" w:cs="Arial"/>
          <w:sz w:val="20"/>
        </w:rPr>
        <w:t>Victoria Park Redevelopment;</w:t>
      </w:r>
    </w:p>
    <w:p w:rsidR="008216BA" w:rsidRPr="0078674E" w:rsidRDefault="008216BA" w:rsidP="008348B5">
      <w:pPr>
        <w:pStyle w:val="ListParagraph"/>
        <w:numPr>
          <w:ilvl w:val="0"/>
          <w:numId w:val="43"/>
        </w:numPr>
        <w:rPr>
          <w:rFonts w:ascii="Arial" w:hAnsi="Arial" w:cs="Arial"/>
          <w:sz w:val="20"/>
        </w:rPr>
      </w:pPr>
      <w:r w:rsidRPr="0078674E">
        <w:rPr>
          <w:rFonts w:ascii="Arial" w:hAnsi="Arial" w:cs="Arial"/>
          <w:sz w:val="20"/>
        </w:rPr>
        <w:t>Ramsden Street Sports Pavilion;</w:t>
      </w:r>
    </w:p>
    <w:p w:rsidR="008216BA" w:rsidRPr="0078674E" w:rsidRDefault="008216BA" w:rsidP="008348B5">
      <w:pPr>
        <w:pStyle w:val="ListParagraph"/>
        <w:numPr>
          <w:ilvl w:val="0"/>
          <w:numId w:val="43"/>
        </w:numPr>
        <w:rPr>
          <w:rFonts w:ascii="Arial" w:hAnsi="Arial" w:cs="Arial"/>
          <w:sz w:val="20"/>
        </w:rPr>
      </w:pPr>
      <w:r w:rsidRPr="0078674E">
        <w:rPr>
          <w:rFonts w:ascii="Arial" w:hAnsi="Arial" w:cs="Arial"/>
          <w:sz w:val="20"/>
        </w:rPr>
        <w:t>North Fitzroy Community Hub;</w:t>
      </w:r>
    </w:p>
    <w:p w:rsidR="008216BA" w:rsidRPr="0078674E" w:rsidRDefault="008216BA" w:rsidP="008348B5">
      <w:pPr>
        <w:pStyle w:val="ListParagraph"/>
        <w:numPr>
          <w:ilvl w:val="0"/>
          <w:numId w:val="43"/>
        </w:numPr>
        <w:rPr>
          <w:rFonts w:ascii="Arial" w:hAnsi="Arial" w:cs="Arial"/>
          <w:sz w:val="20"/>
        </w:rPr>
      </w:pPr>
      <w:r w:rsidRPr="0078674E">
        <w:rPr>
          <w:rFonts w:ascii="Arial" w:hAnsi="Arial" w:cs="Arial"/>
          <w:sz w:val="20"/>
        </w:rPr>
        <w:t xml:space="preserve">Collingwood Town Hall </w:t>
      </w:r>
      <w:r w:rsidR="00AA1E61" w:rsidRPr="0078674E">
        <w:rPr>
          <w:rFonts w:ascii="Arial" w:hAnsi="Arial" w:cs="Arial"/>
          <w:sz w:val="20"/>
        </w:rPr>
        <w:t>and</w:t>
      </w:r>
      <w:r w:rsidRPr="0078674E">
        <w:rPr>
          <w:rFonts w:ascii="Arial" w:hAnsi="Arial" w:cs="Arial"/>
          <w:sz w:val="20"/>
        </w:rPr>
        <w:t xml:space="preserve"> Precinct Redevelopment; and</w:t>
      </w:r>
    </w:p>
    <w:p w:rsidR="008216BA" w:rsidRPr="0078674E" w:rsidRDefault="008216BA" w:rsidP="008348B5">
      <w:pPr>
        <w:pStyle w:val="ListParagraph"/>
        <w:numPr>
          <w:ilvl w:val="0"/>
          <w:numId w:val="43"/>
        </w:numPr>
        <w:rPr>
          <w:rFonts w:ascii="Arial" w:hAnsi="Arial" w:cs="Arial"/>
          <w:sz w:val="20"/>
        </w:rPr>
      </w:pPr>
      <w:r w:rsidRPr="0078674E">
        <w:rPr>
          <w:rFonts w:ascii="Arial" w:hAnsi="Arial" w:cs="Arial"/>
          <w:sz w:val="20"/>
        </w:rPr>
        <w:t>Various Adaptive Assets Programs.</w:t>
      </w:r>
    </w:p>
    <w:p w:rsidR="0078674E" w:rsidRDefault="0078674E" w:rsidP="0078674E">
      <w:pPr>
        <w:ind w:left="720"/>
      </w:pPr>
    </w:p>
    <w:p w:rsidR="008216BA" w:rsidRDefault="008216BA" w:rsidP="0078674E">
      <w:pPr>
        <w:ind w:left="720"/>
      </w:pPr>
      <w:r w:rsidRPr="00306C00">
        <w:t>This is understandable in view of Council’s drive to implement ESD principles on buildings, and the replacement of ageing building assets which are usually accompanied with improved level of service and increased capacity due to higher expectations of Yarra’s community.</w:t>
      </w:r>
    </w:p>
    <w:p w:rsidR="0078674E" w:rsidRPr="00306C00" w:rsidRDefault="0078674E" w:rsidP="0078674E">
      <w:pPr>
        <w:ind w:left="720"/>
      </w:pPr>
    </w:p>
    <w:p w:rsidR="008216BA" w:rsidRDefault="008216BA" w:rsidP="0078674E">
      <w:pPr>
        <w:ind w:left="720"/>
      </w:pPr>
      <w:r w:rsidRPr="00306C00">
        <w:t>It is also reasonable to m</w:t>
      </w:r>
      <w:r w:rsidR="00CE5EFF">
        <w:t>ention that some of the upgrade</w:t>
      </w:r>
      <w:r w:rsidRPr="00306C00">
        <w:t>/new works may include the renewal components. For example, the redevelopment of Victoria Park involved some existing pavilions the renewal components of which should ideally be accounted for separately.</w:t>
      </w:r>
    </w:p>
    <w:p w:rsidR="0078674E" w:rsidRPr="00306C00" w:rsidRDefault="0078674E" w:rsidP="0078674E">
      <w:pPr>
        <w:ind w:left="720"/>
      </w:pPr>
    </w:p>
    <w:p w:rsidR="008216BA" w:rsidRDefault="008216BA" w:rsidP="0078674E">
      <w:pPr>
        <w:ind w:left="720"/>
      </w:pPr>
      <w:r w:rsidRPr="00306C00">
        <w:t>The adopted capital works budget for 2012/13 with a mix o</w:t>
      </w:r>
      <w:r w:rsidR="0078674E">
        <w:t>f 70% Renewal and 30% Upgrades/</w:t>
      </w:r>
      <w:r w:rsidRPr="00306C00">
        <w:t>New Works demonstrates a closer alignment with Council’s Asset Management Policy.</w:t>
      </w:r>
    </w:p>
    <w:p w:rsidR="0078674E" w:rsidRPr="00306C00" w:rsidRDefault="0078674E" w:rsidP="0078674E">
      <w:pPr>
        <w:ind w:left="720"/>
      </w:pPr>
    </w:p>
    <w:p w:rsidR="00D654B4" w:rsidRDefault="008216BA" w:rsidP="00272423">
      <w:pPr>
        <w:keepNext/>
        <w:keepLines/>
        <w:ind w:left="720"/>
      </w:pPr>
      <w:r>
        <w:t>The following figure</w:t>
      </w:r>
      <w:r w:rsidR="00D654B4" w:rsidRPr="001066E5">
        <w:t xml:space="preserve"> demonstrates the </w:t>
      </w:r>
      <w:r w:rsidR="00D654B4">
        <w:t>capital new and upgrading</w:t>
      </w:r>
      <w:r w:rsidR="00D654B4" w:rsidRPr="001066E5">
        <w:t xml:space="preserve"> </w:t>
      </w:r>
      <w:r w:rsidR="00FE42F9">
        <w:rPr>
          <w:iCs/>
        </w:rPr>
        <w:t xml:space="preserve">($116M) </w:t>
      </w:r>
      <w:r w:rsidR="00D654B4" w:rsidRPr="001066E5">
        <w:t xml:space="preserve">costs of the </w:t>
      </w:r>
      <w:r w:rsidR="00D654B4">
        <w:t>building activities</w:t>
      </w:r>
      <w:r w:rsidR="0078674E">
        <w:t xml:space="preserve"> over the next 10 years:</w:t>
      </w:r>
    </w:p>
    <w:p w:rsidR="00D654B4" w:rsidRDefault="00D654B4" w:rsidP="00272423">
      <w:pPr>
        <w:keepNext/>
        <w:keepLines/>
        <w:ind w:left="720"/>
      </w:pPr>
    </w:p>
    <w:p w:rsidR="00344B67" w:rsidRPr="001066E5" w:rsidRDefault="00344B67" w:rsidP="00272423">
      <w:pPr>
        <w:pStyle w:val="BodyText0"/>
        <w:keepNext/>
        <w:keepLines/>
        <w:jc w:val="right"/>
      </w:pPr>
      <w:r>
        <w:rPr>
          <w:noProof/>
        </w:rPr>
        <w:drawing>
          <wp:inline distT="0" distB="0" distL="0" distR="0" wp14:anchorId="545144E5" wp14:editId="4CCCDAAF">
            <wp:extent cx="5286375" cy="2991913"/>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7" cstate="print"/>
                    <a:srcRect/>
                    <a:stretch>
                      <a:fillRect/>
                    </a:stretch>
                  </pic:blipFill>
                  <pic:spPr bwMode="auto">
                    <a:xfrm>
                      <a:off x="0" y="0"/>
                      <a:ext cx="5296590" cy="2997694"/>
                    </a:xfrm>
                    <a:prstGeom prst="rect">
                      <a:avLst/>
                    </a:prstGeom>
                    <a:solidFill>
                      <a:schemeClr val="accent6">
                        <a:lumMod val="75000"/>
                      </a:schemeClr>
                    </a:solidFill>
                  </pic:spPr>
                </pic:pic>
              </a:graphicData>
            </a:graphic>
          </wp:inline>
        </w:drawing>
      </w:r>
    </w:p>
    <w:p w:rsidR="0078674E" w:rsidRPr="0024611A" w:rsidRDefault="0078674E" w:rsidP="00272423">
      <w:pPr>
        <w:pStyle w:val="Caption"/>
        <w:keepNext/>
        <w:keepLines/>
        <w:spacing w:before="240" w:after="240"/>
        <w:ind w:left="720"/>
        <w:jc w:val="center"/>
        <w:rPr>
          <w:rFonts w:ascii="Arial" w:hAnsi="Arial"/>
          <w:i w:val="0"/>
          <w:iCs w:val="0"/>
          <w:sz w:val="20"/>
          <w:lang w:val="en-AU"/>
        </w:rPr>
      </w:pPr>
      <w:bookmarkStart w:id="39" w:name="_Toc364945375"/>
      <w:r w:rsidRPr="0024611A">
        <w:rPr>
          <w:rFonts w:ascii="Arial" w:hAnsi="Arial"/>
          <w:i w:val="0"/>
          <w:iCs w:val="0"/>
          <w:sz w:val="20"/>
          <w:lang w:val="en-AU"/>
        </w:rPr>
        <w:t xml:space="preserve">Figure </w:t>
      </w:r>
      <w:r w:rsidR="0090414C" w:rsidRPr="0024611A">
        <w:rPr>
          <w:rFonts w:ascii="Arial" w:hAnsi="Arial"/>
          <w:i w:val="0"/>
          <w:iCs w:val="0"/>
          <w:sz w:val="20"/>
          <w:lang w:val="en-AU"/>
        </w:rPr>
        <w:fldChar w:fldCharType="begin"/>
      </w:r>
      <w:r w:rsidRPr="0024611A">
        <w:rPr>
          <w:rFonts w:ascii="Arial" w:hAnsi="Arial"/>
          <w:i w:val="0"/>
          <w:iCs w:val="0"/>
          <w:sz w:val="20"/>
          <w:lang w:val="en-AU"/>
        </w:rPr>
        <w:instrText xml:space="preserve"> SEQ Figure \* ARABIC \s 1 </w:instrText>
      </w:r>
      <w:r w:rsidR="0090414C" w:rsidRPr="0024611A">
        <w:rPr>
          <w:rFonts w:ascii="Arial" w:hAnsi="Arial"/>
          <w:i w:val="0"/>
          <w:iCs w:val="0"/>
          <w:sz w:val="20"/>
          <w:lang w:val="en-AU"/>
        </w:rPr>
        <w:fldChar w:fldCharType="separate"/>
      </w:r>
      <w:r w:rsidR="00751CEC">
        <w:rPr>
          <w:rFonts w:ascii="Arial" w:hAnsi="Arial"/>
          <w:i w:val="0"/>
          <w:iCs w:val="0"/>
          <w:noProof/>
          <w:sz w:val="20"/>
          <w:lang w:val="en-AU"/>
        </w:rPr>
        <w:t>11</w:t>
      </w:r>
      <w:r w:rsidR="0090414C" w:rsidRPr="0024611A">
        <w:rPr>
          <w:rFonts w:ascii="Arial" w:hAnsi="Arial"/>
          <w:i w:val="0"/>
          <w:iCs w:val="0"/>
          <w:sz w:val="20"/>
          <w:lang w:val="en-AU"/>
        </w:rPr>
        <w:fldChar w:fldCharType="end"/>
      </w:r>
      <w:r w:rsidRPr="0024611A">
        <w:rPr>
          <w:rFonts w:ascii="Arial" w:hAnsi="Arial"/>
          <w:i w:val="0"/>
          <w:iCs w:val="0"/>
          <w:sz w:val="20"/>
          <w:lang w:val="en-AU"/>
        </w:rPr>
        <w:t>:  10 Year Capital New and Upgrading Forecasts</w:t>
      </w:r>
      <w:bookmarkEnd w:id="39"/>
    </w:p>
    <w:p w:rsidR="00D654B4" w:rsidRPr="00CD7D4F" w:rsidRDefault="00ED3F35" w:rsidP="0078674E">
      <w:pPr>
        <w:ind w:left="720"/>
      </w:pPr>
      <w:r w:rsidRPr="00ED3F35">
        <w:t>Going</w:t>
      </w:r>
      <w:r w:rsidR="00E27317" w:rsidRPr="00ED3F35">
        <w:t xml:space="preserve"> forward </w:t>
      </w:r>
      <w:r>
        <w:t xml:space="preserve">the Buildings and Property Branch will </w:t>
      </w:r>
      <w:r w:rsidR="00E27317" w:rsidRPr="00ED3F35">
        <w:t xml:space="preserve">work with service managers to review </w:t>
      </w:r>
      <w:r>
        <w:t xml:space="preserve">the requirements for </w:t>
      </w:r>
      <w:r w:rsidR="00E27317" w:rsidRPr="00ED3F35">
        <w:t xml:space="preserve">upgrades in line with fit for purpose audit. </w:t>
      </w:r>
      <w:r>
        <w:t>This is l</w:t>
      </w:r>
      <w:r w:rsidRPr="00ED3F35">
        <w:t>ikely</w:t>
      </w:r>
      <w:r>
        <w:t xml:space="preserve"> to impact on next BAMP</w:t>
      </w:r>
      <w:r w:rsidR="00E27317" w:rsidRPr="00ED3F35">
        <w:t xml:space="preserve"> in four years</w:t>
      </w:r>
      <w:r w:rsidR="00252A9E">
        <w:t>’</w:t>
      </w:r>
      <w:r w:rsidR="00E27317" w:rsidRPr="00ED3F35">
        <w:t xml:space="preserve"> time</w:t>
      </w:r>
      <w:r>
        <w:t xml:space="preserve"> as projects will need to be scoped and cost estimates prepared prior to inclusion in the forward capital program</w:t>
      </w:r>
      <w:r w:rsidR="00E27317" w:rsidRPr="00ED3F35">
        <w:t>.</w:t>
      </w:r>
    </w:p>
    <w:p w:rsidR="00E96F28" w:rsidRPr="00CF2212" w:rsidRDefault="00E96F28" w:rsidP="00CF2212">
      <w:pPr>
        <w:pStyle w:val="Heading2"/>
      </w:pPr>
      <w:bookmarkStart w:id="40" w:name="_Toc364945237"/>
      <w:r w:rsidRPr="00CF2212">
        <w:t>Asset Management Practices</w:t>
      </w:r>
      <w:bookmarkEnd w:id="40"/>
    </w:p>
    <w:p w:rsidR="002F2DC8" w:rsidRPr="00CD7D4F" w:rsidRDefault="002F2DC8" w:rsidP="0078674E">
      <w:r w:rsidRPr="00CD7D4F">
        <w:t xml:space="preserve">The practices that have enabled us to provide the information contained in this asset management plan can be </w:t>
      </w:r>
      <w:r w:rsidRPr="003F78F8">
        <w:t>grouped into t</w:t>
      </w:r>
      <w:r w:rsidR="003F78F8" w:rsidRPr="003F78F8">
        <w:t>hree</w:t>
      </w:r>
      <w:r w:rsidRPr="00CD7D4F">
        <w:t xml:space="preserve"> broad areas:</w:t>
      </w:r>
    </w:p>
    <w:p w:rsidR="002F2DC8" w:rsidRPr="00CD7D4F" w:rsidRDefault="002F2DC8" w:rsidP="0078674E"/>
    <w:p w:rsidR="00CC2552" w:rsidRPr="00CC2552" w:rsidRDefault="002F2DC8" w:rsidP="008348B5">
      <w:pPr>
        <w:pStyle w:val="ListParagraph"/>
        <w:numPr>
          <w:ilvl w:val="0"/>
          <w:numId w:val="44"/>
        </w:numPr>
        <w:rPr>
          <w:rFonts w:ascii="Arial" w:hAnsi="Arial" w:cs="Arial"/>
          <w:sz w:val="20"/>
          <w:szCs w:val="20"/>
        </w:rPr>
      </w:pPr>
      <w:r w:rsidRPr="00CC2552">
        <w:rPr>
          <w:rFonts w:ascii="Arial" w:hAnsi="Arial" w:cs="Arial"/>
          <w:sz w:val="20"/>
          <w:szCs w:val="20"/>
        </w:rPr>
        <w:t>Processes – the detailed processes for making and implementing day-to</w:t>
      </w:r>
      <w:r w:rsidR="00CC2552" w:rsidRPr="00CC2552">
        <w:rPr>
          <w:rFonts w:ascii="Arial" w:hAnsi="Arial" w:cs="Arial"/>
          <w:sz w:val="20"/>
          <w:szCs w:val="20"/>
        </w:rPr>
        <w:t>-day asset management decisions;</w:t>
      </w:r>
    </w:p>
    <w:p w:rsidR="00CC2552" w:rsidRPr="00CC2552" w:rsidRDefault="002F2DC8" w:rsidP="008348B5">
      <w:pPr>
        <w:pStyle w:val="ListParagraph"/>
        <w:numPr>
          <w:ilvl w:val="0"/>
          <w:numId w:val="44"/>
        </w:numPr>
        <w:rPr>
          <w:rFonts w:ascii="Arial" w:hAnsi="Arial" w:cs="Arial"/>
          <w:sz w:val="20"/>
          <w:szCs w:val="20"/>
        </w:rPr>
      </w:pPr>
      <w:r w:rsidRPr="00CC2552">
        <w:rPr>
          <w:rFonts w:ascii="Arial" w:hAnsi="Arial" w:cs="Arial"/>
          <w:sz w:val="20"/>
          <w:szCs w:val="20"/>
        </w:rPr>
        <w:t>Data – asset data</w:t>
      </w:r>
      <w:r w:rsidR="00CC2552" w:rsidRPr="00CC2552">
        <w:rPr>
          <w:rFonts w:ascii="Arial" w:hAnsi="Arial" w:cs="Arial"/>
          <w:sz w:val="20"/>
          <w:szCs w:val="20"/>
        </w:rPr>
        <w:t xml:space="preserve"> held for assets;</w:t>
      </w:r>
      <w:r w:rsidRPr="00CC2552">
        <w:rPr>
          <w:rFonts w:ascii="Arial" w:hAnsi="Arial" w:cs="Arial"/>
          <w:sz w:val="20"/>
          <w:szCs w:val="20"/>
        </w:rPr>
        <w:t xml:space="preserve"> and</w:t>
      </w:r>
    </w:p>
    <w:p w:rsidR="00E96F28" w:rsidRPr="00CC2552" w:rsidRDefault="002F2DC8" w:rsidP="008348B5">
      <w:pPr>
        <w:pStyle w:val="ListParagraph"/>
        <w:numPr>
          <w:ilvl w:val="0"/>
          <w:numId w:val="44"/>
        </w:numPr>
        <w:rPr>
          <w:rFonts w:ascii="Arial" w:hAnsi="Arial" w:cs="Arial"/>
          <w:sz w:val="20"/>
          <w:szCs w:val="20"/>
        </w:rPr>
      </w:pPr>
      <w:r w:rsidRPr="00CC2552">
        <w:rPr>
          <w:rFonts w:ascii="Arial" w:hAnsi="Arial" w:cs="Arial"/>
          <w:sz w:val="20"/>
          <w:szCs w:val="20"/>
        </w:rPr>
        <w:t>Systems – asset management information systems (AMIS)</w:t>
      </w:r>
      <w:r w:rsidR="00CC2552">
        <w:rPr>
          <w:rFonts w:ascii="Arial" w:hAnsi="Arial" w:cs="Arial"/>
          <w:sz w:val="20"/>
          <w:szCs w:val="20"/>
        </w:rPr>
        <w:t>.</w:t>
      </w:r>
    </w:p>
    <w:p w:rsidR="00CC2552" w:rsidRPr="00CC2552" w:rsidRDefault="00CC2552" w:rsidP="0078674E">
      <w:pPr>
        <w:rPr>
          <w:rFonts w:cs="Arial"/>
        </w:rPr>
      </w:pPr>
    </w:p>
    <w:p w:rsidR="002F2DC8" w:rsidRDefault="00EB4B0F" w:rsidP="0078674E">
      <w:r>
        <w:t>The t</w:t>
      </w:r>
      <w:r w:rsidR="002F2DC8" w:rsidRPr="00CD7D4F">
        <w:t>able</w:t>
      </w:r>
      <w:r w:rsidR="00523005">
        <w:t>s</w:t>
      </w:r>
      <w:r w:rsidR="002F2DC8" w:rsidRPr="00CD7D4F">
        <w:t xml:space="preserve"> below present the high level asset management practices covering critical processes, dat</w:t>
      </w:r>
      <w:r w:rsidR="00032B1F" w:rsidRPr="00CD7D4F">
        <w:t>a</w:t>
      </w:r>
      <w:r w:rsidR="0024611A">
        <w:t xml:space="preserve"> and systems:</w:t>
      </w:r>
    </w:p>
    <w:p w:rsidR="00032B1F" w:rsidRPr="00CD7D4F" w:rsidRDefault="00032B1F" w:rsidP="0078674E"/>
    <w:tbl>
      <w:tblPr>
        <w:tblW w:w="9356" w:type="dxa"/>
        <w:tblInd w:w="10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3107"/>
        <w:gridCol w:w="4406"/>
        <w:gridCol w:w="1843"/>
      </w:tblGrid>
      <w:tr w:rsidR="00386BF9" w:rsidRPr="00A83F81" w:rsidTr="00272423">
        <w:trPr>
          <w:trHeight w:val="354"/>
          <w:tblHeader/>
        </w:trPr>
        <w:tc>
          <w:tcPr>
            <w:tcW w:w="3107" w:type="dxa"/>
            <w:tcBorders>
              <w:top w:val="single" w:sz="4" w:space="0" w:color="auto"/>
              <w:left w:val="single" w:sz="4" w:space="0" w:color="auto"/>
              <w:bottom w:val="single" w:sz="4" w:space="0" w:color="auto"/>
              <w:right w:val="single" w:sz="4" w:space="0" w:color="auto"/>
            </w:tcBorders>
            <w:shd w:val="clear" w:color="auto" w:fill="95B3D7" w:themeFill="accent1" w:themeFillTint="99"/>
          </w:tcPr>
          <w:p w:rsidR="00386BF9" w:rsidRPr="00A83F81" w:rsidRDefault="00386BF9" w:rsidP="005419D7">
            <w:pPr>
              <w:spacing w:before="60" w:after="60"/>
              <w:rPr>
                <w:b/>
              </w:rPr>
            </w:pPr>
            <w:r w:rsidRPr="00A83F81">
              <w:rPr>
                <w:b/>
              </w:rPr>
              <w:t>A</w:t>
            </w:r>
            <w:r w:rsidR="005419D7">
              <w:rPr>
                <w:b/>
              </w:rPr>
              <w:t>sset Management</w:t>
            </w:r>
            <w:r w:rsidRPr="00A83F81">
              <w:rPr>
                <w:b/>
              </w:rPr>
              <w:t xml:space="preserve"> Functions</w:t>
            </w:r>
          </w:p>
        </w:tc>
        <w:tc>
          <w:tcPr>
            <w:tcW w:w="4406" w:type="dxa"/>
            <w:tcBorders>
              <w:top w:val="single" w:sz="4" w:space="0" w:color="auto"/>
              <w:left w:val="single" w:sz="4" w:space="0" w:color="auto"/>
              <w:bottom w:val="single" w:sz="4" w:space="0" w:color="auto"/>
              <w:right w:val="single" w:sz="4" w:space="0" w:color="auto"/>
            </w:tcBorders>
            <w:shd w:val="clear" w:color="auto" w:fill="95B3D7" w:themeFill="accent1" w:themeFillTint="99"/>
          </w:tcPr>
          <w:p w:rsidR="00386BF9" w:rsidRPr="00A83F81" w:rsidRDefault="00386BF9" w:rsidP="001C5EBC">
            <w:pPr>
              <w:spacing w:before="60" w:after="60"/>
              <w:jc w:val="left"/>
              <w:rPr>
                <w:b/>
              </w:rPr>
            </w:pPr>
            <w:r w:rsidRPr="00A83F81">
              <w:rPr>
                <w:b/>
              </w:rPr>
              <w:t>Critical Processes</w:t>
            </w:r>
          </w:p>
        </w:tc>
        <w:tc>
          <w:tcPr>
            <w:tcW w:w="1843" w:type="dxa"/>
            <w:tcBorders>
              <w:top w:val="single" w:sz="4" w:space="0" w:color="auto"/>
              <w:left w:val="single" w:sz="4" w:space="0" w:color="auto"/>
              <w:bottom w:val="single" w:sz="4" w:space="0" w:color="auto"/>
              <w:right w:val="single" w:sz="4" w:space="0" w:color="auto"/>
            </w:tcBorders>
            <w:shd w:val="clear" w:color="auto" w:fill="95B3D7" w:themeFill="accent1" w:themeFillTint="99"/>
          </w:tcPr>
          <w:p w:rsidR="00386BF9" w:rsidRPr="00CE5EFF" w:rsidRDefault="00386BF9" w:rsidP="001C5EBC">
            <w:pPr>
              <w:spacing w:before="60" w:after="60"/>
              <w:jc w:val="center"/>
              <w:rPr>
                <w:b/>
              </w:rPr>
            </w:pPr>
            <w:r w:rsidRPr="00CE5EFF">
              <w:rPr>
                <w:b/>
              </w:rPr>
              <w:t>Current Practice</w:t>
            </w:r>
          </w:p>
        </w:tc>
      </w:tr>
      <w:tr w:rsidR="00386BF9" w:rsidRPr="00A83F81" w:rsidTr="00272423">
        <w:trPr>
          <w:trHeight w:val="486"/>
        </w:trPr>
        <w:tc>
          <w:tcPr>
            <w:tcW w:w="3107" w:type="dxa"/>
            <w:tcBorders>
              <w:top w:val="single" w:sz="4" w:space="0" w:color="auto"/>
              <w:left w:val="single" w:sz="4" w:space="0" w:color="000000" w:themeColor="text1"/>
              <w:bottom w:val="single" w:sz="4" w:space="0" w:color="000000" w:themeColor="text1"/>
              <w:right w:val="single" w:sz="4" w:space="0" w:color="000000" w:themeColor="text1"/>
            </w:tcBorders>
            <w:shd w:val="clear" w:color="auto" w:fill="FFFFFF" w:themeFill="background1"/>
          </w:tcPr>
          <w:p w:rsidR="00386BF9" w:rsidRPr="00A83F81" w:rsidRDefault="00386BF9" w:rsidP="001C5EBC">
            <w:pPr>
              <w:spacing w:before="60" w:after="60"/>
            </w:pPr>
            <w:r w:rsidRPr="00A83F81">
              <w:t>Managing Performance</w:t>
            </w:r>
          </w:p>
        </w:tc>
        <w:tc>
          <w:tcPr>
            <w:tcW w:w="4406" w:type="dxa"/>
            <w:tcBorders>
              <w:top w:val="single" w:sz="4" w:space="0" w:color="auto"/>
              <w:left w:val="single" w:sz="4" w:space="0" w:color="000000" w:themeColor="text1"/>
              <w:bottom w:val="single" w:sz="4" w:space="0" w:color="000000" w:themeColor="text1"/>
              <w:right w:val="single" w:sz="4" w:space="0" w:color="000000" w:themeColor="text1"/>
            </w:tcBorders>
            <w:shd w:val="clear" w:color="auto" w:fill="FFFFFF" w:themeFill="background1"/>
          </w:tcPr>
          <w:p w:rsidR="00386BF9" w:rsidRPr="00A83F81" w:rsidRDefault="00386BF9" w:rsidP="001C5EBC">
            <w:pPr>
              <w:pStyle w:val="ListParagraph"/>
              <w:numPr>
                <w:ilvl w:val="0"/>
                <w:numId w:val="45"/>
              </w:numPr>
              <w:spacing w:before="60" w:after="60"/>
              <w:rPr>
                <w:rFonts w:ascii="Arial" w:hAnsi="Arial" w:cs="Arial"/>
                <w:sz w:val="20"/>
              </w:rPr>
            </w:pPr>
            <w:r w:rsidRPr="00A83F81">
              <w:rPr>
                <w:rFonts w:ascii="Arial" w:hAnsi="Arial" w:cs="Arial"/>
                <w:sz w:val="20"/>
              </w:rPr>
              <w:t>Levels of service</w:t>
            </w:r>
          </w:p>
          <w:p w:rsidR="00386BF9" w:rsidRPr="00A83F81" w:rsidRDefault="00386BF9" w:rsidP="001C5EBC">
            <w:pPr>
              <w:pStyle w:val="ListParagraph"/>
              <w:numPr>
                <w:ilvl w:val="0"/>
                <w:numId w:val="45"/>
              </w:numPr>
              <w:spacing w:before="60" w:after="60"/>
              <w:rPr>
                <w:rFonts w:ascii="Arial" w:hAnsi="Arial" w:cs="Arial"/>
                <w:sz w:val="20"/>
              </w:rPr>
            </w:pPr>
            <w:r w:rsidRPr="00A83F81">
              <w:rPr>
                <w:rFonts w:ascii="Arial" w:hAnsi="Arial" w:cs="Arial"/>
                <w:sz w:val="20"/>
              </w:rPr>
              <w:t>Performance measures</w:t>
            </w:r>
          </w:p>
          <w:p w:rsidR="00386BF9" w:rsidRPr="00A83F81" w:rsidRDefault="00386BF9" w:rsidP="001C5EBC">
            <w:pPr>
              <w:pStyle w:val="ListParagraph"/>
              <w:numPr>
                <w:ilvl w:val="0"/>
                <w:numId w:val="45"/>
              </w:numPr>
              <w:spacing w:before="60" w:after="60"/>
              <w:rPr>
                <w:rFonts w:ascii="Arial" w:hAnsi="Arial" w:cs="Arial"/>
                <w:sz w:val="20"/>
              </w:rPr>
            </w:pPr>
            <w:r w:rsidRPr="00A83F81">
              <w:rPr>
                <w:rFonts w:ascii="Arial" w:hAnsi="Arial" w:cs="Arial"/>
                <w:sz w:val="20"/>
              </w:rPr>
              <w:t>LOS options and costs</w:t>
            </w:r>
          </w:p>
          <w:p w:rsidR="00386BF9" w:rsidRPr="00A83F81" w:rsidRDefault="00386BF9" w:rsidP="001C5EBC">
            <w:pPr>
              <w:pStyle w:val="ListParagraph"/>
              <w:numPr>
                <w:ilvl w:val="0"/>
                <w:numId w:val="45"/>
              </w:numPr>
              <w:spacing w:before="60" w:after="60"/>
            </w:pPr>
            <w:r w:rsidRPr="00A83F81">
              <w:rPr>
                <w:rFonts w:ascii="Arial" w:hAnsi="Arial" w:cs="Arial"/>
                <w:sz w:val="20"/>
              </w:rPr>
              <w:t>Community engagement</w:t>
            </w:r>
            <w:r w:rsidRPr="00A83F81">
              <w:rPr>
                <w:sz w:val="20"/>
              </w:rPr>
              <w:t xml:space="preserve">  </w:t>
            </w:r>
          </w:p>
        </w:tc>
        <w:tc>
          <w:tcPr>
            <w:tcW w:w="1843" w:type="dxa"/>
            <w:tcBorders>
              <w:top w:val="single" w:sz="4" w:space="0" w:color="auto"/>
              <w:left w:val="single" w:sz="4" w:space="0" w:color="000000" w:themeColor="text1"/>
              <w:bottom w:val="single" w:sz="4" w:space="0" w:color="000000" w:themeColor="text1"/>
              <w:right w:val="single" w:sz="4" w:space="0" w:color="000000" w:themeColor="text1"/>
            </w:tcBorders>
            <w:shd w:val="clear" w:color="auto" w:fill="FFFFFF" w:themeFill="background1"/>
          </w:tcPr>
          <w:p w:rsidR="00386BF9" w:rsidRPr="00CE5EFF" w:rsidRDefault="001C5EBC" w:rsidP="001C5EBC">
            <w:pPr>
              <w:spacing w:before="60" w:after="60"/>
              <w:ind w:left="34"/>
              <w:jc w:val="center"/>
              <w:rPr>
                <w:rFonts w:cs="Arial"/>
              </w:rPr>
            </w:pPr>
            <w:r w:rsidRPr="00CE5EFF">
              <w:sym w:font="Wingdings" w:char="F0FC"/>
            </w:r>
          </w:p>
          <w:p w:rsidR="001C5EBC" w:rsidRPr="00CE5EFF" w:rsidRDefault="001C5EBC" w:rsidP="001C5EBC">
            <w:pPr>
              <w:spacing w:before="60" w:after="60"/>
              <w:jc w:val="center"/>
            </w:pPr>
            <w:r w:rsidRPr="00CE5EFF">
              <w:sym w:font="Wingdings" w:char="F0FC"/>
            </w:r>
          </w:p>
          <w:p w:rsidR="001C5EBC" w:rsidRPr="00CE5EFF" w:rsidRDefault="001C5EBC" w:rsidP="001C5EBC">
            <w:pPr>
              <w:spacing w:before="60" w:after="60"/>
              <w:jc w:val="center"/>
              <w:rPr>
                <w:rFonts w:cs="Arial"/>
              </w:rPr>
            </w:pPr>
            <w:r w:rsidRPr="00CE5EFF">
              <w:sym w:font="Wingdings" w:char="F0FC"/>
            </w:r>
          </w:p>
          <w:p w:rsidR="00A32246" w:rsidRPr="00CE5EFF" w:rsidRDefault="001C5EBC" w:rsidP="001C5EBC">
            <w:pPr>
              <w:spacing w:before="60" w:after="60"/>
              <w:jc w:val="center"/>
              <w:rPr>
                <w:rFonts w:cs="Arial"/>
              </w:rPr>
            </w:pPr>
            <w:r w:rsidRPr="00CE5EFF">
              <w:sym w:font="Wingdings" w:char="F0FC"/>
            </w:r>
          </w:p>
        </w:tc>
      </w:tr>
      <w:tr w:rsidR="00386BF9" w:rsidRPr="00A83F81" w:rsidTr="00272423">
        <w:trPr>
          <w:trHeight w:val="271"/>
        </w:trPr>
        <w:tc>
          <w:tcPr>
            <w:tcW w:w="310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386BF9" w:rsidRPr="00A83F81" w:rsidRDefault="00BC1885" w:rsidP="001C5EBC">
            <w:pPr>
              <w:spacing w:before="60" w:after="60"/>
            </w:pPr>
            <w:r>
              <w:t>Managing Growth and</w:t>
            </w:r>
            <w:r w:rsidR="00386BF9" w:rsidRPr="00A83F81">
              <w:t xml:space="preserve"> Demand</w:t>
            </w:r>
          </w:p>
        </w:tc>
        <w:tc>
          <w:tcPr>
            <w:tcW w:w="440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386BF9" w:rsidRPr="00A83F81" w:rsidRDefault="00386BF9" w:rsidP="001C5EBC">
            <w:pPr>
              <w:pStyle w:val="ListParagraph"/>
              <w:numPr>
                <w:ilvl w:val="0"/>
                <w:numId w:val="45"/>
              </w:numPr>
              <w:spacing w:before="60" w:after="60"/>
              <w:rPr>
                <w:rFonts w:ascii="Arial" w:hAnsi="Arial" w:cs="Arial"/>
                <w:sz w:val="20"/>
              </w:rPr>
            </w:pPr>
            <w:r w:rsidRPr="00A83F81">
              <w:rPr>
                <w:rFonts w:ascii="Arial" w:hAnsi="Arial" w:cs="Arial"/>
                <w:sz w:val="20"/>
              </w:rPr>
              <w:t>Asset Utilisation</w:t>
            </w:r>
          </w:p>
          <w:p w:rsidR="00386BF9" w:rsidRPr="00A83F81" w:rsidRDefault="00386BF9" w:rsidP="001C5EBC">
            <w:pPr>
              <w:pStyle w:val="ListParagraph"/>
              <w:numPr>
                <w:ilvl w:val="0"/>
                <w:numId w:val="45"/>
              </w:numPr>
              <w:spacing w:before="60" w:after="60"/>
              <w:rPr>
                <w:rFonts w:ascii="Arial" w:hAnsi="Arial" w:cs="Arial"/>
                <w:sz w:val="20"/>
              </w:rPr>
            </w:pPr>
            <w:r w:rsidRPr="00A83F81">
              <w:rPr>
                <w:rFonts w:ascii="Arial" w:hAnsi="Arial" w:cs="Arial"/>
                <w:sz w:val="20"/>
              </w:rPr>
              <w:t>Demand Modelling</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1C5EBC" w:rsidRPr="00CE5EFF" w:rsidRDefault="001C5EBC" w:rsidP="001C5EBC">
            <w:pPr>
              <w:spacing w:before="60" w:after="60"/>
              <w:jc w:val="center"/>
              <w:rPr>
                <w:rFonts w:cs="Arial"/>
              </w:rPr>
            </w:pPr>
            <w:r w:rsidRPr="00CE5EFF">
              <w:sym w:font="Wingdings" w:char="F0FC"/>
            </w:r>
          </w:p>
          <w:p w:rsidR="00386BF9" w:rsidRPr="00CE5EFF" w:rsidRDefault="001C5EBC" w:rsidP="001C5EBC">
            <w:pPr>
              <w:spacing w:before="60" w:after="60"/>
              <w:jc w:val="center"/>
              <w:rPr>
                <w:rFonts w:cs="Arial"/>
              </w:rPr>
            </w:pPr>
            <w:r w:rsidRPr="00CE5EFF">
              <w:sym w:font="Wingdings" w:char="F0FC"/>
            </w:r>
          </w:p>
        </w:tc>
      </w:tr>
      <w:tr w:rsidR="00386BF9" w:rsidRPr="00A83F81" w:rsidTr="00272423">
        <w:trPr>
          <w:trHeight w:val="1287"/>
        </w:trPr>
        <w:tc>
          <w:tcPr>
            <w:tcW w:w="310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386BF9" w:rsidRPr="00A83F81" w:rsidRDefault="00386BF9" w:rsidP="001C5EBC">
            <w:pPr>
              <w:spacing w:before="60" w:after="60"/>
            </w:pPr>
            <w:r w:rsidRPr="00A83F81">
              <w:t>Asset Lifecycle Management</w:t>
            </w:r>
          </w:p>
        </w:tc>
        <w:tc>
          <w:tcPr>
            <w:tcW w:w="440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386BF9" w:rsidRPr="00A83F81" w:rsidRDefault="00386BF9" w:rsidP="001C5EBC">
            <w:pPr>
              <w:pStyle w:val="ListParagraph"/>
              <w:numPr>
                <w:ilvl w:val="0"/>
                <w:numId w:val="45"/>
              </w:numPr>
              <w:spacing w:before="60" w:after="60"/>
              <w:rPr>
                <w:rFonts w:ascii="Arial" w:hAnsi="Arial" w:cs="Arial"/>
                <w:sz w:val="20"/>
              </w:rPr>
            </w:pPr>
            <w:r w:rsidRPr="00A83F81">
              <w:rPr>
                <w:rFonts w:ascii="Arial" w:hAnsi="Arial" w:cs="Arial"/>
                <w:sz w:val="20"/>
              </w:rPr>
              <w:t>Knowledge of assets</w:t>
            </w:r>
          </w:p>
          <w:p w:rsidR="00386BF9" w:rsidRPr="00A83F81" w:rsidRDefault="00386BF9" w:rsidP="001C5EBC">
            <w:pPr>
              <w:pStyle w:val="ListParagraph"/>
              <w:numPr>
                <w:ilvl w:val="0"/>
                <w:numId w:val="45"/>
              </w:numPr>
              <w:spacing w:before="60" w:after="60"/>
              <w:rPr>
                <w:rFonts w:ascii="Arial" w:hAnsi="Arial" w:cs="Arial"/>
                <w:sz w:val="20"/>
              </w:rPr>
            </w:pPr>
            <w:r w:rsidRPr="00A83F81">
              <w:rPr>
                <w:rFonts w:ascii="Arial" w:hAnsi="Arial" w:cs="Arial"/>
                <w:sz w:val="20"/>
              </w:rPr>
              <w:t xml:space="preserve">Condition Assessment </w:t>
            </w:r>
          </w:p>
          <w:p w:rsidR="00386BF9" w:rsidRPr="00A83F81" w:rsidRDefault="00386BF9" w:rsidP="001C5EBC">
            <w:pPr>
              <w:pStyle w:val="ListParagraph"/>
              <w:numPr>
                <w:ilvl w:val="0"/>
                <w:numId w:val="45"/>
              </w:numPr>
              <w:spacing w:before="60" w:after="60"/>
              <w:rPr>
                <w:rFonts w:ascii="Arial" w:hAnsi="Arial" w:cs="Arial"/>
                <w:sz w:val="20"/>
              </w:rPr>
            </w:pPr>
            <w:r w:rsidRPr="00A83F81">
              <w:rPr>
                <w:rFonts w:ascii="Arial" w:hAnsi="Arial" w:cs="Arial"/>
                <w:sz w:val="20"/>
              </w:rPr>
              <w:t xml:space="preserve">Operations </w:t>
            </w:r>
            <w:r w:rsidR="00927AFA">
              <w:rPr>
                <w:rFonts w:ascii="Arial" w:hAnsi="Arial" w:cs="Arial"/>
                <w:sz w:val="20"/>
              </w:rPr>
              <w:t>and</w:t>
            </w:r>
            <w:r w:rsidRPr="00A83F81">
              <w:rPr>
                <w:rFonts w:ascii="Arial" w:hAnsi="Arial" w:cs="Arial"/>
                <w:sz w:val="20"/>
              </w:rPr>
              <w:t xml:space="preserve"> Maintenance </w:t>
            </w:r>
          </w:p>
          <w:p w:rsidR="00386BF9" w:rsidRPr="00A83F81" w:rsidRDefault="00EB4B0F" w:rsidP="001C5EBC">
            <w:pPr>
              <w:pStyle w:val="ListParagraph"/>
              <w:numPr>
                <w:ilvl w:val="0"/>
                <w:numId w:val="45"/>
              </w:numPr>
              <w:spacing w:before="60" w:after="60"/>
              <w:rPr>
                <w:rFonts w:ascii="Arial" w:hAnsi="Arial" w:cs="Arial"/>
                <w:sz w:val="20"/>
              </w:rPr>
            </w:pPr>
            <w:r w:rsidRPr="00A83F81">
              <w:rPr>
                <w:rFonts w:ascii="Arial" w:hAnsi="Arial" w:cs="Arial"/>
                <w:sz w:val="20"/>
              </w:rPr>
              <w:t xml:space="preserve">Optimised </w:t>
            </w:r>
            <w:r w:rsidR="00386BF9" w:rsidRPr="00A83F81">
              <w:rPr>
                <w:rFonts w:ascii="Arial" w:hAnsi="Arial" w:cs="Arial"/>
                <w:sz w:val="20"/>
              </w:rPr>
              <w:t>D</w:t>
            </w:r>
            <w:r w:rsidR="0067277B">
              <w:rPr>
                <w:rFonts w:ascii="Arial" w:hAnsi="Arial" w:cs="Arial"/>
                <w:sz w:val="20"/>
              </w:rPr>
              <w:t>ecision-</w:t>
            </w:r>
            <w:r w:rsidR="00386BF9" w:rsidRPr="00A83F81">
              <w:rPr>
                <w:rFonts w:ascii="Arial" w:hAnsi="Arial" w:cs="Arial"/>
                <w:sz w:val="20"/>
              </w:rPr>
              <w:t>M</w:t>
            </w:r>
            <w:r w:rsidRPr="00A83F81">
              <w:rPr>
                <w:rFonts w:ascii="Arial" w:hAnsi="Arial" w:cs="Arial"/>
                <w:sz w:val="20"/>
              </w:rPr>
              <w:t>aking</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386BF9" w:rsidRPr="00CE5EFF" w:rsidRDefault="001C5EBC" w:rsidP="001C5EBC">
            <w:pPr>
              <w:spacing w:before="60" w:after="60"/>
              <w:jc w:val="center"/>
            </w:pPr>
            <w:r w:rsidRPr="00CE5EFF">
              <w:sym w:font="Wingdings" w:char="F0FC"/>
            </w:r>
          </w:p>
          <w:p w:rsidR="001C5EBC" w:rsidRPr="00CE5EFF" w:rsidRDefault="001C5EBC" w:rsidP="001C5EBC">
            <w:pPr>
              <w:spacing w:before="60" w:after="60"/>
              <w:jc w:val="center"/>
            </w:pPr>
            <w:r w:rsidRPr="00CE5EFF">
              <w:sym w:font="Wingdings" w:char="F0FC"/>
            </w:r>
          </w:p>
          <w:p w:rsidR="001C5EBC" w:rsidRPr="00CE5EFF" w:rsidRDefault="001C5EBC" w:rsidP="001C5EBC">
            <w:pPr>
              <w:spacing w:before="60" w:after="60"/>
              <w:jc w:val="center"/>
            </w:pPr>
            <w:r w:rsidRPr="00CE5EFF">
              <w:sym w:font="Wingdings" w:char="F0FC"/>
            </w:r>
          </w:p>
          <w:p w:rsidR="001C5EBC" w:rsidRPr="00CE5EFF" w:rsidRDefault="001C5EBC" w:rsidP="001C5EBC">
            <w:pPr>
              <w:spacing w:before="60" w:after="60"/>
              <w:jc w:val="center"/>
              <w:rPr>
                <w:rFonts w:cs="Arial"/>
              </w:rPr>
            </w:pPr>
            <w:r w:rsidRPr="00CE5EFF">
              <w:sym w:font="Wingdings" w:char="F0FC"/>
            </w:r>
          </w:p>
        </w:tc>
      </w:tr>
      <w:tr w:rsidR="00386BF9" w:rsidRPr="00A83F81" w:rsidTr="00272423">
        <w:trPr>
          <w:trHeight w:val="426"/>
        </w:trPr>
        <w:tc>
          <w:tcPr>
            <w:tcW w:w="310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386BF9" w:rsidRPr="00A83F81" w:rsidRDefault="00386BF9" w:rsidP="001C5EBC">
            <w:pPr>
              <w:spacing w:before="60" w:after="60"/>
            </w:pPr>
            <w:r w:rsidRPr="00A83F81">
              <w:t>Asset Sustainability</w:t>
            </w:r>
          </w:p>
        </w:tc>
        <w:tc>
          <w:tcPr>
            <w:tcW w:w="440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386BF9" w:rsidRPr="00A83F81" w:rsidRDefault="00386BF9" w:rsidP="001C5EBC">
            <w:pPr>
              <w:pStyle w:val="ListParagraph"/>
              <w:numPr>
                <w:ilvl w:val="0"/>
                <w:numId w:val="45"/>
              </w:numPr>
              <w:spacing w:before="60" w:after="60"/>
              <w:rPr>
                <w:rFonts w:ascii="Arial" w:hAnsi="Arial" w:cs="Arial"/>
                <w:sz w:val="20"/>
              </w:rPr>
            </w:pPr>
            <w:r w:rsidRPr="00A83F81">
              <w:rPr>
                <w:rFonts w:ascii="Arial" w:hAnsi="Arial" w:cs="Arial"/>
                <w:sz w:val="20"/>
              </w:rPr>
              <w:t>Sustainability</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386BF9" w:rsidRPr="00CE5EFF" w:rsidRDefault="001C5EBC" w:rsidP="001C5EBC">
            <w:pPr>
              <w:spacing w:before="60" w:after="60"/>
              <w:jc w:val="center"/>
              <w:rPr>
                <w:rFonts w:cs="Arial"/>
              </w:rPr>
            </w:pPr>
            <w:r w:rsidRPr="00CE5EFF">
              <w:sym w:font="Wingdings" w:char="F0FC"/>
            </w:r>
          </w:p>
        </w:tc>
      </w:tr>
      <w:tr w:rsidR="00386BF9" w:rsidRPr="00A83F81" w:rsidTr="00272423">
        <w:trPr>
          <w:trHeight w:val="525"/>
        </w:trPr>
        <w:tc>
          <w:tcPr>
            <w:tcW w:w="310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386BF9" w:rsidRPr="00A83F81" w:rsidRDefault="00386BF9" w:rsidP="001C5EBC">
            <w:pPr>
              <w:spacing w:before="60" w:after="60"/>
            </w:pPr>
            <w:r w:rsidRPr="00A83F81">
              <w:t>Financial</w:t>
            </w:r>
          </w:p>
        </w:tc>
        <w:tc>
          <w:tcPr>
            <w:tcW w:w="440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386BF9" w:rsidRPr="00A83F81" w:rsidRDefault="00386BF9" w:rsidP="001C5EBC">
            <w:pPr>
              <w:pStyle w:val="ListParagraph"/>
              <w:numPr>
                <w:ilvl w:val="0"/>
                <w:numId w:val="45"/>
              </w:numPr>
              <w:spacing w:before="60" w:after="60"/>
              <w:rPr>
                <w:rFonts w:ascii="Arial" w:hAnsi="Arial" w:cs="Arial"/>
                <w:sz w:val="20"/>
              </w:rPr>
            </w:pPr>
            <w:r w:rsidRPr="00A83F81">
              <w:rPr>
                <w:rFonts w:ascii="Arial" w:hAnsi="Arial" w:cs="Arial"/>
                <w:sz w:val="20"/>
              </w:rPr>
              <w:t>Financial forecasts</w:t>
            </w:r>
          </w:p>
          <w:p w:rsidR="00386BF9" w:rsidRPr="00A83F81" w:rsidRDefault="00386BF9" w:rsidP="001C5EBC">
            <w:pPr>
              <w:pStyle w:val="ListParagraph"/>
              <w:numPr>
                <w:ilvl w:val="0"/>
                <w:numId w:val="45"/>
              </w:numPr>
              <w:spacing w:before="60" w:after="60"/>
              <w:rPr>
                <w:rFonts w:ascii="Arial" w:hAnsi="Arial" w:cs="Arial"/>
                <w:sz w:val="20"/>
              </w:rPr>
            </w:pPr>
            <w:r w:rsidRPr="00A83F81">
              <w:rPr>
                <w:rFonts w:ascii="Arial" w:hAnsi="Arial" w:cs="Arial"/>
                <w:sz w:val="20"/>
              </w:rPr>
              <w:t>Valuations and depreciation funding</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386BF9" w:rsidRPr="00CE5EFF" w:rsidRDefault="001C5EBC" w:rsidP="001C5EBC">
            <w:pPr>
              <w:spacing w:before="60" w:after="60"/>
              <w:jc w:val="center"/>
            </w:pPr>
            <w:r w:rsidRPr="00CE5EFF">
              <w:sym w:font="Wingdings" w:char="F0FC"/>
            </w:r>
          </w:p>
          <w:p w:rsidR="001C5EBC" w:rsidRPr="00CE5EFF" w:rsidRDefault="001C5EBC" w:rsidP="001C5EBC">
            <w:pPr>
              <w:spacing w:before="60" w:after="60"/>
              <w:jc w:val="center"/>
              <w:rPr>
                <w:rFonts w:cs="Arial"/>
              </w:rPr>
            </w:pPr>
            <w:r w:rsidRPr="00CE5EFF">
              <w:sym w:font="Wingdings" w:char="F0FC"/>
            </w:r>
          </w:p>
        </w:tc>
      </w:tr>
      <w:tr w:rsidR="00386BF9" w:rsidRPr="00A83F81" w:rsidTr="00272423">
        <w:trPr>
          <w:trHeight w:val="525"/>
        </w:trPr>
        <w:tc>
          <w:tcPr>
            <w:tcW w:w="310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386BF9" w:rsidRPr="00A83F81" w:rsidRDefault="00386BF9" w:rsidP="001C5EBC">
            <w:pPr>
              <w:spacing w:before="60" w:after="60"/>
            </w:pPr>
            <w:r w:rsidRPr="00A83F81">
              <w:t>Risk Management</w:t>
            </w:r>
          </w:p>
        </w:tc>
        <w:tc>
          <w:tcPr>
            <w:tcW w:w="440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386BF9" w:rsidRPr="00A83F81" w:rsidRDefault="00386BF9" w:rsidP="001C5EBC">
            <w:pPr>
              <w:pStyle w:val="ListParagraph"/>
              <w:numPr>
                <w:ilvl w:val="0"/>
                <w:numId w:val="45"/>
              </w:numPr>
              <w:spacing w:before="60" w:after="60"/>
              <w:rPr>
                <w:rFonts w:ascii="Arial" w:hAnsi="Arial" w:cs="Arial"/>
                <w:sz w:val="20"/>
              </w:rPr>
            </w:pPr>
            <w:r w:rsidRPr="00A83F81">
              <w:rPr>
                <w:rFonts w:ascii="Arial" w:hAnsi="Arial" w:cs="Arial"/>
                <w:sz w:val="20"/>
              </w:rPr>
              <w:t>Risk assessment</w:t>
            </w:r>
          </w:p>
          <w:p w:rsidR="00386BF9" w:rsidRPr="00A83F81" w:rsidRDefault="00386BF9" w:rsidP="001C5EBC">
            <w:pPr>
              <w:pStyle w:val="ListParagraph"/>
              <w:numPr>
                <w:ilvl w:val="0"/>
                <w:numId w:val="45"/>
              </w:numPr>
              <w:spacing w:before="60" w:after="60"/>
              <w:rPr>
                <w:rFonts w:ascii="Arial" w:hAnsi="Arial" w:cs="Arial"/>
                <w:sz w:val="20"/>
              </w:rPr>
            </w:pPr>
            <w:r w:rsidRPr="00A83F81">
              <w:rPr>
                <w:rFonts w:ascii="Arial" w:hAnsi="Arial" w:cs="Arial"/>
                <w:sz w:val="20"/>
              </w:rPr>
              <w:t>Risk Mitigation measures</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386BF9" w:rsidRPr="00CE5EFF" w:rsidRDefault="001C5EBC" w:rsidP="001C5EBC">
            <w:pPr>
              <w:spacing w:before="60" w:after="60"/>
              <w:jc w:val="center"/>
            </w:pPr>
            <w:r w:rsidRPr="00CE5EFF">
              <w:sym w:font="Wingdings" w:char="F0FC"/>
            </w:r>
          </w:p>
          <w:p w:rsidR="001C5EBC" w:rsidRPr="00CE5EFF" w:rsidRDefault="001C5EBC" w:rsidP="001C5EBC">
            <w:pPr>
              <w:spacing w:before="60" w:after="60"/>
              <w:jc w:val="center"/>
              <w:rPr>
                <w:rFonts w:cs="Arial"/>
              </w:rPr>
            </w:pPr>
            <w:r w:rsidRPr="00CE5EFF">
              <w:sym w:font="Wingdings" w:char="F0FC"/>
            </w:r>
          </w:p>
        </w:tc>
      </w:tr>
      <w:tr w:rsidR="00386BF9" w:rsidRPr="00A83F81" w:rsidTr="00272423">
        <w:trPr>
          <w:trHeight w:val="525"/>
        </w:trPr>
        <w:tc>
          <w:tcPr>
            <w:tcW w:w="310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386BF9" w:rsidRPr="00A83F81" w:rsidRDefault="00386BF9" w:rsidP="001C5EBC">
            <w:pPr>
              <w:spacing w:before="60" w:after="60"/>
            </w:pPr>
            <w:r w:rsidRPr="00A83F81">
              <w:t>Improvement Plan</w:t>
            </w:r>
          </w:p>
        </w:tc>
        <w:tc>
          <w:tcPr>
            <w:tcW w:w="440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386BF9" w:rsidRPr="00A83F81" w:rsidRDefault="00386BF9" w:rsidP="001C5EBC">
            <w:pPr>
              <w:pStyle w:val="ListParagraph"/>
              <w:numPr>
                <w:ilvl w:val="0"/>
                <w:numId w:val="45"/>
              </w:numPr>
              <w:spacing w:before="60" w:after="60"/>
              <w:rPr>
                <w:rFonts w:ascii="Arial" w:hAnsi="Arial" w:cs="Arial"/>
                <w:sz w:val="20"/>
              </w:rPr>
            </w:pPr>
            <w:r w:rsidRPr="00A83F81">
              <w:rPr>
                <w:rFonts w:ascii="Arial" w:hAnsi="Arial" w:cs="Arial"/>
                <w:sz w:val="20"/>
              </w:rPr>
              <w:t>Asset Management capability</w:t>
            </w:r>
          </w:p>
          <w:p w:rsidR="00386BF9" w:rsidRPr="00A83F81" w:rsidRDefault="00386BF9" w:rsidP="001C5EBC">
            <w:pPr>
              <w:pStyle w:val="ListParagraph"/>
              <w:numPr>
                <w:ilvl w:val="0"/>
                <w:numId w:val="45"/>
              </w:numPr>
              <w:spacing w:before="60" w:after="60"/>
              <w:rPr>
                <w:rFonts w:ascii="Arial" w:hAnsi="Arial" w:cs="Arial"/>
                <w:sz w:val="20"/>
              </w:rPr>
            </w:pPr>
            <w:r w:rsidRPr="00A83F81">
              <w:rPr>
                <w:rFonts w:ascii="Arial" w:hAnsi="Arial" w:cs="Arial"/>
                <w:sz w:val="20"/>
              </w:rPr>
              <w:t>Monitoring and reporting</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386BF9" w:rsidRPr="00CE5EFF" w:rsidRDefault="001C5EBC" w:rsidP="001C5EBC">
            <w:pPr>
              <w:spacing w:before="60" w:after="60"/>
              <w:jc w:val="center"/>
              <w:rPr>
                <w:rFonts w:cs="Arial"/>
              </w:rPr>
            </w:pPr>
            <w:r w:rsidRPr="00CE5EFF">
              <w:sym w:font="Wingdings" w:char="F0FC"/>
            </w:r>
          </w:p>
          <w:p w:rsidR="001C5EBC" w:rsidRPr="00CE5EFF" w:rsidRDefault="001C5EBC" w:rsidP="001C5EBC">
            <w:pPr>
              <w:spacing w:before="60" w:after="60"/>
              <w:jc w:val="center"/>
              <w:rPr>
                <w:rFonts w:cs="Arial"/>
              </w:rPr>
            </w:pPr>
            <w:r w:rsidRPr="00CE5EFF">
              <w:sym w:font="Wingdings" w:char="F0FC"/>
            </w:r>
          </w:p>
        </w:tc>
      </w:tr>
    </w:tbl>
    <w:p w:rsidR="00523005" w:rsidRPr="0091425F" w:rsidRDefault="00737599" w:rsidP="0033721F">
      <w:pPr>
        <w:pStyle w:val="Caption"/>
        <w:spacing w:before="240" w:after="240"/>
        <w:ind w:left="0"/>
        <w:jc w:val="center"/>
        <w:rPr>
          <w:rFonts w:ascii="Arial" w:hAnsi="Arial"/>
          <w:i w:val="0"/>
          <w:iCs w:val="0"/>
          <w:sz w:val="20"/>
          <w:lang w:val="en-AU"/>
        </w:rPr>
      </w:pPr>
      <w:bookmarkStart w:id="41" w:name="_Toc364945413"/>
      <w:r w:rsidRPr="0091425F">
        <w:rPr>
          <w:rFonts w:ascii="Arial" w:hAnsi="Arial"/>
          <w:i w:val="0"/>
          <w:iCs w:val="0"/>
          <w:sz w:val="20"/>
          <w:lang w:val="en-AU"/>
        </w:rPr>
        <w:t xml:space="preserve">Table </w:t>
      </w:r>
      <w:r w:rsidR="0090414C" w:rsidRPr="0091425F">
        <w:rPr>
          <w:rFonts w:ascii="Arial" w:hAnsi="Arial"/>
          <w:i w:val="0"/>
          <w:iCs w:val="0"/>
          <w:sz w:val="20"/>
          <w:lang w:val="en-AU"/>
        </w:rPr>
        <w:fldChar w:fldCharType="begin"/>
      </w:r>
      <w:r w:rsidRPr="0091425F">
        <w:rPr>
          <w:rFonts w:ascii="Arial" w:hAnsi="Arial"/>
          <w:i w:val="0"/>
          <w:iCs w:val="0"/>
          <w:sz w:val="20"/>
          <w:lang w:val="en-AU"/>
        </w:rPr>
        <w:instrText xml:space="preserve"> SEQ Table \* ARABIC </w:instrText>
      </w:r>
      <w:r w:rsidR="0090414C" w:rsidRPr="0091425F">
        <w:rPr>
          <w:rFonts w:ascii="Arial" w:hAnsi="Arial"/>
          <w:i w:val="0"/>
          <w:iCs w:val="0"/>
          <w:sz w:val="20"/>
          <w:lang w:val="en-AU"/>
        </w:rPr>
        <w:fldChar w:fldCharType="separate"/>
      </w:r>
      <w:r w:rsidR="00751CEC">
        <w:rPr>
          <w:rFonts w:ascii="Arial" w:hAnsi="Arial"/>
          <w:i w:val="0"/>
          <w:iCs w:val="0"/>
          <w:noProof/>
          <w:sz w:val="20"/>
          <w:lang w:val="en-AU"/>
        </w:rPr>
        <w:t>9</w:t>
      </w:r>
      <w:r w:rsidR="0090414C" w:rsidRPr="0091425F">
        <w:rPr>
          <w:rFonts w:ascii="Arial" w:hAnsi="Arial"/>
          <w:i w:val="0"/>
          <w:iCs w:val="0"/>
          <w:sz w:val="20"/>
          <w:lang w:val="en-AU"/>
        </w:rPr>
        <w:fldChar w:fldCharType="end"/>
      </w:r>
      <w:r w:rsidR="00523005" w:rsidRPr="0091425F">
        <w:rPr>
          <w:rFonts w:ascii="Arial" w:hAnsi="Arial"/>
          <w:i w:val="0"/>
          <w:iCs w:val="0"/>
          <w:sz w:val="20"/>
          <w:lang w:val="en-AU"/>
        </w:rPr>
        <w:t>:</w:t>
      </w:r>
      <w:r w:rsidR="006241C1" w:rsidRPr="0091425F">
        <w:rPr>
          <w:rFonts w:ascii="Arial" w:hAnsi="Arial"/>
          <w:i w:val="0"/>
          <w:iCs w:val="0"/>
          <w:sz w:val="20"/>
          <w:lang w:val="en-AU"/>
        </w:rPr>
        <w:t xml:space="preserve"> </w:t>
      </w:r>
      <w:r w:rsidR="00523005" w:rsidRPr="0091425F">
        <w:rPr>
          <w:rFonts w:ascii="Arial" w:hAnsi="Arial"/>
          <w:i w:val="0"/>
          <w:iCs w:val="0"/>
          <w:sz w:val="20"/>
          <w:lang w:val="en-AU"/>
        </w:rPr>
        <w:t xml:space="preserve"> Critical Lifecycle Management Processes</w:t>
      </w:r>
      <w:bookmarkEnd w:id="41"/>
    </w:p>
    <w:p w:rsidR="00032B1F" w:rsidRPr="00CD7D4F" w:rsidRDefault="00032B1F" w:rsidP="00BC1885">
      <w:pPr>
        <w:keepNext/>
        <w:keepLines/>
      </w:pPr>
    </w:p>
    <w:tbl>
      <w:tblPr>
        <w:tblW w:w="9356" w:type="dxa"/>
        <w:tblInd w:w="10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3119"/>
        <w:gridCol w:w="4394"/>
        <w:gridCol w:w="1843"/>
      </w:tblGrid>
      <w:tr w:rsidR="00386BF9" w:rsidRPr="00BC1885" w:rsidTr="00272423">
        <w:trPr>
          <w:trHeight w:val="354"/>
          <w:tblHeader/>
        </w:trPr>
        <w:tc>
          <w:tcPr>
            <w:tcW w:w="3119" w:type="dxa"/>
            <w:tcBorders>
              <w:top w:val="single" w:sz="4" w:space="0" w:color="auto"/>
              <w:left w:val="single" w:sz="4" w:space="0" w:color="auto"/>
              <w:bottom w:val="single" w:sz="4" w:space="0" w:color="auto"/>
              <w:right w:val="single" w:sz="4" w:space="0" w:color="auto"/>
            </w:tcBorders>
            <w:shd w:val="clear" w:color="auto" w:fill="95B3D7" w:themeFill="accent1" w:themeFillTint="99"/>
          </w:tcPr>
          <w:p w:rsidR="00386BF9" w:rsidRPr="00BC1885" w:rsidRDefault="00386BF9" w:rsidP="005419D7">
            <w:pPr>
              <w:keepNext/>
              <w:keepLines/>
              <w:spacing w:before="60" w:after="60"/>
              <w:jc w:val="left"/>
              <w:rPr>
                <w:b/>
              </w:rPr>
            </w:pPr>
            <w:r w:rsidRPr="00BC1885">
              <w:rPr>
                <w:b/>
              </w:rPr>
              <w:t>A</w:t>
            </w:r>
            <w:r w:rsidR="005419D7">
              <w:rPr>
                <w:b/>
              </w:rPr>
              <w:t>sset Management</w:t>
            </w:r>
            <w:r w:rsidRPr="00BC1885">
              <w:rPr>
                <w:b/>
              </w:rPr>
              <w:t xml:space="preserve"> Functions</w:t>
            </w:r>
          </w:p>
        </w:tc>
        <w:tc>
          <w:tcPr>
            <w:tcW w:w="4394" w:type="dxa"/>
            <w:tcBorders>
              <w:top w:val="single" w:sz="4" w:space="0" w:color="auto"/>
              <w:left w:val="single" w:sz="4" w:space="0" w:color="auto"/>
              <w:bottom w:val="single" w:sz="4" w:space="0" w:color="auto"/>
              <w:right w:val="single" w:sz="4" w:space="0" w:color="auto"/>
            </w:tcBorders>
            <w:shd w:val="clear" w:color="auto" w:fill="95B3D7" w:themeFill="accent1" w:themeFillTint="99"/>
          </w:tcPr>
          <w:p w:rsidR="00386BF9" w:rsidRPr="00BC1885" w:rsidRDefault="00386BF9" w:rsidP="001C5EBC">
            <w:pPr>
              <w:keepNext/>
              <w:keepLines/>
              <w:spacing w:before="60" w:after="60"/>
              <w:jc w:val="left"/>
              <w:rPr>
                <w:b/>
              </w:rPr>
            </w:pPr>
            <w:r w:rsidRPr="00BC1885">
              <w:rPr>
                <w:b/>
              </w:rPr>
              <w:t>Critical Systems</w:t>
            </w:r>
          </w:p>
        </w:tc>
        <w:tc>
          <w:tcPr>
            <w:tcW w:w="1843" w:type="dxa"/>
            <w:tcBorders>
              <w:top w:val="single" w:sz="4" w:space="0" w:color="auto"/>
              <w:left w:val="single" w:sz="4" w:space="0" w:color="auto"/>
              <w:bottom w:val="single" w:sz="4" w:space="0" w:color="auto"/>
              <w:right w:val="single" w:sz="4" w:space="0" w:color="auto"/>
            </w:tcBorders>
            <w:shd w:val="clear" w:color="auto" w:fill="95B3D7" w:themeFill="accent1" w:themeFillTint="99"/>
          </w:tcPr>
          <w:p w:rsidR="00386BF9" w:rsidRPr="00CE5EFF" w:rsidRDefault="00386BF9" w:rsidP="001C5EBC">
            <w:pPr>
              <w:keepNext/>
              <w:keepLines/>
              <w:spacing w:before="60" w:after="60"/>
              <w:jc w:val="left"/>
              <w:rPr>
                <w:b/>
              </w:rPr>
            </w:pPr>
            <w:r w:rsidRPr="00CE5EFF">
              <w:rPr>
                <w:b/>
              </w:rPr>
              <w:t>Current Practice</w:t>
            </w:r>
          </w:p>
        </w:tc>
      </w:tr>
      <w:tr w:rsidR="00386BF9" w:rsidRPr="00BC1885" w:rsidTr="00272423">
        <w:trPr>
          <w:trHeight w:val="486"/>
        </w:trPr>
        <w:tc>
          <w:tcPr>
            <w:tcW w:w="3119" w:type="dxa"/>
            <w:tcBorders>
              <w:top w:val="single" w:sz="4" w:space="0" w:color="auto"/>
              <w:left w:val="single" w:sz="4" w:space="0" w:color="000000" w:themeColor="text1"/>
              <w:bottom w:val="single" w:sz="4" w:space="0" w:color="000000" w:themeColor="text1"/>
              <w:right w:val="single" w:sz="4" w:space="0" w:color="000000" w:themeColor="text1"/>
            </w:tcBorders>
            <w:shd w:val="clear" w:color="auto" w:fill="auto"/>
          </w:tcPr>
          <w:p w:rsidR="00386BF9" w:rsidRPr="00BC1885" w:rsidRDefault="00386BF9" w:rsidP="001C5EBC">
            <w:pPr>
              <w:keepNext/>
              <w:keepLines/>
              <w:spacing w:before="60" w:after="60"/>
              <w:jc w:val="left"/>
            </w:pPr>
            <w:r w:rsidRPr="00BC1885">
              <w:t>Managing Performance</w:t>
            </w:r>
          </w:p>
        </w:tc>
        <w:tc>
          <w:tcPr>
            <w:tcW w:w="4394" w:type="dxa"/>
            <w:tcBorders>
              <w:top w:val="single" w:sz="4" w:space="0" w:color="auto"/>
              <w:left w:val="single" w:sz="4" w:space="0" w:color="000000" w:themeColor="text1"/>
              <w:bottom w:val="single" w:sz="4" w:space="0" w:color="000000" w:themeColor="text1"/>
              <w:right w:val="single" w:sz="4" w:space="0" w:color="000000" w:themeColor="text1"/>
            </w:tcBorders>
            <w:shd w:val="clear" w:color="auto" w:fill="auto"/>
          </w:tcPr>
          <w:p w:rsidR="00386BF9" w:rsidRPr="007B1D96" w:rsidRDefault="00BC1885" w:rsidP="001C5EBC">
            <w:pPr>
              <w:pStyle w:val="ListParagraph"/>
              <w:numPr>
                <w:ilvl w:val="0"/>
                <w:numId w:val="45"/>
              </w:numPr>
              <w:spacing w:before="60" w:after="60"/>
              <w:jc w:val="left"/>
              <w:rPr>
                <w:rFonts w:ascii="Arial" w:hAnsi="Arial" w:cs="Arial"/>
                <w:sz w:val="20"/>
              </w:rPr>
            </w:pPr>
            <w:r w:rsidRPr="007B1D96">
              <w:rPr>
                <w:rFonts w:ascii="Arial" w:hAnsi="Arial" w:cs="Arial"/>
                <w:sz w:val="20"/>
              </w:rPr>
              <w:t>Customer Enquiries</w:t>
            </w:r>
            <w:r w:rsidR="00386BF9" w:rsidRPr="007B1D96">
              <w:rPr>
                <w:rFonts w:ascii="Arial" w:hAnsi="Arial" w:cs="Arial"/>
                <w:sz w:val="20"/>
              </w:rPr>
              <w:t>/Requests/Complaints</w:t>
            </w:r>
          </w:p>
          <w:p w:rsidR="00386BF9" w:rsidRPr="007B1D96" w:rsidRDefault="00BC1885" w:rsidP="001C5EBC">
            <w:pPr>
              <w:pStyle w:val="ListParagraph"/>
              <w:numPr>
                <w:ilvl w:val="0"/>
                <w:numId w:val="45"/>
              </w:numPr>
              <w:spacing w:before="60" w:after="60"/>
              <w:jc w:val="left"/>
              <w:rPr>
                <w:rFonts w:ascii="Arial" w:hAnsi="Arial" w:cs="Arial"/>
                <w:sz w:val="20"/>
              </w:rPr>
            </w:pPr>
            <w:r w:rsidRPr="007B1D96">
              <w:rPr>
                <w:rFonts w:ascii="Arial" w:hAnsi="Arial" w:cs="Arial"/>
                <w:sz w:val="20"/>
              </w:rPr>
              <w:t>Customer/</w:t>
            </w:r>
            <w:r w:rsidR="00386BF9" w:rsidRPr="007B1D96">
              <w:rPr>
                <w:rFonts w:ascii="Arial" w:hAnsi="Arial" w:cs="Arial"/>
                <w:sz w:val="20"/>
              </w:rPr>
              <w:t xml:space="preserve">User Records </w:t>
            </w:r>
          </w:p>
        </w:tc>
        <w:tc>
          <w:tcPr>
            <w:tcW w:w="1843" w:type="dxa"/>
            <w:tcBorders>
              <w:top w:val="single" w:sz="4" w:space="0" w:color="auto"/>
              <w:left w:val="single" w:sz="4" w:space="0" w:color="000000" w:themeColor="text1"/>
              <w:bottom w:val="single" w:sz="4" w:space="0" w:color="000000" w:themeColor="text1"/>
              <w:right w:val="single" w:sz="4" w:space="0" w:color="000000" w:themeColor="text1"/>
            </w:tcBorders>
            <w:shd w:val="clear" w:color="auto" w:fill="auto"/>
          </w:tcPr>
          <w:p w:rsidR="00386BF9" w:rsidRPr="00CE5EFF" w:rsidRDefault="001C5EBC" w:rsidP="001C5EBC">
            <w:pPr>
              <w:spacing w:before="60" w:after="60"/>
              <w:jc w:val="center"/>
            </w:pPr>
            <w:r w:rsidRPr="00CE5EFF">
              <w:sym w:font="Wingdings" w:char="F0FC"/>
            </w:r>
          </w:p>
          <w:p w:rsidR="001C5EBC" w:rsidRPr="00CE5EFF" w:rsidRDefault="001C5EBC" w:rsidP="001C5EBC">
            <w:pPr>
              <w:spacing w:before="60" w:after="60"/>
              <w:jc w:val="center"/>
              <w:rPr>
                <w:rFonts w:cs="Arial"/>
              </w:rPr>
            </w:pPr>
            <w:r w:rsidRPr="00CE5EFF">
              <w:sym w:font="Wingdings" w:char="F0FC"/>
            </w:r>
          </w:p>
        </w:tc>
      </w:tr>
      <w:tr w:rsidR="00386BF9" w:rsidRPr="00BC1885" w:rsidTr="00272423">
        <w:trPr>
          <w:trHeight w:val="271"/>
        </w:trPr>
        <w:tc>
          <w:tcPr>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386BF9" w:rsidRPr="00BC1885" w:rsidRDefault="007B1D96" w:rsidP="001C5EBC">
            <w:pPr>
              <w:keepNext/>
              <w:keepLines/>
              <w:spacing w:before="60" w:after="60"/>
              <w:jc w:val="left"/>
            </w:pPr>
            <w:r>
              <w:t>Managing Growth and</w:t>
            </w:r>
            <w:r w:rsidR="00386BF9" w:rsidRPr="00BC1885">
              <w:t xml:space="preserve"> Demand</w:t>
            </w:r>
          </w:p>
        </w:tc>
        <w:tc>
          <w:tcPr>
            <w:tcW w:w="439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386BF9" w:rsidRPr="007B1D96" w:rsidRDefault="00386BF9" w:rsidP="001C5EBC">
            <w:pPr>
              <w:pStyle w:val="ListParagraph"/>
              <w:numPr>
                <w:ilvl w:val="0"/>
                <w:numId w:val="45"/>
              </w:numPr>
              <w:spacing w:before="60" w:after="60"/>
              <w:jc w:val="left"/>
              <w:rPr>
                <w:rFonts w:ascii="Arial" w:hAnsi="Arial" w:cs="Arial"/>
                <w:sz w:val="20"/>
              </w:rPr>
            </w:pPr>
            <w:r w:rsidRPr="007B1D96">
              <w:rPr>
                <w:rFonts w:ascii="Arial" w:hAnsi="Arial" w:cs="Arial"/>
                <w:sz w:val="20"/>
              </w:rPr>
              <w:t>Asset Utilisation</w:t>
            </w:r>
          </w:p>
          <w:p w:rsidR="00386BF9" w:rsidRPr="007B1D96" w:rsidRDefault="00386BF9" w:rsidP="001C5EBC">
            <w:pPr>
              <w:pStyle w:val="ListParagraph"/>
              <w:numPr>
                <w:ilvl w:val="0"/>
                <w:numId w:val="45"/>
              </w:numPr>
              <w:spacing w:before="60" w:after="60"/>
              <w:jc w:val="left"/>
              <w:rPr>
                <w:rFonts w:ascii="Arial" w:hAnsi="Arial" w:cs="Arial"/>
                <w:sz w:val="20"/>
              </w:rPr>
            </w:pPr>
            <w:r w:rsidRPr="007B1D96">
              <w:rPr>
                <w:rFonts w:ascii="Arial" w:hAnsi="Arial" w:cs="Arial"/>
                <w:sz w:val="20"/>
              </w:rPr>
              <w:t>Demand Modelling</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386BF9" w:rsidRPr="00CE5EFF" w:rsidRDefault="001C5EBC" w:rsidP="001C5EBC">
            <w:pPr>
              <w:spacing w:before="60" w:after="60"/>
              <w:jc w:val="center"/>
            </w:pPr>
            <w:r w:rsidRPr="00CE5EFF">
              <w:sym w:font="Wingdings" w:char="F0FC"/>
            </w:r>
          </w:p>
          <w:p w:rsidR="001C5EBC" w:rsidRPr="00CE5EFF" w:rsidRDefault="001C5EBC" w:rsidP="001C5EBC">
            <w:pPr>
              <w:spacing w:before="60" w:after="60"/>
              <w:jc w:val="center"/>
              <w:rPr>
                <w:rFonts w:cs="Arial"/>
              </w:rPr>
            </w:pPr>
            <w:r w:rsidRPr="00CE5EFF">
              <w:sym w:font="Wingdings" w:char="F0FC"/>
            </w:r>
          </w:p>
        </w:tc>
      </w:tr>
      <w:tr w:rsidR="00386BF9" w:rsidRPr="00BC1885" w:rsidTr="00272423">
        <w:trPr>
          <w:trHeight w:val="1427"/>
        </w:trPr>
        <w:tc>
          <w:tcPr>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386BF9" w:rsidRPr="00BC1885" w:rsidRDefault="00386BF9" w:rsidP="001C5EBC">
            <w:pPr>
              <w:keepNext/>
              <w:keepLines/>
              <w:spacing w:before="60" w:after="60"/>
              <w:jc w:val="left"/>
            </w:pPr>
            <w:r w:rsidRPr="00BC1885">
              <w:t>Asset Lifecycle Management</w:t>
            </w:r>
          </w:p>
        </w:tc>
        <w:tc>
          <w:tcPr>
            <w:tcW w:w="439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386BF9" w:rsidRPr="007B1D96" w:rsidRDefault="00386BF9" w:rsidP="001C5EBC">
            <w:pPr>
              <w:pStyle w:val="ListParagraph"/>
              <w:numPr>
                <w:ilvl w:val="0"/>
                <w:numId w:val="45"/>
              </w:numPr>
              <w:spacing w:before="60" w:after="60"/>
              <w:jc w:val="left"/>
              <w:rPr>
                <w:rFonts w:ascii="Arial" w:hAnsi="Arial" w:cs="Arial"/>
                <w:sz w:val="20"/>
              </w:rPr>
            </w:pPr>
            <w:r w:rsidRPr="007B1D96">
              <w:rPr>
                <w:rFonts w:ascii="Arial" w:hAnsi="Arial" w:cs="Arial"/>
                <w:sz w:val="20"/>
              </w:rPr>
              <w:t>Asset Registers</w:t>
            </w:r>
          </w:p>
          <w:p w:rsidR="00386BF9" w:rsidRPr="007B1D96" w:rsidRDefault="00386BF9" w:rsidP="001C5EBC">
            <w:pPr>
              <w:pStyle w:val="ListParagraph"/>
              <w:numPr>
                <w:ilvl w:val="0"/>
                <w:numId w:val="45"/>
              </w:numPr>
              <w:spacing w:before="60" w:after="60"/>
              <w:jc w:val="left"/>
              <w:rPr>
                <w:rFonts w:ascii="Arial" w:hAnsi="Arial" w:cs="Arial"/>
                <w:sz w:val="20"/>
              </w:rPr>
            </w:pPr>
            <w:r w:rsidRPr="007B1D96">
              <w:rPr>
                <w:rFonts w:ascii="Arial" w:hAnsi="Arial" w:cs="Arial"/>
                <w:sz w:val="20"/>
              </w:rPr>
              <w:t xml:space="preserve">Condition Assessment </w:t>
            </w:r>
          </w:p>
          <w:p w:rsidR="00386BF9" w:rsidRPr="007B1D96" w:rsidRDefault="00386BF9" w:rsidP="001C5EBC">
            <w:pPr>
              <w:pStyle w:val="ListParagraph"/>
              <w:numPr>
                <w:ilvl w:val="0"/>
                <w:numId w:val="45"/>
              </w:numPr>
              <w:spacing w:before="60" w:after="60"/>
              <w:jc w:val="left"/>
              <w:rPr>
                <w:rFonts w:ascii="Arial" w:hAnsi="Arial" w:cs="Arial"/>
                <w:sz w:val="20"/>
              </w:rPr>
            </w:pPr>
            <w:r w:rsidRPr="007B1D96">
              <w:rPr>
                <w:rFonts w:ascii="Arial" w:hAnsi="Arial" w:cs="Arial"/>
                <w:sz w:val="20"/>
              </w:rPr>
              <w:t>Maintenance Management</w:t>
            </w:r>
          </w:p>
          <w:p w:rsidR="00386BF9" w:rsidRPr="007B1D96" w:rsidRDefault="00386BF9" w:rsidP="001C5EBC">
            <w:pPr>
              <w:pStyle w:val="ListParagraph"/>
              <w:numPr>
                <w:ilvl w:val="0"/>
                <w:numId w:val="45"/>
              </w:numPr>
              <w:spacing w:before="60" w:after="60"/>
              <w:jc w:val="left"/>
              <w:rPr>
                <w:rFonts w:ascii="Arial" w:hAnsi="Arial" w:cs="Arial"/>
                <w:sz w:val="20"/>
              </w:rPr>
            </w:pPr>
            <w:r w:rsidRPr="007B1D96">
              <w:rPr>
                <w:rFonts w:ascii="Arial" w:hAnsi="Arial" w:cs="Arial"/>
                <w:sz w:val="20"/>
              </w:rPr>
              <w:t>Forward Works Programme -</w:t>
            </w:r>
            <w:r w:rsidR="0067277B">
              <w:rPr>
                <w:rFonts w:ascii="Arial" w:hAnsi="Arial" w:cs="Arial"/>
                <w:sz w:val="20"/>
              </w:rPr>
              <w:t xml:space="preserve"> Optimised Decision-</w:t>
            </w:r>
            <w:r w:rsidR="000C7E96" w:rsidRPr="007B1D96">
              <w:rPr>
                <w:rFonts w:ascii="Arial" w:hAnsi="Arial" w:cs="Arial"/>
                <w:sz w:val="20"/>
              </w:rPr>
              <w:t>Making</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386BF9" w:rsidRPr="00CE5EFF" w:rsidRDefault="001C5EBC" w:rsidP="001C5EBC">
            <w:pPr>
              <w:spacing w:before="60" w:after="60"/>
              <w:jc w:val="center"/>
            </w:pPr>
            <w:r w:rsidRPr="00CE5EFF">
              <w:sym w:font="Wingdings" w:char="F0FC"/>
            </w:r>
          </w:p>
          <w:p w:rsidR="001C5EBC" w:rsidRPr="00CE5EFF" w:rsidRDefault="001C5EBC" w:rsidP="001C5EBC">
            <w:pPr>
              <w:spacing w:before="60" w:after="60"/>
              <w:jc w:val="center"/>
            </w:pPr>
            <w:r w:rsidRPr="00CE5EFF">
              <w:sym w:font="Wingdings" w:char="F0FC"/>
            </w:r>
          </w:p>
          <w:p w:rsidR="001C5EBC" w:rsidRPr="00CE5EFF" w:rsidRDefault="001C5EBC" w:rsidP="001C5EBC">
            <w:pPr>
              <w:spacing w:before="60" w:after="60"/>
              <w:jc w:val="center"/>
            </w:pPr>
            <w:r w:rsidRPr="00CE5EFF">
              <w:sym w:font="Wingdings" w:char="F0FC"/>
            </w:r>
          </w:p>
          <w:p w:rsidR="001C5EBC" w:rsidRPr="00CE5EFF" w:rsidRDefault="001C5EBC" w:rsidP="001C5EBC">
            <w:pPr>
              <w:spacing w:before="60" w:after="60"/>
              <w:jc w:val="center"/>
              <w:rPr>
                <w:rFonts w:cs="Arial"/>
              </w:rPr>
            </w:pPr>
            <w:r w:rsidRPr="00CE5EFF">
              <w:sym w:font="Wingdings" w:char="F0FC"/>
            </w:r>
          </w:p>
        </w:tc>
      </w:tr>
      <w:tr w:rsidR="00386BF9" w:rsidRPr="00BC1885" w:rsidTr="00272423">
        <w:trPr>
          <w:trHeight w:val="525"/>
        </w:trPr>
        <w:tc>
          <w:tcPr>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386BF9" w:rsidRPr="00BC1885" w:rsidRDefault="00386BF9" w:rsidP="001C5EBC">
            <w:pPr>
              <w:keepNext/>
              <w:keepLines/>
              <w:spacing w:before="60" w:after="60"/>
              <w:jc w:val="left"/>
            </w:pPr>
            <w:r w:rsidRPr="00BC1885">
              <w:t>Corporate Systems</w:t>
            </w:r>
          </w:p>
        </w:tc>
        <w:tc>
          <w:tcPr>
            <w:tcW w:w="439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386BF9" w:rsidRPr="007B1D96" w:rsidRDefault="00386BF9" w:rsidP="001C5EBC">
            <w:pPr>
              <w:pStyle w:val="ListParagraph"/>
              <w:numPr>
                <w:ilvl w:val="0"/>
                <w:numId w:val="45"/>
              </w:numPr>
              <w:spacing w:before="60" w:after="60"/>
              <w:jc w:val="left"/>
              <w:rPr>
                <w:rFonts w:ascii="Arial" w:hAnsi="Arial" w:cs="Arial"/>
                <w:sz w:val="20"/>
              </w:rPr>
            </w:pPr>
            <w:r w:rsidRPr="007B1D96">
              <w:rPr>
                <w:rFonts w:ascii="Arial" w:hAnsi="Arial" w:cs="Arial"/>
                <w:sz w:val="20"/>
              </w:rPr>
              <w:t>Financial System</w:t>
            </w:r>
          </w:p>
          <w:p w:rsidR="00386BF9" w:rsidRPr="007B1D96" w:rsidRDefault="00386BF9" w:rsidP="001C5EBC">
            <w:pPr>
              <w:pStyle w:val="ListParagraph"/>
              <w:numPr>
                <w:ilvl w:val="0"/>
                <w:numId w:val="45"/>
              </w:numPr>
              <w:spacing w:before="60" w:after="60"/>
              <w:jc w:val="left"/>
              <w:rPr>
                <w:rFonts w:ascii="Arial" w:hAnsi="Arial" w:cs="Arial"/>
                <w:sz w:val="20"/>
              </w:rPr>
            </w:pPr>
            <w:r w:rsidRPr="007B1D96">
              <w:rPr>
                <w:rFonts w:ascii="Arial" w:hAnsi="Arial" w:cs="Arial"/>
                <w:sz w:val="20"/>
              </w:rPr>
              <w:t>Risk Registers</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386BF9" w:rsidRPr="00CE5EFF" w:rsidRDefault="001C5EBC" w:rsidP="001C5EBC">
            <w:pPr>
              <w:spacing w:before="60" w:after="60"/>
              <w:jc w:val="center"/>
            </w:pPr>
            <w:r w:rsidRPr="00CE5EFF">
              <w:sym w:font="Wingdings" w:char="F0FC"/>
            </w:r>
          </w:p>
          <w:p w:rsidR="001C5EBC" w:rsidRPr="00CE5EFF" w:rsidRDefault="001C5EBC" w:rsidP="001C5EBC">
            <w:pPr>
              <w:spacing w:before="60" w:after="60"/>
              <w:jc w:val="center"/>
              <w:rPr>
                <w:rFonts w:cs="Arial"/>
              </w:rPr>
            </w:pPr>
            <w:r w:rsidRPr="00CE5EFF">
              <w:sym w:font="Wingdings" w:char="F0FC"/>
            </w:r>
          </w:p>
        </w:tc>
      </w:tr>
    </w:tbl>
    <w:p w:rsidR="00523005" w:rsidRPr="0091425F" w:rsidRDefault="00737599" w:rsidP="00BC1885">
      <w:pPr>
        <w:pStyle w:val="Caption"/>
        <w:keepNext/>
        <w:keepLines/>
        <w:spacing w:before="240" w:after="240"/>
        <w:ind w:left="0"/>
        <w:jc w:val="center"/>
        <w:rPr>
          <w:rFonts w:ascii="Arial" w:hAnsi="Arial"/>
          <w:i w:val="0"/>
          <w:iCs w:val="0"/>
          <w:sz w:val="20"/>
          <w:lang w:val="en-AU"/>
        </w:rPr>
      </w:pPr>
      <w:bookmarkStart w:id="42" w:name="_Toc364945414"/>
      <w:r w:rsidRPr="0091425F">
        <w:rPr>
          <w:rFonts w:ascii="Arial" w:hAnsi="Arial"/>
          <w:i w:val="0"/>
          <w:iCs w:val="0"/>
          <w:sz w:val="20"/>
          <w:lang w:val="en-AU"/>
        </w:rPr>
        <w:t xml:space="preserve">Table </w:t>
      </w:r>
      <w:r w:rsidR="0090414C" w:rsidRPr="0091425F">
        <w:rPr>
          <w:rFonts w:ascii="Arial" w:hAnsi="Arial"/>
          <w:i w:val="0"/>
          <w:iCs w:val="0"/>
          <w:sz w:val="20"/>
          <w:lang w:val="en-AU"/>
        </w:rPr>
        <w:fldChar w:fldCharType="begin"/>
      </w:r>
      <w:r w:rsidRPr="0091425F">
        <w:rPr>
          <w:rFonts w:ascii="Arial" w:hAnsi="Arial"/>
          <w:i w:val="0"/>
          <w:iCs w:val="0"/>
          <w:sz w:val="20"/>
          <w:lang w:val="en-AU"/>
        </w:rPr>
        <w:instrText xml:space="preserve"> SEQ Table \* ARABIC </w:instrText>
      </w:r>
      <w:r w:rsidR="0090414C" w:rsidRPr="0091425F">
        <w:rPr>
          <w:rFonts w:ascii="Arial" w:hAnsi="Arial"/>
          <w:i w:val="0"/>
          <w:iCs w:val="0"/>
          <w:sz w:val="20"/>
          <w:lang w:val="en-AU"/>
        </w:rPr>
        <w:fldChar w:fldCharType="separate"/>
      </w:r>
      <w:r w:rsidR="00751CEC">
        <w:rPr>
          <w:rFonts w:ascii="Arial" w:hAnsi="Arial"/>
          <w:i w:val="0"/>
          <w:iCs w:val="0"/>
          <w:noProof/>
          <w:sz w:val="20"/>
          <w:lang w:val="en-AU"/>
        </w:rPr>
        <w:t>10</w:t>
      </w:r>
      <w:r w:rsidR="0090414C" w:rsidRPr="0091425F">
        <w:rPr>
          <w:rFonts w:ascii="Arial" w:hAnsi="Arial"/>
          <w:i w:val="0"/>
          <w:iCs w:val="0"/>
          <w:sz w:val="20"/>
          <w:lang w:val="en-AU"/>
        </w:rPr>
        <w:fldChar w:fldCharType="end"/>
      </w:r>
      <w:r w:rsidR="00523005" w:rsidRPr="0091425F">
        <w:rPr>
          <w:rFonts w:ascii="Arial" w:hAnsi="Arial"/>
          <w:i w:val="0"/>
          <w:iCs w:val="0"/>
          <w:sz w:val="20"/>
          <w:lang w:val="en-AU"/>
        </w:rPr>
        <w:t>:</w:t>
      </w:r>
      <w:r w:rsidR="006241C1" w:rsidRPr="0091425F">
        <w:rPr>
          <w:rFonts w:ascii="Arial" w:hAnsi="Arial"/>
          <w:i w:val="0"/>
          <w:iCs w:val="0"/>
          <w:sz w:val="20"/>
          <w:lang w:val="en-AU"/>
        </w:rPr>
        <w:t xml:space="preserve"> </w:t>
      </w:r>
      <w:r w:rsidR="00523005" w:rsidRPr="0091425F">
        <w:rPr>
          <w:rFonts w:ascii="Arial" w:hAnsi="Arial"/>
          <w:i w:val="0"/>
          <w:iCs w:val="0"/>
          <w:sz w:val="20"/>
          <w:lang w:val="en-AU"/>
        </w:rPr>
        <w:t xml:space="preserve"> Critical Lifecycle Management Systems</w:t>
      </w:r>
      <w:bookmarkEnd w:id="42"/>
    </w:p>
    <w:p w:rsidR="002F2DC8" w:rsidRPr="00CD7D4F" w:rsidRDefault="002F2DC8" w:rsidP="007B1D96"/>
    <w:tbl>
      <w:tblPr>
        <w:tblW w:w="9356" w:type="dxa"/>
        <w:tblInd w:w="10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3119"/>
        <w:gridCol w:w="4394"/>
        <w:gridCol w:w="1843"/>
      </w:tblGrid>
      <w:tr w:rsidR="00386BF9" w:rsidRPr="007B1D96" w:rsidTr="00272423">
        <w:trPr>
          <w:trHeight w:val="354"/>
          <w:tblHeader/>
        </w:trPr>
        <w:tc>
          <w:tcPr>
            <w:tcW w:w="3119" w:type="dxa"/>
            <w:tcBorders>
              <w:top w:val="single" w:sz="4" w:space="0" w:color="auto"/>
              <w:left w:val="single" w:sz="4" w:space="0" w:color="auto"/>
              <w:bottom w:val="single" w:sz="4" w:space="0" w:color="000000" w:themeColor="text1"/>
              <w:right w:val="single" w:sz="4" w:space="0" w:color="auto"/>
            </w:tcBorders>
            <w:shd w:val="clear" w:color="auto" w:fill="95B3D7" w:themeFill="accent1" w:themeFillTint="99"/>
          </w:tcPr>
          <w:p w:rsidR="00386BF9" w:rsidRPr="007B1D96" w:rsidRDefault="00386BF9" w:rsidP="005419D7">
            <w:pPr>
              <w:spacing w:before="60" w:after="60"/>
              <w:rPr>
                <w:b/>
              </w:rPr>
            </w:pPr>
            <w:r w:rsidRPr="007B1D96">
              <w:rPr>
                <w:b/>
              </w:rPr>
              <w:t>A</w:t>
            </w:r>
            <w:r w:rsidR="005419D7">
              <w:rPr>
                <w:b/>
              </w:rPr>
              <w:t>sset Management</w:t>
            </w:r>
            <w:r w:rsidRPr="007B1D96">
              <w:rPr>
                <w:b/>
              </w:rPr>
              <w:t xml:space="preserve"> Functions</w:t>
            </w:r>
          </w:p>
        </w:tc>
        <w:tc>
          <w:tcPr>
            <w:tcW w:w="4394" w:type="dxa"/>
            <w:tcBorders>
              <w:top w:val="single" w:sz="4" w:space="0" w:color="auto"/>
              <w:left w:val="single" w:sz="4" w:space="0" w:color="auto"/>
              <w:bottom w:val="single" w:sz="4" w:space="0" w:color="000000" w:themeColor="text1"/>
              <w:right w:val="single" w:sz="4" w:space="0" w:color="auto"/>
            </w:tcBorders>
            <w:shd w:val="clear" w:color="auto" w:fill="95B3D7" w:themeFill="accent1" w:themeFillTint="99"/>
          </w:tcPr>
          <w:p w:rsidR="00386BF9" w:rsidRPr="007B1D96" w:rsidRDefault="00386BF9" w:rsidP="001C5EBC">
            <w:pPr>
              <w:spacing w:before="60" w:after="60"/>
              <w:jc w:val="left"/>
              <w:rPr>
                <w:b/>
              </w:rPr>
            </w:pPr>
            <w:r w:rsidRPr="007B1D96">
              <w:rPr>
                <w:b/>
              </w:rPr>
              <w:t>Critical Data</w:t>
            </w:r>
          </w:p>
        </w:tc>
        <w:tc>
          <w:tcPr>
            <w:tcW w:w="1843" w:type="dxa"/>
            <w:tcBorders>
              <w:top w:val="single" w:sz="4" w:space="0" w:color="auto"/>
              <w:left w:val="single" w:sz="4" w:space="0" w:color="auto"/>
              <w:bottom w:val="single" w:sz="4" w:space="0" w:color="000000" w:themeColor="text1"/>
              <w:right w:val="single" w:sz="4" w:space="0" w:color="auto"/>
            </w:tcBorders>
            <w:shd w:val="clear" w:color="auto" w:fill="95B3D7" w:themeFill="accent1" w:themeFillTint="99"/>
          </w:tcPr>
          <w:p w:rsidR="00386BF9" w:rsidRPr="00CE5EFF" w:rsidRDefault="00386BF9" w:rsidP="001C5EBC">
            <w:pPr>
              <w:spacing w:before="60" w:after="60"/>
              <w:jc w:val="left"/>
              <w:rPr>
                <w:b/>
              </w:rPr>
            </w:pPr>
            <w:r w:rsidRPr="00CE5EFF">
              <w:rPr>
                <w:b/>
              </w:rPr>
              <w:t>Current Practice</w:t>
            </w:r>
          </w:p>
        </w:tc>
      </w:tr>
      <w:tr w:rsidR="00386BF9" w:rsidRPr="007B1D96" w:rsidTr="00272423">
        <w:trPr>
          <w:trHeight w:val="486"/>
        </w:trPr>
        <w:tc>
          <w:tcPr>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386BF9" w:rsidRPr="007B1D96" w:rsidRDefault="00386BF9" w:rsidP="001C5EBC">
            <w:pPr>
              <w:spacing w:before="60" w:after="60"/>
            </w:pPr>
            <w:r w:rsidRPr="007B1D96">
              <w:t>Managing Performance</w:t>
            </w:r>
          </w:p>
        </w:tc>
        <w:tc>
          <w:tcPr>
            <w:tcW w:w="439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386BF9" w:rsidRPr="007B1D96" w:rsidRDefault="00CE5EFF" w:rsidP="001C5EBC">
            <w:pPr>
              <w:pStyle w:val="ListParagraph"/>
              <w:numPr>
                <w:ilvl w:val="0"/>
                <w:numId w:val="45"/>
              </w:numPr>
              <w:spacing w:before="60" w:after="60"/>
              <w:rPr>
                <w:rFonts w:ascii="Arial" w:hAnsi="Arial" w:cs="Arial"/>
                <w:sz w:val="20"/>
              </w:rPr>
            </w:pPr>
            <w:r>
              <w:rPr>
                <w:rFonts w:ascii="Arial" w:hAnsi="Arial" w:cs="Arial"/>
                <w:sz w:val="20"/>
              </w:rPr>
              <w:t>Customer</w:t>
            </w:r>
            <w:r w:rsidR="008473C2">
              <w:rPr>
                <w:rFonts w:ascii="Arial" w:hAnsi="Arial" w:cs="Arial"/>
                <w:sz w:val="20"/>
              </w:rPr>
              <w:t>/</w:t>
            </w:r>
            <w:r w:rsidR="00386BF9" w:rsidRPr="007B1D96">
              <w:rPr>
                <w:rFonts w:ascii="Arial" w:hAnsi="Arial" w:cs="Arial"/>
                <w:sz w:val="20"/>
              </w:rPr>
              <w:t>User Records</w:t>
            </w:r>
          </w:p>
          <w:p w:rsidR="00386BF9" w:rsidRPr="007B1D96" w:rsidRDefault="00386BF9" w:rsidP="001C5EBC">
            <w:pPr>
              <w:pStyle w:val="ListParagraph"/>
              <w:numPr>
                <w:ilvl w:val="0"/>
                <w:numId w:val="45"/>
              </w:numPr>
              <w:spacing w:before="60" w:after="60"/>
              <w:rPr>
                <w:rFonts w:ascii="Arial" w:hAnsi="Arial" w:cs="Arial"/>
                <w:sz w:val="20"/>
              </w:rPr>
            </w:pPr>
            <w:r w:rsidRPr="007B1D96">
              <w:rPr>
                <w:rFonts w:ascii="Arial" w:hAnsi="Arial" w:cs="Arial"/>
                <w:sz w:val="20"/>
              </w:rPr>
              <w:t xml:space="preserve">Performance measures </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386BF9" w:rsidRPr="00CE5EFF" w:rsidRDefault="001C5EBC" w:rsidP="001C5EBC">
            <w:pPr>
              <w:spacing w:before="60" w:after="60"/>
              <w:jc w:val="center"/>
            </w:pPr>
            <w:r w:rsidRPr="00CE5EFF">
              <w:sym w:font="Wingdings" w:char="F0FC"/>
            </w:r>
          </w:p>
          <w:p w:rsidR="001C5EBC" w:rsidRPr="00CE5EFF" w:rsidRDefault="001C5EBC" w:rsidP="001C5EBC">
            <w:pPr>
              <w:spacing w:before="60" w:after="60"/>
              <w:jc w:val="center"/>
              <w:rPr>
                <w:rFonts w:cs="Arial"/>
              </w:rPr>
            </w:pPr>
            <w:r w:rsidRPr="00CE5EFF">
              <w:sym w:font="Wingdings" w:char="F0FC"/>
            </w:r>
          </w:p>
        </w:tc>
      </w:tr>
      <w:tr w:rsidR="00386BF9" w:rsidRPr="007B1D96" w:rsidTr="00272423">
        <w:trPr>
          <w:trHeight w:val="271"/>
        </w:trPr>
        <w:tc>
          <w:tcPr>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386BF9" w:rsidRPr="007B1D96" w:rsidRDefault="007B1D96" w:rsidP="001C5EBC">
            <w:pPr>
              <w:spacing w:before="60" w:after="60"/>
            </w:pPr>
            <w:r>
              <w:t>Managing Growth and</w:t>
            </w:r>
            <w:r w:rsidR="00386BF9" w:rsidRPr="007B1D96">
              <w:t xml:space="preserve"> Demand</w:t>
            </w:r>
          </w:p>
        </w:tc>
        <w:tc>
          <w:tcPr>
            <w:tcW w:w="439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386BF9" w:rsidRPr="007B1D96" w:rsidRDefault="00386BF9" w:rsidP="001C5EBC">
            <w:pPr>
              <w:pStyle w:val="ListParagraph"/>
              <w:numPr>
                <w:ilvl w:val="0"/>
                <w:numId w:val="45"/>
              </w:numPr>
              <w:spacing w:before="60" w:after="60"/>
              <w:rPr>
                <w:rFonts w:ascii="Arial" w:hAnsi="Arial" w:cs="Arial"/>
                <w:sz w:val="20"/>
              </w:rPr>
            </w:pPr>
            <w:r w:rsidRPr="007B1D96">
              <w:rPr>
                <w:rFonts w:ascii="Arial" w:hAnsi="Arial" w:cs="Arial"/>
                <w:sz w:val="20"/>
              </w:rPr>
              <w:t>Asset Utilisation</w:t>
            </w:r>
          </w:p>
          <w:p w:rsidR="00386BF9" w:rsidRPr="007B1D96" w:rsidRDefault="00386BF9" w:rsidP="001C5EBC">
            <w:pPr>
              <w:pStyle w:val="ListParagraph"/>
              <w:numPr>
                <w:ilvl w:val="0"/>
                <w:numId w:val="45"/>
              </w:numPr>
              <w:spacing w:before="60" w:after="60"/>
              <w:rPr>
                <w:rFonts w:ascii="Arial" w:hAnsi="Arial" w:cs="Arial"/>
                <w:sz w:val="20"/>
              </w:rPr>
            </w:pPr>
            <w:r w:rsidRPr="007B1D96">
              <w:rPr>
                <w:rFonts w:ascii="Arial" w:hAnsi="Arial" w:cs="Arial"/>
                <w:sz w:val="20"/>
              </w:rPr>
              <w:t>Growth forecasts</w:t>
            </w:r>
          </w:p>
          <w:p w:rsidR="00386BF9" w:rsidRPr="007B1D96" w:rsidRDefault="00386BF9" w:rsidP="001C5EBC">
            <w:pPr>
              <w:pStyle w:val="ListParagraph"/>
              <w:numPr>
                <w:ilvl w:val="0"/>
                <w:numId w:val="45"/>
              </w:numPr>
              <w:spacing w:before="60" w:after="60"/>
              <w:rPr>
                <w:rFonts w:ascii="Arial" w:hAnsi="Arial" w:cs="Arial"/>
                <w:sz w:val="20"/>
              </w:rPr>
            </w:pPr>
            <w:r w:rsidRPr="007B1D96">
              <w:rPr>
                <w:rFonts w:ascii="Arial" w:hAnsi="Arial" w:cs="Arial"/>
                <w:sz w:val="20"/>
              </w:rPr>
              <w:t>Demand Modelling</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386BF9" w:rsidRPr="00CE5EFF" w:rsidRDefault="001C5EBC" w:rsidP="001C5EBC">
            <w:pPr>
              <w:spacing w:before="60" w:after="60"/>
              <w:jc w:val="center"/>
            </w:pPr>
            <w:r w:rsidRPr="00CE5EFF">
              <w:sym w:font="Wingdings" w:char="F0FC"/>
            </w:r>
          </w:p>
          <w:p w:rsidR="001C5EBC" w:rsidRPr="00CE5EFF" w:rsidRDefault="001C5EBC" w:rsidP="001C5EBC">
            <w:pPr>
              <w:spacing w:before="60" w:after="60"/>
              <w:jc w:val="center"/>
            </w:pPr>
            <w:r w:rsidRPr="00CE5EFF">
              <w:sym w:font="Wingdings" w:char="F0FC"/>
            </w:r>
          </w:p>
          <w:p w:rsidR="001C5EBC" w:rsidRPr="00CE5EFF" w:rsidRDefault="001C5EBC" w:rsidP="001C5EBC">
            <w:pPr>
              <w:spacing w:before="60" w:after="60"/>
              <w:jc w:val="center"/>
              <w:rPr>
                <w:rFonts w:cs="Arial"/>
              </w:rPr>
            </w:pPr>
            <w:r w:rsidRPr="00CE5EFF">
              <w:sym w:font="Wingdings" w:char="F0FC"/>
            </w:r>
          </w:p>
        </w:tc>
      </w:tr>
      <w:tr w:rsidR="00386BF9" w:rsidRPr="007B1D96" w:rsidTr="00272423">
        <w:trPr>
          <w:trHeight w:val="1427"/>
        </w:trPr>
        <w:tc>
          <w:tcPr>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386BF9" w:rsidRPr="007B1D96" w:rsidRDefault="00386BF9" w:rsidP="001C5EBC">
            <w:pPr>
              <w:spacing w:before="60" w:after="60"/>
            </w:pPr>
            <w:r w:rsidRPr="007B1D96">
              <w:t>Asset Lifecycle Management</w:t>
            </w:r>
          </w:p>
        </w:tc>
        <w:tc>
          <w:tcPr>
            <w:tcW w:w="439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386BF9" w:rsidRPr="007B1D96" w:rsidRDefault="00386BF9" w:rsidP="001C5EBC">
            <w:pPr>
              <w:pStyle w:val="ListParagraph"/>
              <w:numPr>
                <w:ilvl w:val="0"/>
                <w:numId w:val="45"/>
              </w:numPr>
              <w:spacing w:before="60" w:after="60"/>
              <w:rPr>
                <w:rFonts w:ascii="Arial" w:hAnsi="Arial" w:cs="Arial"/>
                <w:sz w:val="20"/>
              </w:rPr>
            </w:pPr>
            <w:r w:rsidRPr="007B1D96">
              <w:rPr>
                <w:rFonts w:ascii="Arial" w:hAnsi="Arial" w:cs="Arial"/>
                <w:sz w:val="20"/>
              </w:rPr>
              <w:t>Asset classification</w:t>
            </w:r>
          </w:p>
          <w:p w:rsidR="00386BF9" w:rsidRPr="007B1D96" w:rsidRDefault="00386BF9" w:rsidP="001C5EBC">
            <w:pPr>
              <w:pStyle w:val="ListParagraph"/>
              <w:numPr>
                <w:ilvl w:val="0"/>
                <w:numId w:val="45"/>
              </w:numPr>
              <w:spacing w:before="60" w:after="60"/>
              <w:rPr>
                <w:rFonts w:ascii="Arial" w:hAnsi="Arial" w:cs="Arial"/>
                <w:sz w:val="20"/>
              </w:rPr>
            </w:pPr>
            <w:r w:rsidRPr="007B1D96">
              <w:rPr>
                <w:rFonts w:ascii="Arial" w:hAnsi="Arial" w:cs="Arial"/>
                <w:sz w:val="20"/>
              </w:rPr>
              <w:t>Asset identification</w:t>
            </w:r>
          </w:p>
          <w:p w:rsidR="00386BF9" w:rsidRPr="007B1D96" w:rsidRDefault="00386BF9" w:rsidP="001C5EBC">
            <w:pPr>
              <w:pStyle w:val="ListParagraph"/>
              <w:numPr>
                <w:ilvl w:val="0"/>
                <w:numId w:val="45"/>
              </w:numPr>
              <w:spacing w:before="60" w:after="60"/>
              <w:rPr>
                <w:rFonts w:ascii="Arial" w:hAnsi="Arial" w:cs="Arial"/>
                <w:sz w:val="20"/>
              </w:rPr>
            </w:pPr>
            <w:r w:rsidRPr="007B1D96">
              <w:rPr>
                <w:rFonts w:ascii="Arial" w:hAnsi="Arial" w:cs="Arial"/>
                <w:sz w:val="20"/>
              </w:rPr>
              <w:t>Asset attributes</w:t>
            </w:r>
          </w:p>
          <w:p w:rsidR="00386BF9" w:rsidRPr="007B1D96" w:rsidRDefault="00386BF9" w:rsidP="001C5EBC">
            <w:pPr>
              <w:pStyle w:val="ListParagraph"/>
              <w:numPr>
                <w:ilvl w:val="0"/>
                <w:numId w:val="45"/>
              </w:numPr>
              <w:spacing w:before="60" w:after="60"/>
              <w:rPr>
                <w:rFonts w:ascii="Arial" w:hAnsi="Arial" w:cs="Arial"/>
                <w:sz w:val="20"/>
              </w:rPr>
            </w:pPr>
            <w:r w:rsidRPr="007B1D96">
              <w:rPr>
                <w:rFonts w:ascii="Arial" w:hAnsi="Arial" w:cs="Arial"/>
                <w:sz w:val="20"/>
              </w:rPr>
              <w:t>Maintenance history</w:t>
            </w:r>
          </w:p>
          <w:p w:rsidR="00386BF9" w:rsidRPr="007B1D96" w:rsidRDefault="00386BF9" w:rsidP="001C5EBC">
            <w:pPr>
              <w:pStyle w:val="ListParagraph"/>
              <w:numPr>
                <w:ilvl w:val="0"/>
                <w:numId w:val="45"/>
              </w:numPr>
              <w:spacing w:before="60" w:after="60"/>
              <w:rPr>
                <w:rFonts w:ascii="Arial" w:hAnsi="Arial" w:cs="Arial"/>
                <w:sz w:val="20"/>
              </w:rPr>
            </w:pPr>
            <w:r w:rsidRPr="007B1D96">
              <w:rPr>
                <w:rFonts w:ascii="Arial" w:hAnsi="Arial" w:cs="Arial"/>
                <w:sz w:val="20"/>
              </w:rPr>
              <w:t>Condition data</w:t>
            </w:r>
          </w:p>
          <w:p w:rsidR="00386BF9" w:rsidRPr="007B1D96" w:rsidRDefault="00386BF9" w:rsidP="001C5EBC">
            <w:pPr>
              <w:pStyle w:val="ListParagraph"/>
              <w:numPr>
                <w:ilvl w:val="0"/>
                <w:numId w:val="45"/>
              </w:numPr>
              <w:spacing w:before="60" w:after="60"/>
              <w:rPr>
                <w:rFonts w:ascii="Arial" w:hAnsi="Arial" w:cs="Arial"/>
                <w:sz w:val="20"/>
              </w:rPr>
            </w:pPr>
            <w:r w:rsidRPr="007B1D96">
              <w:rPr>
                <w:rFonts w:ascii="Arial" w:hAnsi="Arial" w:cs="Arial"/>
                <w:sz w:val="20"/>
              </w:rPr>
              <w:t>Performance data</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386BF9" w:rsidRPr="00CE5EFF" w:rsidRDefault="001C5EBC" w:rsidP="001C5EBC">
            <w:pPr>
              <w:spacing w:before="60" w:after="60"/>
              <w:jc w:val="center"/>
            </w:pPr>
            <w:r w:rsidRPr="00CE5EFF">
              <w:sym w:font="Wingdings" w:char="F0FC"/>
            </w:r>
          </w:p>
          <w:p w:rsidR="001C5EBC" w:rsidRPr="00CE5EFF" w:rsidRDefault="001C5EBC" w:rsidP="001C5EBC">
            <w:pPr>
              <w:spacing w:before="60" w:after="60"/>
              <w:jc w:val="center"/>
            </w:pPr>
            <w:r w:rsidRPr="00CE5EFF">
              <w:sym w:font="Wingdings" w:char="F0FC"/>
            </w:r>
          </w:p>
          <w:p w:rsidR="001C5EBC" w:rsidRPr="00CE5EFF" w:rsidRDefault="001C5EBC" w:rsidP="001C5EBC">
            <w:pPr>
              <w:spacing w:before="60" w:after="60"/>
              <w:jc w:val="center"/>
            </w:pPr>
            <w:r w:rsidRPr="00CE5EFF">
              <w:sym w:font="Wingdings" w:char="F0FC"/>
            </w:r>
          </w:p>
          <w:p w:rsidR="001C5EBC" w:rsidRPr="00CE5EFF" w:rsidRDefault="001C5EBC" w:rsidP="001C5EBC">
            <w:pPr>
              <w:spacing w:before="60" w:after="60"/>
              <w:jc w:val="center"/>
            </w:pPr>
            <w:r w:rsidRPr="00CE5EFF">
              <w:sym w:font="Wingdings" w:char="F0FC"/>
            </w:r>
          </w:p>
          <w:p w:rsidR="001C5EBC" w:rsidRPr="00CE5EFF" w:rsidRDefault="001C5EBC" w:rsidP="001C5EBC">
            <w:pPr>
              <w:spacing w:before="60" w:after="60"/>
              <w:jc w:val="center"/>
            </w:pPr>
            <w:r w:rsidRPr="00CE5EFF">
              <w:sym w:font="Wingdings" w:char="F0FC"/>
            </w:r>
          </w:p>
          <w:p w:rsidR="001C5EBC" w:rsidRPr="00CE5EFF" w:rsidRDefault="001C5EBC" w:rsidP="001C5EBC">
            <w:pPr>
              <w:spacing w:before="60" w:after="60"/>
              <w:jc w:val="center"/>
              <w:rPr>
                <w:rFonts w:cs="Arial"/>
              </w:rPr>
            </w:pPr>
            <w:r w:rsidRPr="00CE5EFF">
              <w:sym w:font="Wingdings" w:char="F0FC"/>
            </w:r>
          </w:p>
        </w:tc>
      </w:tr>
      <w:tr w:rsidR="00386BF9" w:rsidRPr="007B1D96" w:rsidTr="00C70C58">
        <w:trPr>
          <w:trHeight w:val="305"/>
        </w:trPr>
        <w:tc>
          <w:tcPr>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386BF9" w:rsidRPr="007B1D96" w:rsidRDefault="00386BF9" w:rsidP="001C5EBC">
            <w:pPr>
              <w:spacing w:before="60" w:after="60"/>
            </w:pPr>
            <w:r w:rsidRPr="007B1D96">
              <w:t>Corporate Systems</w:t>
            </w:r>
          </w:p>
        </w:tc>
        <w:tc>
          <w:tcPr>
            <w:tcW w:w="439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386BF9" w:rsidRPr="007B1D96" w:rsidRDefault="00386BF9" w:rsidP="001C5EBC">
            <w:pPr>
              <w:pStyle w:val="ListParagraph"/>
              <w:numPr>
                <w:ilvl w:val="0"/>
                <w:numId w:val="45"/>
              </w:numPr>
              <w:spacing w:before="60" w:after="60"/>
              <w:rPr>
                <w:rFonts w:ascii="Arial" w:hAnsi="Arial" w:cs="Arial"/>
                <w:sz w:val="20"/>
              </w:rPr>
            </w:pPr>
            <w:r w:rsidRPr="007B1D96">
              <w:rPr>
                <w:rFonts w:ascii="Arial" w:hAnsi="Arial" w:cs="Arial"/>
                <w:sz w:val="20"/>
              </w:rPr>
              <w:t>Financial data</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386BF9" w:rsidRPr="00CE5EFF" w:rsidRDefault="001C5EBC" w:rsidP="001C5EBC">
            <w:pPr>
              <w:spacing w:before="60" w:after="60"/>
              <w:jc w:val="center"/>
              <w:rPr>
                <w:rFonts w:cs="Arial"/>
              </w:rPr>
            </w:pPr>
            <w:r w:rsidRPr="00CE5EFF">
              <w:sym w:font="Wingdings" w:char="F0FC"/>
            </w:r>
          </w:p>
        </w:tc>
      </w:tr>
    </w:tbl>
    <w:p w:rsidR="00523005" w:rsidRPr="0091425F" w:rsidRDefault="00737599" w:rsidP="0033721F">
      <w:pPr>
        <w:pStyle w:val="Caption"/>
        <w:spacing w:before="240" w:after="240"/>
        <w:ind w:left="0"/>
        <w:jc w:val="center"/>
        <w:rPr>
          <w:rFonts w:ascii="Arial" w:hAnsi="Arial"/>
          <w:i w:val="0"/>
          <w:iCs w:val="0"/>
          <w:sz w:val="20"/>
          <w:lang w:val="en-AU"/>
        </w:rPr>
      </w:pPr>
      <w:bookmarkStart w:id="43" w:name="_Toc364945415"/>
      <w:r w:rsidRPr="0091425F">
        <w:rPr>
          <w:rFonts w:ascii="Arial" w:hAnsi="Arial"/>
          <w:i w:val="0"/>
          <w:iCs w:val="0"/>
          <w:sz w:val="20"/>
          <w:lang w:val="en-AU"/>
        </w:rPr>
        <w:t xml:space="preserve">Table </w:t>
      </w:r>
      <w:r w:rsidR="0090414C" w:rsidRPr="0091425F">
        <w:rPr>
          <w:rFonts w:ascii="Arial" w:hAnsi="Arial"/>
          <w:i w:val="0"/>
          <w:iCs w:val="0"/>
          <w:sz w:val="20"/>
          <w:lang w:val="en-AU"/>
        </w:rPr>
        <w:fldChar w:fldCharType="begin"/>
      </w:r>
      <w:r w:rsidRPr="0091425F">
        <w:rPr>
          <w:rFonts w:ascii="Arial" w:hAnsi="Arial"/>
          <w:i w:val="0"/>
          <w:iCs w:val="0"/>
          <w:sz w:val="20"/>
          <w:lang w:val="en-AU"/>
        </w:rPr>
        <w:instrText xml:space="preserve"> SEQ Table \* ARABIC </w:instrText>
      </w:r>
      <w:r w:rsidR="0090414C" w:rsidRPr="0091425F">
        <w:rPr>
          <w:rFonts w:ascii="Arial" w:hAnsi="Arial"/>
          <w:i w:val="0"/>
          <w:iCs w:val="0"/>
          <w:sz w:val="20"/>
          <w:lang w:val="en-AU"/>
        </w:rPr>
        <w:fldChar w:fldCharType="separate"/>
      </w:r>
      <w:r w:rsidR="00751CEC">
        <w:rPr>
          <w:rFonts w:ascii="Arial" w:hAnsi="Arial"/>
          <w:i w:val="0"/>
          <w:iCs w:val="0"/>
          <w:noProof/>
          <w:sz w:val="20"/>
          <w:lang w:val="en-AU"/>
        </w:rPr>
        <w:t>11</w:t>
      </w:r>
      <w:r w:rsidR="0090414C" w:rsidRPr="0091425F">
        <w:rPr>
          <w:rFonts w:ascii="Arial" w:hAnsi="Arial"/>
          <w:i w:val="0"/>
          <w:iCs w:val="0"/>
          <w:sz w:val="20"/>
          <w:lang w:val="en-AU"/>
        </w:rPr>
        <w:fldChar w:fldCharType="end"/>
      </w:r>
      <w:r w:rsidR="00523005" w:rsidRPr="0091425F">
        <w:rPr>
          <w:rFonts w:ascii="Arial" w:hAnsi="Arial"/>
          <w:i w:val="0"/>
          <w:iCs w:val="0"/>
          <w:sz w:val="20"/>
          <w:lang w:val="en-AU"/>
        </w:rPr>
        <w:t>:</w:t>
      </w:r>
      <w:r w:rsidR="006241C1" w:rsidRPr="0091425F">
        <w:rPr>
          <w:rFonts w:ascii="Arial" w:hAnsi="Arial"/>
          <w:i w:val="0"/>
          <w:iCs w:val="0"/>
          <w:sz w:val="20"/>
          <w:lang w:val="en-AU"/>
        </w:rPr>
        <w:t xml:space="preserve"> </w:t>
      </w:r>
      <w:r w:rsidR="00523005" w:rsidRPr="0091425F">
        <w:rPr>
          <w:rFonts w:ascii="Arial" w:hAnsi="Arial"/>
          <w:i w:val="0"/>
          <w:iCs w:val="0"/>
          <w:sz w:val="20"/>
          <w:lang w:val="en-AU"/>
        </w:rPr>
        <w:t xml:space="preserve"> Critical Lifecycle Management Data</w:t>
      </w:r>
      <w:bookmarkEnd w:id="43"/>
    </w:p>
    <w:p w:rsidR="00E96F28" w:rsidRPr="00CF2212" w:rsidRDefault="00E96F28" w:rsidP="00CF2212">
      <w:pPr>
        <w:pStyle w:val="Heading2"/>
      </w:pPr>
      <w:bookmarkStart w:id="44" w:name="_Toc364945238"/>
      <w:r w:rsidRPr="00CF2212">
        <w:t>Risk Management</w:t>
      </w:r>
      <w:bookmarkEnd w:id="44"/>
    </w:p>
    <w:p w:rsidR="008D324C" w:rsidRDefault="008D324C" w:rsidP="00FD4B0B">
      <w:r w:rsidRPr="00AA777B">
        <w:t>Risk is coordinated through a formally established Risk Management Review Panel (RMRP) comprising of</w:t>
      </w:r>
      <w:r w:rsidR="000C7E96">
        <w:t xml:space="preserve"> the CEO, Directors, Executive M</w:t>
      </w:r>
      <w:r w:rsidRPr="00AA777B">
        <w:t>anagers and the Risk Management and Insurance Co-ordinator. The RMRP has the responsibility to oversee all activities relating to the management of risk across the organisation.  Council has an adopted risk management framework that provides guidance on the management of risk related data stores (risk register, risk treatment plans, policy and procedural documents and reports</w:t>
      </w:r>
      <w:r w:rsidR="000C7E96">
        <w:t>)</w:t>
      </w:r>
      <w:r w:rsidRPr="00AA777B">
        <w:t xml:space="preserve">. </w:t>
      </w:r>
    </w:p>
    <w:p w:rsidR="00FD4B0B" w:rsidRPr="00AA777B" w:rsidRDefault="00FD4B0B" w:rsidP="00FD4B0B"/>
    <w:p w:rsidR="008D324C" w:rsidRDefault="008D324C" w:rsidP="00FD4B0B">
      <w:r w:rsidRPr="00AA777B">
        <w:t>The Corpo</w:t>
      </w:r>
      <w:r w:rsidR="000C7E96">
        <w:t>rate Risk R</w:t>
      </w:r>
      <w:r w:rsidRPr="00AA777B">
        <w:t xml:space="preserve">egister includes the corporate or strategic risks whereas operational risks are recorded and managed at the branch or unit level. </w:t>
      </w:r>
    </w:p>
    <w:p w:rsidR="00FD4B0B" w:rsidRPr="00AA777B" w:rsidRDefault="00FD4B0B" w:rsidP="00FD4B0B"/>
    <w:p w:rsidR="008D324C" w:rsidRDefault="008D324C" w:rsidP="00FD4B0B">
      <w:pPr>
        <w:rPr>
          <w:rFonts w:cs="Arial"/>
        </w:rPr>
      </w:pPr>
      <w:r w:rsidRPr="00AA777B">
        <w:rPr>
          <w:rFonts w:cs="Arial"/>
        </w:rPr>
        <w:t>At the corporat</w:t>
      </w:r>
      <w:r w:rsidR="00FD4B0B">
        <w:rPr>
          <w:rFonts w:cs="Arial"/>
        </w:rPr>
        <w:t>e level the focus for risks are:</w:t>
      </w:r>
    </w:p>
    <w:p w:rsidR="00FD4B0B" w:rsidRPr="00AA777B" w:rsidRDefault="00FD4B0B" w:rsidP="00FD4B0B">
      <w:pPr>
        <w:rPr>
          <w:rFonts w:cs="Arial"/>
        </w:rPr>
      </w:pPr>
    </w:p>
    <w:p w:rsidR="008D324C" w:rsidRPr="00FD4B0B" w:rsidRDefault="008D324C" w:rsidP="008348B5">
      <w:pPr>
        <w:pStyle w:val="ListParagraph"/>
        <w:numPr>
          <w:ilvl w:val="0"/>
          <w:numId w:val="46"/>
        </w:numPr>
        <w:rPr>
          <w:rFonts w:ascii="Arial" w:hAnsi="Arial" w:cs="Arial"/>
          <w:sz w:val="20"/>
        </w:rPr>
      </w:pPr>
      <w:r w:rsidRPr="00FD4B0B">
        <w:rPr>
          <w:rFonts w:ascii="Arial" w:hAnsi="Arial" w:cs="Arial"/>
          <w:sz w:val="20"/>
        </w:rPr>
        <w:t>Business Continuity;</w:t>
      </w:r>
    </w:p>
    <w:p w:rsidR="008D324C" w:rsidRPr="00FD4B0B" w:rsidRDefault="008D324C" w:rsidP="008348B5">
      <w:pPr>
        <w:pStyle w:val="ListParagraph"/>
        <w:numPr>
          <w:ilvl w:val="0"/>
          <w:numId w:val="46"/>
        </w:numPr>
        <w:rPr>
          <w:rFonts w:ascii="Arial" w:hAnsi="Arial" w:cs="Arial"/>
          <w:sz w:val="20"/>
        </w:rPr>
      </w:pPr>
      <w:r w:rsidRPr="00FD4B0B">
        <w:rPr>
          <w:rFonts w:ascii="Arial" w:hAnsi="Arial" w:cs="Arial"/>
          <w:sz w:val="20"/>
        </w:rPr>
        <w:t xml:space="preserve">Occupational Health </w:t>
      </w:r>
      <w:r w:rsidR="00927AFA">
        <w:rPr>
          <w:rFonts w:ascii="Arial" w:hAnsi="Arial" w:cs="Arial"/>
          <w:sz w:val="20"/>
        </w:rPr>
        <w:t>and</w:t>
      </w:r>
      <w:r w:rsidRPr="00FD4B0B">
        <w:rPr>
          <w:rFonts w:ascii="Arial" w:hAnsi="Arial" w:cs="Arial"/>
          <w:sz w:val="20"/>
        </w:rPr>
        <w:t xml:space="preserve"> Safety;</w:t>
      </w:r>
    </w:p>
    <w:p w:rsidR="008D324C" w:rsidRPr="00FD4B0B" w:rsidRDefault="008D324C" w:rsidP="008348B5">
      <w:pPr>
        <w:pStyle w:val="ListParagraph"/>
        <w:numPr>
          <w:ilvl w:val="0"/>
          <w:numId w:val="46"/>
        </w:numPr>
        <w:rPr>
          <w:rFonts w:ascii="Arial" w:hAnsi="Arial" w:cs="Arial"/>
          <w:sz w:val="20"/>
        </w:rPr>
      </w:pPr>
      <w:r w:rsidRPr="00FD4B0B">
        <w:rPr>
          <w:rFonts w:ascii="Arial" w:hAnsi="Arial" w:cs="Arial"/>
          <w:sz w:val="20"/>
        </w:rPr>
        <w:t>Legal;</w:t>
      </w:r>
    </w:p>
    <w:p w:rsidR="008D324C" w:rsidRPr="00FD4B0B" w:rsidRDefault="008D324C" w:rsidP="008348B5">
      <w:pPr>
        <w:pStyle w:val="ListParagraph"/>
        <w:numPr>
          <w:ilvl w:val="0"/>
          <w:numId w:val="46"/>
        </w:numPr>
        <w:rPr>
          <w:rFonts w:ascii="Arial" w:hAnsi="Arial" w:cs="Arial"/>
          <w:sz w:val="20"/>
        </w:rPr>
      </w:pPr>
      <w:r w:rsidRPr="00FD4B0B">
        <w:rPr>
          <w:rFonts w:ascii="Arial" w:hAnsi="Arial" w:cs="Arial"/>
          <w:sz w:val="20"/>
        </w:rPr>
        <w:t>Financial; and</w:t>
      </w:r>
    </w:p>
    <w:p w:rsidR="008D324C" w:rsidRPr="00FD4B0B" w:rsidRDefault="008D324C" w:rsidP="008348B5">
      <w:pPr>
        <w:pStyle w:val="ListParagraph"/>
        <w:numPr>
          <w:ilvl w:val="0"/>
          <w:numId w:val="46"/>
        </w:numPr>
        <w:rPr>
          <w:rFonts w:ascii="Arial" w:hAnsi="Arial" w:cs="Arial"/>
          <w:sz w:val="20"/>
        </w:rPr>
      </w:pPr>
      <w:r w:rsidRPr="00FD4B0B">
        <w:rPr>
          <w:rFonts w:ascii="Arial" w:hAnsi="Arial" w:cs="Arial"/>
          <w:sz w:val="20"/>
        </w:rPr>
        <w:t>Strategic direction.</w:t>
      </w:r>
    </w:p>
    <w:p w:rsidR="00FD4B0B" w:rsidRDefault="00FD4B0B" w:rsidP="00FD4B0B"/>
    <w:p w:rsidR="008D324C" w:rsidRPr="00AA777B" w:rsidRDefault="008D324C" w:rsidP="00FD4B0B">
      <w:r w:rsidRPr="00AA777B">
        <w:t>Also to be considered at the branch or unit level is the legislative or regulatory risk requirements and the approach that should be adopted.</w:t>
      </w:r>
    </w:p>
    <w:p w:rsidR="008D324C" w:rsidRDefault="008D324C" w:rsidP="00FD4B0B"/>
    <w:p w:rsidR="00E96F28" w:rsidRDefault="000C3996" w:rsidP="00FD4B0B">
      <w:r w:rsidRPr="00CD7D4F">
        <w:t xml:space="preserve">The following table presents the key </w:t>
      </w:r>
      <w:r w:rsidR="008D324C">
        <w:t xml:space="preserve">corporate </w:t>
      </w:r>
      <w:r w:rsidR="00FD4B0B">
        <w:t>risks identified:</w:t>
      </w:r>
    </w:p>
    <w:p w:rsidR="00A478A1" w:rsidRDefault="00A478A1" w:rsidP="00FD4B0B">
      <w:pPr>
        <w:rPr>
          <w:i/>
        </w:rPr>
      </w:pPr>
    </w:p>
    <w:tbl>
      <w:tblPr>
        <w:tblW w:w="921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0"/>
        <w:gridCol w:w="8"/>
        <w:gridCol w:w="3541"/>
        <w:gridCol w:w="1278"/>
        <w:gridCol w:w="1547"/>
        <w:gridCol w:w="11"/>
        <w:gridCol w:w="1134"/>
        <w:gridCol w:w="995"/>
      </w:tblGrid>
      <w:tr w:rsidR="007E61C2" w:rsidRPr="0024611A" w:rsidTr="00193120">
        <w:trPr>
          <w:cantSplit/>
          <w:trHeight w:val="340"/>
          <w:tblHeader/>
        </w:trPr>
        <w:tc>
          <w:tcPr>
            <w:tcW w:w="708" w:type="dxa"/>
            <w:gridSpan w:val="2"/>
            <w:tcBorders>
              <w:right w:val="nil"/>
            </w:tcBorders>
            <w:shd w:val="clear" w:color="auto" w:fill="95B3D7" w:themeFill="accent1" w:themeFillTint="99"/>
            <w:vAlign w:val="center"/>
          </w:tcPr>
          <w:p w:rsidR="007E61C2" w:rsidRPr="0024611A" w:rsidRDefault="007E61C2" w:rsidP="00193120">
            <w:pPr>
              <w:ind w:left="720" w:right="-45" w:hanging="720"/>
            </w:pPr>
          </w:p>
        </w:tc>
        <w:tc>
          <w:tcPr>
            <w:tcW w:w="3541" w:type="dxa"/>
            <w:tcBorders>
              <w:left w:val="nil"/>
            </w:tcBorders>
            <w:shd w:val="clear" w:color="auto" w:fill="95B3D7" w:themeFill="accent1" w:themeFillTint="99"/>
            <w:vAlign w:val="center"/>
          </w:tcPr>
          <w:p w:rsidR="007E61C2" w:rsidRPr="0024611A" w:rsidRDefault="007E61C2" w:rsidP="00193120">
            <w:pPr>
              <w:ind w:right="-45"/>
              <w:rPr>
                <w:b/>
              </w:rPr>
            </w:pPr>
            <w:r w:rsidRPr="0024611A">
              <w:rPr>
                <w:b/>
              </w:rPr>
              <w:t>Risk</w:t>
            </w:r>
          </w:p>
        </w:tc>
        <w:tc>
          <w:tcPr>
            <w:tcW w:w="1278" w:type="dxa"/>
            <w:shd w:val="clear" w:color="auto" w:fill="95B3D7" w:themeFill="accent1" w:themeFillTint="99"/>
            <w:vAlign w:val="center"/>
          </w:tcPr>
          <w:p w:rsidR="007E61C2" w:rsidRPr="0024611A" w:rsidRDefault="007E61C2" w:rsidP="00193120">
            <w:pPr>
              <w:ind w:right="-45"/>
              <w:rPr>
                <w:b/>
              </w:rPr>
            </w:pPr>
            <w:r w:rsidRPr="0024611A">
              <w:rPr>
                <w:b/>
              </w:rPr>
              <w:t>Likelihood</w:t>
            </w:r>
          </w:p>
        </w:tc>
        <w:tc>
          <w:tcPr>
            <w:tcW w:w="1558" w:type="dxa"/>
            <w:gridSpan w:val="2"/>
            <w:shd w:val="clear" w:color="auto" w:fill="95B3D7" w:themeFill="accent1" w:themeFillTint="99"/>
            <w:vAlign w:val="center"/>
          </w:tcPr>
          <w:p w:rsidR="007E61C2" w:rsidRPr="0024611A" w:rsidRDefault="007E61C2" w:rsidP="00193120">
            <w:pPr>
              <w:ind w:right="-45"/>
              <w:jc w:val="center"/>
              <w:rPr>
                <w:b/>
              </w:rPr>
            </w:pPr>
            <w:r w:rsidRPr="0024611A">
              <w:rPr>
                <w:b/>
              </w:rPr>
              <w:t>Consequence</w:t>
            </w:r>
          </w:p>
        </w:tc>
        <w:tc>
          <w:tcPr>
            <w:tcW w:w="1134" w:type="dxa"/>
            <w:shd w:val="clear" w:color="auto" w:fill="95B3D7" w:themeFill="accent1" w:themeFillTint="99"/>
            <w:vAlign w:val="center"/>
          </w:tcPr>
          <w:p w:rsidR="007E61C2" w:rsidRPr="0024611A" w:rsidRDefault="007E61C2" w:rsidP="00193120">
            <w:pPr>
              <w:ind w:right="-45"/>
              <w:jc w:val="center"/>
              <w:rPr>
                <w:b/>
              </w:rPr>
            </w:pPr>
            <w:r w:rsidRPr="0024611A">
              <w:rPr>
                <w:b/>
              </w:rPr>
              <w:t>Rating</w:t>
            </w:r>
          </w:p>
        </w:tc>
        <w:tc>
          <w:tcPr>
            <w:tcW w:w="995" w:type="dxa"/>
            <w:tcBorders>
              <w:bottom w:val="single" w:sz="4" w:space="0" w:color="000000"/>
            </w:tcBorders>
            <w:shd w:val="clear" w:color="auto" w:fill="95B3D7" w:themeFill="accent1" w:themeFillTint="99"/>
            <w:vAlign w:val="center"/>
          </w:tcPr>
          <w:p w:rsidR="007E61C2" w:rsidRPr="0024611A" w:rsidRDefault="007E61C2" w:rsidP="00193120">
            <w:pPr>
              <w:ind w:right="-45"/>
              <w:jc w:val="center"/>
              <w:rPr>
                <w:b/>
              </w:rPr>
            </w:pPr>
            <w:r w:rsidRPr="0024611A">
              <w:rPr>
                <w:b/>
              </w:rPr>
              <w:t>Risk Priority</w:t>
            </w:r>
          </w:p>
        </w:tc>
      </w:tr>
      <w:tr w:rsidR="007E61C2" w:rsidRPr="0024611A" w:rsidTr="00193120">
        <w:trPr>
          <w:cantSplit/>
        </w:trPr>
        <w:tc>
          <w:tcPr>
            <w:tcW w:w="700" w:type="dxa"/>
          </w:tcPr>
          <w:p w:rsidR="007E61C2" w:rsidRPr="0024611A" w:rsidRDefault="007E61C2" w:rsidP="00193120">
            <w:pPr>
              <w:ind w:left="720" w:right="-45" w:hanging="720"/>
              <w:jc w:val="center"/>
            </w:pPr>
            <w:r w:rsidRPr="0024611A">
              <w:t>BPB1</w:t>
            </w:r>
          </w:p>
        </w:tc>
        <w:tc>
          <w:tcPr>
            <w:tcW w:w="3549" w:type="dxa"/>
            <w:gridSpan w:val="2"/>
          </w:tcPr>
          <w:p w:rsidR="007E61C2" w:rsidRPr="0024611A" w:rsidRDefault="007E61C2" w:rsidP="00193120">
            <w:pPr>
              <w:autoSpaceDE w:val="0"/>
              <w:autoSpaceDN w:val="0"/>
              <w:adjustRightInd w:val="0"/>
              <w:spacing w:after="60"/>
              <w:ind w:right="-45"/>
            </w:pPr>
            <w:r w:rsidRPr="0024611A">
              <w:rPr>
                <w:rFonts w:eastAsia="Calibri"/>
              </w:rPr>
              <w:t>Failing to adequately manage essential safety measures (ESM) results in reputational and financial loss to Council</w:t>
            </w:r>
          </w:p>
        </w:tc>
        <w:tc>
          <w:tcPr>
            <w:tcW w:w="1278" w:type="dxa"/>
          </w:tcPr>
          <w:p w:rsidR="007E61C2" w:rsidRPr="0024611A" w:rsidRDefault="007E61C2" w:rsidP="00193120">
            <w:pPr>
              <w:ind w:left="720" w:right="-45" w:hanging="720"/>
              <w:jc w:val="center"/>
            </w:pPr>
            <w:r w:rsidRPr="0024611A">
              <w:t>Possible</w:t>
            </w:r>
          </w:p>
        </w:tc>
        <w:tc>
          <w:tcPr>
            <w:tcW w:w="1547" w:type="dxa"/>
          </w:tcPr>
          <w:p w:rsidR="007E61C2" w:rsidRPr="0024611A" w:rsidRDefault="007E61C2" w:rsidP="00193120">
            <w:pPr>
              <w:ind w:left="720" w:right="-45" w:hanging="720"/>
              <w:jc w:val="center"/>
            </w:pPr>
            <w:r w:rsidRPr="0024611A">
              <w:t>Major</w:t>
            </w:r>
          </w:p>
        </w:tc>
        <w:tc>
          <w:tcPr>
            <w:tcW w:w="1145" w:type="dxa"/>
            <w:gridSpan w:val="2"/>
          </w:tcPr>
          <w:p w:rsidR="007E61C2" w:rsidRPr="0024611A" w:rsidRDefault="007E61C2" w:rsidP="00193120">
            <w:pPr>
              <w:ind w:left="720" w:right="-45" w:hanging="720"/>
              <w:jc w:val="center"/>
            </w:pPr>
            <w:r w:rsidRPr="0024611A">
              <w:t>High</w:t>
            </w:r>
          </w:p>
        </w:tc>
        <w:tc>
          <w:tcPr>
            <w:tcW w:w="995" w:type="dxa"/>
            <w:shd w:val="clear" w:color="auto" w:fill="FF9900"/>
          </w:tcPr>
          <w:p w:rsidR="007E61C2" w:rsidRPr="0024611A" w:rsidRDefault="007E61C2" w:rsidP="00193120">
            <w:pPr>
              <w:ind w:left="720" w:right="-45" w:hanging="720"/>
              <w:jc w:val="center"/>
            </w:pPr>
          </w:p>
        </w:tc>
      </w:tr>
      <w:tr w:rsidR="007E61C2" w:rsidRPr="0024611A" w:rsidTr="00193120">
        <w:trPr>
          <w:cantSplit/>
        </w:trPr>
        <w:tc>
          <w:tcPr>
            <w:tcW w:w="700" w:type="dxa"/>
          </w:tcPr>
          <w:p w:rsidR="007E61C2" w:rsidRPr="0024611A" w:rsidRDefault="007E61C2" w:rsidP="00193120">
            <w:pPr>
              <w:ind w:left="720" w:right="-45" w:hanging="720"/>
              <w:jc w:val="center"/>
            </w:pPr>
            <w:r w:rsidRPr="0024611A">
              <w:t>BPB2</w:t>
            </w:r>
          </w:p>
        </w:tc>
        <w:tc>
          <w:tcPr>
            <w:tcW w:w="3549" w:type="dxa"/>
            <w:gridSpan w:val="2"/>
          </w:tcPr>
          <w:p w:rsidR="007E61C2" w:rsidRPr="0024611A" w:rsidRDefault="007E61C2" w:rsidP="00193120">
            <w:pPr>
              <w:autoSpaceDE w:val="0"/>
              <w:autoSpaceDN w:val="0"/>
              <w:adjustRightInd w:val="0"/>
              <w:spacing w:after="60"/>
              <w:ind w:right="-45"/>
            </w:pPr>
            <w:r w:rsidRPr="0024611A">
              <w:rPr>
                <w:rFonts w:eastAsia="Calibri"/>
              </w:rPr>
              <w:t>Failure to comply with legislation relevant to building occupancy and management including DDA, Heritage and the Building Code and Regulations results in prosecutions for non- compliant buildings leading to financial and reputational loss to Council</w:t>
            </w:r>
          </w:p>
        </w:tc>
        <w:tc>
          <w:tcPr>
            <w:tcW w:w="1278" w:type="dxa"/>
          </w:tcPr>
          <w:p w:rsidR="007E61C2" w:rsidRPr="0024611A" w:rsidRDefault="007E61C2" w:rsidP="00193120">
            <w:pPr>
              <w:ind w:left="720" w:right="-45" w:hanging="720"/>
              <w:jc w:val="center"/>
            </w:pPr>
            <w:r w:rsidRPr="0024611A">
              <w:t>Possible</w:t>
            </w:r>
          </w:p>
        </w:tc>
        <w:tc>
          <w:tcPr>
            <w:tcW w:w="1547" w:type="dxa"/>
          </w:tcPr>
          <w:p w:rsidR="007E61C2" w:rsidRPr="0024611A" w:rsidRDefault="007E61C2" w:rsidP="00193120">
            <w:pPr>
              <w:ind w:left="720" w:right="-45" w:hanging="720"/>
              <w:jc w:val="center"/>
            </w:pPr>
            <w:r w:rsidRPr="0024611A">
              <w:t>Moderate</w:t>
            </w:r>
          </w:p>
        </w:tc>
        <w:tc>
          <w:tcPr>
            <w:tcW w:w="1145" w:type="dxa"/>
            <w:gridSpan w:val="2"/>
          </w:tcPr>
          <w:p w:rsidR="007E61C2" w:rsidRPr="0024611A" w:rsidRDefault="007E61C2" w:rsidP="00193120">
            <w:pPr>
              <w:ind w:left="720" w:right="-45" w:hanging="720"/>
              <w:jc w:val="center"/>
            </w:pPr>
            <w:r w:rsidRPr="0024611A">
              <w:t>Significant</w:t>
            </w:r>
          </w:p>
        </w:tc>
        <w:tc>
          <w:tcPr>
            <w:tcW w:w="995" w:type="dxa"/>
            <w:tcBorders>
              <w:bottom w:val="single" w:sz="4" w:space="0" w:color="000000"/>
            </w:tcBorders>
            <w:shd w:val="clear" w:color="auto" w:fill="FFFF00"/>
          </w:tcPr>
          <w:p w:rsidR="007E61C2" w:rsidRPr="0024611A" w:rsidRDefault="007E61C2" w:rsidP="00193120">
            <w:pPr>
              <w:ind w:left="720" w:right="-45" w:hanging="720"/>
              <w:jc w:val="center"/>
            </w:pPr>
          </w:p>
        </w:tc>
      </w:tr>
      <w:tr w:rsidR="007E61C2" w:rsidRPr="0024611A" w:rsidTr="00193120">
        <w:trPr>
          <w:cantSplit/>
        </w:trPr>
        <w:tc>
          <w:tcPr>
            <w:tcW w:w="700" w:type="dxa"/>
          </w:tcPr>
          <w:p w:rsidR="007E61C2" w:rsidRPr="0024611A" w:rsidRDefault="007E61C2" w:rsidP="00193120">
            <w:pPr>
              <w:ind w:left="720" w:right="-45" w:hanging="720"/>
              <w:jc w:val="center"/>
            </w:pPr>
            <w:r w:rsidRPr="0024611A">
              <w:t>BPB3</w:t>
            </w:r>
          </w:p>
        </w:tc>
        <w:tc>
          <w:tcPr>
            <w:tcW w:w="3549" w:type="dxa"/>
            <w:gridSpan w:val="2"/>
          </w:tcPr>
          <w:p w:rsidR="007E61C2" w:rsidRPr="0024611A" w:rsidRDefault="007E61C2" w:rsidP="00193120">
            <w:pPr>
              <w:autoSpaceDE w:val="0"/>
              <w:autoSpaceDN w:val="0"/>
              <w:adjustRightInd w:val="0"/>
              <w:spacing w:after="60"/>
              <w:ind w:right="-45"/>
            </w:pPr>
            <w:r w:rsidRPr="0024611A">
              <w:rPr>
                <w:rFonts w:eastAsia="Calibri"/>
              </w:rPr>
              <w:t>Failure to ensure new buildings projects comply with relevant design standards including energy management, are fit for purpose and all appropriate maintenance considerations have been addressed leads to interrupted service delivery, constant complaints and ongoing disputes resulting in financial and reputational loss to Council</w:t>
            </w:r>
          </w:p>
        </w:tc>
        <w:tc>
          <w:tcPr>
            <w:tcW w:w="1278" w:type="dxa"/>
          </w:tcPr>
          <w:p w:rsidR="007E61C2" w:rsidRPr="0024611A" w:rsidRDefault="007E61C2" w:rsidP="00193120">
            <w:pPr>
              <w:ind w:left="720" w:right="-45" w:hanging="720"/>
              <w:jc w:val="center"/>
            </w:pPr>
            <w:r w:rsidRPr="0024611A">
              <w:t>Rare</w:t>
            </w:r>
          </w:p>
        </w:tc>
        <w:tc>
          <w:tcPr>
            <w:tcW w:w="1547" w:type="dxa"/>
          </w:tcPr>
          <w:p w:rsidR="007E61C2" w:rsidRPr="0024611A" w:rsidRDefault="007E61C2" w:rsidP="00193120">
            <w:pPr>
              <w:ind w:left="720" w:right="-45" w:hanging="720"/>
              <w:jc w:val="center"/>
            </w:pPr>
            <w:r w:rsidRPr="0024611A">
              <w:t>Moderate</w:t>
            </w:r>
          </w:p>
        </w:tc>
        <w:tc>
          <w:tcPr>
            <w:tcW w:w="1145" w:type="dxa"/>
            <w:gridSpan w:val="2"/>
          </w:tcPr>
          <w:p w:rsidR="007E61C2" w:rsidRPr="0024611A" w:rsidRDefault="007E61C2" w:rsidP="00193120">
            <w:pPr>
              <w:ind w:left="720" w:right="-45" w:hanging="720"/>
              <w:jc w:val="center"/>
            </w:pPr>
            <w:r w:rsidRPr="0024611A">
              <w:t>Medium</w:t>
            </w:r>
          </w:p>
        </w:tc>
        <w:tc>
          <w:tcPr>
            <w:tcW w:w="995" w:type="dxa"/>
            <w:shd w:val="clear" w:color="auto" w:fill="00FFFF"/>
          </w:tcPr>
          <w:p w:rsidR="007E61C2" w:rsidRPr="0024611A" w:rsidRDefault="007E61C2" w:rsidP="00193120">
            <w:pPr>
              <w:ind w:left="720" w:right="-45" w:hanging="720"/>
              <w:jc w:val="center"/>
            </w:pPr>
          </w:p>
        </w:tc>
      </w:tr>
      <w:tr w:rsidR="007E61C2" w:rsidRPr="0024611A" w:rsidTr="00193120">
        <w:trPr>
          <w:cantSplit/>
        </w:trPr>
        <w:tc>
          <w:tcPr>
            <w:tcW w:w="700" w:type="dxa"/>
          </w:tcPr>
          <w:p w:rsidR="007E61C2" w:rsidRPr="0024611A" w:rsidRDefault="007E61C2" w:rsidP="00193120">
            <w:pPr>
              <w:ind w:left="720" w:right="-45" w:hanging="720"/>
              <w:jc w:val="center"/>
            </w:pPr>
            <w:r w:rsidRPr="0024611A">
              <w:t>BPB4</w:t>
            </w:r>
          </w:p>
        </w:tc>
        <w:tc>
          <w:tcPr>
            <w:tcW w:w="3549" w:type="dxa"/>
            <w:gridSpan w:val="2"/>
          </w:tcPr>
          <w:p w:rsidR="007E61C2" w:rsidRPr="0024611A" w:rsidRDefault="007E61C2" w:rsidP="00193120">
            <w:pPr>
              <w:autoSpaceDE w:val="0"/>
              <w:autoSpaceDN w:val="0"/>
              <w:adjustRightInd w:val="0"/>
              <w:spacing w:after="60"/>
              <w:ind w:right="-45"/>
            </w:pPr>
            <w:r w:rsidRPr="0024611A">
              <w:rPr>
                <w:rFonts w:eastAsia="Calibri"/>
              </w:rPr>
              <w:t>As a result of a fraud or corruption incident Council suffers reputational and financial loss</w:t>
            </w:r>
          </w:p>
        </w:tc>
        <w:tc>
          <w:tcPr>
            <w:tcW w:w="1278" w:type="dxa"/>
          </w:tcPr>
          <w:p w:rsidR="007E61C2" w:rsidRPr="0024611A" w:rsidRDefault="007E61C2" w:rsidP="00193120">
            <w:pPr>
              <w:ind w:left="720" w:right="-45" w:hanging="720"/>
              <w:jc w:val="center"/>
            </w:pPr>
            <w:r w:rsidRPr="0024611A">
              <w:t>Possible</w:t>
            </w:r>
          </w:p>
        </w:tc>
        <w:tc>
          <w:tcPr>
            <w:tcW w:w="1547" w:type="dxa"/>
          </w:tcPr>
          <w:p w:rsidR="007E61C2" w:rsidRPr="0024611A" w:rsidRDefault="007E61C2" w:rsidP="00193120">
            <w:pPr>
              <w:ind w:left="720" w:right="-45" w:hanging="720"/>
              <w:jc w:val="center"/>
            </w:pPr>
            <w:r w:rsidRPr="0024611A">
              <w:t>Moderate</w:t>
            </w:r>
          </w:p>
        </w:tc>
        <w:tc>
          <w:tcPr>
            <w:tcW w:w="1145" w:type="dxa"/>
            <w:gridSpan w:val="2"/>
          </w:tcPr>
          <w:p w:rsidR="007E61C2" w:rsidRPr="0024611A" w:rsidRDefault="007E61C2" w:rsidP="00193120">
            <w:pPr>
              <w:ind w:left="720" w:right="-45" w:hanging="720"/>
              <w:jc w:val="center"/>
            </w:pPr>
            <w:r w:rsidRPr="0024611A">
              <w:t>Significant</w:t>
            </w:r>
          </w:p>
        </w:tc>
        <w:tc>
          <w:tcPr>
            <w:tcW w:w="995" w:type="dxa"/>
            <w:shd w:val="clear" w:color="auto" w:fill="FFFF00"/>
          </w:tcPr>
          <w:p w:rsidR="007E61C2" w:rsidRPr="0024611A" w:rsidRDefault="007E61C2" w:rsidP="00193120">
            <w:pPr>
              <w:ind w:left="720" w:right="-45" w:hanging="720"/>
              <w:jc w:val="center"/>
            </w:pPr>
          </w:p>
        </w:tc>
      </w:tr>
      <w:tr w:rsidR="007E61C2" w:rsidRPr="0024611A" w:rsidTr="00193120">
        <w:trPr>
          <w:cantSplit/>
        </w:trPr>
        <w:tc>
          <w:tcPr>
            <w:tcW w:w="700" w:type="dxa"/>
          </w:tcPr>
          <w:p w:rsidR="007E61C2" w:rsidRPr="0024611A" w:rsidRDefault="007E61C2" w:rsidP="00193120">
            <w:pPr>
              <w:ind w:left="720" w:right="-45" w:hanging="720"/>
              <w:jc w:val="center"/>
            </w:pPr>
            <w:r w:rsidRPr="0024611A">
              <w:t>BPB5</w:t>
            </w:r>
          </w:p>
        </w:tc>
        <w:tc>
          <w:tcPr>
            <w:tcW w:w="3549" w:type="dxa"/>
            <w:gridSpan w:val="2"/>
          </w:tcPr>
          <w:p w:rsidR="007E61C2" w:rsidRPr="0024611A" w:rsidRDefault="007E61C2" w:rsidP="00193120">
            <w:pPr>
              <w:autoSpaceDE w:val="0"/>
              <w:autoSpaceDN w:val="0"/>
              <w:adjustRightInd w:val="0"/>
              <w:spacing w:after="60"/>
              <w:ind w:right="-45"/>
            </w:pPr>
            <w:r w:rsidRPr="0024611A">
              <w:rPr>
                <w:rFonts w:eastAsia="Calibri"/>
              </w:rPr>
              <w:t>Failure to inspect and maintain Council buildings to an acceptable level results in loss of services, reduction in asset value and possible exposure to dangers leading to financial and reputational loss to Council</w:t>
            </w:r>
          </w:p>
        </w:tc>
        <w:tc>
          <w:tcPr>
            <w:tcW w:w="1278" w:type="dxa"/>
          </w:tcPr>
          <w:p w:rsidR="007E61C2" w:rsidRPr="0024611A" w:rsidRDefault="007E61C2" w:rsidP="00193120">
            <w:pPr>
              <w:ind w:left="720" w:right="-45" w:hanging="720"/>
              <w:jc w:val="center"/>
            </w:pPr>
            <w:r w:rsidRPr="0024611A">
              <w:t>Possible</w:t>
            </w:r>
          </w:p>
        </w:tc>
        <w:tc>
          <w:tcPr>
            <w:tcW w:w="1547" w:type="dxa"/>
          </w:tcPr>
          <w:p w:rsidR="007E61C2" w:rsidRPr="0024611A" w:rsidRDefault="007E61C2" w:rsidP="00193120">
            <w:pPr>
              <w:ind w:left="720" w:right="-45" w:hanging="720"/>
              <w:jc w:val="center"/>
            </w:pPr>
            <w:r w:rsidRPr="0024611A">
              <w:t>Moderate</w:t>
            </w:r>
          </w:p>
        </w:tc>
        <w:tc>
          <w:tcPr>
            <w:tcW w:w="1145" w:type="dxa"/>
            <w:gridSpan w:val="2"/>
          </w:tcPr>
          <w:p w:rsidR="007E61C2" w:rsidRPr="0024611A" w:rsidRDefault="007E61C2" w:rsidP="00193120">
            <w:pPr>
              <w:ind w:left="720" w:right="-45" w:hanging="720"/>
              <w:jc w:val="center"/>
            </w:pPr>
            <w:r w:rsidRPr="0024611A">
              <w:t>Significant</w:t>
            </w:r>
          </w:p>
        </w:tc>
        <w:tc>
          <w:tcPr>
            <w:tcW w:w="995" w:type="dxa"/>
            <w:shd w:val="clear" w:color="auto" w:fill="FFFF00"/>
          </w:tcPr>
          <w:p w:rsidR="007E61C2" w:rsidRPr="0024611A" w:rsidRDefault="007E61C2" w:rsidP="00193120">
            <w:pPr>
              <w:ind w:left="720" w:right="-45" w:hanging="720"/>
              <w:jc w:val="center"/>
            </w:pPr>
          </w:p>
        </w:tc>
      </w:tr>
      <w:tr w:rsidR="007E61C2" w:rsidRPr="0024611A" w:rsidTr="00193120">
        <w:trPr>
          <w:cantSplit/>
        </w:trPr>
        <w:tc>
          <w:tcPr>
            <w:tcW w:w="700" w:type="dxa"/>
          </w:tcPr>
          <w:p w:rsidR="007E61C2" w:rsidRPr="0024611A" w:rsidRDefault="007E61C2" w:rsidP="00193120">
            <w:pPr>
              <w:ind w:left="720" w:right="-45" w:hanging="720"/>
              <w:jc w:val="center"/>
            </w:pPr>
            <w:r w:rsidRPr="0024611A">
              <w:t>BPB6</w:t>
            </w:r>
          </w:p>
        </w:tc>
        <w:tc>
          <w:tcPr>
            <w:tcW w:w="3549" w:type="dxa"/>
            <w:gridSpan w:val="2"/>
          </w:tcPr>
          <w:p w:rsidR="007E61C2" w:rsidRPr="0024611A" w:rsidRDefault="007E61C2" w:rsidP="00193120">
            <w:pPr>
              <w:autoSpaceDE w:val="0"/>
              <w:autoSpaceDN w:val="0"/>
              <w:adjustRightInd w:val="0"/>
              <w:spacing w:after="60"/>
              <w:ind w:right="-45"/>
              <w:rPr>
                <w:rFonts w:eastAsia="Calibri"/>
              </w:rPr>
            </w:pPr>
            <w:r w:rsidRPr="0024611A">
              <w:rPr>
                <w:rFonts w:eastAsia="Calibri"/>
              </w:rPr>
              <w:t>Failure to adequately manage third party leasing and licensing arrangements for Council buildings results in legal disputes, inability to apply enforcement actions and continued disruptions to services leading to financial and reputational loss to Council</w:t>
            </w:r>
          </w:p>
        </w:tc>
        <w:tc>
          <w:tcPr>
            <w:tcW w:w="1278" w:type="dxa"/>
          </w:tcPr>
          <w:p w:rsidR="007E61C2" w:rsidRPr="0024611A" w:rsidRDefault="007E61C2" w:rsidP="00193120">
            <w:pPr>
              <w:ind w:left="720" w:right="-45" w:hanging="720"/>
              <w:jc w:val="center"/>
            </w:pPr>
            <w:r w:rsidRPr="0024611A">
              <w:t>Possible</w:t>
            </w:r>
          </w:p>
        </w:tc>
        <w:tc>
          <w:tcPr>
            <w:tcW w:w="1547" w:type="dxa"/>
          </w:tcPr>
          <w:p w:rsidR="007E61C2" w:rsidRPr="0024611A" w:rsidRDefault="007E61C2" w:rsidP="00193120">
            <w:pPr>
              <w:ind w:left="720" w:right="-45" w:hanging="720"/>
              <w:jc w:val="center"/>
            </w:pPr>
            <w:r w:rsidRPr="0024611A">
              <w:t>Moderate</w:t>
            </w:r>
          </w:p>
        </w:tc>
        <w:tc>
          <w:tcPr>
            <w:tcW w:w="1145" w:type="dxa"/>
            <w:gridSpan w:val="2"/>
          </w:tcPr>
          <w:p w:rsidR="007E61C2" w:rsidRPr="0024611A" w:rsidRDefault="007E61C2" w:rsidP="00193120">
            <w:pPr>
              <w:ind w:left="720" w:right="-45" w:hanging="720"/>
              <w:jc w:val="center"/>
            </w:pPr>
            <w:r w:rsidRPr="0024611A">
              <w:t>Significant</w:t>
            </w:r>
          </w:p>
        </w:tc>
        <w:tc>
          <w:tcPr>
            <w:tcW w:w="995" w:type="dxa"/>
            <w:shd w:val="clear" w:color="auto" w:fill="FFFF00"/>
          </w:tcPr>
          <w:p w:rsidR="007E61C2" w:rsidRPr="0024611A" w:rsidRDefault="007E61C2" w:rsidP="00193120">
            <w:pPr>
              <w:ind w:left="720" w:right="-45" w:hanging="720"/>
              <w:jc w:val="center"/>
            </w:pPr>
          </w:p>
        </w:tc>
      </w:tr>
      <w:tr w:rsidR="007E61C2" w:rsidRPr="0024611A" w:rsidTr="00193120">
        <w:trPr>
          <w:cantSplit/>
        </w:trPr>
        <w:tc>
          <w:tcPr>
            <w:tcW w:w="700" w:type="dxa"/>
          </w:tcPr>
          <w:p w:rsidR="007E61C2" w:rsidRPr="0024611A" w:rsidRDefault="007E61C2" w:rsidP="00193120">
            <w:pPr>
              <w:ind w:left="720" w:right="-45" w:hanging="720"/>
              <w:jc w:val="center"/>
            </w:pPr>
            <w:r w:rsidRPr="0024611A">
              <w:t>BPB7</w:t>
            </w:r>
          </w:p>
        </w:tc>
        <w:tc>
          <w:tcPr>
            <w:tcW w:w="3549" w:type="dxa"/>
            <w:gridSpan w:val="2"/>
          </w:tcPr>
          <w:p w:rsidR="007E61C2" w:rsidRPr="0024611A" w:rsidRDefault="007E61C2" w:rsidP="00193120">
            <w:pPr>
              <w:autoSpaceDE w:val="0"/>
              <w:autoSpaceDN w:val="0"/>
              <w:adjustRightInd w:val="0"/>
              <w:spacing w:after="60"/>
              <w:ind w:right="-45"/>
              <w:rPr>
                <w:rFonts w:eastAsia="Calibri"/>
              </w:rPr>
            </w:pPr>
            <w:r w:rsidRPr="0024611A">
              <w:rPr>
                <w:rFonts w:eastAsia="Calibri"/>
              </w:rPr>
              <w:t>A safety incident occurs whilst on site that results in a standard Work Cover claim</w:t>
            </w:r>
          </w:p>
        </w:tc>
        <w:tc>
          <w:tcPr>
            <w:tcW w:w="1278" w:type="dxa"/>
          </w:tcPr>
          <w:p w:rsidR="007E61C2" w:rsidRPr="0024611A" w:rsidRDefault="007E61C2" w:rsidP="00193120">
            <w:pPr>
              <w:ind w:left="720" w:right="-45" w:hanging="720"/>
              <w:jc w:val="center"/>
            </w:pPr>
            <w:r w:rsidRPr="0024611A">
              <w:t>Possible</w:t>
            </w:r>
          </w:p>
        </w:tc>
        <w:tc>
          <w:tcPr>
            <w:tcW w:w="1547" w:type="dxa"/>
          </w:tcPr>
          <w:p w:rsidR="007E61C2" w:rsidRPr="0024611A" w:rsidRDefault="007E61C2" w:rsidP="00193120">
            <w:pPr>
              <w:ind w:left="720" w:right="-45" w:hanging="720"/>
              <w:jc w:val="center"/>
            </w:pPr>
            <w:r w:rsidRPr="0024611A">
              <w:t>Moderate</w:t>
            </w:r>
          </w:p>
        </w:tc>
        <w:tc>
          <w:tcPr>
            <w:tcW w:w="1145" w:type="dxa"/>
            <w:gridSpan w:val="2"/>
          </w:tcPr>
          <w:p w:rsidR="007E61C2" w:rsidRPr="0024611A" w:rsidRDefault="007E61C2" w:rsidP="00193120">
            <w:pPr>
              <w:ind w:left="720" w:right="-45" w:hanging="720"/>
              <w:jc w:val="center"/>
            </w:pPr>
            <w:r w:rsidRPr="0024611A">
              <w:t>Significant</w:t>
            </w:r>
          </w:p>
        </w:tc>
        <w:tc>
          <w:tcPr>
            <w:tcW w:w="995" w:type="dxa"/>
            <w:shd w:val="clear" w:color="auto" w:fill="FFFF00"/>
          </w:tcPr>
          <w:p w:rsidR="007E61C2" w:rsidRPr="0024611A" w:rsidRDefault="007E61C2" w:rsidP="00193120">
            <w:pPr>
              <w:ind w:left="720" w:right="-45" w:hanging="720"/>
              <w:jc w:val="center"/>
            </w:pPr>
          </w:p>
        </w:tc>
      </w:tr>
    </w:tbl>
    <w:p w:rsidR="008D324C" w:rsidRPr="0091425F" w:rsidRDefault="00737599" w:rsidP="0033721F">
      <w:pPr>
        <w:pStyle w:val="Caption"/>
        <w:spacing w:before="240" w:after="240"/>
        <w:ind w:left="0"/>
        <w:jc w:val="center"/>
        <w:rPr>
          <w:rFonts w:ascii="Arial" w:hAnsi="Arial"/>
          <w:i w:val="0"/>
          <w:iCs w:val="0"/>
          <w:sz w:val="20"/>
          <w:lang w:val="en-AU"/>
        </w:rPr>
      </w:pPr>
      <w:bookmarkStart w:id="45" w:name="_Toc364945416"/>
      <w:r w:rsidRPr="0091425F">
        <w:rPr>
          <w:rFonts w:ascii="Arial" w:hAnsi="Arial"/>
          <w:i w:val="0"/>
          <w:iCs w:val="0"/>
          <w:sz w:val="20"/>
          <w:lang w:val="en-AU"/>
        </w:rPr>
        <w:t xml:space="preserve">Table </w:t>
      </w:r>
      <w:r w:rsidR="0090414C" w:rsidRPr="0091425F">
        <w:rPr>
          <w:rFonts w:ascii="Arial" w:hAnsi="Arial"/>
          <w:i w:val="0"/>
          <w:iCs w:val="0"/>
          <w:sz w:val="20"/>
          <w:lang w:val="en-AU"/>
        </w:rPr>
        <w:fldChar w:fldCharType="begin"/>
      </w:r>
      <w:r w:rsidRPr="0091425F">
        <w:rPr>
          <w:rFonts w:ascii="Arial" w:hAnsi="Arial"/>
          <w:i w:val="0"/>
          <w:iCs w:val="0"/>
          <w:sz w:val="20"/>
          <w:lang w:val="en-AU"/>
        </w:rPr>
        <w:instrText xml:space="preserve"> SEQ Table \* ARABIC </w:instrText>
      </w:r>
      <w:r w:rsidR="0090414C" w:rsidRPr="0091425F">
        <w:rPr>
          <w:rFonts w:ascii="Arial" w:hAnsi="Arial"/>
          <w:i w:val="0"/>
          <w:iCs w:val="0"/>
          <w:sz w:val="20"/>
          <w:lang w:val="en-AU"/>
        </w:rPr>
        <w:fldChar w:fldCharType="separate"/>
      </w:r>
      <w:r w:rsidR="00751CEC">
        <w:rPr>
          <w:rFonts w:ascii="Arial" w:hAnsi="Arial"/>
          <w:i w:val="0"/>
          <w:iCs w:val="0"/>
          <w:noProof/>
          <w:sz w:val="20"/>
          <w:lang w:val="en-AU"/>
        </w:rPr>
        <w:t>12</w:t>
      </w:r>
      <w:r w:rsidR="0090414C" w:rsidRPr="0091425F">
        <w:rPr>
          <w:rFonts w:ascii="Arial" w:hAnsi="Arial"/>
          <w:i w:val="0"/>
          <w:iCs w:val="0"/>
          <w:sz w:val="20"/>
          <w:lang w:val="en-AU"/>
        </w:rPr>
        <w:fldChar w:fldCharType="end"/>
      </w:r>
      <w:r w:rsidR="008D324C" w:rsidRPr="0091425F">
        <w:rPr>
          <w:rFonts w:ascii="Arial" w:hAnsi="Arial"/>
          <w:i w:val="0"/>
          <w:iCs w:val="0"/>
          <w:sz w:val="20"/>
          <w:lang w:val="en-AU"/>
        </w:rPr>
        <w:t>:</w:t>
      </w:r>
      <w:r w:rsidR="006241C1" w:rsidRPr="0091425F">
        <w:rPr>
          <w:rFonts w:ascii="Arial" w:hAnsi="Arial"/>
          <w:i w:val="0"/>
          <w:iCs w:val="0"/>
          <w:sz w:val="20"/>
          <w:lang w:val="en-AU"/>
        </w:rPr>
        <w:t xml:space="preserve"> </w:t>
      </w:r>
      <w:r w:rsidR="008D324C" w:rsidRPr="0091425F">
        <w:rPr>
          <w:rFonts w:ascii="Arial" w:hAnsi="Arial"/>
          <w:i w:val="0"/>
          <w:iCs w:val="0"/>
          <w:sz w:val="20"/>
          <w:lang w:val="en-AU"/>
        </w:rPr>
        <w:t xml:space="preserve"> Corporate Risks </w:t>
      </w:r>
      <w:r w:rsidR="007612EB" w:rsidRPr="0091425F">
        <w:rPr>
          <w:rFonts w:ascii="Arial" w:hAnsi="Arial"/>
          <w:i w:val="0"/>
          <w:iCs w:val="0"/>
          <w:sz w:val="20"/>
          <w:lang w:val="en-AU"/>
        </w:rPr>
        <w:t>as at April 2012</w:t>
      </w:r>
      <w:bookmarkEnd w:id="45"/>
    </w:p>
    <w:p w:rsidR="008D324C" w:rsidRDefault="008D324C" w:rsidP="002F775C">
      <w:r w:rsidRPr="00412EEB">
        <w:t xml:space="preserve">The following </w:t>
      </w:r>
      <w:r w:rsidR="00FD76B1">
        <w:t>additional</w:t>
      </w:r>
      <w:r w:rsidRPr="00412EEB">
        <w:t xml:space="preserve"> risk issues associated with the building stock are typical in relation to the use of buildings and should be reg</w:t>
      </w:r>
      <w:r w:rsidR="009C6DD9">
        <w:t>ularly monitored in future:</w:t>
      </w:r>
    </w:p>
    <w:p w:rsidR="009C6DD9" w:rsidRPr="00412EEB" w:rsidRDefault="009C6DD9" w:rsidP="002F775C"/>
    <w:p w:rsidR="008D324C" w:rsidRPr="009C6DD9" w:rsidRDefault="008D324C" w:rsidP="002F775C">
      <w:pPr>
        <w:rPr>
          <w:u w:val="single"/>
        </w:rPr>
      </w:pPr>
      <w:r w:rsidRPr="009C6DD9">
        <w:rPr>
          <w:u w:val="single"/>
        </w:rPr>
        <w:t>Land Contamination</w:t>
      </w:r>
    </w:p>
    <w:p w:rsidR="009C6DD9" w:rsidRDefault="009C6DD9" w:rsidP="002F775C"/>
    <w:p w:rsidR="008D324C" w:rsidRPr="00412EEB" w:rsidRDefault="008D324C" w:rsidP="002F775C">
      <w:r w:rsidRPr="00412EEB">
        <w:t xml:space="preserve">There are </w:t>
      </w:r>
      <w:r w:rsidR="000C2DBE">
        <w:t>39 Council-</w:t>
      </w:r>
      <w:r w:rsidR="000C7E96">
        <w:t>owned</w:t>
      </w:r>
      <w:r w:rsidRPr="00412EEB">
        <w:t xml:space="preserve"> contaminated sites on </w:t>
      </w:r>
      <w:r w:rsidR="000C7E96">
        <w:t xml:space="preserve">the </w:t>
      </w:r>
      <w:r w:rsidRPr="00412EEB">
        <w:t xml:space="preserve">contaminated site register which is available on Council’s GIS system. </w:t>
      </w:r>
    </w:p>
    <w:p w:rsidR="009C6DD9" w:rsidRDefault="009C6DD9" w:rsidP="002F775C"/>
    <w:p w:rsidR="008D324C" w:rsidRPr="00412EEB" w:rsidRDefault="008D324C" w:rsidP="002F775C">
      <w:r w:rsidRPr="00412EEB">
        <w:t>Most of the contaminated sites are parkland, playgrounds or open reserves. However there are contaminated sites that include buildings. In the absence of any excavation activities, the exposure to the sub-surface soil is generally considered minimal and thus posing minimal health risks to the site users under existing site conditions.</w:t>
      </w:r>
      <w:r w:rsidR="006241C1">
        <w:t xml:space="preserve"> </w:t>
      </w:r>
    </w:p>
    <w:p w:rsidR="009C6DD9" w:rsidRDefault="009C6DD9" w:rsidP="002F775C"/>
    <w:p w:rsidR="008D324C" w:rsidRPr="009C6DD9" w:rsidRDefault="008D324C" w:rsidP="002F775C">
      <w:pPr>
        <w:rPr>
          <w:u w:val="single"/>
        </w:rPr>
      </w:pPr>
      <w:r w:rsidRPr="009C6DD9">
        <w:rPr>
          <w:u w:val="single"/>
        </w:rPr>
        <w:t xml:space="preserve">Asbestos </w:t>
      </w:r>
    </w:p>
    <w:p w:rsidR="009C6DD9" w:rsidRDefault="009C6DD9" w:rsidP="002F775C"/>
    <w:p w:rsidR="008D324C" w:rsidRPr="00412EEB" w:rsidRDefault="008D324C" w:rsidP="002F775C">
      <w:r w:rsidRPr="00412EEB">
        <w:t>The Building Maintenanc</w:t>
      </w:r>
      <w:r w:rsidR="000C7E96">
        <w:t>e and Management Coordinator ha</w:t>
      </w:r>
      <w:r w:rsidR="00986E3D">
        <w:t>s</w:t>
      </w:r>
      <w:r w:rsidRPr="00412EEB">
        <w:t xml:space="preserve"> in place </w:t>
      </w:r>
      <w:r w:rsidR="003B4E24">
        <w:t>a five</w:t>
      </w:r>
      <w:r w:rsidRPr="0077153D">
        <w:t xml:space="preserve">-yearly </w:t>
      </w:r>
      <w:r w:rsidRPr="00412EEB">
        <w:t>inspection pr</w:t>
      </w:r>
      <w:r w:rsidR="000C7E96">
        <w:t xml:space="preserve">ogram to monitor </w:t>
      </w:r>
      <w:r w:rsidR="00986E3D">
        <w:t>Council`s</w:t>
      </w:r>
      <w:r w:rsidR="000C7E96">
        <w:t xml:space="preserve"> asbestos af</w:t>
      </w:r>
      <w:r w:rsidRPr="00412EEB">
        <w:t>fected buildings</w:t>
      </w:r>
      <w:r w:rsidR="00986E3D">
        <w:t>.</w:t>
      </w:r>
      <w:r w:rsidRPr="00412EEB">
        <w:t xml:space="preserve">  </w:t>
      </w:r>
    </w:p>
    <w:p w:rsidR="009C6DD9" w:rsidRDefault="009C6DD9" w:rsidP="002F775C"/>
    <w:p w:rsidR="008D324C" w:rsidRPr="00412EEB" w:rsidRDefault="008D324C" w:rsidP="002F775C">
      <w:r w:rsidRPr="00412EEB">
        <w:t>An asbestos audit (Division 5 Audit) of all Council buildings was completed in 2009 and a</w:t>
      </w:r>
      <w:r w:rsidR="000C7E96">
        <w:t xml:space="preserve">n asbestos register developed. </w:t>
      </w:r>
      <w:r w:rsidRPr="00412EEB">
        <w:t xml:space="preserve">All contractors, internal staff or Council maintenance crews undertaking works of a destructive nature </w:t>
      </w:r>
      <w:r w:rsidR="000C7E96">
        <w:t>are</w:t>
      </w:r>
      <w:r w:rsidRPr="00412EEB">
        <w:t xml:space="preserve"> referred to the detailed asbestos report.</w:t>
      </w:r>
    </w:p>
    <w:p w:rsidR="009C6DD9" w:rsidRDefault="009C6DD9" w:rsidP="002F775C"/>
    <w:p w:rsidR="008D324C" w:rsidRPr="00412EEB" w:rsidRDefault="008D324C" w:rsidP="002F775C">
      <w:r w:rsidRPr="00412EEB">
        <w:t>All the asbestos containing material identified in Council buildings had been non-friable asbestos cement sheeting which was widely used in building until the early 1980s. Non friable types of asbestos products (vinyl floor tiles, suspended ceiling tiles, asbestos cement products), do not present a significant health risk unless they are tooled, cut, sanded or otherwise abraded or machined so as to release asbestos dust.</w:t>
      </w:r>
    </w:p>
    <w:p w:rsidR="009C6DD9" w:rsidRDefault="009C6DD9" w:rsidP="002F775C"/>
    <w:p w:rsidR="008D324C" w:rsidRPr="009C6DD9" w:rsidRDefault="008D324C" w:rsidP="002F775C">
      <w:pPr>
        <w:rPr>
          <w:u w:val="single"/>
        </w:rPr>
      </w:pPr>
      <w:r w:rsidRPr="009C6DD9">
        <w:rPr>
          <w:u w:val="single"/>
        </w:rPr>
        <w:t>O</w:t>
      </w:r>
      <w:r w:rsidR="00AA1E61" w:rsidRPr="009C6DD9">
        <w:rPr>
          <w:u w:val="single"/>
        </w:rPr>
        <w:t xml:space="preserve">ccupational </w:t>
      </w:r>
      <w:r w:rsidRPr="009C6DD9">
        <w:rPr>
          <w:u w:val="single"/>
        </w:rPr>
        <w:t>H</w:t>
      </w:r>
      <w:r w:rsidR="00AA1E61" w:rsidRPr="009C6DD9">
        <w:rPr>
          <w:u w:val="single"/>
        </w:rPr>
        <w:t xml:space="preserve">ealth and Safety </w:t>
      </w:r>
      <w:r w:rsidRPr="009C6DD9">
        <w:rPr>
          <w:u w:val="single"/>
        </w:rPr>
        <w:t>Compliance</w:t>
      </w:r>
    </w:p>
    <w:p w:rsidR="009C6DD9" w:rsidRDefault="009C6DD9" w:rsidP="002F775C"/>
    <w:p w:rsidR="008D324C" w:rsidRPr="00412EEB" w:rsidRDefault="008D324C" w:rsidP="002F775C">
      <w:r w:rsidRPr="00412EEB">
        <w:t xml:space="preserve">Identified </w:t>
      </w:r>
      <w:r w:rsidR="003F78F8">
        <w:t>OH&amp;S m</w:t>
      </w:r>
      <w:r w:rsidRPr="00412EEB">
        <w:t xml:space="preserve">aintenance </w:t>
      </w:r>
      <w:r w:rsidR="003F78F8">
        <w:t>requirements are</w:t>
      </w:r>
      <w:r w:rsidRPr="00412EEB">
        <w:t xml:space="preserve"> addressed as a matter of urgency within Council’s property portfolio. The Building Maintenance </w:t>
      </w:r>
      <w:r w:rsidR="00927AFA">
        <w:t>and</w:t>
      </w:r>
      <w:r w:rsidR="00094B33">
        <w:t xml:space="preserve"> Management </w:t>
      </w:r>
      <w:r w:rsidRPr="00412EEB">
        <w:t>Coor</w:t>
      </w:r>
      <w:r w:rsidR="000C7E96">
        <w:t xml:space="preserve">dinator is responsible for </w:t>
      </w:r>
      <w:r w:rsidR="003F78F8">
        <w:t>OH&amp;S</w:t>
      </w:r>
      <w:r w:rsidRPr="00412EEB">
        <w:t xml:space="preserve"> practices for those buildings directly under his control. </w:t>
      </w:r>
    </w:p>
    <w:p w:rsidR="009C6DD9" w:rsidRDefault="009C6DD9" w:rsidP="002F775C"/>
    <w:p w:rsidR="008D324C" w:rsidRPr="00412EEB" w:rsidRDefault="008D324C" w:rsidP="002F775C">
      <w:r w:rsidRPr="00412EEB">
        <w:t xml:space="preserve">The process requires regular inspections and reporting of hazardous situations within and surrounding the building. The inspections cover tripping hazards, limited access spaces, fire escape blockages, dangerous goods storage, etc. </w:t>
      </w:r>
    </w:p>
    <w:p w:rsidR="009C6DD9" w:rsidRDefault="009C6DD9" w:rsidP="002F775C"/>
    <w:p w:rsidR="008D324C" w:rsidRPr="00412EEB" w:rsidRDefault="008D324C" w:rsidP="002F775C">
      <w:r w:rsidRPr="00412EEB">
        <w:t>All buildings require surveys to be undertaken to identify working at height issues and a register is required.  Furthermore, the Job Safety Analysis and associated documents need to be completed to comply with WorkSafe requirements.  Council is required to comply with Health Regulations and Children’s Regulations; both monitored by the Department of Human Services (DHS).</w:t>
      </w:r>
    </w:p>
    <w:p w:rsidR="009C6DD9" w:rsidRDefault="009C6DD9" w:rsidP="002F775C"/>
    <w:p w:rsidR="008D324C" w:rsidRDefault="008D324C" w:rsidP="002F775C">
      <w:r w:rsidRPr="00412EEB">
        <w:t>Discrimination and Disability Act reports need to be prepared for buildings and the findings may result in upgrade works being required.</w:t>
      </w:r>
    </w:p>
    <w:p w:rsidR="009C6DD9" w:rsidRPr="00412EEB" w:rsidRDefault="009C6DD9" w:rsidP="002F775C"/>
    <w:p w:rsidR="008D324C" w:rsidRPr="009C6DD9" w:rsidRDefault="008D324C" w:rsidP="009C6DD9">
      <w:pPr>
        <w:rPr>
          <w:b/>
          <w:u w:val="single"/>
        </w:rPr>
      </w:pPr>
      <w:r w:rsidRPr="009C6DD9">
        <w:rPr>
          <w:b/>
          <w:u w:val="single"/>
        </w:rPr>
        <w:t>Activity Risks</w:t>
      </w:r>
    </w:p>
    <w:p w:rsidR="009C6DD9" w:rsidRDefault="009C6DD9" w:rsidP="009C6DD9"/>
    <w:p w:rsidR="008D324C" w:rsidRDefault="008D324C" w:rsidP="009C6DD9">
      <w:r w:rsidRPr="00412EEB">
        <w:t>The activity risks associated with the BAMP relate to Planning and Management. Planning includes strategic planning for the future, planning for natural and environmental events such as storms and climate change, this planning for these events or disasters needs to be considered at the local or state level.</w:t>
      </w:r>
    </w:p>
    <w:p w:rsidR="009C6DD9" w:rsidRPr="00412EEB" w:rsidRDefault="009C6DD9" w:rsidP="009C6DD9"/>
    <w:p w:rsidR="008D324C" w:rsidRDefault="008D324C" w:rsidP="009C6DD9">
      <w:r w:rsidRPr="00412EEB">
        <w:t>Activity risks also relate to the management of Council’s building assets. They include risks associated with the management of data and information regarding the assets, the financial risks and having the right people to manage the assets. Examples of activity risks include:</w:t>
      </w:r>
    </w:p>
    <w:p w:rsidR="009C6DD9" w:rsidRPr="00412EEB" w:rsidRDefault="009C6DD9" w:rsidP="009C6DD9"/>
    <w:p w:rsidR="008D324C" w:rsidRPr="009C6DD9" w:rsidRDefault="008D324C" w:rsidP="009C6DD9">
      <w:pPr>
        <w:rPr>
          <w:u w:val="single"/>
        </w:rPr>
      </w:pPr>
      <w:r w:rsidRPr="009C6DD9">
        <w:rPr>
          <w:u w:val="single"/>
        </w:rPr>
        <w:t xml:space="preserve">Climate Change </w:t>
      </w:r>
    </w:p>
    <w:p w:rsidR="00AA1E61" w:rsidRPr="00412EEB" w:rsidRDefault="00AA1E61" w:rsidP="009C6DD9"/>
    <w:p w:rsidR="008D324C" w:rsidRDefault="008D324C" w:rsidP="009C6DD9">
      <w:r w:rsidRPr="00412EEB">
        <w:t>Climate change has the potential to have wide ranging and significant impacts on the building infrastructure. This will occur through changes in the average climate and changes in the frequency and intensity of severe weather events.</w:t>
      </w:r>
    </w:p>
    <w:p w:rsidR="009C6DD9" w:rsidRPr="00412EEB" w:rsidRDefault="009C6DD9" w:rsidP="009C6DD9"/>
    <w:p w:rsidR="008D324C" w:rsidRDefault="008D324C" w:rsidP="009C6DD9">
      <w:r w:rsidRPr="00412EEB">
        <w:t>Possible climate change impacts on buildings include:</w:t>
      </w:r>
    </w:p>
    <w:p w:rsidR="009C6DD9" w:rsidRPr="00412EEB" w:rsidRDefault="009C6DD9" w:rsidP="009C6DD9"/>
    <w:p w:rsidR="008D324C" w:rsidRPr="009C6DD9" w:rsidRDefault="008D324C" w:rsidP="008348B5">
      <w:pPr>
        <w:pStyle w:val="ListParagraph"/>
        <w:numPr>
          <w:ilvl w:val="0"/>
          <w:numId w:val="47"/>
        </w:numPr>
        <w:rPr>
          <w:rFonts w:ascii="Arial" w:hAnsi="Arial" w:cs="Arial"/>
          <w:sz w:val="20"/>
        </w:rPr>
      </w:pPr>
      <w:r w:rsidRPr="009C6DD9">
        <w:rPr>
          <w:rFonts w:ascii="Arial" w:hAnsi="Arial" w:cs="Arial"/>
          <w:sz w:val="20"/>
        </w:rPr>
        <w:t>Increased building heating/cooling costs;</w:t>
      </w:r>
    </w:p>
    <w:p w:rsidR="008D324C" w:rsidRPr="009C6DD9" w:rsidRDefault="008D324C" w:rsidP="008348B5">
      <w:pPr>
        <w:pStyle w:val="ListParagraph"/>
        <w:numPr>
          <w:ilvl w:val="0"/>
          <w:numId w:val="47"/>
        </w:numPr>
        <w:rPr>
          <w:rFonts w:ascii="Arial" w:hAnsi="Arial" w:cs="Arial"/>
          <w:sz w:val="20"/>
        </w:rPr>
      </w:pPr>
      <w:r w:rsidRPr="009C6DD9">
        <w:rPr>
          <w:rFonts w:ascii="Arial" w:hAnsi="Arial" w:cs="Arial"/>
          <w:sz w:val="20"/>
        </w:rPr>
        <w:t>Building damage resulting from changes in soil moisture, increased storm events, wind intensity;  and</w:t>
      </w:r>
    </w:p>
    <w:p w:rsidR="008D324C" w:rsidRPr="009C6DD9" w:rsidRDefault="008D324C" w:rsidP="008348B5">
      <w:pPr>
        <w:pStyle w:val="ListParagraph"/>
        <w:numPr>
          <w:ilvl w:val="0"/>
          <w:numId w:val="47"/>
        </w:numPr>
        <w:rPr>
          <w:rFonts w:ascii="Arial" w:hAnsi="Arial" w:cs="Arial"/>
          <w:sz w:val="20"/>
        </w:rPr>
      </w:pPr>
      <w:r w:rsidRPr="009C6DD9">
        <w:rPr>
          <w:rFonts w:ascii="Arial" w:hAnsi="Arial" w:cs="Arial"/>
          <w:sz w:val="20"/>
        </w:rPr>
        <w:t>Higher rates of building deterioration and associated maintenance costs.</w:t>
      </w:r>
    </w:p>
    <w:p w:rsidR="008D324C" w:rsidRPr="00412EEB" w:rsidRDefault="008D324C" w:rsidP="009C6DD9"/>
    <w:p w:rsidR="008D324C" w:rsidRDefault="008D324C" w:rsidP="009C6DD9">
      <w:r w:rsidRPr="00412EEB">
        <w:t xml:space="preserve">In the short term the cost of climate change for building infrastructure would mainly arise from repair caused </w:t>
      </w:r>
      <w:r w:rsidR="006D5434">
        <w:t>by increased maintenance, clean</w:t>
      </w:r>
      <w:r w:rsidRPr="00412EEB">
        <w:t>up and emergency response.</w:t>
      </w:r>
    </w:p>
    <w:p w:rsidR="00FC56CD" w:rsidRPr="00412EEB" w:rsidRDefault="00FC56CD" w:rsidP="009C6DD9"/>
    <w:p w:rsidR="008D324C" w:rsidRDefault="008D324C" w:rsidP="009C6DD9">
      <w:r w:rsidRPr="00412EEB">
        <w:t>In future costs for preventive activity such as altered building design, and higher capital expenditure for improved drainage are likely to be incurred.</w:t>
      </w:r>
    </w:p>
    <w:p w:rsidR="00AA1E61" w:rsidRPr="00412EEB" w:rsidRDefault="00AA1E61" w:rsidP="009C6DD9"/>
    <w:p w:rsidR="008D324C" w:rsidRPr="00FC56CD" w:rsidRDefault="008D324C" w:rsidP="009C6DD9">
      <w:pPr>
        <w:rPr>
          <w:u w:val="single"/>
        </w:rPr>
      </w:pPr>
      <w:r w:rsidRPr="00FC56CD">
        <w:rPr>
          <w:u w:val="single"/>
        </w:rPr>
        <w:t>Data Management</w:t>
      </w:r>
    </w:p>
    <w:p w:rsidR="00FC56CD" w:rsidRPr="00412EEB" w:rsidRDefault="00FC56CD" w:rsidP="009C6DD9"/>
    <w:p w:rsidR="008D324C" w:rsidRPr="0077153D" w:rsidRDefault="008D324C" w:rsidP="009C6DD9">
      <w:r w:rsidRPr="00412EEB">
        <w:t xml:space="preserve">Data risk management helps organisations balance potential data risks with business priorities, expenses and other resource constraints. Data risk management helps organisations meet regulatory compliance mandates. As well as maintaining information about the assets, sound data management practices are required to comply with </w:t>
      </w:r>
      <w:r w:rsidRPr="0077153D">
        <w:t>funding bodies within the state and federal governments.</w:t>
      </w:r>
    </w:p>
    <w:p w:rsidR="00FC56CD" w:rsidRPr="0077153D" w:rsidRDefault="00FC56CD" w:rsidP="009C6DD9"/>
    <w:p w:rsidR="008D324C" w:rsidRDefault="008D324C" w:rsidP="009C6DD9">
      <w:pPr>
        <w:rPr>
          <w:rFonts w:cs="Arial"/>
        </w:rPr>
      </w:pPr>
      <w:r w:rsidRPr="002B10A6">
        <w:rPr>
          <w:rFonts w:cs="Arial"/>
        </w:rPr>
        <w:t>With regard to buildings sound data management is required for the storage of information relating to the building asset. It includes but is not limited to documentation relating to funding applications and agreements, contracts, employment agreements, memoranda of understanding, lease agreements, condition audit data and maintenance/renewal programs. Buildings data is managed within TRIM (Council records management software) and Technology</w:t>
      </w:r>
      <w:r w:rsidR="00897C2D">
        <w:rPr>
          <w:rFonts w:cs="Arial"/>
        </w:rPr>
        <w:t>One</w:t>
      </w:r>
      <w:r w:rsidRPr="002B10A6">
        <w:rPr>
          <w:rFonts w:cs="Arial"/>
        </w:rPr>
        <w:t xml:space="preserve"> Asset Management (Council</w:t>
      </w:r>
      <w:r w:rsidR="003B7425">
        <w:rPr>
          <w:rFonts w:cs="Arial"/>
        </w:rPr>
        <w:t>’</w:t>
      </w:r>
      <w:r w:rsidRPr="002B10A6">
        <w:rPr>
          <w:rFonts w:cs="Arial"/>
        </w:rPr>
        <w:t>s Asset Management System).</w:t>
      </w:r>
    </w:p>
    <w:p w:rsidR="00FC56CD" w:rsidRPr="002B10A6" w:rsidRDefault="00FC56CD" w:rsidP="009C6DD9">
      <w:pPr>
        <w:rPr>
          <w:rFonts w:cs="Arial"/>
        </w:rPr>
      </w:pPr>
    </w:p>
    <w:p w:rsidR="008D324C" w:rsidRDefault="00B42EDC" w:rsidP="009C6DD9">
      <w:pPr>
        <w:rPr>
          <w:rFonts w:cs="Arial"/>
        </w:rPr>
      </w:pPr>
      <w:r>
        <w:rPr>
          <w:rFonts w:cs="Arial"/>
        </w:rPr>
        <w:t>T</w:t>
      </w:r>
      <w:r w:rsidR="008D324C" w:rsidRPr="002B10A6">
        <w:rPr>
          <w:rFonts w:cs="Arial"/>
        </w:rPr>
        <w:t>he Buildings and Property Branch is highly reliant on data to manage their business and</w:t>
      </w:r>
      <w:r>
        <w:rPr>
          <w:rFonts w:cs="Arial"/>
        </w:rPr>
        <w:t xml:space="preserve"> recognises</w:t>
      </w:r>
      <w:r w:rsidR="008D324C" w:rsidRPr="002B10A6">
        <w:rPr>
          <w:rFonts w:cs="Arial"/>
        </w:rPr>
        <w:t xml:space="preserve"> the growing importance of appropriate data governance. </w:t>
      </w:r>
      <w:r>
        <w:rPr>
          <w:rFonts w:cs="Arial"/>
        </w:rPr>
        <w:t>Good data management practises will ensure</w:t>
      </w:r>
      <w:r w:rsidR="008D324C" w:rsidRPr="002B10A6">
        <w:rPr>
          <w:rFonts w:cs="Arial"/>
        </w:rPr>
        <w:t xml:space="preserve"> legal and regulatory compliance.</w:t>
      </w:r>
    </w:p>
    <w:p w:rsidR="00FC56CD" w:rsidRPr="002B10A6" w:rsidRDefault="00FC56CD" w:rsidP="009C6DD9">
      <w:pPr>
        <w:rPr>
          <w:rFonts w:cs="Arial"/>
        </w:rPr>
      </w:pPr>
    </w:p>
    <w:p w:rsidR="008D324C" w:rsidRPr="00FC56CD" w:rsidRDefault="008D324C" w:rsidP="009C6DD9">
      <w:pPr>
        <w:rPr>
          <w:u w:val="single"/>
        </w:rPr>
      </w:pPr>
      <w:r w:rsidRPr="00FC56CD">
        <w:rPr>
          <w:u w:val="single"/>
        </w:rPr>
        <w:t>Project planning and design not recognising future funding</w:t>
      </w:r>
    </w:p>
    <w:p w:rsidR="00FC56CD" w:rsidRPr="00412EEB" w:rsidRDefault="00FC56CD" w:rsidP="009C6DD9"/>
    <w:p w:rsidR="008D324C" w:rsidRDefault="008D324C" w:rsidP="009C6DD9">
      <w:r w:rsidRPr="00412EEB">
        <w:t>Lifecycle funding should take into account all costs for land purchases, planning, installation/construction, maintenance, operation, and eventual decommissioning/disposal of the building. Considerations should also include the social costs and the user costs. When planning the acquisition of a major asset, a considerable time and effort is often made in making an economic evaluation of the initial (capital) cost. This evaluation typically considers the:</w:t>
      </w:r>
    </w:p>
    <w:p w:rsidR="00FC56CD" w:rsidRPr="00412EEB" w:rsidRDefault="00FC56CD" w:rsidP="009C6DD9"/>
    <w:p w:rsidR="008D324C" w:rsidRPr="00FC56CD" w:rsidRDefault="008D324C" w:rsidP="008348B5">
      <w:pPr>
        <w:pStyle w:val="ListParagraph"/>
        <w:numPr>
          <w:ilvl w:val="0"/>
          <w:numId w:val="48"/>
        </w:numPr>
        <w:rPr>
          <w:rFonts w:ascii="Arial" w:hAnsi="Arial" w:cs="Arial"/>
          <w:sz w:val="20"/>
        </w:rPr>
      </w:pPr>
      <w:r w:rsidRPr="00FC56CD">
        <w:rPr>
          <w:rFonts w:ascii="Arial" w:hAnsi="Arial" w:cs="Arial"/>
          <w:sz w:val="20"/>
        </w:rPr>
        <w:t>Required size or capacity of the item;</w:t>
      </w:r>
    </w:p>
    <w:p w:rsidR="008D324C" w:rsidRPr="00FC56CD" w:rsidRDefault="008D324C" w:rsidP="008348B5">
      <w:pPr>
        <w:pStyle w:val="ListParagraph"/>
        <w:numPr>
          <w:ilvl w:val="0"/>
          <w:numId w:val="48"/>
        </w:numPr>
        <w:rPr>
          <w:rFonts w:ascii="Arial" w:hAnsi="Arial" w:cs="Arial"/>
          <w:sz w:val="20"/>
        </w:rPr>
      </w:pPr>
      <w:r w:rsidRPr="00FC56CD">
        <w:rPr>
          <w:rFonts w:ascii="Arial" w:hAnsi="Arial" w:cs="Arial"/>
          <w:sz w:val="20"/>
        </w:rPr>
        <w:t>Operating performance requirements;</w:t>
      </w:r>
    </w:p>
    <w:p w:rsidR="008D324C" w:rsidRPr="00FC56CD" w:rsidRDefault="008D324C" w:rsidP="008348B5">
      <w:pPr>
        <w:pStyle w:val="ListParagraph"/>
        <w:numPr>
          <w:ilvl w:val="0"/>
          <w:numId w:val="48"/>
        </w:numPr>
        <w:rPr>
          <w:rFonts w:ascii="Arial" w:hAnsi="Arial" w:cs="Arial"/>
          <w:sz w:val="20"/>
        </w:rPr>
      </w:pPr>
      <w:r w:rsidRPr="00FC56CD">
        <w:rPr>
          <w:rFonts w:ascii="Arial" w:hAnsi="Arial" w:cs="Arial"/>
          <w:sz w:val="20"/>
        </w:rPr>
        <w:t>Physical appearance or image projected;</w:t>
      </w:r>
    </w:p>
    <w:p w:rsidR="008D324C" w:rsidRPr="00FC56CD" w:rsidRDefault="008D324C" w:rsidP="008348B5">
      <w:pPr>
        <w:pStyle w:val="ListParagraph"/>
        <w:numPr>
          <w:ilvl w:val="0"/>
          <w:numId w:val="48"/>
        </w:numPr>
        <w:rPr>
          <w:rFonts w:ascii="Arial" w:hAnsi="Arial" w:cs="Arial"/>
          <w:sz w:val="20"/>
        </w:rPr>
      </w:pPr>
      <w:r w:rsidRPr="00FC56CD">
        <w:rPr>
          <w:rFonts w:ascii="Arial" w:hAnsi="Arial" w:cs="Arial"/>
          <w:sz w:val="20"/>
        </w:rPr>
        <w:t>Capital cost; and</w:t>
      </w:r>
    </w:p>
    <w:p w:rsidR="008D324C" w:rsidRPr="00FC56CD" w:rsidRDefault="008D324C" w:rsidP="008348B5">
      <w:pPr>
        <w:pStyle w:val="ListParagraph"/>
        <w:numPr>
          <w:ilvl w:val="0"/>
          <w:numId w:val="48"/>
        </w:numPr>
        <w:rPr>
          <w:rFonts w:ascii="Arial" w:hAnsi="Arial" w:cs="Arial"/>
          <w:sz w:val="20"/>
        </w:rPr>
      </w:pPr>
      <w:r w:rsidRPr="00FC56CD">
        <w:rPr>
          <w:rFonts w:ascii="Arial" w:hAnsi="Arial" w:cs="Arial"/>
          <w:sz w:val="20"/>
        </w:rPr>
        <w:t>Alternative product options.</w:t>
      </w:r>
    </w:p>
    <w:p w:rsidR="00FC56CD" w:rsidRDefault="00FC56CD" w:rsidP="009C6DD9"/>
    <w:p w:rsidR="008D324C" w:rsidRDefault="008D324C" w:rsidP="009C6DD9">
      <w:r w:rsidRPr="00412EEB">
        <w:t>Future costs are less visible, as they are often hidden within general operating expenses, but they can have a significant impact on the future viability of a new building. These future costs will arise from the following:</w:t>
      </w:r>
    </w:p>
    <w:p w:rsidR="00FC56CD" w:rsidRPr="00412EEB" w:rsidRDefault="00FC56CD" w:rsidP="009C6DD9"/>
    <w:p w:rsidR="00963F3F" w:rsidRPr="00FC56CD" w:rsidRDefault="008D324C" w:rsidP="008348B5">
      <w:pPr>
        <w:pStyle w:val="ListParagraph"/>
        <w:numPr>
          <w:ilvl w:val="0"/>
          <w:numId w:val="49"/>
        </w:numPr>
        <w:rPr>
          <w:rFonts w:ascii="Arial" w:hAnsi="Arial" w:cs="Arial"/>
          <w:sz w:val="20"/>
        </w:rPr>
      </w:pPr>
      <w:r w:rsidRPr="00FC56CD">
        <w:rPr>
          <w:rFonts w:ascii="Arial" w:hAnsi="Arial" w:cs="Arial"/>
          <w:sz w:val="20"/>
        </w:rPr>
        <w:t xml:space="preserve">Operational needs, including labour, equipment, insurances and overhead charges. </w:t>
      </w:r>
    </w:p>
    <w:p w:rsidR="00963F3F" w:rsidRPr="00FC56CD" w:rsidRDefault="00963F3F" w:rsidP="008348B5">
      <w:pPr>
        <w:pStyle w:val="ListParagraph"/>
        <w:numPr>
          <w:ilvl w:val="0"/>
          <w:numId w:val="49"/>
        </w:numPr>
        <w:rPr>
          <w:rFonts w:ascii="Arial" w:hAnsi="Arial" w:cs="Arial"/>
          <w:sz w:val="20"/>
        </w:rPr>
      </w:pPr>
      <w:r w:rsidRPr="00FC56CD">
        <w:rPr>
          <w:rFonts w:ascii="Arial" w:hAnsi="Arial" w:cs="Arial"/>
          <w:sz w:val="20"/>
        </w:rPr>
        <w:t>Cost of c</w:t>
      </w:r>
      <w:r w:rsidR="008D324C" w:rsidRPr="00FC56CD">
        <w:rPr>
          <w:rFonts w:ascii="Arial" w:hAnsi="Arial" w:cs="Arial"/>
          <w:sz w:val="20"/>
        </w:rPr>
        <w:t xml:space="preserve">onsumables, such as </w:t>
      </w:r>
      <w:r w:rsidRPr="00FC56CD">
        <w:rPr>
          <w:rFonts w:ascii="Arial" w:hAnsi="Arial" w:cs="Arial"/>
          <w:sz w:val="20"/>
        </w:rPr>
        <w:t>toilet paper, disposable towels, toner and ink;</w:t>
      </w:r>
    </w:p>
    <w:p w:rsidR="008D324C" w:rsidRPr="00FC56CD" w:rsidRDefault="00963F3F" w:rsidP="008348B5">
      <w:pPr>
        <w:pStyle w:val="ListParagraph"/>
        <w:numPr>
          <w:ilvl w:val="0"/>
          <w:numId w:val="49"/>
        </w:numPr>
        <w:rPr>
          <w:rFonts w:ascii="Arial" w:hAnsi="Arial" w:cs="Arial"/>
          <w:sz w:val="20"/>
        </w:rPr>
      </w:pPr>
      <w:r w:rsidRPr="00FC56CD">
        <w:rPr>
          <w:rFonts w:ascii="Arial" w:hAnsi="Arial" w:cs="Arial"/>
          <w:sz w:val="20"/>
        </w:rPr>
        <w:t xml:space="preserve">Cost of utilities such as </w:t>
      </w:r>
      <w:r w:rsidR="008D324C" w:rsidRPr="00FC56CD">
        <w:rPr>
          <w:rFonts w:ascii="Arial" w:hAnsi="Arial" w:cs="Arial"/>
          <w:sz w:val="20"/>
        </w:rPr>
        <w:t xml:space="preserve">power, fuel, </w:t>
      </w:r>
      <w:r w:rsidRPr="00FC56CD">
        <w:rPr>
          <w:rFonts w:ascii="Arial" w:hAnsi="Arial" w:cs="Arial"/>
          <w:sz w:val="20"/>
        </w:rPr>
        <w:t>and water</w:t>
      </w:r>
      <w:r w:rsidR="008D324C" w:rsidRPr="00FC56CD">
        <w:rPr>
          <w:rFonts w:ascii="Arial" w:hAnsi="Arial" w:cs="Arial"/>
          <w:sz w:val="20"/>
        </w:rPr>
        <w:t>;</w:t>
      </w:r>
    </w:p>
    <w:p w:rsidR="008D324C" w:rsidRPr="00FC56CD" w:rsidRDefault="008D324C" w:rsidP="008348B5">
      <w:pPr>
        <w:pStyle w:val="ListParagraph"/>
        <w:numPr>
          <w:ilvl w:val="0"/>
          <w:numId w:val="49"/>
        </w:numPr>
        <w:rPr>
          <w:rFonts w:ascii="Arial" w:hAnsi="Arial" w:cs="Arial"/>
          <w:sz w:val="20"/>
        </w:rPr>
      </w:pPr>
      <w:r w:rsidRPr="00FC56CD">
        <w:rPr>
          <w:rFonts w:ascii="Arial" w:hAnsi="Arial" w:cs="Arial"/>
          <w:sz w:val="20"/>
        </w:rPr>
        <w:t xml:space="preserve">Maintenance and Minor Repairs, including labour, parts, materials, and overhead charges to maintain the asset at the desired condition and performance level; </w:t>
      </w:r>
    </w:p>
    <w:p w:rsidR="008D324C" w:rsidRPr="00FC56CD" w:rsidRDefault="008D324C" w:rsidP="008348B5">
      <w:pPr>
        <w:pStyle w:val="ListParagraph"/>
        <w:numPr>
          <w:ilvl w:val="0"/>
          <w:numId w:val="49"/>
        </w:numPr>
        <w:rPr>
          <w:rFonts w:ascii="Arial" w:hAnsi="Arial" w:cs="Arial"/>
          <w:sz w:val="20"/>
        </w:rPr>
      </w:pPr>
      <w:r w:rsidRPr="00FC56CD">
        <w:rPr>
          <w:rFonts w:ascii="Arial" w:hAnsi="Arial" w:cs="Arial"/>
          <w:sz w:val="20"/>
        </w:rPr>
        <w:t>Upgrade and Renewal, including major repairs, refurbishment, renewals and overhauls to extend the life of the asset or equipment; and</w:t>
      </w:r>
    </w:p>
    <w:p w:rsidR="008D324C" w:rsidRPr="00FC56CD" w:rsidRDefault="008D324C" w:rsidP="008348B5">
      <w:pPr>
        <w:pStyle w:val="ListParagraph"/>
        <w:numPr>
          <w:ilvl w:val="0"/>
          <w:numId w:val="49"/>
        </w:numPr>
        <w:rPr>
          <w:rFonts w:ascii="Arial" w:hAnsi="Arial" w:cs="Arial"/>
          <w:sz w:val="20"/>
        </w:rPr>
      </w:pPr>
      <w:r w:rsidRPr="00FC56CD">
        <w:rPr>
          <w:rFonts w:ascii="Arial" w:hAnsi="Arial" w:cs="Arial"/>
          <w:sz w:val="20"/>
        </w:rPr>
        <w:t>Disposal, including costs associated with selling, demolishing and safely disposing the remnants of the asset.</w:t>
      </w:r>
    </w:p>
    <w:p w:rsidR="00FC56CD" w:rsidRDefault="00FC56CD" w:rsidP="009C6DD9"/>
    <w:p w:rsidR="008D324C" w:rsidRPr="00412EEB" w:rsidRDefault="008D324C" w:rsidP="009C6DD9">
      <w:r w:rsidRPr="00412EEB">
        <w:t>The study of these issues should be part of a complete risk assessment of the merit of a specific building project.</w:t>
      </w:r>
    </w:p>
    <w:p w:rsidR="00742251" w:rsidRPr="00CF2212" w:rsidRDefault="00742251" w:rsidP="00CF2212">
      <w:pPr>
        <w:pStyle w:val="Heading2"/>
      </w:pPr>
      <w:bookmarkStart w:id="46" w:name="_Toc364945239"/>
      <w:r w:rsidRPr="00CF2212">
        <w:t xml:space="preserve">Funding </w:t>
      </w:r>
      <w:r w:rsidR="00086D5D" w:rsidRPr="00CF2212">
        <w:t>Strategy</w:t>
      </w:r>
      <w:bookmarkEnd w:id="46"/>
    </w:p>
    <w:p w:rsidR="00086D5D" w:rsidRDefault="00086D5D" w:rsidP="002F775C">
      <w:r>
        <w:t xml:space="preserve">The funding for the ongoing maintenance, renewal, upgrades and new works is predominantly funded from general rate revenue. The following table lists the various funding sources available for </w:t>
      </w:r>
      <w:r w:rsidRPr="00F72E9C">
        <w:t>the bui</w:t>
      </w:r>
      <w:r w:rsidR="008E2EFC">
        <w:t>lding port</w:t>
      </w:r>
      <w:r w:rsidRPr="00F72E9C">
        <w:t>folio.</w:t>
      </w:r>
    </w:p>
    <w:p w:rsidR="008E2EFC" w:rsidRPr="00F72E9C" w:rsidRDefault="008E2EFC" w:rsidP="002F775C"/>
    <w:tbl>
      <w:tblPr>
        <w:tblStyle w:val="TableGrid"/>
        <w:tblW w:w="4888" w:type="pct"/>
        <w:tblInd w:w="108" w:type="dxa"/>
        <w:tblBorders>
          <w:top w:val="single" w:sz="4" w:space="0" w:color="000080"/>
          <w:left w:val="single" w:sz="4" w:space="0" w:color="000080"/>
          <w:bottom w:val="single" w:sz="4" w:space="0" w:color="000080"/>
          <w:right w:val="single" w:sz="4" w:space="0" w:color="000080"/>
          <w:insideH w:val="single" w:sz="4" w:space="0" w:color="000080"/>
          <w:insideV w:val="single" w:sz="4" w:space="0" w:color="000080"/>
        </w:tblBorders>
        <w:tblLook w:val="01E0" w:firstRow="1" w:lastRow="1" w:firstColumn="1" w:lastColumn="1" w:noHBand="0" w:noVBand="0"/>
      </w:tblPr>
      <w:tblGrid>
        <w:gridCol w:w="2409"/>
        <w:gridCol w:w="6669"/>
      </w:tblGrid>
      <w:tr w:rsidR="00742251" w:rsidRPr="0024611A" w:rsidTr="0024611A">
        <w:trPr>
          <w:trHeight w:val="20"/>
          <w:tblHeader/>
        </w:trPr>
        <w:tc>
          <w:tcPr>
            <w:tcW w:w="1327" w:type="pct"/>
            <w:tcBorders>
              <w:top w:val="single" w:sz="4" w:space="0" w:color="auto"/>
              <w:left w:val="single" w:sz="4" w:space="0" w:color="auto"/>
              <w:bottom w:val="single" w:sz="4" w:space="0" w:color="auto"/>
              <w:right w:val="single" w:sz="4" w:space="0" w:color="auto"/>
            </w:tcBorders>
            <w:shd w:val="clear" w:color="auto" w:fill="95B3D7" w:themeFill="accent1" w:themeFillTint="99"/>
          </w:tcPr>
          <w:p w:rsidR="00742251" w:rsidRPr="0024611A" w:rsidRDefault="00742251" w:rsidP="008E2EFC">
            <w:pPr>
              <w:spacing w:before="120" w:after="120"/>
              <w:rPr>
                <w:b/>
                <w:sz w:val="20"/>
              </w:rPr>
            </w:pPr>
            <w:r w:rsidRPr="0024611A">
              <w:rPr>
                <w:b/>
                <w:sz w:val="20"/>
              </w:rPr>
              <w:t>Expenditure</w:t>
            </w:r>
          </w:p>
        </w:tc>
        <w:tc>
          <w:tcPr>
            <w:tcW w:w="3673" w:type="pct"/>
            <w:tcBorders>
              <w:top w:val="single" w:sz="4" w:space="0" w:color="auto"/>
              <w:left w:val="single" w:sz="4" w:space="0" w:color="auto"/>
              <w:bottom w:val="single" w:sz="4" w:space="0" w:color="auto"/>
              <w:right w:val="single" w:sz="4" w:space="0" w:color="auto"/>
            </w:tcBorders>
            <w:shd w:val="clear" w:color="auto" w:fill="95B3D7" w:themeFill="accent1" w:themeFillTint="99"/>
          </w:tcPr>
          <w:p w:rsidR="00742251" w:rsidRPr="0024611A" w:rsidRDefault="00742251" w:rsidP="008E2EFC">
            <w:pPr>
              <w:spacing w:before="120" w:after="120"/>
              <w:rPr>
                <w:b/>
                <w:sz w:val="20"/>
              </w:rPr>
            </w:pPr>
            <w:r w:rsidRPr="0024611A">
              <w:rPr>
                <w:b/>
                <w:sz w:val="20"/>
              </w:rPr>
              <w:t>Funding Strategy</w:t>
            </w:r>
          </w:p>
        </w:tc>
      </w:tr>
      <w:tr w:rsidR="00742251" w:rsidRPr="0024611A" w:rsidTr="0024611A">
        <w:trPr>
          <w:trHeight w:val="20"/>
        </w:trPr>
        <w:tc>
          <w:tcPr>
            <w:tcW w:w="1327" w:type="pct"/>
            <w:tcBorders>
              <w:top w:val="single" w:sz="4" w:space="0" w:color="auto"/>
            </w:tcBorders>
          </w:tcPr>
          <w:p w:rsidR="00742251" w:rsidRPr="0024611A" w:rsidRDefault="00742251" w:rsidP="008E2EFC">
            <w:pPr>
              <w:spacing w:before="120" w:after="120"/>
              <w:jc w:val="left"/>
              <w:rPr>
                <w:szCs w:val="18"/>
              </w:rPr>
            </w:pPr>
            <w:r w:rsidRPr="0024611A">
              <w:rPr>
                <w:szCs w:val="18"/>
              </w:rPr>
              <w:t>Operating Expenditure</w:t>
            </w:r>
          </w:p>
        </w:tc>
        <w:tc>
          <w:tcPr>
            <w:tcW w:w="3673" w:type="pct"/>
            <w:tcBorders>
              <w:top w:val="single" w:sz="4" w:space="0" w:color="auto"/>
            </w:tcBorders>
          </w:tcPr>
          <w:p w:rsidR="00742251" w:rsidRPr="0024611A" w:rsidRDefault="00742251" w:rsidP="0024611A">
            <w:pPr>
              <w:spacing w:before="120" w:after="0"/>
              <w:jc w:val="left"/>
              <w:rPr>
                <w:szCs w:val="18"/>
              </w:rPr>
            </w:pPr>
            <w:r w:rsidRPr="0024611A">
              <w:rPr>
                <w:szCs w:val="18"/>
              </w:rPr>
              <w:t xml:space="preserve">Operating expenditure is funded from operating revenue which includes   </w:t>
            </w:r>
          </w:p>
          <w:p w:rsidR="00742251" w:rsidRPr="0024611A" w:rsidRDefault="00742251" w:rsidP="0024611A">
            <w:pPr>
              <w:pStyle w:val="ListParagraph"/>
              <w:numPr>
                <w:ilvl w:val="0"/>
                <w:numId w:val="51"/>
              </w:numPr>
              <w:spacing w:before="0" w:after="0"/>
              <w:jc w:val="left"/>
              <w:rPr>
                <w:rFonts w:ascii="Arial" w:hAnsi="Arial" w:cs="Arial"/>
                <w:sz w:val="18"/>
                <w:szCs w:val="18"/>
              </w:rPr>
            </w:pPr>
            <w:r w:rsidRPr="0024611A">
              <w:rPr>
                <w:rFonts w:ascii="Arial" w:hAnsi="Arial" w:cs="Arial"/>
                <w:sz w:val="18"/>
                <w:szCs w:val="18"/>
              </w:rPr>
              <w:t>General Rates</w:t>
            </w:r>
          </w:p>
          <w:p w:rsidR="00742251" w:rsidRPr="0024611A" w:rsidRDefault="00742251" w:rsidP="0024611A">
            <w:pPr>
              <w:pStyle w:val="ListParagraph"/>
              <w:numPr>
                <w:ilvl w:val="0"/>
                <w:numId w:val="51"/>
              </w:numPr>
              <w:spacing w:before="0" w:after="0"/>
              <w:jc w:val="left"/>
              <w:rPr>
                <w:sz w:val="18"/>
                <w:szCs w:val="18"/>
              </w:rPr>
            </w:pPr>
            <w:r w:rsidRPr="0024611A">
              <w:rPr>
                <w:rFonts w:ascii="Arial" w:hAnsi="Arial" w:cs="Arial"/>
                <w:sz w:val="18"/>
                <w:szCs w:val="18"/>
              </w:rPr>
              <w:t>Fees and charges (rent)</w:t>
            </w:r>
          </w:p>
        </w:tc>
      </w:tr>
      <w:tr w:rsidR="00742251" w:rsidRPr="0024611A" w:rsidTr="0024611A">
        <w:trPr>
          <w:trHeight w:val="20"/>
        </w:trPr>
        <w:tc>
          <w:tcPr>
            <w:tcW w:w="1327" w:type="pct"/>
          </w:tcPr>
          <w:p w:rsidR="00742251" w:rsidRPr="0024611A" w:rsidRDefault="00742251" w:rsidP="008E2EFC">
            <w:pPr>
              <w:spacing w:before="120" w:after="120"/>
              <w:jc w:val="left"/>
              <w:rPr>
                <w:szCs w:val="18"/>
              </w:rPr>
            </w:pPr>
            <w:r w:rsidRPr="0024611A">
              <w:rPr>
                <w:szCs w:val="18"/>
              </w:rPr>
              <w:t>Capital Expenditure</w:t>
            </w:r>
          </w:p>
        </w:tc>
        <w:tc>
          <w:tcPr>
            <w:tcW w:w="3673" w:type="pct"/>
          </w:tcPr>
          <w:p w:rsidR="00742251" w:rsidRPr="0024611A" w:rsidRDefault="00742251" w:rsidP="0024611A">
            <w:pPr>
              <w:spacing w:before="120" w:after="0"/>
              <w:jc w:val="left"/>
              <w:rPr>
                <w:szCs w:val="18"/>
              </w:rPr>
            </w:pPr>
            <w:r w:rsidRPr="0024611A">
              <w:rPr>
                <w:szCs w:val="18"/>
              </w:rPr>
              <w:t>Capital expenditure for asset renewals is primarily funded from:</w:t>
            </w:r>
          </w:p>
          <w:p w:rsidR="00742251" w:rsidRPr="0024611A" w:rsidRDefault="00BE3DB6" w:rsidP="0024611A">
            <w:pPr>
              <w:pStyle w:val="ListParagraph"/>
              <w:numPr>
                <w:ilvl w:val="0"/>
                <w:numId w:val="50"/>
              </w:numPr>
              <w:spacing w:before="0" w:after="0"/>
              <w:jc w:val="left"/>
              <w:rPr>
                <w:sz w:val="18"/>
                <w:szCs w:val="18"/>
              </w:rPr>
            </w:pPr>
            <w:r w:rsidRPr="0024611A">
              <w:rPr>
                <w:rFonts w:ascii="Arial" w:hAnsi="Arial" w:cs="Arial"/>
                <w:sz w:val="18"/>
                <w:szCs w:val="18"/>
              </w:rPr>
              <w:t xml:space="preserve">General </w:t>
            </w:r>
            <w:r w:rsidR="00742251" w:rsidRPr="0024611A">
              <w:rPr>
                <w:rFonts w:ascii="Arial" w:hAnsi="Arial" w:cs="Arial"/>
                <w:sz w:val="18"/>
                <w:szCs w:val="18"/>
              </w:rPr>
              <w:t xml:space="preserve">Rates </w:t>
            </w:r>
            <w:r w:rsidRPr="0024611A">
              <w:rPr>
                <w:rFonts w:ascii="Arial" w:hAnsi="Arial" w:cs="Arial"/>
                <w:sz w:val="18"/>
                <w:szCs w:val="18"/>
              </w:rPr>
              <w:t>–</w:t>
            </w:r>
            <w:r w:rsidR="00742251" w:rsidRPr="0024611A">
              <w:rPr>
                <w:rFonts w:ascii="Arial" w:hAnsi="Arial" w:cs="Arial"/>
                <w:sz w:val="18"/>
                <w:szCs w:val="18"/>
              </w:rPr>
              <w:t xml:space="preserve"> </w:t>
            </w:r>
            <w:r w:rsidRPr="0024611A">
              <w:rPr>
                <w:rFonts w:ascii="Arial" w:hAnsi="Arial" w:cs="Arial"/>
                <w:sz w:val="18"/>
                <w:szCs w:val="18"/>
              </w:rPr>
              <w:t>and income from Grants that are either program or project specific.</w:t>
            </w:r>
          </w:p>
        </w:tc>
      </w:tr>
      <w:tr w:rsidR="00742251" w:rsidRPr="0024611A" w:rsidTr="0024611A">
        <w:trPr>
          <w:trHeight w:val="20"/>
        </w:trPr>
        <w:tc>
          <w:tcPr>
            <w:tcW w:w="1327" w:type="pct"/>
          </w:tcPr>
          <w:p w:rsidR="00742251" w:rsidRPr="0024611A" w:rsidRDefault="00742251" w:rsidP="008E2EFC">
            <w:pPr>
              <w:spacing w:before="120" w:after="120"/>
              <w:jc w:val="left"/>
              <w:rPr>
                <w:szCs w:val="18"/>
              </w:rPr>
            </w:pPr>
            <w:r w:rsidRPr="0024611A">
              <w:rPr>
                <w:szCs w:val="18"/>
              </w:rPr>
              <w:t xml:space="preserve">Capital Expenditure – New Assets </w:t>
            </w:r>
          </w:p>
        </w:tc>
        <w:tc>
          <w:tcPr>
            <w:tcW w:w="3673" w:type="pct"/>
          </w:tcPr>
          <w:p w:rsidR="00742251" w:rsidRPr="0024611A" w:rsidRDefault="00742251" w:rsidP="0024611A">
            <w:pPr>
              <w:spacing w:before="120" w:after="0"/>
              <w:jc w:val="left"/>
              <w:rPr>
                <w:szCs w:val="18"/>
              </w:rPr>
            </w:pPr>
            <w:r w:rsidRPr="0024611A">
              <w:rPr>
                <w:szCs w:val="18"/>
              </w:rPr>
              <w:t xml:space="preserve">Capital expenditure for new (or substantially upgraded) assets required to meet the required LOS is primarily </w:t>
            </w:r>
            <w:r w:rsidR="00BE3DB6" w:rsidRPr="0024611A">
              <w:rPr>
                <w:szCs w:val="18"/>
              </w:rPr>
              <w:t>General rates</w:t>
            </w:r>
            <w:r w:rsidRPr="0024611A">
              <w:rPr>
                <w:szCs w:val="18"/>
              </w:rPr>
              <w:t>.  Other sources of funding  can include:</w:t>
            </w:r>
          </w:p>
          <w:p w:rsidR="00BE3DB6" w:rsidRPr="0024611A" w:rsidRDefault="00BE3DB6" w:rsidP="0024611A">
            <w:pPr>
              <w:pStyle w:val="ListParagraph"/>
              <w:numPr>
                <w:ilvl w:val="0"/>
                <w:numId w:val="50"/>
              </w:numPr>
              <w:spacing w:before="0" w:after="0"/>
              <w:jc w:val="left"/>
              <w:rPr>
                <w:rFonts w:ascii="Arial" w:hAnsi="Arial" w:cs="Arial"/>
                <w:sz w:val="18"/>
                <w:szCs w:val="18"/>
              </w:rPr>
            </w:pPr>
            <w:r w:rsidRPr="0024611A">
              <w:rPr>
                <w:rFonts w:ascii="Arial" w:hAnsi="Arial" w:cs="Arial"/>
                <w:sz w:val="18"/>
                <w:szCs w:val="18"/>
              </w:rPr>
              <w:t xml:space="preserve">Grants </w:t>
            </w:r>
          </w:p>
          <w:p w:rsidR="00742251" w:rsidRPr="0024611A" w:rsidRDefault="00BE3DB6" w:rsidP="0024611A">
            <w:pPr>
              <w:pStyle w:val="ListParagraph"/>
              <w:numPr>
                <w:ilvl w:val="0"/>
                <w:numId w:val="50"/>
              </w:numPr>
              <w:spacing w:before="0" w:after="0"/>
              <w:jc w:val="left"/>
              <w:rPr>
                <w:rFonts w:ascii="Arial" w:hAnsi="Arial" w:cs="Arial"/>
                <w:sz w:val="18"/>
                <w:szCs w:val="18"/>
              </w:rPr>
            </w:pPr>
            <w:r w:rsidRPr="0024611A">
              <w:rPr>
                <w:rFonts w:ascii="Arial" w:hAnsi="Arial" w:cs="Arial"/>
                <w:sz w:val="18"/>
                <w:szCs w:val="18"/>
              </w:rPr>
              <w:t xml:space="preserve">Borrowings </w:t>
            </w:r>
          </w:p>
          <w:p w:rsidR="00742251" w:rsidRPr="0024611A" w:rsidRDefault="00742251" w:rsidP="0024611A">
            <w:pPr>
              <w:pStyle w:val="ListParagraph"/>
              <w:numPr>
                <w:ilvl w:val="0"/>
                <w:numId w:val="50"/>
              </w:numPr>
              <w:spacing w:before="0" w:after="0"/>
              <w:jc w:val="left"/>
              <w:rPr>
                <w:sz w:val="18"/>
                <w:szCs w:val="18"/>
              </w:rPr>
            </w:pPr>
            <w:r w:rsidRPr="0024611A">
              <w:rPr>
                <w:rFonts w:ascii="Arial" w:hAnsi="Arial" w:cs="Arial"/>
                <w:sz w:val="18"/>
                <w:szCs w:val="18"/>
              </w:rPr>
              <w:t>Asset Sales – The Council may apply the proceeds of asset sales to capital expenditure</w:t>
            </w:r>
          </w:p>
        </w:tc>
      </w:tr>
    </w:tbl>
    <w:p w:rsidR="00523005" w:rsidRPr="0091425F" w:rsidRDefault="00737599" w:rsidP="0033721F">
      <w:pPr>
        <w:pStyle w:val="Caption"/>
        <w:spacing w:before="240" w:after="240"/>
        <w:ind w:left="0"/>
        <w:jc w:val="center"/>
        <w:rPr>
          <w:rFonts w:ascii="Arial" w:hAnsi="Arial"/>
          <w:i w:val="0"/>
          <w:iCs w:val="0"/>
          <w:sz w:val="20"/>
          <w:lang w:val="en-AU"/>
        </w:rPr>
      </w:pPr>
      <w:bookmarkStart w:id="47" w:name="_Toc364945417"/>
      <w:r w:rsidRPr="0091425F">
        <w:rPr>
          <w:rFonts w:ascii="Arial" w:hAnsi="Arial"/>
          <w:i w:val="0"/>
          <w:iCs w:val="0"/>
          <w:sz w:val="20"/>
          <w:lang w:val="en-AU"/>
        </w:rPr>
        <w:t xml:space="preserve">Table </w:t>
      </w:r>
      <w:r w:rsidR="0090414C" w:rsidRPr="0091425F">
        <w:rPr>
          <w:rFonts w:ascii="Arial" w:hAnsi="Arial"/>
          <w:i w:val="0"/>
          <w:iCs w:val="0"/>
          <w:sz w:val="20"/>
          <w:lang w:val="en-AU"/>
        </w:rPr>
        <w:fldChar w:fldCharType="begin"/>
      </w:r>
      <w:r w:rsidRPr="0091425F">
        <w:rPr>
          <w:rFonts w:ascii="Arial" w:hAnsi="Arial"/>
          <w:i w:val="0"/>
          <w:iCs w:val="0"/>
          <w:sz w:val="20"/>
          <w:lang w:val="en-AU"/>
        </w:rPr>
        <w:instrText xml:space="preserve"> SEQ Table \* ARABIC </w:instrText>
      </w:r>
      <w:r w:rsidR="0090414C" w:rsidRPr="0091425F">
        <w:rPr>
          <w:rFonts w:ascii="Arial" w:hAnsi="Arial"/>
          <w:i w:val="0"/>
          <w:iCs w:val="0"/>
          <w:sz w:val="20"/>
          <w:lang w:val="en-AU"/>
        </w:rPr>
        <w:fldChar w:fldCharType="separate"/>
      </w:r>
      <w:r w:rsidR="00751CEC">
        <w:rPr>
          <w:rFonts w:ascii="Arial" w:hAnsi="Arial"/>
          <w:i w:val="0"/>
          <w:iCs w:val="0"/>
          <w:noProof/>
          <w:sz w:val="20"/>
          <w:lang w:val="en-AU"/>
        </w:rPr>
        <w:t>13</w:t>
      </w:r>
      <w:r w:rsidR="0090414C" w:rsidRPr="0091425F">
        <w:rPr>
          <w:rFonts w:ascii="Arial" w:hAnsi="Arial"/>
          <w:i w:val="0"/>
          <w:iCs w:val="0"/>
          <w:sz w:val="20"/>
          <w:lang w:val="en-AU"/>
        </w:rPr>
        <w:fldChar w:fldCharType="end"/>
      </w:r>
      <w:r w:rsidR="00523005" w:rsidRPr="0091425F">
        <w:rPr>
          <w:rFonts w:ascii="Arial" w:hAnsi="Arial"/>
          <w:i w:val="0"/>
          <w:iCs w:val="0"/>
          <w:sz w:val="20"/>
          <w:lang w:val="en-AU"/>
        </w:rPr>
        <w:t>: Funding of Building Portfolio</w:t>
      </w:r>
      <w:bookmarkEnd w:id="47"/>
    </w:p>
    <w:p w:rsidR="00A10D7C" w:rsidRPr="00CF6A2B" w:rsidRDefault="00A10D7C" w:rsidP="008E2EFC">
      <w:pPr>
        <w:keepNext/>
        <w:keepLines/>
      </w:pPr>
      <w:r w:rsidRPr="00CF6A2B">
        <w:t>The following table provides the total Buildings budget for Operations, Maintenance and Capital Works in accordance with Council</w:t>
      </w:r>
      <w:r w:rsidR="005419D7">
        <w:t xml:space="preserve">’s 10 </w:t>
      </w:r>
      <w:r w:rsidRPr="00CF6A2B">
        <w:t>year</w:t>
      </w:r>
      <w:r w:rsidR="005419D7">
        <w:t>,</w:t>
      </w:r>
      <w:r w:rsidRPr="00CF6A2B">
        <w:t xml:space="preserve"> long term financial plan. The budgets have been further broken down into their individual components in the accompanying figure.</w:t>
      </w:r>
    </w:p>
    <w:p w:rsidR="00095058" w:rsidRPr="00A10D7C" w:rsidRDefault="00095058" w:rsidP="008E2EFC">
      <w:pPr>
        <w:keepNext/>
        <w:keepLines/>
      </w:pPr>
    </w:p>
    <w:p w:rsidR="00847210" w:rsidRDefault="00B270CC" w:rsidP="008E2EFC">
      <w:pPr>
        <w:pStyle w:val="StyleBodyText11ptLeft1cmAfter0pt"/>
        <w:keepNext/>
        <w:keepLines/>
        <w:ind w:left="0"/>
        <w:rPr>
          <w:rFonts w:cs="Arial"/>
        </w:rPr>
      </w:pPr>
      <w:r>
        <w:rPr>
          <w:rFonts w:cs="Arial"/>
          <w:noProof/>
          <w:lang w:eastAsia="en-AU"/>
        </w:rPr>
        <w:drawing>
          <wp:inline distT="0" distB="0" distL="0" distR="0" wp14:anchorId="69EE5A8A" wp14:editId="781460B5">
            <wp:extent cx="6008039" cy="3816627"/>
            <wp:effectExtent l="1905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8" cstate="print"/>
                    <a:srcRect/>
                    <a:stretch>
                      <a:fillRect/>
                    </a:stretch>
                  </pic:blipFill>
                  <pic:spPr bwMode="auto">
                    <a:xfrm>
                      <a:off x="0" y="0"/>
                      <a:ext cx="6009657" cy="3817655"/>
                    </a:xfrm>
                    <a:prstGeom prst="rect">
                      <a:avLst/>
                    </a:prstGeom>
                    <a:noFill/>
                  </pic:spPr>
                </pic:pic>
              </a:graphicData>
            </a:graphic>
          </wp:inline>
        </w:drawing>
      </w:r>
    </w:p>
    <w:tbl>
      <w:tblPr>
        <w:tblW w:w="4666" w:type="pct"/>
        <w:tblInd w:w="392" w:type="dxa"/>
        <w:tblLook w:val="04A0" w:firstRow="1" w:lastRow="0" w:firstColumn="1" w:lastColumn="0" w:noHBand="0" w:noVBand="1"/>
      </w:tblPr>
      <w:tblGrid>
        <w:gridCol w:w="1197"/>
        <w:gridCol w:w="767"/>
        <w:gridCol w:w="767"/>
        <w:gridCol w:w="767"/>
        <w:gridCol w:w="767"/>
        <w:gridCol w:w="767"/>
        <w:gridCol w:w="767"/>
        <w:gridCol w:w="767"/>
        <w:gridCol w:w="767"/>
        <w:gridCol w:w="767"/>
        <w:gridCol w:w="767"/>
      </w:tblGrid>
      <w:tr w:rsidR="00095058" w:rsidRPr="008E2EFC" w:rsidTr="008E2EFC">
        <w:trPr>
          <w:trHeight w:val="285"/>
        </w:trPr>
        <w:tc>
          <w:tcPr>
            <w:tcW w:w="670" w:type="pct"/>
            <w:tcBorders>
              <w:top w:val="nil"/>
              <w:left w:val="single" w:sz="4" w:space="0" w:color="auto"/>
              <w:bottom w:val="single" w:sz="4" w:space="0" w:color="auto"/>
              <w:right w:val="single" w:sz="4" w:space="0" w:color="auto"/>
            </w:tcBorders>
            <w:shd w:val="clear" w:color="auto" w:fill="auto"/>
            <w:noWrap/>
            <w:vAlign w:val="center"/>
            <w:hideMark/>
          </w:tcPr>
          <w:p w:rsidR="00095058" w:rsidRPr="008E2EFC" w:rsidRDefault="00095058" w:rsidP="002F775C">
            <w:pPr>
              <w:rPr>
                <w:b/>
                <w:sz w:val="18"/>
              </w:rPr>
            </w:pPr>
            <w:r w:rsidRPr="008E2EFC">
              <w:rPr>
                <w:b/>
                <w:sz w:val="18"/>
              </w:rPr>
              <w:t>Total  $’000</w:t>
            </w:r>
          </w:p>
        </w:tc>
        <w:tc>
          <w:tcPr>
            <w:tcW w:w="436" w:type="pct"/>
            <w:tcBorders>
              <w:top w:val="nil"/>
              <w:left w:val="nil"/>
              <w:bottom w:val="single" w:sz="4" w:space="0" w:color="auto"/>
              <w:right w:val="single" w:sz="4" w:space="0" w:color="auto"/>
            </w:tcBorders>
            <w:shd w:val="clear" w:color="auto" w:fill="auto"/>
            <w:noWrap/>
            <w:vAlign w:val="center"/>
            <w:hideMark/>
          </w:tcPr>
          <w:p w:rsidR="00095058" w:rsidRPr="008E2EFC" w:rsidRDefault="00095058" w:rsidP="002F775C">
            <w:pPr>
              <w:rPr>
                <w:b/>
                <w:sz w:val="18"/>
              </w:rPr>
            </w:pPr>
            <w:r w:rsidRPr="008E2EFC">
              <w:rPr>
                <w:b/>
                <w:sz w:val="18"/>
              </w:rPr>
              <w:t>15,468</w:t>
            </w:r>
          </w:p>
        </w:tc>
        <w:tc>
          <w:tcPr>
            <w:tcW w:w="437" w:type="pct"/>
            <w:tcBorders>
              <w:top w:val="nil"/>
              <w:left w:val="nil"/>
              <w:bottom w:val="single" w:sz="4" w:space="0" w:color="auto"/>
              <w:right w:val="single" w:sz="4" w:space="0" w:color="auto"/>
            </w:tcBorders>
            <w:shd w:val="clear" w:color="auto" w:fill="auto"/>
            <w:noWrap/>
            <w:vAlign w:val="center"/>
            <w:hideMark/>
          </w:tcPr>
          <w:p w:rsidR="00095058" w:rsidRPr="008E2EFC" w:rsidRDefault="00095058" w:rsidP="002F775C">
            <w:pPr>
              <w:rPr>
                <w:b/>
                <w:sz w:val="18"/>
              </w:rPr>
            </w:pPr>
            <w:r w:rsidRPr="008E2EFC">
              <w:rPr>
                <w:b/>
                <w:sz w:val="18"/>
              </w:rPr>
              <w:t>15,025</w:t>
            </w:r>
          </w:p>
        </w:tc>
        <w:tc>
          <w:tcPr>
            <w:tcW w:w="429" w:type="pct"/>
            <w:tcBorders>
              <w:top w:val="nil"/>
              <w:left w:val="nil"/>
              <w:bottom w:val="single" w:sz="4" w:space="0" w:color="auto"/>
              <w:right w:val="single" w:sz="4" w:space="0" w:color="auto"/>
            </w:tcBorders>
            <w:shd w:val="clear" w:color="auto" w:fill="auto"/>
            <w:noWrap/>
            <w:vAlign w:val="center"/>
            <w:hideMark/>
          </w:tcPr>
          <w:p w:rsidR="00095058" w:rsidRPr="008E2EFC" w:rsidRDefault="00095058" w:rsidP="002F775C">
            <w:pPr>
              <w:rPr>
                <w:b/>
                <w:sz w:val="18"/>
              </w:rPr>
            </w:pPr>
            <w:r w:rsidRPr="008E2EFC">
              <w:rPr>
                <w:b/>
                <w:sz w:val="18"/>
              </w:rPr>
              <w:t>15,777</w:t>
            </w:r>
          </w:p>
        </w:tc>
        <w:tc>
          <w:tcPr>
            <w:tcW w:w="429" w:type="pct"/>
            <w:tcBorders>
              <w:top w:val="nil"/>
              <w:left w:val="nil"/>
              <w:bottom w:val="single" w:sz="4" w:space="0" w:color="auto"/>
              <w:right w:val="single" w:sz="4" w:space="0" w:color="auto"/>
            </w:tcBorders>
            <w:shd w:val="clear" w:color="auto" w:fill="auto"/>
            <w:noWrap/>
            <w:vAlign w:val="center"/>
            <w:hideMark/>
          </w:tcPr>
          <w:p w:rsidR="00095058" w:rsidRPr="008E2EFC" w:rsidRDefault="00095058" w:rsidP="002F775C">
            <w:pPr>
              <w:rPr>
                <w:b/>
                <w:sz w:val="18"/>
              </w:rPr>
            </w:pPr>
            <w:r w:rsidRPr="008E2EFC">
              <w:rPr>
                <w:b/>
                <w:sz w:val="18"/>
              </w:rPr>
              <w:t>30,500</w:t>
            </w:r>
          </w:p>
        </w:tc>
        <w:tc>
          <w:tcPr>
            <w:tcW w:w="436" w:type="pct"/>
            <w:tcBorders>
              <w:top w:val="nil"/>
              <w:left w:val="nil"/>
              <w:bottom w:val="single" w:sz="4" w:space="0" w:color="auto"/>
              <w:right w:val="single" w:sz="4" w:space="0" w:color="auto"/>
            </w:tcBorders>
            <w:shd w:val="clear" w:color="auto" w:fill="auto"/>
            <w:noWrap/>
            <w:vAlign w:val="center"/>
            <w:hideMark/>
          </w:tcPr>
          <w:p w:rsidR="00095058" w:rsidRPr="008E2EFC" w:rsidRDefault="00095058" w:rsidP="002F775C">
            <w:pPr>
              <w:rPr>
                <w:b/>
                <w:sz w:val="18"/>
              </w:rPr>
            </w:pPr>
            <w:r w:rsidRPr="008E2EFC">
              <w:rPr>
                <w:b/>
                <w:sz w:val="18"/>
              </w:rPr>
              <w:t>36,756</w:t>
            </w:r>
          </w:p>
        </w:tc>
        <w:tc>
          <w:tcPr>
            <w:tcW w:w="437" w:type="pct"/>
            <w:tcBorders>
              <w:top w:val="nil"/>
              <w:left w:val="nil"/>
              <w:bottom w:val="single" w:sz="4" w:space="0" w:color="auto"/>
              <w:right w:val="single" w:sz="4" w:space="0" w:color="auto"/>
            </w:tcBorders>
            <w:shd w:val="clear" w:color="auto" w:fill="auto"/>
            <w:noWrap/>
            <w:vAlign w:val="center"/>
            <w:hideMark/>
          </w:tcPr>
          <w:p w:rsidR="00095058" w:rsidRPr="008E2EFC" w:rsidRDefault="00095058" w:rsidP="002F775C">
            <w:pPr>
              <w:rPr>
                <w:b/>
                <w:sz w:val="18"/>
              </w:rPr>
            </w:pPr>
            <w:r w:rsidRPr="008E2EFC">
              <w:rPr>
                <w:b/>
                <w:sz w:val="18"/>
              </w:rPr>
              <w:t>18,450</w:t>
            </w:r>
          </w:p>
        </w:tc>
        <w:tc>
          <w:tcPr>
            <w:tcW w:w="429" w:type="pct"/>
            <w:tcBorders>
              <w:top w:val="nil"/>
              <w:left w:val="nil"/>
              <w:bottom w:val="single" w:sz="4" w:space="0" w:color="auto"/>
              <w:right w:val="single" w:sz="4" w:space="0" w:color="auto"/>
            </w:tcBorders>
            <w:shd w:val="clear" w:color="auto" w:fill="auto"/>
            <w:noWrap/>
            <w:vAlign w:val="center"/>
            <w:hideMark/>
          </w:tcPr>
          <w:p w:rsidR="00095058" w:rsidRPr="008E2EFC" w:rsidRDefault="00095058" w:rsidP="002F775C">
            <w:pPr>
              <w:rPr>
                <w:b/>
                <w:sz w:val="18"/>
              </w:rPr>
            </w:pPr>
            <w:r w:rsidRPr="008E2EFC">
              <w:rPr>
                <w:b/>
                <w:sz w:val="18"/>
              </w:rPr>
              <w:t>17,871</w:t>
            </w:r>
          </w:p>
        </w:tc>
        <w:tc>
          <w:tcPr>
            <w:tcW w:w="437" w:type="pct"/>
            <w:tcBorders>
              <w:top w:val="nil"/>
              <w:left w:val="nil"/>
              <w:bottom w:val="single" w:sz="4" w:space="0" w:color="auto"/>
              <w:right w:val="single" w:sz="4" w:space="0" w:color="auto"/>
            </w:tcBorders>
            <w:shd w:val="clear" w:color="auto" w:fill="auto"/>
            <w:noWrap/>
            <w:vAlign w:val="center"/>
            <w:hideMark/>
          </w:tcPr>
          <w:p w:rsidR="00095058" w:rsidRPr="008E2EFC" w:rsidRDefault="00095058" w:rsidP="002F775C">
            <w:pPr>
              <w:rPr>
                <w:b/>
                <w:sz w:val="18"/>
              </w:rPr>
            </w:pPr>
            <w:r w:rsidRPr="008E2EFC">
              <w:rPr>
                <w:b/>
                <w:sz w:val="18"/>
              </w:rPr>
              <w:t>20,032</w:t>
            </w:r>
          </w:p>
        </w:tc>
        <w:tc>
          <w:tcPr>
            <w:tcW w:w="429" w:type="pct"/>
            <w:tcBorders>
              <w:top w:val="nil"/>
              <w:left w:val="nil"/>
              <w:bottom w:val="single" w:sz="4" w:space="0" w:color="auto"/>
              <w:right w:val="single" w:sz="4" w:space="0" w:color="auto"/>
            </w:tcBorders>
            <w:shd w:val="clear" w:color="auto" w:fill="auto"/>
            <w:noWrap/>
            <w:vAlign w:val="center"/>
            <w:hideMark/>
          </w:tcPr>
          <w:p w:rsidR="00095058" w:rsidRPr="008E2EFC" w:rsidRDefault="00095058" w:rsidP="002F775C">
            <w:pPr>
              <w:rPr>
                <w:b/>
                <w:sz w:val="18"/>
              </w:rPr>
            </w:pPr>
            <w:r w:rsidRPr="008E2EFC">
              <w:rPr>
                <w:b/>
                <w:sz w:val="18"/>
              </w:rPr>
              <w:t>22,105</w:t>
            </w:r>
          </w:p>
        </w:tc>
        <w:tc>
          <w:tcPr>
            <w:tcW w:w="429" w:type="pct"/>
            <w:tcBorders>
              <w:top w:val="nil"/>
              <w:left w:val="nil"/>
              <w:bottom w:val="single" w:sz="4" w:space="0" w:color="auto"/>
              <w:right w:val="single" w:sz="4" w:space="0" w:color="auto"/>
            </w:tcBorders>
            <w:shd w:val="clear" w:color="auto" w:fill="auto"/>
            <w:noWrap/>
            <w:vAlign w:val="center"/>
            <w:hideMark/>
          </w:tcPr>
          <w:p w:rsidR="00095058" w:rsidRPr="008E2EFC" w:rsidRDefault="00095058" w:rsidP="002F775C">
            <w:pPr>
              <w:rPr>
                <w:b/>
                <w:sz w:val="18"/>
              </w:rPr>
            </w:pPr>
            <w:r w:rsidRPr="008E2EFC">
              <w:rPr>
                <w:b/>
                <w:sz w:val="18"/>
              </w:rPr>
              <w:t>29,529</w:t>
            </w:r>
          </w:p>
        </w:tc>
      </w:tr>
    </w:tbl>
    <w:p w:rsidR="008E2EFC" w:rsidRPr="0091425F" w:rsidRDefault="008E2EFC" w:rsidP="00D17B90">
      <w:pPr>
        <w:pStyle w:val="Caption"/>
        <w:spacing w:before="240" w:after="240"/>
        <w:ind w:left="0"/>
        <w:jc w:val="center"/>
        <w:rPr>
          <w:rFonts w:ascii="Arial" w:hAnsi="Arial"/>
          <w:i w:val="0"/>
          <w:iCs w:val="0"/>
          <w:sz w:val="20"/>
          <w:lang w:val="en-AU"/>
        </w:rPr>
      </w:pPr>
      <w:bookmarkStart w:id="48" w:name="_Toc364945376"/>
      <w:r w:rsidRPr="0091425F">
        <w:rPr>
          <w:rFonts w:ascii="Arial" w:hAnsi="Arial"/>
          <w:i w:val="0"/>
          <w:iCs w:val="0"/>
          <w:sz w:val="20"/>
          <w:lang w:val="en-AU"/>
        </w:rPr>
        <w:t xml:space="preserve">Figure </w:t>
      </w:r>
      <w:r w:rsidR="0090414C" w:rsidRPr="0091425F">
        <w:rPr>
          <w:rFonts w:ascii="Arial" w:hAnsi="Arial"/>
          <w:i w:val="0"/>
          <w:iCs w:val="0"/>
          <w:sz w:val="20"/>
          <w:lang w:val="en-AU"/>
        </w:rPr>
        <w:fldChar w:fldCharType="begin"/>
      </w:r>
      <w:r w:rsidRPr="0091425F">
        <w:rPr>
          <w:rFonts w:ascii="Arial" w:hAnsi="Arial"/>
          <w:i w:val="0"/>
          <w:iCs w:val="0"/>
          <w:sz w:val="20"/>
          <w:lang w:val="en-AU"/>
        </w:rPr>
        <w:instrText xml:space="preserve"> SEQ Figure \* ARABIC \s 1 </w:instrText>
      </w:r>
      <w:r w:rsidR="0090414C" w:rsidRPr="0091425F">
        <w:rPr>
          <w:rFonts w:ascii="Arial" w:hAnsi="Arial"/>
          <w:i w:val="0"/>
          <w:iCs w:val="0"/>
          <w:sz w:val="20"/>
          <w:lang w:val="en-AU"/>
        </w:rPr>
        <w:fldChar w:fldCharType="separate"/>
      </w:r>
      <w:r w:rsidR="00751CEC">
        <w:rPr>
          <w:rFonts w:ascii="Arial" w:hAnsi="Arial"/>
          <w:i w:val="0"/>
          <w:iCs w:val="0"/>
          <w:noProof/>
          <w:sz w:val="20"/>
          <w:lang w:val="en-AU"/>
        </w:rPr>
        <w:t>12</w:t>
      </w:r>
      <w:r w:rsidR="0090414C" w:rsidRPr="0091425F">
        <w:rPr>
          <w:rFonts w:ascii="Arial" w:hAnsi="Arial"/>
          <w:i w:val="0"/>
          <w:iCs w:val="0"/>
          <w:sz w:val="20"/>
          <w:lang w:val="en-AU"/>
        </w:rPr>
        <w:fldChar w:fldCharType="end"/>
      </w:r>
      <w:r w:rsidRPr="0091425F">
        <w:rPr>
          <w:rFonts w:ascii="Arial" w:hAnsi="Arial"/>
          <w:i w:val="0"/>
          <w:iCs w:val="0"/>
          <w:sz w:val="20"/>
          <w:lang w:val="en-AU"/>
        </w:rPr>
        <w:t>:  10 Year Buildings Total Expenditure</w:t>
      </w:r>
      <w:bookmarkEnd w:id="48"/>
    </w:p>
    <w:p w:rsidR="00763E17" w:rsidRPr="00CF2212" w:rsidRDefault="00763E17" w:rsidP="00CF2212">
      <w:pPr>
        <w:pStyle w:val="Heading2"/>
      </w:pPr>
      <w:bookmarkStart w:id="49" w:name="_Toc364945240"/>
      <w:r w:rsidRPr="00CF2212">
        <w:t>Assumptions and Uncertainties</w:t>
      </w:r>
      <w:bookmarkEnd w:id="49"/>
    </w:p>
    <w:p w:rsidR="00BE3DB6" w:rsidRDefault="00BE3DB6" w:rsidP="00377A71">
      <w:r w:rsidRPr="005122EC">
        <w:t>The following assumptions have been made in the preparation of this asset management plan:</w:t>
      </w:r>
    </w:p>
    <w:p w:rsidR="00377A71" w:rsidRPr="005122EC" w:rsidRDefault="00377A71" w:rsidP="00377A71"/>
    <w:p w:rsidR="00BE3DB6" w:rsidRPr="00377A71" w:rsidRDefault="00BE3DB6" w:rsidP="008348B5">
      <w:pPr>
        <w:pStyle w:val="ListParagraph"/>
        <w:numPr>
          <w:ilvl w:val="0"/>
          <w:numId w:val="52"/>
        </w:numPr>
        <w:rPr>
          <w:rFonts w:ascii="Arial" w:hAnsi="Arial" w:cs="Arial"/>
          <w:sz w:val="20"/>
        </w:rPr>
      </w:pPr>
      <w:r w:rsidRPr="00377A71">
        <w:rPr>
          <w:rFonts w:ascii="Arial" w:hAnsi="Arial" w:cs="Arial"/>
          <w:sz w:val="20"/>
        </w:rPr>
        <w:t>Average life estimates of 100 years are used in modelling of life cycle costs (further refinement is required to incorporate condition based remaining life forecasts);</w:t>
      </w:r>
    </w:p>
    <w:p w:rsidR="00BE3DB6" w:rsidRPr="00377A71" w:rsidRDefault="00BE3DB6" w:rsidP="008348B5">
      <w:pPr>
        <w:pStyle w:val="ListParagraph"/>
        <w:numPr>
          <w:ilvl w:val="0"/>
          <w:numId w:val="52"/>
        </w:numPr>
        <w:rPr>
          <w:rFonts w:ascii="Arial" w:hAnsi="Arial" w:cs="Arial"/>
          <w:sz w:val="20"/>
        </w:rPr>
      </w:pPr>
      <w:r w:rsidRPr="00377A71">
        <w:rPr>
          <w:rFonts w:ascii="Arial" w:hAnsi="Arial" w:cs="Arial"/>
          <w:sz w:val="20"/>
        </w:rPr>
        <w:t>Average annual renewal forecasts are based on 2012 replacement values;</w:t>
      </w:r>
    </w:p>
    <w:p w:rsidR="00BE3DB6" w:rsidRPr="00377A71" w:rsidRDefault="00BE3DB6" w:rsidP="008348B5">
      <w:pPr>
        <w:pStyle w:val="ListParagraph"/>
        <w:numPr>
          <w:ilvl w:val="0"/>
          <w:numId w:val="52"/>
        </w:numPr>
        <w:rPr>
          <w:rFonts w:ascii="Arial" w:hAnsi="Arial" w:cs="Arial"/>
          <w:sz w:val="20"/>
        </w:rPr>
      </w:pPr>
      <w:r w:rsidRPr="00377A71">
        <w:rPr>
          <w:rFonts w:ascii="Arial" w:hAnsi="Arial" w:cs="Arial"/>
          <w:sz w:val="20"/>
        </w:rPr>
        <w:t>The current allocation towards renewal from the Capital Works budget has been assumed to continue for the next 20 years for modelling purposes an</w:t>
      </w:r>
      <w:r w:rsidR="00E35140" w:rsidRPr="00377A71">
        <w:rPr>
          <w:rFonts w:ascii="Arial" w:hAnsi="Arial" w:cs="Arial"/>
          <w:sz w:val="20"/>
        </w:rPr>
        <w:t xml:space="preserve">d to assist in determining the </w:t>
      </w:r>
      <w:r w:rsidRPr="00377A71">
        <w:rPr>
          <w:rFonts w:ascii="Arial" w:hAnsi="Arial" w:cs="Arial"/>
          <w:sz w:val="20"/>
        </w:rPr>
        <w:t>renewal gap;</w:t>
      </w:r>
    </w:p>
    <w:p w:rsidR="00BE3DB6" w:rsidRPr="00377A71" w:rsidRDefault="00BE3DB6" w:rsidP="008348B5">
      <w:pPr>
        <w:pStyle w:val="ListParagraph"/>
        <w:numPr>
          <w:ilvl w:val="0"/>
          <w:numId w:val="52"/>
        </w:numPr>
        <w:rPr>
          <w:rFonts w:ascii="Arial" w:hAnsi="Arial" w:cs="Arial"/>
          <w:sz w:val="20"/>
        </w:rPr>
      </w:pPr>
      <w:r w:rsidRPr="00377A71">
        <w:rPr>
          <w:rFonts w:ascii="Arial" w:hAnsi="Arial" w:cs="Arial"/>
          <w:sz w:val="20"/>
        </w:rPr>
        <w:t>Modelling calculations do not allow f</w:t>
      </w:r>
      <w:r w:rsidR="0067372F">
        <w:rPr>
          <w:rFonts w:ascii="Arial" w:hAnsi="Arial" w:cs="Arial"/>
          <w:sz w:val="20"/>
        </w:rPr>
        <w:t>or inflation/rise and falls etc.</w:t>
      </w:r>
    </w:p>
    <w:p w:rsidR="00377A71" w:rsidRDefault="00377A71" w:rsidP="00377A71"/>
    <w:p w:rsidR="00BE3DB6" w:rsidRPr="005122EC" w:rsidRDefault="00BE3DB6" w:rsidP="00377A71">
      <w:r w:rsidRPr="005122EC">
        <w:t>Other Assumptions</w:t>
      </w:r>
      <w:r w:rsidR="00272423">
        <w:t>:</w:t>
      </w:r>
    </w:p>
    <w:p w:rsidR="00377A71" w:rsidRDefault="00377A71" w:rsidP="00377A71">
      <w:pPr>
        <w:rPr>
          <w:rFonts w:cs="Arial"/>
        </w:rPr>
      </w:pPr>
    </w:p>
    <w:p w:rsidR="00BE3DB6" w:rsidRPr="00377A71" w:rsidRDefault="00BE3DB6" w:rsidP="008348B5">
      <w:pPr>
        <w:pStyle w:val="ListParagraph"/>
        <w:numPr>
          <w:ilvl w:val="0"/>
          <w:numId w:val="53"/>
        </w:numPr>
        <w:rPr>
          <w:rFonts w:ascii="Arial" w:hAnsi="Arial" w:cs="Arial"/>
          <w:sz w:val="20"/>
        </w:rPr>
      </w:pPr>
      <w:r w:rsidRPr="00377A71">
        <w:rPr>
          <w:rFonts w:ascii="Arial" w:hAnsi="Arial" w:cs="Arial"/>
          <w:sz w:val="20"/>
        </w:rPr>
        <w:t>The demand for existing facilities (buildings/structures) will continue as currently identified to meet for service delivery needs. Any removal/disposal of existing assets will reduce the long term renewal demand;</w:t>
      </w:r>
    </w:p>
    <w:p w:rsidR="00BE3DB6" w:rsidRPr="00377A71" w:rsidRDefault="00BE3DB6" w:rsidP="008348B5">
      <w:pPr>
        <w:pStyle w:val="ListParagraph"/>
        <w:numPr>
          <w:ilvl w:val="0"/>
          <w:numId w:val="53"/>
        </w:numPr>
        <w:rPr>
          <w:rFonts w:ascii="Arial" w:hAnsi="Arial" w:cs="Arial"/>
          <w:sz w:val="20"/>
        </w:rPr>
      </w:pPr>
      <w:r w:rsidRPr="00377A71">
        <w:rPr>
          <w:rFonts w:ascii="Arial" w:hAnsi="Arial" w:cs="Arial"/>
          <w:sz w:val="20"/>
        </w:rPr>
        <w:t>Council will continue to own its operational property;</w:t>
      </w:r>
    </w:p>
    <w:p w:rsidR="00BE3DB6" w:rsidRPr="00377A71" w:rsidRDefault="00BE3DB6" w:rsidP="008348B5">
      <w:pPr>
        <w:pStyle w:val="ListParagraph"/>
        <w:numPr>
          <w:ilvl w:val="0"/>
          <w:numId w:val="53"/>
        </w:numPr>
        <w:rPr>
          <w:rFonts w:ascii="Arial" w:hAnsi="Arial" w:cs="Arial"/>
          <w:sz w:val="20"/>
        </w:rPr>
      </w:pPr>
      <w:r w:rsidRPr="00377A71">
        <w:rPr>
          <w:rFonts w:ascii="Arial" w:hAnsi="Arial" w:cs="Arial"/>
          <w:sz w:val="20"/>
        </w:rPr>
        <w:t>Technological and environmental changes may require unplanned works to be undertaken to satisfy those requirements over and above anticipated expenditure.</w:t>
      </w:r>
    </w:p>
    <w:p w:rsidR="00E96F28" w:rsidRPr="00CE5EFF" w:rsidRDefault="00E96F28" w:rsidP="00CF2212">
      <w:pPr>
        <w:pStyle w:val="Heading2"/>
      </w:pPr>
      <w:bookmarkStart w:id="50" w:name="_Toc364945241"/>
      <w:r w:rsidRPr="00CE5EFF">
        <w:t>Improvement Plan and Monitoring</w:t>
      </w:r>
      <w:bookmarkEnd w:id="50"/>
    </w:p>
    <w:p w:rsidR="00811374" w:rsidRDefault="003C3755" w:rsidP="00377A71">
      <w:r>
        <w:t>An independent consultant has advised that t</w:t>
      </w:r>
      <w:r w:rsidR="00811374">
        <w:t>he BAMP 2013 is well</w:t>
      </w:r>
      <w:r>
        <w:t xml:space="preserve"> written and has good structure and</w:t>
      </w:r>
      <w:r w:rsidR="00811374">
        <w:t xml:space="preserve"> it fully complies with the core criteria of the National Asset Management Framework and has a number of elements that demonstrate its transition to the </w:t>
      </w:r>
      <w:r>
        <w:t>“A</w:t>
      </w:r>
      <w:r w:rsidR="00811374">
        <w:t>dvanced</w:t>
      </w:r>
      <w:r>
        <w:t>”</w:t>
      </w:r>
      <w:r w:rsidR="00811374">
        <w:t xml:space="preserve"> AMP criteria. </w:t>
      </w:r>
      <w:r w:rsidR="00C70C58">
        <w:t xml:space="preserve"> </w:t>
      </w:r>
      <w:r w:rsidR="00811374">
        <w:t>The current status</w:t>
      </w:r>
      <w:r w:rsidR="00D90FDE">
        <w:t>`s</w:t>
      </w:r>
      <w:r w:rsidR="00811374">
        <w:t xml:space="preserve"> of the BAMP practices at Yarra City Council are rated as 64% against industry best practice. This indicates that the buildings asset management practices are currently at an intermediate level and represent a sound base for producing and advanced level asset management plan</w:t>
      </w:r>
      <w:r w:rsidR="00EC3D98">
        <w:t>.</w:t>
      </w:r>
    </w:p>
    <w:p w:rsidR="00811374" w:rsidRDefault="00811374" w:rsidP="00377A71"/>
    <w:p w:rsidR="005D32B6" w:rsidRPr="00050793" w:rsidRDefault="005D32B6" w:rsidP="00377A71">
      <w:r w:rsidRPr="009F3C9A">
        <w:t>Continuous improvement is essential to ensure the effective management of the assets for sustainable service delivery. With these</w:t>
      </w:r>
      <w:r w:rsidR="00FA6200">
        <w:t xml:space="preserve"> </w:t>
      </w:r>
      <w:r w:rsidRPr="009F3C9A">
        <w:t xml:space="preserve">initiatives </w:t>
      </w:r>
      <w:r w:rsidR="00622DC3">
        <w:t xml:space="preserve">the </w:t>
      </w:r>
      <w:r w:rsidR="006A6C2D" w:rsidRPr="009F3C9A">
        <w:t>Yarra</w:t>
      </w:r>
      <w:r w:rsidR="00622DC3">
        <w:t xml:space="preserve"> City Council</w:t>
      </w:r>
      <w:r w:rsidRPr="009F3C9A">
        <w:t xml:space="preserve"> is committed to implement appropriate effective asset management practices. </w:t>
      </w:r>
    </w:p>
    <w:p w:rsidR="00377A71" w:rsidRDefault="00377A71" w:rsidP="00377A71"/>
    <w:p w:rsidR="005D32B6" w:rsidRPr="0077153D" w:rsidRDefault="00E35140" w:rsidP="00377A71">
      <w:r>
        <w:t xml:space="preserve">A number of areas with of </w:t>
      </w:r>
      <w:r w:rsidR="005D32B6" w:rsidRPr="009F3C9A">
        <w:t>gaps in knowledge have been identified through the process currently being followed for the development of this Asset Management Plan. This improvement plan has been developed by taking into account these gaps in knowledge.</w:t>
      </w:r>
    </w:p>
    <w:p w:rsidR="00377A71" w:rsidRDefault="00377A71" w:rsidP="00377A71"/>
    <w:p w:rsidR="005D32B6" w:rsidRPr="00050793" w:rsidRDefault="005D32B6" w:rsidP="00377A71">
      <w:r w:rsidRPr="00050793">
        <w:t xml:space="preserve">The top priority improvement tasks are presented in </w:t>
      </w:r>
      <w:r w:rsidR="000559AF" w:rsidRPr="00050793">
        <w:t xml:space="preserve">the </w:t>
      </w:r>
      <w:r w:rsidR="00A920CD" w:rsidRPr="00050793">
        <w:t>table below</w:t>
      </w:r>
      <w:r w:rsidRPr="00050793">
        <w:t xml:space="preserve"> </w:t>
      </w:r>
      <w:r w:rsidRPr="00F141FC">
        <w:t xml:space="preserve">with the full </w:t>
      </w:r>
      <w:r w:rsidR="00FA6200" w:rsidRPr="00F141FC">
        <w:t>four</w:t>
      </w:r>
      <w:r w:rsidRPr="00F141FC">
        <w:t xml:space="preserve"> year program</w:t>
      </w:r>
      <w:r w:rsidR="00F141FC" w:rsidRPr="00F141FC">
        <w:t>me is shown in the relevant AMP</w:t>
      </w:r>
      <w:r w:rsidRPr="00F141FC">
        <w:t>s.</w:t>
      </w:r>
      <w:r w:rsidRPr="00050793">
        <w:t xml:space="preserve"> </w:t>
      </w:r>
    </w:p>
    <w:p w:rsidR="00A920CD" w:rsidRDefault="00A920CD" w:rsidP="00377A71"/>
    <w:tbl>
      <w:tblPr>
        <w:tblStyle w:val="TableGrid"/>
        <w:tblW w:w="0" w:type="auto"/>
        <w:tblInd w:w="108" w:type="dxa"/>
        <w:tblLayout w:type="fixed"/>
        <w:tblLook w:val="04A0" w:firstRow="1" w:lastRow="0" w:firstColumn="1" w:lastColumn="0" w:noHBand="0" w:noVBand="1"/>
      </w:tblPr>
      <w:tblGrid>
        <w:gridCol w:w="4395"/>
        <w:gridCol w:w="992"/>
        <w:gridCol w:w="2693"/>
        <w:gridCol w:w="992"/>
      </w:tblGrid>
      <w:tr w:rsidR="000A75D1" w:rsidRPr="00693594" w:rsidTr="00C70C58">
        <w:trPr>
          <w:trHeight w:val="145"/>
          <w:tblHeader/>
        </w:trPr>
        <w:tc>
          <w:tcPr>
            <w:tcW w:w="4395" w:type="dxa"/>
            <w:tcBorders>
              <w:bottom w:val="single" w:sz="4" w:space="0" w:color="auto"/>
            </w:tcBorders>
            <w:shd w:val="clear" w:color="auto" w:fill="95B3D7" w:themeFill="accent1" w:themeFillTint="99"/>
          </w:tcPr>
          <w:p w:rsidR="000A75D1" w:rsidRPr="00693594" w:rsidRDefault="000A75D1" w:rsidP="004247DA">
            <w:pPr>
              <w:jc w:val="left"/>
              <w:rPr>
                <w:rFonts w:cs="Arial"/>
                <w:b/>
                <w:sz w:val="20"/>
              </w:rPr>
            </w:pPr>
            <w:r w:rsidRPr="00693594">
              <w:rPr>
                <w:rFonts w:cs="Arial"/>
                <w:b/>
                <w:sz w:val="20"/>
              </w:rPr>
              <w:t>Improvement Task</w:t>
            </w:r>
          </w:p>
        </w:tc>
        <w:tc>
          <w:tcPr>
            <w:tcW w:w="992" w:type="dxa"/>
            <w:tcBorders>
              <w:bottom w:val="single" w:sz="4" w:space="0" w:color="auto"/>
            </w:tcBorders>
            <w:shd w:val="clear" w:color="auto" w:fill="95B3D7" w:themeFill="accent1" w:themeFillTint="99"/>
          </w:tcPr>
          <w:p w:rsidR="000A75D1" w:rsidRPr="00693594" w:rsidRDefault="000A75D1" w:rsidP="004247DA">
            <w:pPr>
              <w:jc w:val="center"/>
              <w:rPr>
                <w:rFonts w:cs="Arial"/>
                <w:b/>
                <w:sz w:val="20"/>
              </w:rPr>
            </w:pPr>
            <w:r w:rsidRPr="00693594">
              <w:rPr>
                <w:rFonts w:cs="Arial"/>
                <w:b/>
                <w:sz w:val="20"/>
              </w:rPr>
              <w:t>Priority</w:t>
            </w:r>
          </w:p>
        </w:tc>
        <w:tc>
          <w:tcPr>
            <w:tcW w:w="2693" w:type="dxa"/>
            <w:tcBorders>
              <w:bottom w:val="single" w:sz="4" w:space="0" w:color="auto"/>
            </w:tcBorders>
            <w:shd w:val="clear" w:color="auto" w:fill="95B3D7" w:themeFill="accent1" w:themeFillTint="99"/>
          </w:tcPr>
          <w:p w:rsidR="000A75D1" w:rsidRPr="00693594" w:rsidRDefault="000A75D1" w:rsidP="004247DA">
            <w:pPr>
              <w:jc w:val="left"/>
              <w:rPr>
                <w:rFonts w:cs="Arial"/>
                <w:b/>
                <w:sz w:val="20"/>
              </w:rPr>
            </w:pPr>
            <w:r w:rsidRPr="00693594">
              <w:rPr>
                <w:rFonts w:cs="Arial"/>
                <w:b/>
                <w:sz w:val="20"/>
              </w:rPr>
              <w:t>Resources</w:t>
            </w:r>
          </w:p>
        </w:tc>
        <w:tc>
          <w:tcPr>
            <w:tcW w:w="992" w:type="dxa"/>
            <w:tcBorders>
              <w:bottom w:val="single" w:sz="4" w:space="0" w:color="auto"/>
            </w:tcBorders>
            <w:shd w:val="clear" w:color="auto" w:fill="95B3D7" w:themeFill="accent1" w:themeFillTint="99"/>
          </w:tcPr>
          <w:p w:rsidR="000A75D1" w:rsidRPr="00693594" w:rsidRDefault="000A75D1" w:rsidP="004247DA">
            <w:pPr>
              <w:jc w:val="center"/>
              <w:rPr>
                <w:rFonts w:cs="Arial"/>
                <w:b/>
                <w:sz w:val="20"/>
              </w:rPr>
            </w:pPr>
            <w:r w:rsidRPr="00693594">
              <w:rPr>
                <w:rFonts w:cs="Arial"/>
                <w:b/>
                <w:sz w:val="20"/>
              </w:rPr>
              <w:t>T</w:t>
            </w:r>
            <w:r>
              <w:rPr>
                <w:rFonts w:cs="Arial"/>
                <w:b/>
                <w:sz w:val="20"/>
              </w:rPr>
              <w:t>arget</w:t>
            </w:r>
          </w:p>
        </w:tc>
      </w:tr>
      <w:tr w:rsidR="000A75D1" w:rsidRPr="00693594" w:rsidTr="0067372F">
        <w:trPr>
          <w:trHeight w:val="145"/>
        </w:trPr>
        <w:tc>
          <w:tcPr>
            <w:tcW w:w="9072" w:type="dxa"/>
            <w:gridSpan w:val="4"/>
            <w:shd w:val="clear" w:color="auto" w:fill="D9D9D9" w:themeFill="background1" w:themeFillShade="D9"/>
          </w:tcPr>
          <w:p w:rsidR="000A75D1" w:rsidRPr="000F58D9" w:rsidRDefault="000A75D1" w:rsidP="004247DA">
            <w:pPr>
              <w:jc w:val="center"/>
              <w:rPr>
                <w:rFonts w:cs="Arial"/>
                <w:b/>
                <w:sz w:val="20"/>
              </w:rPr>
            </w:pPr>
            <w:r w:rsidRPr="000F58D9">
              <w:rPr>
                <w:rFonts w:cs="Arial"/>
                <w:b/>
                <w:sz w:val="20"/>
              </w:rPr>
              <w:t>Lifecycle Management Processes</w:t>
            </w:r>
          </w:p>
        </w:tc>
      </w:tr>
      <w:tr w:rsidR="000A75D1" w:rsidRPr="00693594" w:rsidTr="00C70C58">
        <w:trPr>
          <w:trHeight w:val="145"/>
        </w:trPr>
        <w:tc>
          <w:tcPr>
            <w:tcW w:w="4395" w:type="dxa"/>
          </w:tcPr>
          <w:p w:rsidR="000A75D1" w:rsidRPr="00AD50B2" w:rsidRDefault="000A75D1" w:rsidP="004247DA">
            <w:pPr>
              <w:jc w:val="left"/>
              <w:rPr>
                <w:rFonts w:cs="Arial"/>
                <w:sz w:val="20"/>
              </w:rPr>
            </w:pPr>
            <w:r w:rsidRPr="00AD50B2">
              <w:rPr>
                <w:rFonts w:cs="Arial"/>
                <w:sz w:val="20"/>
              </w:rPr>
              <w:t>Complete fit for purpose</w:t>
            </w:r>
            <w:r>
              <w:rPr>
                <w:rFonts w:cs="Arial"/>
                <w:sz w:val="20"/>
              </w:rPr>
              <w:t xml:space="preserve"> requirements for each building or facility to identify the investment requirements and impact on current levels of service</w:t>
            </w:r>
          </w:p>
        </w:tc>
        <w:tc>
          <w:tcPr>
            <w:tcW w:w="992" w:type="dxa"/>
          </w:tcPr>
          <w:p w:rsidR="000A75D1" w:rsidRPr="00693594" w:rsidRDefault="000A75D1" w:rsidP="004247DA">
            <w:pPr>
              <w:jc w:val="center"/>
              <w:rPr>
                <w:rFonts w:cs="Arial"/>
                <w:sz w:val="20"/>
              </w:rPr>
            </w:pPr>
            <w:r>
              <w:rPr>
                <w:rFonts w:cs="Arial"/>
                <w:sz w:val="20"/>
              </w:rPr>
              <w:t>Very High</w:t>
            </w:r>
          </w:p>
        </w:tc>
        <w:tc>
          <w:tcPr>
            <w:tcW w:w="2693" w:type="dxa"/>
          </w:tcPr>
          <w:p w:rsidR="000A75D1" w:rsidRPr="00693594" w:rsidRDefault="000A75D1" w:rsidP="004247DA">
            <w:pPr>
              <w:jc w:val="left"/>
              <w:rPr>
                <w:rFonts w:cs="Arial"/>
                <w:sz w:val="20"/>
              </w:rPr>
            </w:pPr>
            <w:r>
              <w:rPr>
                <w:rFonts w:cs="Arial"/>
                <w:sz w:val="20"/>
              </w:rPr>
              <w:t>Sustainable Asset Management and Buildings and Property Branch</w:t>
            </w:r>
          </w:p>
        </w:tc>
        <w:tc>
          <w:tcPr>
            <w:tcW w:w="992" w:type="dxa"/>
          </w:tcPr>
          <w:p w:rsidR="000A75D1" w:rsidRPr="00693594" w:rsidRDefault="000A75D1" w:rsidP="004247DA">
            <w:pPr>
              <w:jc w:val="center"/>
              <w:rPr>
                <w:rFonts w:cs="Arial"/>
                <w:sz w:val="20"/>
              </w:rPr>
            </w:pPr>
            <w:r>
              <w:rPr>
                <w:rFonts w:cs="Arial"/>
                <w:sz w:val="20"/>
              </w:rPr>
              <w:t>2013/14</w:t>
            </w:r>
          </w:p>
        </w:tc>
      </w:tr>
      <w:tr w:rsidR="000A75D1" w:rsidRPr="00693594" w:rsidTr="00C70C58">
        <w:trPr>
          <w:trHeight w:val="145"/>
        </w:trPr>
        <w:tc>
          <w:tcPr>
            <w:tcW w:w="4395" w:type="dxa"/>
          </w:tcPr>
          <w:p w:rsidR="000A75D1" w:rsidRPr="00693594" w:rsidRDefault="000A75D1" w:rsidP="004247DA">
            <w:pPr>
              <w:jc w:val="left"/>
              <w:rPr>
                <w:rFonts w:cs="Arial"/>
                <w:sz w:val="20"/>
              </w:rPr>
            </w:pPr>
            <w:r>
              <w:rPr>
                <w:rFonts w:cs="Arial"/>
                <w:sz w:val="20"/>
              </w:rPr>
              <w:t>Develop a robust methodology to determine growth, future demands and capacity to integrate with fitness for purpose and legislative and compliance requirements for capital investment planning</w:t>
            </w:r>
          </w:p>
        </w:tc>
        <w:tc>
          <w:tcPr>
            <w:tcW w:w="992" w:type="dxa"/>
          </w:tcPr>
          <w:p w:rsidR="000A75D1" w:rsidRPr="00693594" w:rsidRDefault="000A75D1" w:rsidP="004247DA">
            <w:pPr>
              <w:jc w:val="center"/>
              <w:rPr>
                <w:rFonts w:cs="Arial"/>
                <w:sz w:val="20"/>
              </w:rPr>
            </w:pPr>
            <w:r>
              <w:rPr>
                <w:rFonts w:cs="Arial"/>
                <w:sz w:val="20"/>
              </w:rPr>
              <w:t>Very High</w:t>
            </w:r>
          </w:p>
        </w:tc>
        <w:tc>
          <w:tcPr>
            <w:tcW w:w="2693" w:type="dxa"/>
          </w:tcPr>
          <w:p w:rsidR="000A75D1" w:rsidRPr="00693594" w:rsidRDefault="000A75D1" w:rsidP="004247DA">
            <w:pPr>
              <w:jc w:val="left"/>
              <w:rPr>
                <w:rFonts w:cs="Arial"/>
                <w:sz w:val="20"/>
              </w:rPr>
            </w:pPr>
            <w:r>
              <w:rPr>
                <w:rFonts w:cs="Arial"/>
                <w:sz w:val="20"/>
              </w:rPr>
              <w:t>Sustainable Asset Management and Buildings and Property Branch</w:t>
            </w:r>
          </w:p>
        </w:tc>
        <w:tc>
          <w:tcPr>
            <w:tcW w:w="992" w:type="dxa"/>
          </w:tcPr>
          <w:p w:rsidR="000A75D1" w:rsidRPr="00693594" w:rsidRDefault="000A75D1" w:rsidP="004247DA">
            <w:pPr>
              <w:jc w:val="center"/>
              <w:rPr>
                <w:rFonts w:cs="Arial"/>
                <w:sz w:val="20"/>
              </w:rPr>
            </w:pPr>
            <w:r>
              <w:rPr>
                <w:rFonts w:cs="Arial"/>
                <w:sz w:val="20"/>
              </w:rPr>
              <w:t>2013/14</w:t>
            </w:r>
          </w:p>
        </w:tc>
      </w:tr>
      <w:tr w:rsidR="000A75D1" w:rsidRPr="00693594" w:rsidTr="00C70C58">
        <w:trPr>
          <w:trHeight w:val="145"/>
        </w:trPr>
        <w:tc>
          <w:tcPr>
            <w:tcW w:w="4395" w:type="dxa"/>
          </w:tcPr>
          <w:p w:rsidR="000A75D1" w:rsidRPr="00693594" w:rsidRDefault="000A75D1" w:rsidP="004247DA">
            <w:pPr>
              <w:jc w:val="left"/>
              <w:rPr>
                <w:rFonts w:cs="Arial"/>
                <w:sz w:val="20"/>
              </w:rPr>
            </w:pPr>
            <w:r>
              <w:rPr>
                <w:rFonts w:cs="Arial"/>
                <w:sz w:val="20"/>
              </w:rPr>
              <w:t xml:space="preserve">Review target levels of service, performance indicators and monitoring processes linking with fitness for purpose requirements and to meet the DDA compliance to improve accessibility. </w:t>
            </w:r>
          </w:p>
        </w:tc>
        <w:tc>
          <w:tcPr>
            <w:tcW w:w="992" w:type="dxa"/>
          </w:tcPr>
          <w:p w:rsidR="000A75D1" w:rsidRPr="00693594" w:rsidRDefault="000A75D1" w:rsidP="004247DA">
            <w:pPr>
              <w:jc w:val="center"/>
              <w:rPr>
                <w:rFonts w:cs="Arial"/>
                <w:sz w:val="20"/>
              </w:rPr>
            </w:pPr>
            <w:r>
              <w:rPr>
                <w:rFonts w:cs="Arial"/>
                <w:sz w:val="20"/>
              </w:rPr>
              <w:t>Very High</w:t>
            </w:r>
          </w:p>
        </w:tc>
        <w:tc>
          <w:tcPr>
            <w:tcW w:w="2693" w:type="dxa"/>
          </w:tcPr>
          <w:p w:rsidR="000A75D1" w:rsidRPr="00693594" w:rsidRDefault="000A75D1" w:rsidP="004247DA">
            <w:pPr>
              <w:jc w:val="left"/>
              <w:rPr>
                <w:rFonts w:cs="Arial"/>
                <w:sz w:val="20"/>
              </w:rPr>
            </w:pPr>
            <w:r>
              <w:rPr>
                <w:rFonts w:cs="Arial"/>
                <w:sz w:val="20"/>
              </w:rPr>
              <w:t>Sustainable Asset Management and Buildings and Property Branch</w:t>
            </w:r>
          </w:p>
        </w:tc>
        <w:tc>
          <w:tcPr>
            <w:tcW w:w="992" w:type="dxa"/>
          </w:tcPr>
          <w:p w:rsidR="000A75D1" w:rsidRPr="00693594" w:rsidRDefault="000A75D1" w:rsidP="004247DA">
            <w:pPr>
              <w:jc w:val="center"/>
              <w:rPr>
                <w:rFonts w:cs="Arial"/>
                <w:sz w:val="20"/>
              </w:rPr>
            </w:pPr>
            <w:r>
              <w:rPr>
                <w:rFonts w:cs="Arial"/>
                <w:sz w:val="20"/>
              </w:rPr>
              <w:t>2014/15</w:t>
            </w:r>
          </w:p>
        </w:tc>
      </w:tr>
      <w:tr w:rsidR="000A75D1" w:rsidRPr="00693594" w:rsidTr="00C70C58">
        <w:trPr>
          <w:trHeight w:val="145"/>
        </w:trPr>
        <w:tc>
          <w:tcPr>
            <w:tcW w:w="4395" w:type="dxa"/>
          </w:tcPr>
          <w:p w:rsidR="000A75D1" w:rsidRPr="00957600" w:rsidRDefault="000A75D1" w:rsidP="004247DA">
            <w:pPr>
              <w:jc w:val="left"/>
              <w:rPr>
                <w:rFonts w:cs="Arial"/>
              </w:rPr>
            </w:pPr>
            <w:r>
              <w:rPr>
                <w:rFonts w:cs="Arial"/>
                <w:sz w:val="20"/>
              </w:rPr>
              <w:t>Review and develop levels of service options and costing with inputs from fitness for purpose requirements taking into consideration of affordability and value for money</w:t>
            </w:r>
          </w:p>
        </w:tc>
        <w:tc>
          <w:tcPr>
            <w:tcW w:w="992" w:type="dxa"/>
          </w:tcPr>
          <w:p w:rsidR="000A75D1" w:rsidRPr="00693594" w:rsidRDefault="000A75D1" w:rsidP="004247DA">
            <w:pPr>
              <w:jc w:val="center"/>
              <w:rPr>
                <w:rFonts w:cs="Arial"/>
                <w:sz w:val="20"/>
              </w:rPr>
            </w:pPr>
            <w:r>
              <w:rPr>
                <w:rFonts w:cs="Arial"/>
                <w:sz w:val="20"/>
              </w:rPr>
              <w:t>Very High</w:t>
            </w:r>
          </w:p>
        </w:tc>
        <w:tc>
          <w:tcPr>
            <w:tcW w:w="2693" w:type="dxa"/>
          </w:tcPr>
          <w:p w:rsidR="000A75D1" w:rsidRPr="00693594" w:rsidRDefault="000A75D1" w:rsidP="004247DA">
            <w:pPr>
              <w:jc w:val="left"/>
              <w:rPr>
                <w:rFonts w:cs="Arial"/>
                <w:sz w:val="20"/>
              </w:rPr>
            </w:pPr>
            <w:r>
              <w:rPr>
                <w:rFonts w:cs="Arial"/>
                <w:sz w:val="20"/>
              </w:rPr>
              <w:t>Sustainable Asset Management and Buildings and Property Branch</w:t>
            </w:r>
          </w:p>
        </w:tc>
        <w:tc>
          <w:tcPr>
            <w:tcW w:w="992" w:type="dxa"/>
          </w:tcPr>
          <w:p w:rsidR="000A75D1" w:rsidRPr="00693594" w:rsidRDefault="000A75D1" w:rsidP="004247DA">
            <w:pPr>
              <w:jc w:val="center"/>
              <w:rPr>
                <w:rFonts w:cs="Arial"/>
                <w:sz w:val="20"/>
              </w:rPr>
            </w:pPr>
            <w:r>
              <w:rPr>
                <w:rFonts w:cs="Arial"/>
                <w:sz w:val="20"/>
              </w:rPr>
              <w:t>2014/15</w:t>
            </w:r>
          </w:p>
        </w:tc>
      </w:tr>
      <w:tr w:rsidR="000A75D1" w:rsidRPr="00693594" w:rsidTr="00C70C58">
        <w:trPr>
          <w:trHeight w:val="145"/>
        </w:trPr>
        <w:tc>
          <w:tcPr>
            <w:tcW w:w="4395" w:type="dxa"/>
          </w:tcPr>
          <w:p w:rsidR="000A75D1" w:rsidRPr="00957600" w:rsidRDefault="000A75D1" w:rsidP="004247DA">
            <w:pPr>
              <w:jc w:val="left"/>
              <w:rPr>
                <w:rFonts w:cs="Arial"/>
                <w:sz w:val="20"/>
              </w:rPr>
            </w:pPr>
            <w:r w:rsidRPr="00957600">
              <w:rPr>
                <w:rFonts w:cs="Arial"/>
                <w:sz w:val="20"/>
              </w:rPr>
              <w:t>Review risk process and develop risk register and mitigation measures for whole of building portfolio</w:t>
            </w:r>
          </w:p>
        </w:tc>
        <w:tc>
          <w:tcPr>
            <w:tcW w:w="992" w:type="dxa"/>
          </w:tcPr>
          <w:p w:rsidR="000A75D1" w:rsidRPr="00693594" w:rsidRDefault="000A75D1" w:rsidP="004247DA">
            <w:pPr>
              <w:jc w:val="center"/>
              <w:rPr>
                <w:rFonts w:cs="Arial"/>
                <w:sz w:val="20"/>
              </w:rPr>
            </w:pPr>
            <w:r>
              <w:rPr>
                <w:rFonts w:cs="Arial"/>
                <w:sz w:val="20"/>
              </w:rPr>
              <w:t>Very High</w:t>
            </w:r>
          </w:p>
        </w:tc>
        <w:tc>
          <w:tcPr>
            <w:tcW w:w="2693" w:type="dxa"/>
          </w:tcPr>
          <w:p w:rsidR="000A75D1" w:rsidRPr="00693594" w:rsidRDefault="000A75D1" w:rsidP="004247DA">
            <w:pPr>
              <w:jc w:val="left"/>
              <w:rPr>
                <w:rFonts w:cs="Arial"/>
                <w:sz w:val="20"/>
              </w:rPr>
            </w:pPr>
            <w:r>
              <w:rPr>
                <w:rFonts w:cs="Arial"/>
                <w:sz w:val="20"/>
              </w:rPr>
              <w:t>Buildings and Property Branch</w:t>
            </w:r>
          </w:p>
        </w:tc>
        <w:tc>
          <w:tcPr>
            <w:tcW w:w="992" w:type="dxa"/>
          </w:tcPr>
          <w:p w:rsidR="000A75D1" w:rsidRPr="00693594" w:rsidRDefault="000A75D1" w:rsidP="004247DA">
            <w:pPr>
              <w:jc w:val="center"/>
              <w:rPr>
                <w:rFonts w:cs="Arial"/>
                <w:sz w:val="20"/>
              </w:rPr>
            </w:pPr>
            <w:r>
              <w:rPr>
                <w:rFonts w:cs="Arial"/>
                <w:sz w:val="20"/>
              </w:rPr>
              <w:t>2014/15</w:t>
            </w:r>
          </w:p>
        </w:tc>
      </w:tr>
      <w:tr w:rsidR="000A75D1" w:rsidRPr="00693594" w:rsidTr="00C70C58">
        <w:trPr>
          <w:trHeight w:val="145"/>
        </w:trPr>
        <w:tc>
          <w:tcPr>
            <w:tcW w:w="4395" w:type="dxa"/>
          </w:tcPr>
          <w:p w:rsidR="000A75D1" w:rsidRPr="00716A52" w:rsidRDefault="000A75D1" w:rsidP="004247DA">
            <w:pPr>
              <w:jc w:val="left"/>
              <w:rPr>
                <w:rFonts w:cs="Arial"/>
                <w:sz w:val="20"/>
              </w:rPr>
            </w:pPr>
            <w:r w:rsidRPr="00716A52">
              <w:rPr>
                <w:rFonts w:cs="Arial"/>
                <w:sz w:val="20"/>
              </w:rPr>
              <w:t xml:space="preserve">Review and </w:t>
            </w:r>
            <w:r>
              <w:rPr>
                <w:rFonts w:cs="Arial"/>
                <w:sz w:val="20"/>
              </w:rPr>
              <w:t>develop</w:t>
            </w:r>
            <w:r w:rsidRPr="00716A52">
              <w:rPr>
                <w:rFonts w:cs="Arial"/>
                <w:sz w:val="20"/>
              </w:rPr>
              <w:t xml:space="preserve"> asset handover</w:t>
            </w:r>
            <w:r>
              <w:rPr>
                <w:rFonts w:cs="Arial"/>
                <w:sz w:val="20"/>
              </w:rPr>
              <w:t xml:space="preserve"> policy manual to define asset data specification and as built plan requirements for capital and maintenance projects</w:t>
            </w:r>
          </w:p>
        </w:tc>
        <w:tc>
          <w:tcPr>
            <w:tcW w:w="992" w:type="dxa"/>
          </w:tcPr>
          <w:p w:rsidR="000A75D1" w:rsidRPr="00693594" w:rsidRDefault="000A75D1" w:rsidP="004247DA">
            <w:pPr>
              <w:jc w:val="center"/>
              <w:rPr>
                <w:rFonts w:cs="Arial"/>
                <w:sz w:val="20"/>
              </w:rPr>
            </w:pPr>
            <w:r>
              <w:rPr>
                <w:rFonts w:cs="Arial"/>
                <w:sz w:val="20"/>
              </w:rPr>
              <w:t>Very High</w:t>
            </w:r>
          </w:p>
        </w:tc>
        <w:tc>
          <w:tcPr>
            <w:tcW w:w="2693" w:type="dxa"/>
          </w:tcPr>
          <w:p w:rsidR="000A75D1" w:rsidRPr="00693594" w:rsidRDefault="000A75D1" w:rsidP="004247DA">
            <w:pPr>
              <w:jc w:val="left"/>
              <w:rPr>
                <w:rFonts w:cs="Arial"/>
                <w:sz w:val="20"/>
              </w:rPr>
            </w:pPr>
            <w:r>
              <w:rPr>
                <w:rFonts w:cs="Arial"/>
                <w:sz w:val="20"/>
              </w:rPr>
              <w:t>Sustainable Asset Management and external consultant</w:t>
            </w:r>
          </w:p>
        </w:tc>
        <w:tc>
          <w:tcPr>
            <w:tcW w:w="992" w:type="dxa"/>
          </w:tcPr>
          <w:p w:rsidR="000A75D1" w:rsidRPr="00693594" w:rsidRDefault="000A75D1" w:rsidP="004247DA">
            <w:pPr>
              <w:jc w:val="center"/>
              <w:rPr>
                <w:rFonts w:cs="Arial"/>
                <w:sz w:val="20"/>
              </w:rPr>
            </w:pPr>
            <w:r>
              <w:rPr>
                <w:rFonts w:cs="Arial"/>
                <w:sz w:val="20"/>
              </w:rPr>
              <w:t>2013/14</w:t>
            </w:r>
          </w:p>
        </w:tc>
      </w:tr>
      <w:tr w:rsidR="000A75D1" w:rsidRPr="00693594" w:rsidTr="00C70C58">
        <w:trPr>
          <w:trHeight w:val="145"/>
        </w:trPr>
        <w:tc>
          <w:tcPr>
            <w:tcW w:w="4395" w:type="dxa"/>
            <w:tcBorders>
              <w:bottom w:val="single" w:sz="4" w:space="0" w:color="auto"/>
            </w:tcBorders>
          </w:tcPr>
          <w:p w:rsidR="000A75D1" w:rsidRPr="00957600" w:rsidRDefault="000A75D1" w:rsidP="004247DA">
            <w:pPr>
              <w:jc w:val="left"/>
              <w:rPr>
                <w:rFonts w:cs="Arial"/>
                <w:sz w:val="20"/>
              </w:rPr>
            </w:pPr>
            <w:r>
              <w:rPr>
                <w:rFonts w:cs="Arial"/>
                <w:sz w:val="20"/>
              </w:rPr>
              <w:t>Review lifecycle cost analysis process including CAPEX evaluation policies and link with fitness for purpose and DDA compliance requirements</w:t>
            </w:r>
          </w:p>
        </w:tc>
        <w:tc>
          <w:tcPr>
            <w:tcW w:w="992" w:type="dxa"/>
            <w:tcBorders>
              <w:bottom w:val="single" w:sz="4" w:space="0" w:color="auto"/>
            </w:tcBorders>
          </w:tcPr>
          <w:p w:rsidR="000A75D1" w:rsidRPr="00693594" w:rsidRDefault="000A75D1" w:rsidP="004247DA">
            <w:pPr>
              <w:jc w:val="center"/>
              <w:rPr>
                <w:rFonts w:cs="Arial"/>
                <w:sz w:val="20"/>
              </w:rPr>
            </w:pPr>
            <w:r>
              <w:rPr>
                <w:rFonts w:cs="Arial"/>
                <w:sz w:val="20"/>
              </w:rPr>
              <w:t>High</w:t>
            </w:r>
          </w:p>
        </w:tc>
        <w:tc>
          <w:tcPr>
            <w:tcW w:w="2693" w:type="dxa"/>
            <w:tcBorders>
              <w:bottom w:val="single" w:sz="4" w:space="0" w:color="auto"/>
            </w:tcBorders>
          </w:tcPr>
          <w:p w:rsidR="000A75D1" w:rsidRPr="00693594" w:rsidRDefault="000A75D1" w:rsidP="004247DA">
            <w:pPr>
              <w:jc w:val="left"/>
              <w:rPr>
                <w:rFonts w:cs="Arial"/>
                <w:sz w:val="20"/>
              </w:rPr>
            </w:pPr>
            <w:r>
              <w:rPr>
                <w:rFonts w:cs="Arial"/>
                <w:sz w:val="20"/>
              </w:rPr>
              <w:t>Sustainable Asset Management and Buildings and Property Branch</w:t>
            </w:r>
          </w:p>
        </w:tc>
        <w:tc>
          <w:tcPr>
            <w:tcW w:w="992" w:type="dxa"/>
            <w:tcBorders>
              <w:bottom w:val="single" w:sz="4" w:space="0" w:color="auto"/>
            </w:tcBorders>
          </w:tcPr>
          <w:p w:rsidR="000A75D1" w:rsidRPr="00693594" w:rsidRDefault="000A75D1" w:rsidP="004247DA">
            <w:pPr>
              <w:jc w:val="center"/>
              <w:rPr>
                <w:rFonts w:cs="Arial"/>
                <w:sz w:val="20"/>
              </w:rPr>
            </w:pPr>
            <w:r>
              <w:rPr>
                <w:rFonts w:cs="Arial"/>
                <w:sz w:val="20"/>
              </w:rPr>
              <w:t>2014/15</w:t>
            </w:r>
          </w:p>
        </w:tc>
      </w:tr>
      <w:tr w:rsidR="000A75D1" w:rsidRPr="00693594" w:rsidTr="00C70C58">
        <w:trPr>
          <w:trHeight w:val="145"/>
        </w:trPr>
        <w:tc>
          <w:tcPr>
            <w:tcW w:w="4395" w:type="dxa"/>
            <w:tcBorders>
              <w:bottom w:val="single" w:sz="4" w:space="0" w:color="auto"/>
            </w:tcBorders>
          </w:tcPr>
          <w:p w:rsidR="000A75D1" w:rsidRPr="00693594" w:rsidRDefault="000A75D1" w:rsidP="004247DA">
            <w:pPr>
              <w:jc w:val="left"/>
              <w:rPr>
                <w:rFonts w:cs="Arial"/>
                <w:sz w:val="20"/>
              </w:rPr>
            </w:pPr>
            <w:r w:rsidRPr="00866E9D">
              <w:rPr>
                <w:rFonts w:cs="Arial"/>
                <w:sz w:val="20"/>
              </w:rPr>
              <w:t>Implement risk based project prioritisation</w:t>
            </w:r>
            <w:r>
              <w:rPr>
                <w:rFonts w:cs="Arial"/>
                <w:sz w:val="20"/>
              </w:rPr>
              <w:t xml:space="preserve"> process Optimised Decision-Making process</w:t>
            </w:r>
            <w:r w:rsidRPr="00866E9D">
              <w:rPr>
                <w:rFonts w:cs="Arial"/>
                <w:sz w:val="20"/>
              </w:rPr>
              <w:t xml:space="preserve"> (ODM approach)</w:t>
            </w:r>
          </w:p>
        </w:tc>
        <w:tc>
          <w:tcPr>
            <w:tcW w:w="992" w:type="dxa"/>
            <w:tcBorders>
              <w:bottom w:val="single" w:sz="4" w:space="0" w:color="auto"/>
            </w:tcBorders>
          </w:tcPr>
          <w:p w:rsidR="000A75D1" w:rsidRPr="00693594" w:rsidRDefault="000A75D1" w:rsidP="004247DA">
            <w:pPr>
              <w:jc w:val="center"/>
              <w:rPr>
                <w:rFonts w:cs="Arial"/>
                <w:sz w:val="20"/>
              </w:rPr>
            </w:pPr>
            <w:r>
              <w:rPr>
                <w:rFonts w:cs="Arial"/>
                <w:sz w:val="20"/>
              </w:rPr>
              <w:t>High</w:t>
            </w:r>
          </w:p>
        </w:tc>
        <w:tc>
          <w:tcPr>
            <w:tcW w:w="2693" w:type="dxa"/>
            <w:tcBorders>
              <w:bottom w:val="single" w:sz="4" w:space="0" w:color="auto"/>
            </w:tcBorders>
          </w:tcPr>
          <w:p w:rsidR="000A75D1" w:rsidRPr="00693594" w:rsidRDefault="000A75D1" w:rsidP="004247DA">
            <w:pPr>
              <w:jc w:val="left"/>
              <w:rPr>
                <w:rFonts w:cs="Arial"/>
                <w:sz w:val="20"/>
              </w:rPr>
            </w:pPr>
            <w:r>
              <w:rPr>
                <w:rFonts w:cs="Arial"/>
                <w:sz w:val="20"/>
              </w:rPr>
              <w:t>Sustainable Asset Management and Buildings and Property Branch</w:t>
            </w:r>
          </w:p>
        </w:tc>
        <w:tc>
          <w:tcPr>
            <w:tcW w:w="992" w:type="dxa"/>
            <w:tcBorders>
              <w:bottom w:val="single" w:sz="4" w:space="0" w:color="auto"/>
            </w:tcBorders>
          </w:tcPr>
          <w:p w:rsidR="000A75D1" w:rsidRPr="00693594" w:rsidRDefault="000A75D1" w:rsidP="004247DA">
            <w:pPr>
              <w:jc w:val="center"/>
              <w:rPr>
                <w:rFonts w:cs="Arial"/>
                <w:sz w:val="20"/>
              </w:rPr>
            </w:pPr>
            <w:r>
              <w:rPr>
                <w:rFonts w:cs="Arial"/>
                <w:sz w:val="20"/>
              </w:rPr>
              <w:t>2015/16</w:t>
            </w:r>
          </w:p>
        </w:tc>
      </w:tr>
      <w:tr w:rsidR="000A75D1" w:rsidRPr="00693594" w:rsidTr="00C70C58">
        <w:trPr>
          <w:trHeight w:val="145"/>
        </w:trPr>
        <w:tc>
          <w:tcPr>
            <w:tcW w:w="4395" w:type="dxa"/>
            <w:tcBorders>
              <w:bottom w:val="single" w:sz="4" w:space="0" w:color="auto"/>
            </w:tcBorders>
          </w:tcPr>
          <w:p w:rsidR="000A75D1" w:rsidRPr="009F6C99" w:rsidRDefault="000A75D1" w:rsidP="004247DA">
            <w:pPr>
              <w:jc w:val="left"/>
              <w:rPr>
                <w:rFonts w:cs="Arial"/>
                <w:sz w:val="20"/>
              </w:rPr>
            </w:pPr>
            <w:r w:rsidRPr="009F6C99">
              <w:rPr>
                <w:rFonts w:cs="Arial"/>
                <w:sz w:val="20"/>
              </w:rPr>
              <w:t>Review and rationalise</w:t>
            </w:r>
            <w:r>
              <w:rPr>
                <w:rFonts w:cs="Arial"/>
                <w:sz w:val="20"/>
              </w:rPr>
              <w:t xml:space="preserve"> BAMP financial model and disposal processes to integrate with 10 year financial plan and Council Plan</w:t>
            </w:r>
          </w:p>
        </w:tc>
        <w:tc>
          <w:tcPr>
            <w:tcW w:w="992" w:type="dxa"/>
            <w:tcBorders>
              <w:bottom w:val="single" w:sz="4" w:space="0" w:color="auto"/>
            </w:tcBorders>
          </w:tcPr>
          <w:p w:rsidR="000A75D1" w:rsidRPr="00693594" w:rsidRDefault="000A75D1" w:rsidP="004247DA">
            <w:pPr>
              <w:jc w:val="center"/>
              <w:rPr>
                <w:rFonts w:cs="Arial"/>
                <w:sz w:val="20"/>
              </w:rPr>
            </w:pPr>
            <w:r>
              <w:rPr>
                <w:rFonts w:cs="Arial"/>
                <w:sz w:val="20"/>
              </w:rPr>
              <w:t>High</w:t>
            </w:r>
          </w:p>
        </w:tc>
        <w:tc>
          <w:tcPr>
            <w:tcW w:w="2693" w:type="dxa"/>
            <w:tcBorders>
              <w:bottom w:val="single" w:sz="4" w:space="0" w:color="auto"/>
            </w:tcBorders>
          </w:tcPr>
          <w:p w:rsidR="000A75D1" w:rsidRPr="00693594" w:rsidRDefault="000A75D1" w:rsidP="004247DA">
            <w:pPr>
              <w:jc w:val="left"/>
              <w:rPr>
                <w:rFonts w:cs="Arial"/>
                <w:sz w:val="20"/>
              </w:rPr>
            </w:pPr>
            <w:r>
              <w:rPr>
                <w:rFonts w:cs="Arial"/>
                <w:sz w:val="20"/>
              </w:rPr>
              <w:t>Sustainable Asset Management and Buildings and Property Branch</w:t>
            </w:r>
          </w:p>
        </w:tc>
        <w:tc>
          <w:tcPr>
            <w:tcW w:w="992" w:type="dxa"/>
            <w:tcBorders>
              <w:bottom w:val="single" w:sz="4" w:space="0" w:color="auto"/>
            </w:tcBorders>
          </w:tcPr>
          <w:p w:rsidR="000A75D1" w:rsidRPr="00693594" w:rsidRDefault="000A75D1" w:rsidP="004247DA">
            <w:pPr>
              <w:jc w:val="center"/>
              <w:rPr>
                <w:rFonts w:cs="Arial"/>
                <w:sz w:val="20"/>
              </w:rPr>
            </w:pPr>
            <w:r>
              <w:rPr>
                <w:rFonts w:cs="Arial"/>
                <w:sz w:val="20"/>
              </w:rPr>
              <w:t>2015/16</w:t>
            </w:r>
          </w:p>
        </w:tc>
      </w:tr>
      <w:tr w:rsidR="000A75D1" w:rsidRPr="00693594" w:rsidTr="0067372F">
        <w:trPr>
          <w:trHeight w:val="145"/>
        </w:trPr>
        <w:tc>
          <w:tcPr>
            <w:tcW w:w="9072" w:type="dxa"/>
            <w:gridSpan w:val="4"/>
            <w:shd w:val="clear" w:color="auto" w:fill="D9D9D9" w:themeFill="background1" w:themeFillShade="D9"/>
          </w:tcPr>
          <w:p w:rsidR="000A75D1" w:rsidRPr="000F58D9" w:rsidRDefault="000A75D1" w:rsidP="00C70C58">
            <w:pPr>
              <w:keepNext/>
              <w:keepLines/>
              <w:jc w:val="center"/>
              <w:rPr>
                <w:rFonts w:cs="Arial"/>
                <w:b/>
                <w:sz w:val="20"/>
              </w:rPr>
            </w:pPr>
            <w:r>
              <w:rPr>
                <w:rFonts w:cs="Arial"/>
                <w:b/>
                <w:sz w:val="20"/>
              </w:rPr>
              <w:t>Asset Management and Information Systems</w:t>
            </w:r>
          </w:p>
        </w:tc>
      </w:tr>
      <w:tr w:rsidR="00C70C58" w:rsidRPr="00693594" w:rsidTr="00C70C58">
        <w:trPr>
          <w:trHeight w:val="145"/>
        </w:trPr>
        <w:tc>
          <w:tcPr>
            <w:tcW w:w="4395" w:type="dxa"/>
            <w:tcBorders>
              <w:bottom w:val="single" w:sz="4" w:space="0" w:color="auto"/>
            </w:tcBorders>
          </w:tcPr>
          <w:p w:rsidR="000A75D1" w:rsidRPr="003309E3" w:rsidRDefault="000A75D1" w:rsidP="00C70C58">
            <w:pPr>
              <w:keepNext/>
              <w:keepLines/>
              <w:jc w:val="left"/>
              <w:rPr>
                <w:rFonts w:cs="Arial"/>
                <w:sz w:val="20"/>
              </w:rPr>
            </w:pPr>
            <w:r>
              <w:rPr>
                <w:rFonts w:cs="Arial"/>
                <w:sz w:val="20"/>
              </w:rPr>
              <w:t>Review existing asset register requirements including integration with Corporate Finance (Computron) to meet business needs</w:t>
            </w:r>
          </w:p>
        </w:tc>
        <w:tc>
          <w:tcPr>
            <w:tcW w:w="992" w:type="dxa"/>
            <w:tcBorders>
              <w:bottom w:val="single" w:sz="4" w:space="0" w:color="auto"/>
            </w:tcBorders>
          </w:tcPr>
          <w:p w:rsidR="000A75D1" w:rsidRPr="00693594" w:rsidRDefault="000A75D1" w:rsidP="00C70C58">
            <w:pPr>
              <w:keepNext/>
              <w:keepLines/>
              <w:jc w:val="center"/>
              <w:rPr>
                <w:rFonts w:cs="Arial"/>
                <w:sz w:val="20"/>
              </w:rPr>
            </w:pPr>
            <w:r>
              <w:rPr>
                <w:rFonts w:cs="Arial"/>
                <w:sz w:val="20"/>
              </w:rPr>
              <w:t>Very High</w:t>
            </w:r>
          </w:p>
        </w:tc>
        <w:tc>
          <w:tcPr>
            <w:tcW w:w="2693" w:type="dxa"/>
            <w:tcBorders>
              <w:bottom w:val="single" w:sz="4" w:space="0" w:color="auto"/>
            </w:tcBorders>
          </w:tcPr>
          <w:p w:rsidR="000A75D1" w:rsidRPr="00693594" w:rsidRDefault="000A75D1" w:rsidP="00C70C58">
            <w:pPr>
              <w:keepNext/>
              <w:keepLines/>
              <w:jc w:val="left"/>
              <w:rPr>
                <w:rFonts w:cs="Arial"/>
                <w:sz w:val="20"/>
              </w:rPr>
            </w:pPr>
            <w:r>
              <w:rPr>
                <w:rFonts w:cs="Arial"/>
                <w:sz w:val="20"/>
              </w:rPr>
              <w:t>Sustainable Asset Management and Buildings and Property Branch</w:t>
            </w:r>
          </w:p>
        </w:tc>
        <w:tc>
          <w:tcPr>
            <w:tcW w:w="992" w:type="dxa"/>
            <w:tcBorders>
              <w:bottom w:val="single" w:sz="4" w:space="0" w:color="auto"/>
            </w:tcBorders>
          </w:tcPr>
          <w:p w:rsidR="000A75D1" w:rsidRPr="00693594" w:rsidRDefault="000A75D1" w:rsidP="00C70C58">
            <w:pPr>
              <w:keepNext/>
              <w:keepLines/>
              <w:jc w:val="center"/>
              <w:rPr>
                <w:rFonts w:cs="Arial"/>
                <w:sz w:val="20"/>
              </w:rPr>
            </w:pPr>
            <w:r>
              <w:rPr>
                <w:rFonts w:cs="Arial"/>
                <w:sz w:val="20"/>
              </w:rPr>
              <w:t>2014/15</w:t>
            </w:r>
          </w:p>
        </w:tc>
      </w:tr>
      <w:tr w:rsidR="00C70C58" w:rsidRPr="00693594" w:rsidTr="00C70C58">
        <w:trPr>
          <w:trHeight w:val="145"/>
        </w:trPr>
        <w:tc>
          <w:tcPr>
            <w:tcW w:w="4395" w:type="dxa"/>
            <w:tcBorders>
              <w:bottom w:val="single" w:sz="4" w:space="0" w:color="auto"/>
            </w:tcBorders>
          </w:tcPr>
          <w:p w:rsidR="000A75D1" w:rsidRPr="003309E3" w:rsidRDefault="000A75D1" w:rsidP="00897C2D">
            <w:pPr>
              <w:keepNext/>
              <w:keepLines/>
              <w:jc w:val="left"/>
              <w:rPr>
                <w:rFonts w:cs="Arial"/>
                <w:sz w:val="20"/>
              </w:rPr>
            </w:pPr>
            <w:r>
              <w:rPr>
                <w:rFonts w:cs="Arial"/>
                <w:sz w:val="20"/>
              </w:rPr>
              <w:t>Review and reconcile condition rating criteria and populate or integrate condition database with asset register (Technology</w:t>
            </w:r>
            <w:r w:rsidR="00897C2D">
              <w:rPr>
                <w:rFonts w:cs="Arial"/>
                <w:sz w:val="20"/>
              </w:rPr>
              <w:t>One</w:t>
            </w:r>
            <w:r>
              <w:rPr>
                <w:rFonts w:cs="Arial"/>
                <w:sz w:val="20"/>
              </w:rPr>
              <w:t>) to develop robust renewal programme</w:t>
            </w:r>
          </w:p>
        </w:tc>
        <w:tc>
          <w:tcPr>
            <w:tcW w:w="992" w:type="dxa"/>
            <w:tcBorders>
              <w:bottom w:val="single" w:sz="4" w:space="0" w:color="auto"/>
            </w:tcBorders>
          </w:tcPr>
          <w:p w:rsidR="000A75D1" w:rsidRPr="00693594" w:rsidRDefault="000A75D1" w:rsidP="00C70C58">
            <w:pPr>
              <w:keepNext/>
              <w:keepLines/>
              <w:jc w:val="center"/>
              <w:rPr>
                <w:rFonts w:cs="Arial"/>
                <w:sz w:val="20"/>
              </w:rPr>
            </w:pPr>
            <w:r>
              <w:rPr>
                <w:rFonts w:cs="Arial"/>
                <w:sz w:val="20"/>
              </w:rPr>
              <w:t>Very High</w:t>
            </w:r>
          </w:p>
        </w:tc>
        <w:tc>
          <w:tcPr>
            <w:tcW w:w="2693" w:type="dxa"/>
            <w:tcBorders>
              <w:bottom w:val="single" w:sz="4" w:space="0" w:color="auto"/>
            </w:tcBorders>
          </w:tcPr>
          <w:p w:rsidR="000A75D1" w:rsidRPr="00693594" w:rsidRDefault="000A75D1" w:rsidP="00C70C58">
            <w:pPr>
              <w:keepNext/>
              <w:keepLines/>
              <w:jc w:val="left"/>
              <w:rPr>
                <w:rFonts w:cs="Arial"/>
                <w:sz w:val="20"/>
              </w:rPr>
            </w:pPr>
            <w:r>
              <w:rPr>
                <w:rFonts w:cs="Arial"/>
                <w:sz w:val="20"/>
              </w:rPr>
              <w:t>Sustainable Asset Management and Buildings and Property Branch</w:t>
            </w:r>
          </w:p>
        </w:tc>
        <w:tc>
          <w:tcPr>
            <w:tcW w:w="992" w:type="dxa"/>
            <w:tcBorders>
              <w:bottom w:val="single" w:sz="4" w:space="0" w:color="auto"/>
            </w:tcBorders>
          </w:tcPr>
          <w:p w:rsidR="000A75D1" w:rsidRPr="00693594" w:rsidRDefault="000A75D1" w:rsidP="00C70C58">
            <w:pPr>
              <w:keepNext/>
              <w:keepLines/>
              <w:jc w:val="center"/>
              <w:rPr>
                <w:rFonts w:cs="Arial"/>
                <w:sz w:val="20"/>
              </w:rPr>
            </w:pPr>
            <w:r>
              <w:rPr>
                <w:rFonts w:cs="Arial"/>
                <w:sz w:val="20"/>
              </w:rPr>
              <w:t>2014/15</w:t>
            </w:r>
          </w:p>
        </w:tc>
      </w:tr>
      <w:tr w:rsidR="000A75D1" w:rsidRPr="00693594" w:rsidTr="00C70C58">
        <w:trPr>
          <w:trHeight w:val="145"/>
        </w:trPr>
        <w:tc>
          <w:tcPr>
            <w:tcW w:w="4395" w:type="dxa"/>
            <w:tcBorders>
              <w:bottom w:val="single" w:sz="4" w:space="0" w:color="auto"/>
            </w:tcBorders>
          </w:tcPr>
          <w:p w:rsidR="000A75D1" w:rsidRPr="003309E3" w:rsidRDefault="000A75D1" w:rsidP="004247DA">
            <w:pPr>
              <w:jc w:val="left"/>
              <w:rPr>
                <w:rFonts w:cs="Arial"/>
                <w:sz w:val="20"/>
              </w:rPr>
            </w:pPr>
            <w:r>
              <w:rPr>
                <w:rFonts w:cs="Arial"/>
                <w:sz w:val="20"/>
              </w:rPr>
              <w:t xml:space="preserve">Review and implement integration of customer service request or customer relationship management (Merit/TRIM) systems with </w:t>
            </w:r>
            <w:r w:rsidR="00897C2D">
              <w:rPr>
                <w:rFonts w:cs="Arial"/>
                <w:sz w:val="20"/>
              </w:rPr>
              <w:t>TechnologyOne</w:t>
            </w:r>
            <w:r>
              <w:rPr>
                <w:rFonts w:cs="Arial"/>
                <w:sz w:val="20"/>
              </w:rPr>
              <w:t xml:space="preserve"> and GIS systems to manage all enquiries and effective and efficient maintenance management functionality</w:t>
            </w:r>
          </w:p>
        </w:tc>
        <w:tc>
          <w:tcPr>
            <w:tcW w:w="992" w:type="dxa"/>
            <w:tcBorders>
              <w:bottom w:val="single" w:sz="4" w:space="0" w:color="auto"/>
            </w:tcBorders>
          </w:tcPr>
          <w:p w:rsidR="000A75D1" w:rsidRPr="00693594" w:rsidRDefault="000A75D1" w:rsidP="004247DA">
            <w:pPr>
              <w:jc w:val="center"/>
              <w:rPr>
                <w:rFonts w:cs="Arial"/>
                <w:sz w:val="20"/>
              </w:rPr>
            </w:pPr>
            <w:r>
              <w:rPr>
                <w:rFonts w:cs="Arial"/>
                <w:sz w:val="20"/>
              </w:rPr>
              <w:t>Very High</w:t>
            </w:r>
          </w:p>
        </w:tc>
        <w:tc>
          <w:tcPr>
            <w:tcW w:w="2693" w:type="dxa"/>
            <w:tcBorders>
              <w:bottom w:val="single" w:sz="4" w:space="0" w:color="auto"/>
            </w:tcBorders>
          </w:tcPr>
          <w:p w:rsidR="000A75D1" w:rsidRPr="00693594" w:rsidRDefault="000A75D1" w:rsidP="004247DA">
            <w:pPr>
              <w:jc w:val="left"/>
              <w:rPr>
                <w:rFonts w:cs="Arial"/>
                <w:sz w:val="20"/>
              </w:rPr>
            </w:pPr>
            <w:r>
              <w:rPr>
                <w:rFonts w:cs="Arial"/>
                <w:sz w:val="20"/>
              </w:rPr>
              <w:t>Buildings and Property Branch</w:t>
            </w:r>
          </w:p>
        </w:tc>
        <w:tc>
          <w:tcPr>
            <w:tcW w:w="992" w:type="dxa"/>
            <w:tcBorders>
              <w:bottom w:val="single" w:sz="4" w:space="0" w:color="auto"/>
            </w:tcBorders>
          </w:tcPr>
          <w:p w:rsidR="000A75D1" w:rsidRPr="00693594" w:rsidRDefault="000A75D1" w:rsidP="004247DA">
            <w:pPr>
              <w:jc w:val="center"/>
              <w:rPr>
                <w:rFonts w:cs="Arial"/>
                <w:sz w:val="20"/>
              </w:rPr>
            </w:pPr>
            <w:r>
              <w:rPr>
                <w:rFonts w:cs="Arial"/>
                <w:sz w:val="20"/>
              </w:rPr>
              <w:t>2013/14</w:t>
            </w:r>
          </w:p>
        </w:tc>
      </w:tr>
      <w:tr w:rsidR="000A75D1" w:rsidRPr="00693594" w:rsidTr="00C70C58">
        <w:trPr>
          <w:trHeight w:val="145"/>
        </w:trPr>
        <w:tc>
          <w:tcPr>
            <w:tcW w:w="4395" w:type="dxa"/>
            <w:tcBorders>
              <w:bottom w:val="single" w:sz="4" w:space="0" w:color="auto"/>
            </w:tcBorders>
          </w:tcPr>
          <w:p w:rsidR="000A75D1" w:rsidRPr="00693594" w:rsidRDefault="000A75D1" w:rsidP="004247DA">
            <w:pPr>
              <w:jc w:val="left"/>
              <w:rPr>
                <w:rFonts w:cs="Arial"/>
                <w:sz w:val="20"/>
              </w:rPr>
            </w:pPr>
            <w:r>
              <w:rPr>
                <w:rFonts w:cs="Arial"/>
                <w:sz w:val="20"/>
              </w:rPr>
              <w:t xml:space="preserve">Review forward works programming system requirements to record and manage all capital projects in one system and developing optimal budget scenarios based on affordability/available budgets. </w:t>
            </w:r>
          </w:p>
        </w:tc>
        <w:tc>
          <w:tcPr>
            <w:tcW w:w="992" w:type="dxa"/>
            <w:tcBorders>
              <w:bottom w:val="single" w:sz="4" w:space="0" w:color="auto"/>
            </w:tcBorders>
          </w:tcPr>
          <w:p w:rsidR="000A75D1" w:rsidRPr="00693594" w:rsidRDefault="000A75D1" w:rsidP="004247DA">
            <w:pPr>
              <w:jc w:val="center"/>
              <w:rPr>
                <w:rFonts w:cs="Arial"/>
                <w:sz w:val="20"/>
              </w:rPr>
            </w:pPr>
            <w:r>
              <w:rPr>
                <w:rFonts w:cs="Arial"/>
                <w:sz w:val="20"/>
              </w:rPr>
              <w:t>Very High</w:t>
            </w:r>
          </w:p>
        </w:tc>
        <w:tc>
          <w:tcPr>
            <w:tcW w:w="2693" w:type="dxa"/>
            <w:tcBorders>
              <w:bottom w:val="single" w:sz="4" w:space="0" w:color="auto"/>
            </w:tcBorders>
          </w:tcPr>
          <w:p w:rsidR="000A75D1" w:rsidRPr="00693594" w:rsidRDefault="000A75D1" w:rsidP="004247DA">
            <w:pPr>
              <w:jc w:val="left"/>
              <w:rPr>
                <w:rFonts w:cs="Arial"/>
                <w:sz w:val="20"/>
              </w:rPr>
            </w:pPr>
            <w:r>
              <w:rPr>
                <w:rFonts w:cs="Arial"/>
                <w:sz w:val="20"/>
              </w:rPr>
              <w:t>Sustainable Asset Management</w:t>
            </w:r>
          </w:p>
        </w:tc>
        <w:tc>
          <w:tcPr>
            <w:tcW w:w="992" w:type="dxa"/>
            <w:tcBorders>
              <w:bottom w:val="single" w:sz="4" w:space="0" w:color="auto"/>
            </w:tcBorders>
          </w:tcPr>
          <w:p w:rsidR="000A75D1" w:rsidRPr="00693594" w:rsidRDefault="000A75D1" w:rsidP="004247DA">
            <w:pPr>
              <w:jc w:val="center"/>
              <w:rPr>
                <w:rFonts w:cs="Arial"/>
                <w:sz w:val="20"/>
              </w:rPr>
            </w:pPr>
            <w:r>
              <w:rPr>
                <w:rFonts w:cs="Arial"/>
                <w:sz w:val="20"/>
              </w:rPr>
              <w:t>2014/15</w:t>
            </w:r>
          </w:p>
        </w:tc>
      </w:tr>
      <w:tr w:rsidR="000A75D1" w:rsidRPr="00693594" w:rsidTr="00C70C58">
        <w:trPr>
          <w:trHeight w:val="145"/>
        </w:trPr>
        <w:tc>
          <w:tcPr>
            <w:tcW w:w="4395" w:type="dxa"/>
            <w:tcBorders>
              <w:bottom w:val="single" w:sz="4" w:space="0" w:color="auto"/>
            </w:tcBorders>
          </w:tcPr>
          <w:p w:rsidR="000A75D1" w:rsidRPr="0053081C" w:rsidRDefault="000A75D1" w:rsidP="00897C2D">
            <w:pPr>
              <w:jc w:val="left"/>
              <w:rPr>
                <w:rFonts w:cs="Arial"/>
                <w:sz w:val="20"/>
              </w:rPr>
            </w:pPr>
            <w:r w:rsidRPr="0053081C">
              <w:rPr>
                <w:rFonts w:cs="Arial"/>
                <w:sz w:val="20"/>
              </w:rPr>
              <w:t xml:space="preserve">Review and reconcile </w:t>
            </w:r>
            <w:r>
              <w:rPr>
                <w:rFonts w:cs="Arial"/>
                <w:sz w:val="20"/>
              </w:rPr>
              <w:t xml:space="preserve">corporate </w:t>
            </w:r>
            <w:r w:rsidRPr="0053081C">
              <w:rPr>
                <w:rFonts w:cs="Arial"/>
                <w:sz w:val="20"/>
              </w:rPr>
              <w:t>risk</w:t>
            </w:r>
            <w:r>
              <w:rPr>
                <w:rFonts w:cs="Arial"/>
                <w:sz w:val="20"/>
              </w:rPr>
              <w:t xml:space="preserve"> management system (Interplan) and develop risk register for all building assets and populate criticality in Technology</w:t>
            </w:r>
            <w:r w:rsidR="00897C2D">
              <w:rPr>
                <w:rFonts w:cs="Arial"/>
                <w:sz w:val="20"/>
              </w:rPr>
              <w:t>One</w:t>
            </w:r>
          </w:p>
        </w:tc>
        <w:tc>
          <w:tcPr>
            <w:tcW w:w="992" w:type="dxa"/>
            <w:tcBorders>
              <w:bottom w:val="single" w:sz="4" w:space="0" w:color="auto"/>
            </w:tcBorders>
          </w:tcPr>
          <w:p w:rsidR="000A75D1" w:rsidRPr="00693594" w:rsidRDefault="000A75D1" w:rsidP="004247DA">
            <w:pPr>
              <w:jc w:val="center"/>
              <w:rPr>
                <w:rFonts w:cs="Arial"/>
                <w:sz w:val="20"/>
              </w:rPr>
            </w:pPr>
            <w:r>
              <w:rPr>
                <w:rFonts w:cs="Arial"/>
                <w:sz w:val="20"/>
              </w:rPr>
              <w:t>Very High</w:t>
            </w:r>
          </w:p>
        </w:tc>
        <w:tc>
          <w:tcPr>
            <w:tcW w:w="2693" w:type="dxa"/>
            <w:tcBorders>
              <w:bottom w:val="single" w:sz="4" w:space="0" w:color="auto"/>
            </w:tcBorders>
          </w:tcPr>
          <w:p w:rsidR="000A75D1" w:rsidRPr="00693594" w:rsidRDefault="000A75D1" w:rsidP="004247DA">
            <w:pPr>
              <w:jc w:val="left"/>
              <w:rPr>
                <w:rFonts w:cs="Arial"/>
                <w:sz w:val="20"/>
              </w:rPr>
            </w:pPr>
            <w:r>
              <w:rPr>
                <w:rFonts w:cs="Arial"/>
                <w:sz w:val="20"/>
              </w:rPr>
              <w:t>Buildings and Property Branch</w:t>
            </w:r>
          </w:p>
        </w:tc>
        <w:tc>
          <w:tcPr>
            <w:tcW w:w="992" w:type="dxa"/>
            <w:tcBorders>
              <w:bottom w:val="single" w:sz="4" w:space="0" w:color="auto"/>
            </w:tcBorders>
          </w:tcPr>
          <w:p w:rsidR="000A75D1" w:rsidRPr="00693594" w:rsidRDefault="000A75D1" w:rsidP="004247DA">
            <w:pPr>
              <w:jc w:val="center"/>
              <w:rPr>
                <w:rFonts w:cs="Arial"/>
                <w:sz w:val="20"/>
              </w:rPr>
            </w:pPr>
            <w:r>
              <w:rPr>
                <w:rFonts w:cs="Arial"/>
                <w:sz w:val="20"/>
              </w:rPr>
              <w:t>2015/16</w:t>
            </w:r>
          </w:p>
        </w:tc>
      </w:tr>
      <w:tr w:rsidR="000A75D1" w:rsidRPr="00693594" w:rsidTr="0067372F">
        <w:trPr>
          <w:trHeight w:val="145"/>
        </w:trPr>
        <w:tc>
          <w:tcPr>
            <w:tcW w:w="9072" w:type="dxa"/>
            <w:gridSpan w:val="4"/>
            <w:shd w:val="clear" w:color="auto" w:fill="D9D9D9" w:themeFill="background1" w:themeFillShade="D9"/>
          </w:tcPr>
          <w:p w:rsidR="000A75D1" w:rsidRPr="000F58D9" w:rsidRDefault="000A75D1" w:rsidP="004247DA">
            <w:pPr>
              <w:jc w:val="center"/>
              <w:rPr>
                <w:rFonts w:cs="Arial"/>
                <w:b/>
                <w:sz w:val="20"/>
              </w:rPr>
            </w:pPr>
            <w:r w:rsidRPr="000F58D9">
              <w:rPr>
                <w:rFonts w:cs="Arial"/>
                <w:b/>
                <w:sz w:val="20"/>
              </w:rPr>
              <w:t>Information and Data</w:t>
            </w:r>
          </w:p>
        </w:tc>
      </w:tr>
      <w:tr w:rsidR="000A75D1" w:rsidRPr="00693594" w:rsidTr="00C70C58">
        <w:trPr>
          <w:trHeight w:val="145"/>
        </w:trPr>
        <w:tc>
          <w:tcPr>
            <w:tcW w:w="4395" w:type="dxa"/>
          </w:tcPr>
          <w:p w:rsidR="000A75D1" w:rsidRPr="00693594" w:rsidRDefault="000A75D1" w:rsidP="004247DA">
            <w:pPr>
              <w:jc w:val="left"/>
              <w:rPr>
                <w:rFonts w:cs="Arial"/>
                <w:sz w:val="20"/>
              </w:rPr>
            </w:pPr>
            <w:r>
              <w:rPr>
                <w:rFonts w:cs="Arial"/>
                <w:sz w:val="20"/>
              </w:rPr>
              <w:t>Review quality and completeness of asset data and information including condition, performance and utilisation/capacity of each facility/building</w:t>
            </w:r>
          </w:p>
        </w:tc>
        <w:tc>
          <w:tcPr>
            <w:tcW w:w="992" w:type="dxa"/>
          </w:tcPr>
          <w:p w:rsidR="000A75D1" w:rsidRPr="00693594" w:rsidRDefault="000A75D1" w:rsidP="004247DA">
            <w:pPr>
              <w:jc w:val="center"/>
              <w:rPr>
                <w:rFonts w:cs="Arial"/>
                <w:sz w:val="20"/>
              </w:rPr>
            </w:pPr>
            <w:r>
              <w:rPr>
                <w:rFonts w:cs="Arial"/>
                <w:sz w:val="20"/>
              </w:rPr>
              <w:t>Very High</w:t>
            </w:r>
          </w:p>
        </w:tc>
        <w:tc>
          <w:tcPr>
            <w:tcW w:w="2693" w:type="dxa"/>
          </w:tcPr>
          <w:p w:rsidR="000A75D1" w:rsidRPr="00693594" w:rsidRDefault="000A75D1" w:rsidP="004247DA">
            <w:pPr>
              <w:jc w:val="left"/>
              <w:rPr>
                <w:rFonts w:cs="Arial"/>
                <w:sz w:val="20"/>
              </w:rPr>
            </w:pPr>
            <w:r>
              <w:rPr>
                <w:rFonts w:cs="Arial"/>
                <w:sz w:val="20"/>
              </w:rPr>
              <w:t>Sustainable Asset Management and Buildings and Property Branch</w:t>
            </w:r>
          </w:p>
        </w:tc>
        <w:tc>
          <w:tcPr>
            <w:tcW w:w="992" w:type="dxa"/>
          </w:tcPr>
          <w:p w:rsidR="000A75D1" w:rsidRPr="00693594" w:rsidRDefault="000A75D1" w:rsidP="004247DA">
            <w:pPr>
              <w:jc w:val="center"/>
              <w:rPr>
                <w:rFonts w:cs="Arial"/>
                <w:sz w:val="20"/>
              </w:rPr>
            </w:pPr>
            <w:r>
              <w:rPr>
                <w:rFonts w:cs="Arial"/>
                <w:sz w:val="20"/>
              </w:rPr>
              <w:t>2014/15</w:t>
            </w:r>
          </w:p>
        </w:tc>
      </w:tr>
      <w:tr w:rsidR="000A75D1" w:rsidRPr="00693594" w:rsidTr="00C70C58">
        <w:trPr>
          <w:trHeight w:val="145"/>
        </w:trPr>
        <w:tc>
          <w:tcPr>
            <w:tcW w:w="4395" w:type="dxa"/>
          </w:tcPr>
          <w:p w:rsidR="000A75D1" w:rsidRPr="00693594" w:rsidRDefault="000A75D1" w:rsidP="004247DA">
            <w:pPr>
              <w:jc w:val="left"/>
              <w:rPr>
                <w:rFonts w:cs="Arial"/>
                <w:sz w:val="20"/>
              </w:rPr>
            </w:pPr>
            <w:r>
              <w:rPr>
                <w:rFonts w:cs="Arial"/>
                <w:sz w:val="20"/>
              </w:rPr>
              <w:t>Conduct CAPEX and OPEX analysis including consequential OPEX due to CAPEX</w:t>
            </w:r>
          </w:p>
        </w:tc>
        <w:tc>
          <w:tcPr>
            <w:tcW w:w="992" w:type="dxa"/>
          </w:tcPr>
          <w:p w:rsidR="000A75D1" w:rsidRPr="00693594" w:rsidRDefault="000A75D1" w:rsidP="004247DA">
            <w:pPr>
              <w:jc w:val="center"/>
              <w:rPr>
                <w:rFonts w:cs="Arial"/>
                <w:sz w:val="20"/>
              </w:rPr>
            </w:pPr>
            <w:r>
              <w:rPr>
                <w:rFonts w:cs="Arial"/>
                <w:sz w:val="20"/>
              </w:rPr>
              <w:t>Very High</w:t>
            </w:r>
          </w:p>
        </w:tc>
        <w:tc>
          <w:tcPr>
            <w:tcW w:w="2693" w:type="dxa"/>
          </w:tcPr>
          <w:p w:rsidR="000A75D1" w:rsidRPr="00693594" w:rsidRDefault="000A75D1" w:rsidP="004247DA">
            <w:pPr>
              <w:jc w:val="left"/>
              <w:rPr>
                <w:rFonts w:cs="Arial"/>
                <w:sz w:val="20"/>
              </w:rPr>
            </w:pPr>
            <w:r>
              <w:rPr>
                <w:rFonts w:cs="Arial"/>
                <w:sz w:val="20"/>
              </w:rPr>
              <w:t>Sustainable Asset Management and external consultant</w:t>
            </w:r>
          </w:p>
        </w:tc>
        <w:tc>
          <w:tcPr>
            <w:tcW w:w="992" w:type="dxa"/>
          </w:tcPr>
          <w:p w:rsidR="000A75D1" w:rsidRPr="00693594" w:rsidRDefault="000A75D1" w:rsidP="004247DA">
            <w:pPr>
              <w:jc w:val="center"/>
              <w:rPr>
                <w:rFonts w:cs="Arial"/>
                <w:sz w:val="20"/>
              </w:rPr>
            </w:pPr>
            <w:r>
              <w:rPr>
                <w:rFonts w:cs="Arial"/>
                <w:sz w:val="20"/>
              </w:rPr>
              <w:t>2016/17</w:t>
            </w:r>
          </w:p>
        </w:tc>
      </w:tr>
      <w:tr w:rsidR="000A75D1" w:rsidRPr="00693594" w:rsidTr="00C70C58">
        <w:trPr>
          <w:trHeight w:val="145"/>
        </w:trPr>
        <w:tc>
          <w:tcPr>
            <w:tcW w:w="4395" w:type="dxa"/>
            <w:tcBorders>
              <w:bottom w:val="single" w:sz="4" w:space="0" w:color="auto"/>
            </w:tcBorders>
          </w:tcPr>
          <w:p w:rsidR="000A75D1" w:rsidRPr="00693594" w:rsidRDefault="000A75D1" w:rsidP="004247DA">
            <w:pPr>
              <w:jc w:val="left"/>
              <w:rPr>
                <w:rFonts w:cs="Arial"/>
                <w:sz w:val="20"/>
              </w:rPr>
            </w:pPr>
            <w:r>
              <w:rPr>
                <w:rFonts w:cs="Arial"/>
                <w:sz w:val="20"/>
              </w:rPr>
              <w:t xml:space="preserve">Review condition assessment and rating criteria consistent with industry practice and populate condition data in </w:t>
            </w:r>
            <w:r w:rsidR="00897C2D">
              <w:rPr>
                <w:rFonts w:cs="Arial"/>
                <w:sz w:val="20"/>
              </w:rPr>
              <w:t>TechnologyOne</w:t>
            </w:r>
          </w:p>
        </w:tc>
        <w:tc>
          <w:tcPr>
            <w:tcW w:w="992" w:type="dxa"/>
            <w:tcBorders>
              <w:bottom w:val="single" w:sz="4" w:space="0" w:color="auto"/>
            </w:tcBorders>
          </w:tcPr>
          <w:p w:rsidR="000A75D1" w:rsidRPr="00693594" w:rsidRDefault="000A75D1" w:rsidP="004247DA">
            <w:pPr>
              <w:jc w:val="center"/>
              <w:rPr>
                <w:rFonts w:cs="Arial"/>
                <w:sz w:val="20"/>
              </w:rPr>
            </w:pPr>
            <w:r>
              <w:rPr>
                <w:rFonts w:cs="Arial"/>
                <w:sz w:val="20"/>
              </w:rPr>
              <w:t>Very High</w:t>
            </w:r>
          </w:p>
        </w:tc>
        <w:tc>
          <w:tcPr>
            <w:tcW w:w="2693" w:type="dxa"/>
            <w:tcBorders>
              <w:bottom w:val="single" w:sz="4" w:space="0" w:color="auto"/>
            </w:tcBorders>
          </w:tcPr>
          <w:p w:rsidR="000A75D1" w:rsidRPr="00693594" w:rsidRDefault="000A75D1" w:rsidP="004247DA">
            <w:pPr>
              <w:jc w:val="left"/>
              <w:rPr>
                <w:rFonts w:cs="Arial"/>
                <w:sz w:val="20"/>
              </w:rPr>
            </w:pPr>
            <w:r>
              <w:rPr>
                <w:rFonts w:cs="Arial"/>
                <w:sz w:val="20"/>
              </w:rPr>
              <w:t>Sustainable Asset Management, Buildings and Property Branch and external consultant</w:t>
            </w:r>
          </w:p>
        </w:tc>
        <w:tc>
          <w:tcPr>
            <w:tcW w:w="992" w:type="dxa"/>
            <w:tcBorders>
              <w:bottom w:val="single" w:sz="4" w:space="0" w:color="auto"/>
            </w:tcBorders>
          </w:tcPr>
          <w:p w:rsidR="000A75D1" w:rsidRPr="00693594" w:rsidRDefault="000A75D1" w:rsidP="004247DA">
            <w:pPr>
              <w:jc w:val="center"/>
              <w:rPr>
                <w:rFonts w:cs="Arial"/>
                <w:sz w:val="20"/>
              </w:rPr>
            </w:pPr>
            <w:r>
              <w:rPr>
                <w:rFonts w:cs="Arial"/>
                <w:sz w:val="20"/>
              </w:rPr>
              <w:t>2015/16</w:t>
            </w:r>
          </w:p>
        </w:tc>
      </w:tr>
      <w:tr w:rsidR="000A75D1" w:rsidRPr="00693594" w:rsidTr="00C70C58">
        <w:trPr>
          <w:trHeight w:val="145"/>
        </w:trPr>
        <w:tc>
          <w:tcPr>
            <w:tcW w:w="4395" w:type="dxa"/>
            <w:tcBorders>
              <w:bottom w:val="single" w:sz="4" w:space="0" w:color="auto"/>
            </w:tcBorders>
          </w:tcPr>
          <w:p w:rsidR="000A75D1" w:rsidRPr="00840C46" w:rsidRDefault="000A75D1" w:rsidP="004247DA">
            <w:pPr>
              <w:jc w:val="left"/>
              <w:rPr>
                <w:rFonts w:cs="Arial"/>
                <w:sz w:val="20"/>
              </w:rPr>
            </w:pPr>
            <w:r w:rsidRPr="00840C46">
              <w:rPr>
                <w:rFonts w:cs="Arial"/>
                <w:sz w:val="20"/>
              </w:rPr>
              <w:t xml:space="preserve">Record </w:t>
            </w:r>
            <w:r>
              <w:rPr>
                <w:rFonts w:cs="Arial"/>
                <w:sz w:val="20"/>
              </w:rPr>
              <w:t>risk or criticality rating for each asset to link with renewal requirements</w:t>
            </w:r>
          </w:p>
        </w:tc>
        <w:tc>
          <w:tcPr>
            <w:tcW w:w="992" w:type="dxa"/>
            <w:tcBorders>
              <w:bottom w:val="single" w:sz="4" w:space="0" w:color="auto"/>
            </w:tcBorders>
          </w:tcPr>
          <w:p w:rsidR="000A75D1" w:rsidRPr="00693594" w:rsidRDefault="000A75D1" w:rsidP="004247DA">
            <w:pPr>
              <w:jc w:val="center"/>
              <w:rPr>
                <w:rFonts w:cs="Arial"/>
                <w:sz w:val="20"/>
              </w:rPr>
            </w:pPr>
            <w:r>
              <w:rPr>
                <w:rFonts w:cs="Arial"/>
                <w:sz w:val="20"/>
              </w:rPr>
              <w:t>Very High</w:t>
            </w:r>
          </w:p>
        </w:tc>
        <w:tc>
          <w:tcPr>
            <w:tcW w:w="2693" w:type="dxa"/>
            <w:tcBorders>
              <w:bottom w:val="single" w:sz="4" w:space="0" w:color="auto"/>
            </w:tcBorders>
          </w:tcPr>
          <w:p w:rsidR="000A75D1" w:rsidRPr="00693594" w:rsidRDefault="000A75D1" w:rsidP="004247DA">
            <w:pPr>
              <w:jc w:val="left"/>
              <w:rPr>
                <w:rFonts w:cs="Arial"/>
                <w:sz w:val="20"/>
              </w:rPr>
            </w:pPr>
            <w:r>
              <w:rPr>
                <w:rFonts w:cs="Arial"/>
                <w:sz w:val="20"/>
              </w:rPr>
              <w:t>Sustainable Asset Management and Buildings and Property Branch</w:t>
            </w:r>
          </w:p>
        </w:tc>
        <w:tc>
          <w:tcPr>
            <w:tcW w:w="992" w:type="dxa"/>
            <w:tcBorders>
              <w:bottom w:val="single" w:sz="4" w:space="0" w:color="auto"/>
            </w:tcBorders>
          </w:tcPr>
          <w:p w:rsidR="000A75D1" w:rsidRPr="00693594" w:rsidRDefault="000A75D1" w:rsidP="004247DA">
            <w:pPr>
              <w:jc w:val="center"/>
              <w:rPr>
                <w:rFonts w:cs="Arial"/>
                <w:sz w:val="20"/>
              </w:rPr>
            </w:pPr>
            <w:r>
              <w:rPr>
                <w:rFonts w:cs="Arial"/>
                <w:sz w:val="20"/>
              </w:rPr>
              <w:t>2015/16</w:t>
            </w:r>
          </w:p>
        </w:tc>
      </w:tr>
      <w:tr w:rsidR="000A75D1" w:rsidRPr="00693594" w:rsidTr="0067372F">
        <w:trPr>
          <w:trHeight w:val="145"/>
        </w:trPr>
        <w:tc>
          <w:tcPr>
            <w:tcW w:w="9072" w:type="dxa"/>
            <w:gridSpan w:val="4"/>
            <w:shd w:val="clear" w:color="auto" w:fill="D9D9D9" w:themeFill="background1" w:themeFillShade="D9"/>
          </w:tcPr>
          <w:p w:rsidR="000A75D1" w:rsidRPr="000F58D9" w:rsidRDefault="000A75D1" w:rsidP="004247DA">
            <w:pPr>
              <w:jc w:val="center"/>
              <w:rPr>
                <w:rFonts w:cs="Arial"/>
                <w:b/>
                <w:sz w:val="20"/>
              </w:rPr>
            </w:pPr>
            <w:r>
              <w:rPr>
                <w:rFonts w:cs="Arial"/>
                <w:b/>
                <w:sz w:val="20"/>
              </w:rPr>
              <w:t>Organisational Capacity</w:t>
            </w:r>
          </w:p>
        </w:tc>
      </w:tr>
      <w:tr w:rsidR="000A75D1" w:rsidRPr="00693594" w:rsidTr="00C70C58">
        <w:trPr>
          <w:trHeight w:val="145"/>
        </w:trPr>
        <w:tc>
          <w:tcPr>
            <w:tcW w:w="4395" w:type="dxa"/>
          </w:tcPr>
          <w:p w:rsidR="000A75D1" w:rsidRPr="00840C46" w:rsidRDefault="000A75D1" w:rsidP="004247DA">
            <w:pPr>
              <w:jc w:val="left"/>
              <w:rPr>
                <w:rFonts w:cs="Arial"/>
                <w:sz w:val="20"/>
              </w:rPr>
            </w:pPr>
            <w:r w:rsidRPr="00840C46">
              <w:rPr>
                <w:rFonts w:cs="Arial"/>
                <w:sz w:val="20"/>
              </w:rPr>
              <w:t>Develop</w:t>
            </w:r>
            <w:r>
              <w:rPr>
                <w:rFonts w:cs="Arial"/>
                <w:sz w:val="20"/>
              </w:rPr>
              <w:t xml:space="preserve"> training programme and conduct skills transfer training workshops involving senior management team, asset  management, project and service delivery teams</w:t>
            </w:r>
          </w:p>
        </w:tc>
        <w:tc>
          <w:tcPr>
            <w:tcW w:w="992" w:type="dxa"/>
          </w:tcPr>
          <w:p w:rsidR="000A75D1" w:rsidRPr="00693594" w:rsidRDefault="000A75D1" w:rsidP="004247DA">
            <w:pPr>
              <w:jc w:val="center"/>
              <w:rPr>
                <w:rFonts w:cs="Arial"/>
                <w:sz w:val="20"/>
              </w:rPr>
            </w:pPr>
            <w:r>
              <w:rPr>
                <w:rFonts w:cs="Arial"/>
                <w:sz w:val="20"/>
              </w:rPr>
              <w:t>Very High</w:t>
            </w:r>
          </w:p>
        </w:tc>
        <w:tc>
          <w:tcPr>
            <w:tcW w:w="2693" w:type="dxa"/>
          </w:tcPr>
          <w:p w:rsidR="000A75D1" w:rsidRPr="00693594" w:rsidRDefault="000A75D1" w:rsidP="004247DA">
            <w:pPr>
              <w:jc w:val="left"/>
              <w:rPr>
                <w:rFonts w:cs="Arial"/>
                <w:sz w:val="20"/>
              </w:rPr>
            </w:pPr>
            <w:r>
              <w:rPr>
                <w:rFonts w:cs="Arial"/>
                <w:sz w:val="20"/>
              </w:rPr>
              <w:t>Sustainable Asset Management and external consultant</w:t>
            </w:r>
          </w:p>
        </w:tc>
        <w:tc>
          <w:tcPr>
            <w:tcW w:w="992" w:type="dxa"/>
          </w:tcPr>
          <w:p w:rsidR="000A75D1" w:rsidRPr="00693594" w:rsidRDefault="000A75D1" w:rsidP="004247DA">
            <w:pPr>
              <w:jc w:val="center"/>
              <w:rPr>
                <w:rFonts w:cs="Arial"/>
                <w:sz w:val="20"/>
              </w:rPr>
            </w:pPr>
            <w:r>
              <w:rPr>
                <w:rFonts w:cs="Arial"/>
                <w:sz w:val="20"/>
              </w:rPr>
              <w:t>Ongoing</w:t>
            </w:r>
          </w:p>
        </w:tc>
      </w:tr>
      <w:tr w:rsidR="000A75D1" w:rsidRPr="00693594" w:rsidTr="00C70C58">
        <w:trPr>
          <w:trHeight w:val="145"/>
        </w:trPr>
        <w:tc>
          <w:tcPr>
            <w:tcW w:w="4395" w:type="dxa"/>
          </w:tcPr>
          <w:p w:rsidR="000A75D1" w:rsidRPr="00693594" w:rsidRDefault="000A75D1" w:rsidP="004247DA">
            <w:pPr>
              <w:jc w:val="left"/>
              <w:rPr>
                <w:rFonts w:cs="Arial"/>
                <w:sz w:val="20"/>
              </w:rPr>
            </w:pPr>
            <w:r>
              <w:rPr>
                <w:rFonts w:cs="Arial"/>
                <w:sz w:val="20"/>
              </w:rPr>
              <w:t>Review and update asset management plan production requirements and budgets over the next 4 years</w:t>
            </w:r>
          </w:p>
        </w:tc>
        <w:tc>
          <w:tcPr>
            <w:tcW w:w="992" w:type="dxa"/>
          </w:tcPr>
          <w:p w:rsidR="000A75D1" w:rsidRPr="00693594" w:rsidRDefault="000A75D1" w:rsidP="004247DA">
            <w:pPr>
              <w:jc w:val="center"/>
              <w:rPr>
                <w:rFonts w:cs="Arial"/>
                <w:sz w:val="20"/>
              </w:rPr>
            </w:pPr>
            <w:r>
              <w:rPr>
                <w:rFonts w:cs="Arial"/>
                <w:sz w:val="20"/>
              </w:rPr>
              <w:t>High</w:t>
            </w:r>
          </w:p>
        </w:tc>
        <w:tc>
          <w:tcPr>
            <w:tcW w:w="2693" w:type="dxa"/>
          </w:tcPr>
          <w:p w:rsidR="000A75D1" w:rsidRPr="00693594" w:rsidRDefault="000A75D1" w:rsidP="004247DA">
            <w:pPr>
              <w:jc w:val="left"/>
              <w:rPr>
                <w:rFonts w:cs="Arial"/>
                <w:sz w:val="20"/>
              </w:rPr>
            </w:pPr>
            <w:r>
              <w:rPr>
                <w:rFonts w:cs="Arial"/>
                <w:sz w:val="20"/>
              </w:rPr>
              <w:t>Buildings and Property Branch</w:t>
            </w:r>
          </w:p>
        </w:tc>
        <w:tc>
          <w:tcPr>
            <w:tcW w:w="992" w:type="dxa"/>
          </w:tcPr>
          <w:p w:rsidR="000A75D1" w:rsidRPr="00693594" w:rsidRDefault="000A75D1" w:rsidP="004247DA">
            <w:pPr>
              <w:jc w:val="center"/>
              <w:rPr>
                <w:rFonts w:cs="Arial"/>
                <w:sz w:val="20"/>
              </w:rPr>
            </w:pPr>
            <w:r>
              <w:rPr>
                <w:rFonts w:cs="Arial"/>
                <w:sz w:val="20"/>
              </w:rPr>
              <w:t>Ongoing</w:t>
            </w:r>
          </w:p>
        </w:tc>
      </w:tr>
      <w:tr w:rsidR="000A75D1" w:rsidRPr="00693594" w:rsidTr="00C70C58">
        <w:trPr>
          <w:trHeight w:val="145"/>
        </w:trPr>
        <w:tc>
          <w:tcPr>
            <w:tcW w:w="4395" w:type="dxa"/>
          </w:tcPr>
          <w:p w:rsidR="000A75D1" w:rsidRPr="00693594" w:rsidRDefault="000A75D1" w:rsidP="004247DA">
            <w:pPr>
              <w:jc w:val="left"/>
              <w:rPr>
                <w:rFonts w:cs="Arial"/>
                <w:sz w:val="20"/>
              </w:rPr>
            </w:pPr>
            <w:r>
              <w:rPr>
                <w:rFonts w:cs="Arial"/>
                <w:sz w:val="20"/>
              </w:rPr>
              <w:t>Review and update contract performance assessment and KPIs monitoring process</w:t>
            </w:r>
          </w:p>
        </w:tc>
        <w:tc>
          <w:tcPr>
            <w:tcW w:w="992" w:type="dxa"/>
          </w:tcPr>
          <w:p w:rsidR="000A75D1" w:rsidRPr="00693594" w:rsidRDefault="000A75D1" w:rsidP="004247DA">
            <w:pPr>
              <w:jc w:val="center"/>
              <w:rPr>
                <w:rFonts w:cs="Arial"/>
                <w:sz w:val="20"/>
              </w:rPr>
            </w:pPr>
            <w:r>
              <w:rPr>
                <w:rFonts w:cs="Arial"/>
                <w:sz w:val="20"/>
              </w:rPr>
              <w:t>High</w:t>
            </w:r>
          </w:p>
        </w:tc>
        <w:tc>
          <w:tcPr>
            <w:tcW w:w="2693" w:type="dxa"/>
          </w:tcPr>
          <w:p w:rsidR="000A75D1" w:rsidRPr="00693594" w:rsidRDefault="000A75D1" w:rsidP="004247DA">
            <w:pPr>
              <w:jc w:val="left"/>
              <w:rPr>
                <w:rFonts w:cs="Arial"/>
                <w:sz w:val="20"/>
              </w:rPr>
            </w:pPr>
            <w:r>
              <w:rPr>
                <w:rFonts w:cs="Arial"/>
                <w:sz w:val="20"/>
              </w:rPr>
              <w:t>Buildings and Property Branch</w:t>
            </w:r>
          </w:p>
        </w:tc>
        <w:tc>
          <w:tcPr>
            <w:tcW w:w="992" w:type="dxa"/>
          </w:tcPr>
          <w:p w:rsidR="000A75D1" w:rsidRPr="00693594" w:rsidRDefault="000A75D1" w:rsidP="004247DA">
            <w:pPr>
              <w:jc w:val="center"/>
              <w:rPr>
                <w:rFonts w:cs="Arial"/>
                <w:sz w:val="20"/>
              </w:rPr>
            </w:pPr>
            <w:r>
              <w:rPr>
                <w:rFonts w:cs="Arial"/>
                <w:sz w:val="20"/>
              </w:rPr>
              <w:t>Ongoing</w:t>
            </w:r>
          </w:p>
        </w:tc>
      </w:tr>
      <w:tr w:rsidR="000A75D1" w:rsidRPr="00693594" w:rsidTr="00C70C58">
        <w:trPr>
          <w:trHeight w:val="145"/>
        </w:trPr>
        <w:tc>
          <w:tcPr>
            <w:tcW w:w="4395" w:type="dxa"/>
          </w:tcPr>
          <w:p w:rsidR="000A75D1" w:rsidRPr="00413618" w:rsidRDefault="000A75D1" w:rsidP="004247DA">
            <w:pPr>
              <w:jc w:val="left"/>
              <w:rPr>
                <w:rFonts w:cs="Arial"/>
                <w:sz w:val="20"/>
              </w:rPr>
            </w:pPr>
            <w:r w:rsidRPr="00413618">
              <w:rPr>
                <w:rFonts w:cs="Arial"/>
                <w:sz w:val="20"/>
              </w:rPr>
              <w:t>Develop capacity</w:t>
            </w:r>
            <w:r>
              <w:rPr>
                <w:rFonts w:cs="Arial"/>
                <w:sz w:val="20"/>
              </w:rPr>
              <w:t xml:space="preserve"> or process to monitor the progress of improvement plan</w:t>
            </w:r>
          </w:p>
        </w:tc>
        <w:tc>
          <w:tcPr>
            <w:tcW w:w="992" w:type="dxa"/>
          </w:tcPr>
          <w:p w:rsidR="000A75D1" w:rsidRPr="00693594" w:rsidRDefault="000A75D1" w:rsidP="004247DA">
            <w:pPr>
              <w:jc w:val="center"/>
              <w:rPr>
                <w:rFonts w:cs="Arial"/>
                <w:sz w:val="20"/>
              </w:rPr>
            </w:pPr>
            <w:r>
              <w:rPr>
                <w:rFonts w:cs="Arial"/>
                <w:sz w:val="20"/>
              </w:rPr>
              <w:t>High</w:t>
            </w:r>
          </w:p>
        </w:tc>
        <w:tc>
          <w:tcPr>
            <w:tcW w:w="2693" w:type="dxa"/>
          </w:tcPr>
          <w:p w:rsidR="000A75D1" w:rsidRPr="00693594" w:rsidRDefault="000A75D1" w:rsidP="004247DA">
            <w:pPr>
              <w:jc w:val="left"/>
              <w:rPr>
                <w:rFonts w:cs="Arial"/>
                <w:sz w:val="20"/>
              </w:rPr>
            </w:pPr>
            <w:r>
              <w:rPr>
                <w:rFonts w:cs="Arial"/>
                <w:sz w:val="20"/>
              </w:rPr>
              <w:t>Sustainable Asset Management team</w:t>
            </w:r>
          </w:p>
        </w:tc>
        <w:tc>
          <w:tcPr>
            <w:tcW w:w="992" w:type="dxa"/>
          </w:tcPr>
          <w:p w:rsidR="000A75D1" w:rsidRPr="00693594" w:rsidRDefault="000A75D1" w:rsidP="004247DA">
            <w:pPr>
              <w:jc w:val="center"/>
              <w:rPr>
                <w:rFonts w:cs="Arial"/>
                <w:sz w:val="20"/>
              </w:rPr>
            </w:pPr>
            <w:r>
              <w:rPr>
                <w:rFonts w:cs="Arial"/>
                <w:sz w:val="20"/>
              </w:rPr>
              <w:t>Ongoing</w:t>
            </w:r>
          </w:p>
        </w:tc>
      </w:tr>
    </w:tbl>
    <w:p w:rsidR="00501035" w:rsidRPr="0091425F" w:rsidRDefault="00737599" w:rsidP="0033721F">
      <w:pPr>
        <w:pStyle w:val="Caption"/>
        <w:spacing w:before="240" w:after="240"/>
        <w:ind w:left="0"/>
        <w:jc w:val="center"/>
        <w:rPr>
          <w:rFonts w:ascii="Arial" w:hAnsi="Arial"/>
          <w:i w:val="0"/>
          <w:iCs w:val="0"/>
          <w:sz w:val="20"/>
          <w:lang w:val="en-AU"/>
        </w:rPr>
      </w:pPr>
      <w:bookmarkStart w:id="51" w:name="_Toc364945418"/>
      <w:r w:rsidRPr="000A75D1">
        <w:rPr>
          <w:rFonts w:ascii="Arial" w:hAnsi="Arial"/>
          <w:i w:val="0"/>
          <w:iCs w:val="0"/>
          <w:sz w:val="20"/>
          <w:lang w:val="en-AU"/>
        </w:rPr>
        <w:t xml:space="preserve">Table </w:t>
      </w:r>
      <w:r w:rsidR="0090414C" w:rsidRPr="000A75D1">
        <w:rPr>
          <w:rFonts w:ascii="Arial" w:hAnsi="Arial"/>
          <w:i w:val="0"/>
          <w:iCs w:val="0"/>
          <w:sz w:val="20"/>
          <w:lang w:val="en-AU"/>
        </w:rPr>
        <w:fldChar w:fldCharType="begin"/>
      </w:r>
      <w:r w:rsidRPr="000A75D1">
        <w:rPr>
          <w:rFonts w:ascii="Arial" w:hAnsi="Arial"/>
          <w:i w:val="0"/>
          <w:iCs w:val="0"/>
          <w:sz w:val="20"/>
          <w:lang w:val="en-AU"/>
        </w:rPr>
        <w:instrText xml:space="preserve"> SEQ Table \* ARABIC </w:instrText>
      </w:r>
      <w:r w:rsidR="0090414C" w:rsidRPr="000A75D1">
        <w:rPr>
          <w:rFonts w:ascii="Arial" w:hAnsi="Arial"/>
          <w:i w:val="0"/>
          <w:iCs w:val="0"/>
          <w:sz w:val="20"/>
          <w:lang w:val="en-AU"/>
        </w:rPr>
        <w:fldChar w:fldCharType="separate"/>
      </w:r>
      <w:r w:rsidR="00751CEC">
        <w:rPr>
          <w:rFonts w:ascii="Arial" w:hAnsi="Arial"/>
          <w:i w:val="0"/>
          <w:iCs w:val="0"/>
          <w:noProof/>
          <w:sz w:val="20"/>
          <w:lang w:val="en-AU"/>
        </w:rPr>
        <w:t>14</w:t>
      </w:r>
      <w:r w:rsidR="0090414C" w:rsidRPr="000A75D1">
        <w:rPr>
          <w:rFonts w:ascii="Arial" w:hAnsi="Arial"/>
          <w:i w:val="0"/>
          <w:iCs w:val="0"/>
          <w:sz w:val="20"/>
          <w:lang w:val="en-AU"/>
        </w:rPr>
        <w:fldChar w:fldCharType="end"/>
      </w:r>
      <w:r w:rsidR="002C6A03" w:rsidRPr="000A75D1">
        <w:rPr>
          <w:rFonts w:ascii="Arial" w:hAnsi="Arial"/>
          <w:i w:val="0"/>
          <w:iCs w:val="0"/>
          <w:sz w:val="20"/>
          <w:lang w:val="en-AU"/>
        </w:rPr>
        <w:t xml:space="preserve">: </w:t>
      </w:r>
      <w:r w:rsidR="00963199" w:rsidRPr="000A75D1">
        <w:rPr>
          <w:rFonts w:ascii="Arial" w:hAnsi="Arial"/>
          <w:i w:val="0"/>
          <w:iCs w:val="0"/>
          <w:sz w:val="20"/>
          <w:lang w:val="en-AU"/>
        </w:rPr>
        <w:t xml:space="preserve"> </w:t>
      </w:r>
      <w:r w:rsidR="002C6A03" w:rsidRPr="000A75D1">
        <w:rPr>
          <w:rFonts w:ascii="Arial" w:hAnsi="Arial"/>
          <w:i w:val="0"/>
          <w:iCs w:val="0"/>
          <w:sz w:val="20"/>
          <w:lang w:val="en-AU"/>
        </w:rPr>
        <w:t>Improvement Plan</w:t>
      </w:r>
      <w:bookmarkEnd w:id="51"/>
    </w:p>
    <w:p w:rsidR="00787A4A" w:rsidRPr="00CD7D4F" w:rsidRDefault="00787A4A" w:rsidP="002F775C">
      <w:r w:rsidRPr="00CD7D4F">
        <w:t xml:space="preserve">The following table presents the monitoring activities currently planned in relation to this </w:t>
      </w:r>
      <w:r w:rsidR="000559AF">
        <w:t>BAMP</w:t>
      </w:r>
      <w:r w:rsidRPr="00CD7D4F">
        <w:t>.</w:t>
      </w:r>
    </w:p>
    <w:p w:rsidR="00787A4A" w:rsidRPr="00CD7D4F" w:rsidRDefault="00787A4A" w:rsidP="002F775C"/>
    <w:tbl>
      <w:tblPr>
        <w:tblW w:w="9356" w:type="dxa"/>
        <w:tblInd w:w="108" w:type="dxa"/>
        <w:tblBorders>
          <w:top w:val="single" w:sz="4" w:space="0" w:color="FFFFFF"/>
          <w:left w:val="single" w:sz="4" w:space="0" w:color="FFFFFF"/>
          <w:bottom w:val="single" w:sz="4" w:space="0" w:color="FFFFFF"/>
          <w:right w:val="single" w:sz="4" w:space="0" w:color="FFFFFF"/>
          <w:insideV w:val="single" w:sz="4" w:space="0" w:color="FFFFFF"/>
        </w:tblBorders>
        <w:shd w:val="clear" w:color="auto" w:fill="F2F2F2"/>
        <w:tblLayout w:type="fixed"/>
        <w:tblLook w:val="0000" w:firstRow="0" w:lastRow="0" w:firstColumn="0" w:lastColumn="0" w:noHBand="0" w:noVBand="0"/>
      </w:tblPr>
      <w:tblGrid>
        <w:gridCol w:w="1276"/>
        <w:gridCol w:w="5812"/>
        <w:gridCol w:w="2268"/>
      </w:tblGrid>
      <w:tr w:rsidR="00377A71" w:rsidRPr="00377A71" w:rsidTr="001C5EBC">
        <w:trPr>
          <w:cantSplit/>
          <w:tblHeader/>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5B3D7" w:themeFill="accent1" w:themeFillTint="99"/>
          </w:tcPr>
          <w:p w:rsidR="00E27317" w:rsidRPr="00377A71" w:rsidRDefault="00E27317" w:rsidP="00377A71">
            <w:pPr>
              <w:spacing w:before="120" w:after="120"/>
              <w:rPr>
                <w:b/>
              </w:rPr>
            </w:pPr>
            <w:r w:rsidRPr="00377A71">
              <w:rPr>
                <w:b/>
              </w:rPr>
              <w:t>Frequency</w:t>
            </w:r>
          </w:p>
        </w:tc>
        <w:tc>
          <w:tcPr>
            <w:tcW w:w="581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5B3D7" w:themeFill="accent1" w:themeFillTint="99"/>
          </w:tcPr>
          <w:p w:rsidR="00E27317" w:rsidRPr="00377A71" w:rsidRDefault="008473C2" w:rsidP="008473C2">
            <w:pPr>
              <w:spacing w:before="120" w:after="120"/>
              <w:rPr>
                <w:b/>
              </w:rPr>
            </w:pPr>
            <w:r>
              <w:rPr>
                <w:b/>
              </w:rPr>
              <w:t>Monitoring/R</w:t>
            </w:r>
            <w:r w:rsidR="00E27317" w:rsidRPr="00377A71">
              <w:rPr>
                <w:b/>
              </w:rPr>
              <w:t>eview Task</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5B3D7" w:themeFill="accent1" w:themeFillTint="99"/>
          </w:tcPr>
          <w:p w:rsidR="00E27317" w:rsidRPr="00377A71" w:rsidRDefault="00E27317" w:rsidP="00377A71">
            <w:pPr>
              <w:spacing w:before="120" w:after="120"/>
              <w:rPr>
                <w:b/>
              </w:rPr>
            </w:pPr>
            <w:r w:rsidRPr="00377A71">
              <w:rPr>
                <w:b/>
              </w:rPr>
              <w:t>Report</w:t>
            </w:r>
          </w:p>
        </w:tc>
      </w:tr>
      <w:tr w:rsidR="00E27317" w:rsidRPr="00377A71" w:rsidTr="001C5EBC">
        <w:trPr>
          <w:cantSplit/>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E27317" w:rsidRPr="00377A71" w:rsidRDefault="00E27317" w:rsidP="00377A71">
            <w:pPr>
              <w:spacing w:before="120" w:after="120"/>
            </w:pPr>
            <w:r w:rsidRPr="00377A71">
              <w:t>Quarterly</w:t>
            </w:r>
          </w:p>
        </w:tc>
        <w:tc>
          <w:tcPr>
            <w:tcW w:w="581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E27317" w:rsidRPr="00377A71" w:rsidRDefault="00E27317" w:rsidP="00265E77">
            <w:pPr>
              <w:spacing w:before="120" w:after="120"/>
              <w:jc w:val="left"/>
            </w:pPr>
            <w:r w:rsidRPr="00377A71">
              <w:t>To keep the improvement plan on the senior management team agenda in order to ensure performance measures are being implemented and improvements are being made.</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E27317" w:rsidRPr="00377A71" w:rsidRDefault="00E27317" w:rsidP="00AC5FD2">
            <w:pPr>
              <w:spacing w:before="120" w:after="120"/>
              <w:jc w:val="left"/>
            </w:pPr>
            <w:r w:rsidRPr="00377A71">
              <w:t xml:space="preserve">Executive Group </w:t>
            </w:r>
            <w:r w:rsidR="000A75D1">
              <w:t>and</w:t>
            </w:r>
            <w:r w:rsidRPr="00377A71">
              <w:t xml:space="preserve"> </w:t>
            </w:r>
            <w:r w:rsidR="00AC5FD2">
              <w:t>Asset Management Steering Group</w:t>
            </w:r>
          </w:p>
        </w:tc>
      </w:tr>
      <w:tr w:rsidR="00E27317" w:rsidRPr="00377A71" w:rsidTr="001C5EBC">
        <w:trPr>
          <w:cantSplit/>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E27317" w:rsidRPr="00377A71" w:rsidRDefault="00377A71" w:rsidP="00377A71">
            <w:pPr>
              <w:spacing w:before="120" w:after="120"/>
            </w:pPr>
            <w:r>
              <w:t>Annually</w:t>
            </w:r>
            <w:r>
              <w:br/>
            </w:r>
            <w:r w:rsidR="00E27317" w:rsidRPr="00377A71">
              <w:t>(yearly)</w:t>
            </w:r>
          </w:p>
        </w:tc>
        <w:tc>
          <w:tcPr>
            <w:tcW w:w="581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E27317" w:rsidRPr="00377A71" w:rsidRDefault="00E27317" w:rsidP="00265E77">
            <w:pPr>
              <w:spacing w:before="120" w:after="120"/>
              <w:jc w:val="left"/>
            </w:pPr>
            <w:r w:rsidRPr="00377A71">
              <w:t xml:space="preserve">Annual monitoring of service levels. </w:t>
            </w:r>
          </w:p>
          <w:p w:rsidR="00E27317" w:rsidRPr="00377A71" w:rsidRDefault="00E27317" w:rsidP="00265E77">
            <w:pPr>
              <w:spacing w:before="120" w:after="120"/>
              <w:jc w:val="left"/>
            </w:pPr>
            <w:r w:rsidRPr="00377A71">
              <w:t xml:space="preserve">Internal review of the Asset Management Plan </w:t>
            </w:r>
          </w:p>
          <w:p w:rsidR="00E27317" w:rsidRPr="00377A71" w:rsidRDefault="00E27317" w:rsidP="00265E77">
            <w:pPr>
              <w:spacing w:before="120" w:after="120"/>
              <w:jc w:val="left"/>
            </w:pPr>
            <w:r w:rsidRPr="00377A71">
              <w:t xml:space="preserve">Monitor the annual expenditure of capital and maintenance works against the forecast. </w:t>
            </w:r>
          </w:p>
          <w:p w:rsidR="00E27317" w:rsidRPr="00377A71" w:rsidRDefault="00E27317" w:rsidP="00265E77">
            <w:pPr>
              <w:spacing w:before="120" w:after="120"/>
              <w:jc w:val="left"/>
            </w:pPr>
            <w:r w:rsidRPr="00377A71">
              <w:t xml:space="preserve">Monitor the actual renewal requirement against work completed. </w:t>
            </w:r>
          </w:p>
          <w:p w:rsidR="00E27317" w:rsidRPr="00377A71" w:rsidRDefault="00E27317" w:rsidP="005419D7">
            <w:pPr>
              <w:spacing w:before="120" w:after="120"/>
              <w:jc w:val="left"/>
            </w:pPr>
            <w:r w:rsidRPr="00377A71">
              <w:t>Any noticeable change in A</w:t>
            </w:r>
            <w:r w:rsidR="005419D7">
              <w:t>sset Management</w:t>
            </w:r>
            <w:r w:rsidRPr="00377A71">
              <w:t xml:space="preserve"> practices introduced through the annual plan.</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E27317" w:rsidRPr="00377A71" w:rsidRDefault="000A75D1" w:rsidP="00265E77">
            <w:pPr>
              <w:spacing w:before="120" w:after="120"/>
              <w:jc w:val="left"/>
            </w:pPr>
            <w:r>
              <w:t>Executive Group and</w:t>
            </w:r>
            <w:r w:rsidR="00E27317" w:rsidRPr="00377A71">
              <w:t xml:space="preserve"> </w:t>
            </w:r>
            <w:r w:rsidR="00AC5FD2">
              <w:t>Asset Management Steering Group</w:t>
            </w:r>
            <w:r w:rsidR="00AC5FD2" w:rsidRPr="00377A71">
              <w:t xml:space="preserve"> </w:t>
            </w:r>
          </w:p>
          <w:p w:rsidR="00E27317" w:rsidRPr="00377A71" w:rsidRDefault="00E27317" w:rsidP="00265E77">
            <w:pPr>
              <w:spacing w:before="120" w:after="120"/>
              <w:jc w:val="left"/>
            </w:pPr>
            <w:r w:rsidRPr="00377A71">
              <w:t>Budget and Service Plan Review.</w:t>
            </w:r>
          </w:p>
          <w:p w:rsidR="00E27317" w:rsidRPr="00377A71" w:rsidRDefault="00E27317" w:rsidP="00265E77">
            <w:pPr>
              <w:spacing w:before="120" w:after="120"/>
              <w:jc w:val="left"/>
            </w:pPr>
            <w:r w:rsidRPr="00377A71">
              <w:t>Annual BAMP update.</w:t>
            </w:r>
          </w:p>
        </w:tc>
      </w:tr>
      <w:tr w:rsidR="00E27317" w:rsidRPr="00377A71" w:rsidTr="001C5EBC">
        <w:trPr>
          <w:cantSplit/>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E27317" w:rsidRPr="00377A71" w:rsidRDefault="00E27317" w:rsidP="00377A71">
            <w:pPr>
              <w:spacing w:before="120" w:after="120"/>
            </w:pPr>
            <w:r w:rsidRPr="00377A71">
              <w:t>Four yearly</w:t>
            </w:r>
          </w:p>
        </w:tc>
        <w:tc>
          <w:tcPr>
            <w:tcW w:w="581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E27317" w:rsidRPr="00377A71" w:rsidRDefault="00E27317" w:rsidP="00265E77">
            <w:pPr>
              <w:spacing w:before="120" w:after="120"/>
              <w:jc w:val="left"/>
            </w:pPr>
            <w:r w:rsidRPr="00377A71">
              <w:t>Four yearly review and update of Asset Management Plan (both internally and externally)</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E27317" w:rsidRPr="00377A71" w:rsidRDefault="00E27317" w:rsidP="00265E77">
            <w:pPr>
              <w:spacing w:before="120" w:after="120"/>
              <w:jc w:val="left"/>
            </w:pPr>
            <w:r w:rsidRPr="00377A71">
              <w:t>To Council following review and update.</w:t>
            </w:r>
          </w:p>
        </w:tc>
      </w:tr>
      <w:tr w:rsidR="00E27317" w:rsidRPr="00377A71" w:rsidTr="001C5EBC">
        <w:trPr>
          <w:cantSplit/>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E27317" w:rsidRPr="00377A71" w:rsidRDefault="00E27317" w:rsidP="00377A71">
            <w:pPr>
              <w:spacing w:before="120" w:after="120"/>
            </w:pPr>
            <w:r w:rsidRPr="00377A71">
              <w:t>Ongoing</w:t>
            </w:r>
          </w:p>
        </w:tc>
        <w:tc>
          <w:tcPr>
            <w:tcW w:w="581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E27317" w:rsidRPr="00377A71" w:rsidRDefault="00E27317" w:rsidP="00265E77">
            <w:pPr>
              <w:spacing w:before="120" w:after="120"/>
              <w:jc w:val="left"/>
            </w:pPr>
            <w:r w:rsidRPr="00377A71">
              <w:t>Quality Assurance (QA) audits of asset information to ensure the integrity and cost effectiveness of data collected.</w:t>
            </w:r>
          </w:p>
          <w:p w:rsidR="00E27317" w:rsidRPr="00377A71" w:rsidRDefault="00E27317" w:rsidP="00265E77">
            <w:pPr>
              <w:spacing w:before="120" w:after="120"/>
              <w:jc w:val="left"/>
            </w:pPr>
            <w:r w:rsidRPr="00377A71">
              <w:t xml:space="preserve">Periodic internal audits should be undertaken to assess the adequacy of asset management processes, systems and data as they are implemented. </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E27317" w:rsidRPr="00377A71" w:rsidRDefault="000A75D1" w:rsidP="00AC5FD2">
            <w:pPr>
              <w:spacing w:before="120" w:after="120"/>
              <w:jc w:val="left"/>
            </w:pPr>
            <w:r>
              <w:t>Executive Group and</w:t>
            </w:r>
            <w:r w:rsidR="00E27317" w:rsidRPr="00377A71">
              <w:t xml:space="preserve"> </w:t>
            </w:r>
            <w:r w:rsidR="00AC5FD2">
              <w:t>Asset Management Steering Group</w:t>
            </w:r>
            <w:r w:rsidR="00AC5FD2" w:rsidRPr="00377A71">
              <w:t xml:space="preserve"> </w:t>
            </w:r>
          </w:p>
        </w:tc>
      </w:tr>
    </w:tbl>
    <w:p w:rsidR="00501035" w:rsidRPr="0091425F" w:rsidRDefault="006A3458" w:rsidP="0033721F">
      <w:pPr>
        <w:pStyle w:val="Caption"/>
        <w:spacing w:before="240" w:after="240"/>
        <w:ind w:left="0"/>
        <w:jc w:val="center"/>
        <w:rPr>
          <w:rFonts w:ascii="Arial" w:hAnsi="Arial"/>
          <w:i w:val="0"/>
          <w:iCs w:val="0"/>
          <w:sz w:val="20"/>
          <w:lang w:val="en-AU"/>
        </w:rPr>
      </w:pPr>
      <w:bookmarkStart w:id="52" w:name="_Toc364945419"/>
      <w:r w:rsidRPr="0091425F">
        <w:rPr>
          <w:rFonts w:ascii="Arial" w:hAnsi="Arial"/>
          <w:i w:val="0"/>
          <w:iCs w:val="0"/>
          <w:sz w:val="20"/>
          <w:lang w:val="en-AU"/>
        </w:rPr>
        <w:t xml:space="preserve">Table </w:t>
      </w:r>
      <w:r w:rsidR="0090414C" w:rsidRPr="0091425F">
        <w:rPr>
          <w:rFonts w:ascii="Arial" w:hAnsi="Arial"/>
          <w:i w:val="0"/>
          <w:iCs w:val="0"/>
          <w:sz w:val="20"/>
          <w:lang w:val="en-AU"/>
        </w:rPr>
        <w:fldChar w:fldCharType="begin"/>
      </w:r>
      <w:r w:rsidRPr="0091425F">
        <w:rPr>
          <w:rFonts w:ascii="Arial" w:hAnsi="Arial"/>
          <w:i w:val="0"/>
          <w:iCs w:val="0"/>
          <w:sz w:val="20"/>
          <w:lang w:val="en-AU"/>
        </w:rPr>
        <w:instrText xml:space="preserve"> SEQ Table \* ARABIC </w:instrText>
      </w:r>
      <w:r w:rsidR="0090414C" w:rsidRPr="0091425F">
        <w:rPr>
          <w:rFonts w:ascii="Arial" w:hAnsi="Arial"/>
          <w:i w:val="0"/>
          <w:iCs w:val="0"/>
          <w:sz w:val="20"/>
          <w:lang w:val="en-AU"/>
        </w:rPr>
        <w:fldChar w:fldCharType="separate"/>
      </w:r>
      <w:r w:rsidR="00751CEC">
        <w:rPr>
          <w:rFonts w:ascii="Arial" w:hAnsi="Arial"/>
          <w:i w:val="0"/>
          <w:iCs w:val="0"/>
          <w:noProof/>
          <w:sz w:val="20"/>
          <w:lang w:val="en-AU"/>
        </w:rPr>
        <w:t>15</w:t>
      </w:r>
      <w:r w:rsidR="0090414C" w:rsidRPr="0091425F">
        <w:rPr>
          <w:rFonts w:ascii="Arial" w:hAnsi="Arial"/>
          <w:i w:val="0"/>
          <w:iCs w:val="0"/>
          <w:sz w:val="20"/>
          <w:lang w:val="en-AU"/>
        </w:rPr>
        <w:fldChar w:fldCharType="end"/>
      </w:r>
      <w:r w:rsidR="00501035" w:rsidRPr="0091425F">
        <w:rPr>
          <w:rFonts w:ascii="Arial" w:hAnsi="Arial"/>
          <w:i w:val="0"/>
          <w:iCs w:val="0"/>
          <w:sz w:val="20"/>
          <w:lang w:val="en-AU"/>
        </w:rPr>
        <w:t xml:space="preserve">: </w:t>
      </w:r>
      <w:r w:rsidR="00963199" w:rsidRPr="0091425F">
        <w:rPr>
          <w:rFonts w:ascii="Arial" w:hAnsi="Arial"/>
          <w:i w:val="0"/>
          <w:iCs w:val="0"/>
          <w:sz w:val="20"/>
          <w:lang w:val="en-AU"/>
        </w:rPr>
        <w:t xml:space="preserve"> </w:t>
      </w:r>
      <w:r w:rsidR="00501035" w:rsidRPr="0091425F">
        <w:rPr>
          <w:rFonts w:ascii="Arial" w:hAnsi="Arial"/>
          <w:i w:val="0"/>
          <w:iCs w:val="0"/>
          <w:sz w:val="20"/>
          <w:lang w:val="en-AU"/>
        </w:rPr>
        <w:t>Plan</w:t>
      </w:r>
      <w:r w:rsidR="001E32B3" w:rsidRPr="0091425F">
        <w:rPr>
          <w:rFonts w:ascii="Arial" w:hAnsi="Arial"/>
          <w:i w:val="0"/>
          <w:iCs w:val="0"/>
          <w:sz w:val="20"/>
          <w:lang w:val="en-AU"/>
        </w:rPr>
        <w:t xml:space="preserve"> </w:t>
      </w:r>
      <w:r w:rsidR="006110DF" w:rsidRPr="0091425F">
        <w:rPr>
          <w:rFonts w:ascii="Arial" w:hAnsi="Arial"/>
          <w:i w:val="0"/>
          <w:iCs w:val="0"/>
          <w:sz w:val="20"/>
          <w:lang w:val="en-AU"/>
        </w:rPr>
        <w:t xml:space="preserve">Review </w:t>
      </w:r>
      <w:r w:rsidR="001E32B3" w:rsidRPr="0091425F">
        <w:rPr>
          <w:rFonts w:ascii="Arial" w:hAnsi="Arial"/>
          <w:i w:val="0"/>
          <w:iCs w:val="0"/>
          <w:sz w:val="20"/>
          <w:lang w:val="en-AU"/>
        </w:rPr>
        <w:t>and Monitoring Activities</w:t>
      </w:r>
      <w:bookmarkEnd w:id="52"/>
    </w:p>
    <w:p w:rsidR="00DF1D3F" w:rsidRDefault="00DF1D3F" w:rsidP="00DF1D3F">
      <w:pPr>
        <w:pStyle w:val="BodyText"/>
        <w:rPr>
          <w:lang w:val="en-AU"/>
        </w:rPr>
      </w:pPr>
    </w:p>
    <w:p w:rsidR="00DF1D3F" w:rsidRDefault="00DF1D3F" w:rsidP="00DF1D3F">
      <w:pPr>
        <w:pStyle w:val="BodyText"/>
        <w:rPr>
          <w:lang w:val="en-AU"/>
        </w:rPr>
      </w:pPr>
    </w:p>
    <w:p w:rsidR="004B1B4F" w:rsidRDefault="004B1B4F" w:rsidP="004B1B4F">
      <w:pPr>
        <w:pStyle w:val="BodyText"/>
        <w:ind w:left="0"/>
        <w:rPr>
          <w:lang w:val="en-AU"/>
        </w:rPr>
      </w:pPr>
    </w:p>
    <w:p w:rsidR="004B1B4F" w:rsidRDefault="004B1B4F" w:rsidP="004B1B4F">
      <w:pPr>
        <w:pStyle w:val="BodyText"/>
        <w:ind w:left="0"/>
        <w:rPr>
          <w:lang w:val="en-AU"/>
        </w:rPr>
      </w:pPr>
    </w:p>
    <w:p w:rsidR="004B1B4F" w:rsidRPr="00684A02" w:rsidRDefault="004B1B4F" w:rsidP="004B1B4F">
      <w:pPr>
        <w:pStyle w:val="BodyText"/>
        <w:ind w:left="0"/>
        <w:rPr>
          <w:color w:val="FF0000"/>
          <w:lang w:val="en-AU"/>
        </w:rPr>
        <w:sectPr w:rsidR="004B1B4F" w:rsidRPr="00684A02" w:rsidSect="004B1B4F">
          <w:type w:val="oddPage"/>
          <w:pgSz w:w="11906" w:h="16838" w:code="9"/>
          <w:pgMar w:top="1418" w:right="1418" w:bottom="851" w:left="1418" w:header="284" w:footer="312" w:gutter="0"/>
          <w:cols w:space="720"/>
          <w:docGrid w:linePitch="360"/>
        </w:sectPr>
      </w:pPr>
    </w:p>
    <w:p w:rsidR="00E96F28" w:rsidRPr="00C52F92" w:rsidRDefault="00496752" w:rsidP="00CF2212">
      <w:pPr>
        <w:pStyle w:val="Heading1"/>
        <w:keepLines w:val="0"/>
        <w:pageBreakBefore w:val="0"/>
        <w:widowControl w:val="0"/>
      </w:pPr>
      <w:bookmarkStart w:id="53" w:name="_Toc364945242"/>
      <w:bookmarkEnd w:id="2"/>
      <w:bookmarkEnd w:id="3"/>
      <w:r w:rsidRPr="00C52F92">
        <w:t>I</w:t>
      </w:r>
      <w:r w:rsidR="00D51E33">
        <w:t>ntroduction</w:t>
      </w:r>
      <w:bookmarkEnd w:id="53"/>
    </w:p>
    <w:p w:rsidR="00CF2212" w:rsidRPr="00E85DDD" w:rsidRDefault="00CF2212" w:rsidP="00CF2212">
      <w:pPr>
        <w:rPr>
          <w:highlight w:val="yellow"/>
        </w:rPr>
      </w:pPr>
    </w:p>
    <w:p w:rsidR="0024326F" w:rsidRPr="00E85DDD" w:rsidRDefault="0024326F" w:rsidP="00CF2212">
      <w:r w:rsidRPr="00E85DDD">
        <w:t xml:space="preserve">The building portfolio represents a significant investment by Council and its ongoing development, management and maintenance is an important commitment. The purpose of this commitment is to protect, maintain and enhance the public participation, health and wellbeing of the community by providing community facilities such as recreational, aged care, youth, disability, family and children services. </w:t>
      </w:r>
    </w:p>
    <w:p w:rsidR="0024326F" w:rsidRPr="00E85DDD" w:rsidRDefault="0024326F" w:rsidP="00CF2212">
      <w:pPr>
        <w:rPr>
          <w:highlight w:val="yellow"/>
        </w:rPr>
      </w:pPr>
    </w:p>
    <w:p w:rsidR="00A331AF" w:rsidRPr="00E85DDD" w:rsidRDefault="00A331AF" w:rsidP="00CF2212">
      <w:r w:rsidRPr="00E85DDD">
        <w:t xml:space="preserve">The City of Yarra </w:t>
      </w:r>
      <w:r>
        <w:t>is located only five kilometres from Melbourne Central Business District and covers an area of 19.5 kilometres. The suburbs of Abbotsford, Burnley, Clifton Hill, Collingwood, Cremorne, Fitzroy, North Fitzroy, North Carlton, Princess hill, Richmond and parts of Alphington and Fairfield are located within the City.</w:t>
      </w:r>
    </w:p>
    <w:p w:rsidR="0024326F" w:rsidRPr="00E85DDD" w:rsidRDefault="0024326F" w:rsidP="00CF2212"/>
    <w:p w:rsidR="0024326F" w:rsidRDefault="0024326F" w:rsidP="00CF2212">
      <w:r w:rsidRPr="00E85DDD">
        <w:t xml:space="preserve">Council is responsible for </w:t>
      </w:r>
      <w:r w:rsidR="005D47C9" w:rsidRPr="005D47C9">
        <w:t>137</w:t>
      </w:r>
      <w:r w:rsidR="00E6320C" w:rsidRPr="005D47C9">
        <w:t xml:space="preserve"> b</w:t>
      </w:r>
      <w:r w:rsidR="00724EA9" w:rsidRPr="005D47C9">
        <w:t>uildings</w:t>
      </w:r>
      <w:r w:rsidR="00BB15E4" w:rsidRPr="005D47C9">
        <w:t>,</w:t>
      </w:r>
      <w:r w:rsidR="00A331AF" w:rsidRPr="005D47C9">
        <w:t xml:space="preserve"> </w:t>
      </w:r>
      <w:r w:rsidR="00BB15E4" w:rsidRPr="005D47C9">
        <w:t>10 r</w:t>
      </w:r>
      <w:r w:rsidR="00E6320C" w:rsidRPr="005D47C9">
        <w:t xml:space="preserve">otundas and </w:t>
      </w:r>
      <w:r w:rsidR="005D47C9" w:rsidRPr="005D47C9">
        <w:t>12</w:t>
      </w:r>
      <w:r w:rsidR="00E6320C" w:rsidRPr="005D47C9">
        <w:t xml:space="preserve"> structures </w:t>
      </w:r>
      <w:r w:rsidRPr="005D47C9">
        <w:t>valued at $</w:t>
      </w:r>
      <w:r w:rsidR="00E6320C" w:rsidRPr="005D47C9">
        <w:t>228</w:t>
      </w:r>
      <w:r w:rsidR="00BB15E4" w:rsidRPr="005D47C9">
        <w:t xml:space="preserve"> mi</w:t>
      </w:r>
      <w:r w:rsidRPr="005D47C9">
        <w:t>llion.</w:t>
      </w:r>
      <w:r w:rsidRPr="00E85DDD">
        <w:t xml:space="preserve"> The Buildings </w:t>
      </w:r>
      <w:r w:rsidR="00BB15E4">
        <w:t>and</w:t>
      </w:r>
      <w:r w:rsidRPr="00E85DDD">
        <w:t xml:space="preserve"> Property Branch is responsible for the maintenance, refurbishment or renewal, and the construction of new buildings within the City of Yarra. Council</w:t>
      </w:r>
      <w:r w:rsidR="00622DC3">
        <w:t>-</w:t>
      </w:r>
      <w:r w:rsidRPr="00E85DDD">
        <w:t>owned buildings are provided to enable services to be delivered to the community either by direct service provision or through lease agreements by alternative service providers.</w:t>
      </w:r>
    </w:p>
    <w:p w:rsidR="00CF2212" w:rsidRPr="00E85DDD" w:rsidRDefault="00CF2212" w:rsidP="00CF2212"/>
    <w:p w:rsidR="0024326F" w:rsidRPr="00E85DDD" w:rsidRDefault="0024326F" w:rsidP="00CF2212">
      <w:r w:rsidRPr="00E85DDD">
        <w:t>The Buildings Asset Management Plan (</w:t>
      </w:r>
      <w:r w:rsidR="00CF2212">
        <w:t>‘</w:t>
      </w:r>
      <w:r w:rsidRPr="00E85DDD">
        <w:t>BAMP</w:t>
      </w:r>
      <w:r w:rsidR="00CF2212">
        <w:t>’</w:t>
      </w:r>
      <w:r w:rsidRPr="00E85DDD">
        <w:t>) has been developed to ensure that Council building assets are managed in a sustainable and economic manner that reflects community expectations. The BAMP has been prepared in response to Council’s commitment to manage buildings appropriately with clearly defined strategies, policies and guidelines.</w:t>
      </w:r>
    </w:p>
    <w:p w:rsidR="00E96F28" w:rsidRPr="00CF2212" w:rsidRDefault="00BA1BBB" w:rsidP="00CF2212">
      <w:pPr>
        <w:pStyle w:val="Heading2"/>
      </w:pPr>
      <w:bookmarkStart w:id="54" w:name="_Toc364945243"/>
      <w:r w:rsidRPr="00CF2212">
        <w:t xml:space="preserve">Background </w:t>
      </w:r>
      <w:r w:rsidR="0069727B">
        <w:t xml:space="preserve">to Council </w:t>
      </w:r>
      <w:r w:rsidRPr="00CF2212">
        <w:t>Asset Management</w:t>
      </w:r>
      <w:bookmarkEnd w:id="54"/>
    </w:p>
    <w:p w:rsidR="0024326F" w:rsidRDefault="0024326F" w:rsidP="00CF2212">
      <w:r w:rsidRPr="00E85DDD">
        <w:t>Council has adopted an Asset Management P</w:t>
      </w:r>
      <w:r w:rsidR="002579B6">
        <w:t>olicy (adopted August 2011</w:t>
      </w:r>
      <w:r w:rsidR="00AC5FD2">
        <w:t>) and</w:t>
      </w:r>
      <w:r w:rsidR="008113F0">
        <w:t xml:space="preserve"> </w:t>
      </w:r>
      <w:r w:rsidR="008113F0" w:rsidRPr="00E85DDD">
        <w:t>Asset Management</w:t>
      </w:r>
      <w:r w:rsidR="00AC5FD2">
        <w:t xml:space="preserve"> Strategy</w:t>
      </w:r>
      <w:r w:rsidR="008113F0">
        <w:t xml:space="preserve"> (adopted </w:t>
      </w:r>
      <w:r w:rsidR="002579B6">
        <w:t>03 April 2012</w:t>
      </w:r>
      <w:r w:rsidR="008113F0">
        <w:t>)</w:t>
      </w:r>
      <w:r w:rsidR="00AC5FD2">
        <w:t>. The P</w:t>
      </w:r>
      <w:r w:rsidRPr="00E85DDD">
        <w:t xml:space="preserve">olicy provides the </w:t>
      </w:r>
      <w:r w:rsidR="00AC5FD2">
        <w:t>decision</w:t>
      </w:r>
      <w:r w:rsidRPr="00E85DDD">
        <w:t xml:space="preserve"> framework to guide the long-term sustainable management of Council’s asset portfolio as a platform for service delivery.</w:t>
      </w:r>
    </w:p>
    <w:p w:rsidR="00CF2212" w:rsidRPr="00E85DDD" w:rsidRDefault="00CF2212" w:rsidP="00CF2212"/>
    <w:p w:rsidR="0024326F" w:rsidRDefault="0024326F" w:rsidP="00CF2212">
      <w:r w:rsidRPr="00E85DDD">
        <w:t>Council’s proposed building strategy is imperative to the long term sustainability of Council</w:t>
      </w:r>
      <w:r w:rsidR="003B7425">
        <w:t>’</w:t>
      </w:r>
      <w:r w:rsidRPr="00E85DDD">
        <w:t>s facilities and the community services provided.</w:t>
      </w:r>
    </w:p>
    <w:p w:rsidR="00CF2212" w:rsidRPr="00E85DDD" w:rsidRDefault="00CF2212" w:rsidP="00CF2212"/>
    <w:p w:rsidR="0024326F" w:rsidRDefault="0024326F" w:rsidP="00CF2212">
      <w:r w:rsidRPr="00E85DDD">
        <w:t>The Asset Management Strategy provides an agreed set of actions to improve Yarra’s asset management performance. A major action of the A</w:t>
      </w:r>
      <w:r w:rsidR="005419D7">
        <w:t>sset Management</w:t>
      </w:r>
      <w:r w:rsidRPr="00E85DDD">
        <w:t xml:space="preserve"> </w:t>
      </w:r>
      <w:r w:rsidR="00AC5FD2">
        <w:t>S</w:t>
      </w:r>
      <w:r w:rsidRPr="00E85DDD">
        <w:t>trategy is the development of Asset Management Plans (AMP</w:t>
      </w:r>
      <w:r w:rsidR="00AC5FD2">
        <w:t>`s</w:t>
      </w:r>
      <w:r w:rsidRPr="00E85DDD">
        <w:t>).</w:t>
      </w:r>
    </w:p>
    <w:p w:rsidR="00CF2212" w:rsidRPr="00E85DDD" w:rsidRDefault="00CF2212" w:rsidP="00CF2212"/>
    <w:p w:rsidR="0024326F" w:rsidRDefault="0024326F" w:rsidP="00CF2212">
      <w:r w:rsidRPr="00E85DDD">
        <w:t>The Policy, together with the Asset Management Strategy, individual Service</w:t>
      </w:r>
      <w:r w:rsidR="00AC5FD2">
        <w:t xml:space="preserve"> Plans, </w:t>
      </w:r>
      <w:r w:rsidRPr="00E85DDD">
        <w:t xml:space="preserve">Asset Management Plans and associated working procedures and practices provides a comprehensive, accountable and </w:t>
      </w:r>
      <w:r w:rsidR="008473C2">
        <w:t>transparent Service</w:t>
      </w:r>
      <w:r w:rsidR="00AC5FD2">
        <w:t xml:space="preserve"> Plan</w:t>
      </w:r>
      <w:r w:rsidR="008473C2">
        <w:t>/</w:t>
      </w:r>
      <w:r w:rsidRPr="00E85DDD">
        <w:t>Asset Management Framework for the Yarra</w:t>
      </w:r>
      <w:r w:rsidR="00622DC3">
        <w:t xml:space="preserve"> City Council</w:t>
      </w:r>
      <w:r w:rsidRPr="00E85DDD">
        <w:t>.</w:t>
      </w:r>
    </w:p>
    <w:p w:rsidR="00CF2212" w:rsidRPr="00E85DDD" w:rsidRDefault="00CF2212" w:rsidP="00CF2212"/>
    <w:p w:rsidR="0024326F" w:rsidRPr="00050793" w:rsidRDefault="0024326F" w:rsidP="00CF2212">
      <w:r w:rsidRPr="00E85DDD">
        <w:t xml:space="preserve">The overall objective of the Asset Management </w:t>
      </w:r>
      <w:r w:rsidRPr="00050793">
        <w:t>Policy ensures that:</w:t>
      </w:r>
    </w:p>
    <w:p w:rsidR="00CF2212" w:rsidRPr="00E85DDD" w:rsidRDefault="00CF2212" w:rsidP="00CF2212"/>
    <w:p w:rsidR="0024326F" w:rsidRPr="00CF2212" w:rsidRDefault="0024326F" w:rsidP="008348B5">
      <w:pPr>
        <w:pStyle w:val="ListParagraph"/>
        <w:numPr>
          <w:ilvl w:val="0"/>
          <w:numId w:val="54"/>
        </w:numPr>
        <w:rPr>
          <w:rFonts w:ascii="Arial" w:hAnsi="Arial" w:cs="Arial"/>
          <w:sz w:val="20"/>
        </w:rPr>
      </w:pPr>
      <w:r w:rsidRPr="00CF2212">
        <w:rPr>
          <w:rFonts w:ascii="Arial" w:hAnsi="Arial" w:cs="Arial"/>
          <w:sz w:val="20"/>
        </w:rPr>
        <w:t>Assets are well managed throughout their lifecycle to enable the provision of appropriate levels of service delivery and maximise the sustainable use of available resources;</w:t>
      </w:r>
    </w:p>
    <w:p w:rsidR="0024326F" w:rsidRPr="00CF2212" w:rsidRDefault="0024326F" w:rsidP="008348B5">
      <w:pPr>
        <w:pStyle w:val="ListParagraph"/>
        <w:numPr>
          <w:ilvl w:val="0"/>
          <w:numId w:val="54"/>
        </w:numPr>
        <w:rPr>
          <w:rFonts w:ascii="Arial" w:hAnsi="Arial" w:cs="Arial"/>
          <w:sz w:val="20"/>
        </w:rPr>
      </w:pPr>
      <w:r w:rsidRPr="00CF2212">
        <w:rPr>
          <w:rFonts w:ascii="Arial" w:hAnsi="Arial" w:cs="Arial"/>
          <w:sz w:val="20"/>
        </w:rPr>
        <w:t>Financial, social, cultural and environmental implications are understood so that assets are managed in a sustainable manner;</w:t>
      </w:r>
    </w:p>
    <w:p w:rsidR="0024326F" w:rsidRPr="00CF2212" w:rsidRDefault="0024326F" w:rsidP="008348B5">
      <w:pPr>
        <w:pStyle w:val="ListParagraph"/>
        <w:numPr>
          <w:ilvl w:val="0"/>
          <w:numId w:val="54"/>
        </w:numPr>
        <w:rPr>
          <w:rFonts w:ascii="Arial" w:hAnsi="Arial" w:cs="Arial"/>
          <w:sz w:val="20"/>
        </w:rPr>
      </w:pPr>
      <w:r w:rsidRPr="00CF2212">
        <w:rPr>
          <w:rFonts w:ascii="Arial" w:hAnsi="Arial" w:cs="Arial"/>
          <w:sz w:val="20"/>
        </w:rPr>
        <w:t>Asset management decisions made by Council are based on a long ter</w:t>
      </w:r>
      <w:r w:rsidR="0067277B">
        <w:rPr>
          <w:rFonts w:ascii="Arial" w:hAnsi="Arial" w:cs="Arial"/>
          <w:sz w:val="20"/>
        </w:rPr>
        <w:t>m, focused, integrated decision-</w:t>
      </w:r>
      <w:r w:rsidRPr="00CF2212">
        <w:rPr>
          <w:rFonts w:ascii="Arial" w:hAnsi="Arial" w:cs="Arial"/>
          <w:sz w:val="20"/>
        </w:rPr>
        <w:t>making process;</w:t>
      </w:r>
    </w:p>
    <w:p w:rsidR="0024326F" w:rsidRPr="00CF2212" w:rsidRDefault="0024326F" w:rsidP="008348B5">
      <w:pPr>
        <w:pStyle w:val="ListParagraph"/>
        <w:numPr>
          <w:ilvl w:val="0"/>
          <w:numId w:val="54"/>
        </w:numPr>
        <w:rPr>
          <w:rFonts w:ascii="Arial" w:hAnsi="Arial" w:cs="Arial"/>
          <w:sz w:val="20"/>
        </w:rPr>
      </w:pPr>
      <w:r w:rsidRPr="00CF2212">
        <w:rPr>
          <w:rFonts w:ascii="Arial" w:hAnsi="Arial" w:cs="Arial"/>
          <w:sz w:val="20"/>
        </w:rPr>
        <w:t>Asset man</w:t>
      </w:r>
      <w:r w:rsidR="0067277B">
        <w:rPr>
          <w:rFonts w:ascii="Arial" w:hAnsi="Arial" w:cs="Arial"/>
          <w:sz w:val="20"/>
        </w:rPr>
        <w:t>agement decision-</w:t>
      </w:r>
      <w:r w:rsidRPr="00CF2212">
        <w:rPr>
          <w:rFonts w:ascii="Arial" w:hAnsi="Arial" w:cs="Arial"/>
          <w:sz w:val="20"/>
        </w:rPr>
        <w:t>making processes include participation by the community so that community needs and expectations are understood, and decision</w:t>
      </w:r>
      <w:r w:rsidR="0067277B">
        <w:rPr>
          <w:rFonts w:ascii="Arial" w:hAnsi="Arial" w:cs="Arial"/>
          <w:sz w:val="20"/>
        </w:rPr>
        <w:t>-</w:t>
      </w:r>
      <w:r w:rsidRPr="00CF2212">
        <w:rPr>
          <w:rFonts w:ascii="Arial" w:hAnsi="Arial" w:cs="Arial"/>
          <w:sz w:val="20"/>
        </w:rPr>
        <w:t xml:space="preserve">makers are accountable to the community; </w:t>
      </w:r>
    </w:p>
    <w:p w:rsidR="0024326F" w:rsidRPr="00CF2212" w:rsidRDefault="0024326F" w:rsidP="008348B5">
      <w:pPr>
        <w:pStyle w:val="ListParagraph"/>
        <w:numPr>
          <w:ilvl w:val="0"/>
          <w:numId w:val="54"/>
        </w:numPr>
        <w:rPr>
          <w:rFonts w:ascii="Arial" w:hAnsi="Arial" w:cs="Arial"/>
          <w:sz w:val="20"/>
        </w:rPr>
      </w:pPr>
      <w:r w:rsidRPr="00CF2212">
        <w:rPr>
          <w:rFonts w:ascii="Arial" w:hAnsi="Arial" w:cs="Arial"/>
          <w:sz w:val="20"/>
        </w:rPr>
        <w:t>Disciplined project management processes are introduced to guide the initiation, the approval and implementation of asset management projects to ensure best outcomes for the community;</w:t>
      </w:r>
    </w:p>
    <w:p w:rsidR="0024326F" w:rsidRPr="00CF2212" w:rsidRDefault="0024326F" w:rsidP="008348B5">
      <w:pPr>
        <w:pStyle w:val="ListParagraph"/>
        <w:numPr>
          <w:ilvl w:val="0"/>
          <w:numId w:val="54"/>
        </w:numPr>
        <w:rPr>
          <w:rFonts w:ascii="Arial" w:hAnsi="Arial" w:cs="Arial"/>
          <w:sz w:val="20"/>
        </w:rPr>
      </w:pPr>
      <w:r w:rsidRPr="00CF2212">
        <w:rPr>
          <w:rFonts w:ascii="Arial" w:hAnsi="Arial" w:cs="Arial"/>
          <w:sz w:val="20"/>
        </w:rPr>
        <w:t>Council’s exposure to risk is minimised in regard to asset failures property risk exposure, damage and loss;</w:t>
      </w:r>
    </w:p>
    <w:p w:rsidR="0024326F" w:rsidRPr="00CF2212" w:rsidRDefault="0024326F" w:rsidP="008348B5">
      <w:pPr>
        <w:pStyle w:val="ListParagraph"/>
        <w:numPr>
          <w:ilvl w:val="0"/>
          <w:numId w:val="54"/>
        </w:numPr>
        <w:rPr>
          <w:rFonts w:ascii="Arial" w:hAnsi="Arial" w:cs="Arial"/>
          <w:sz w:val="20"/>
        </w:rPr>
      </w:pPr>
      <w:r w:rsidRPr="00CF2212">
        <w:rPr>
          <w:rFonts w:ascii="Arial" w:hAnsi="Arial" w:cs="Arial"/>
          <w:sz w:val="20"/>
        </w:rPr>
        <w:t>Funding for the maintenance, operation and renewal of existing assets is prioritised above the funding of new assets;</w:t>
      </w:r>
    </w:p>
    <w:p w:rsidR="0024326F" w:rsidRPr="00CF2212" w:rsidRDefault="0024326F" w:rsidP="008348B5">
      <w:pPr>
        <w:pStyle w:val="ListParagraph"/>
        <w:numPr>
          <w:ilvl w:val="0"/>
          <w:numId w:val="54"/>
        </w:numPr>
        <w:rPr>
          <w:rFonts w:ascii="Arial" w:hAnsi="Arial" w:cs="Arial"/>
          <w:sz w:val="20"/>
        </w:rPr>
      </w:pPr>
      <w:r w:rsidRPr="00CF2212">
        <w:rPr>
          <w:rFonts w:ascii="Arial" w:hAnsi="Arial" w:cs="Arial"/>
          <w:sz w:val="20"/>
        </w:rPr>
        <w:t>Legislative and regulatory requirements are met; and</w:t>
      </w:r>
    </w:p>
    <w:p w:rsidR="0024326F" w:rsidRPr="00CF2212" w:rsidRDefault="0024326F" w:rsidP="008348B5">
      <w:pPr>
        <w:pStyle w:val="ListParagraph"/>
        <w:numPr>
          <w:ilvl w:val="0"/>
          <w:numId w:val="54"/>
        </w:numPr>
        <w:rPr>
          <w:rFonts w:ascii="Arial" w:hAnsi="Arial" w:cs="Arial"/>
          <w:sz w:val="20"/>
        </w:rPr>
      </w:pPr>
      <w:r w:rsidRPr="00CF2212">
        <w:rPr>
          <w:rFonts w:ascii="Arial" w:hAnsi="Arial" w:cs="Arial"/>
          <w:sz w:val="20"/>
        </w:rPr>
        <w:t>Innovative and cost effective work practice improvements are put in place to ensure continuous improvement in service and asset management.</w:t>
      </w:r>
    </w:p>
    <w:p w:rsidR="002D4F72" w:rsidRPr="00CF2212" w:rsidRDefault="002D4F72" w:rsidP="00CF2212">
      <w:pPr>
        <w:pStyle w:val="Heading2"/>
      </w:pPr>
      <w:bookmarkStart w:id="55" w:name="_Toc364945244"/>
      <w:r w:rsidRPr="00CF2212">
        <w:t>Purpose of the Plan</w:t>
      </w:r>
      <w:bookmarkEnd w:id="55"/>
    </w:p>
    <w:p w:rsidR="0024326F" w:rsidRDefault="0024326F" w:rsidP="00CF2212">
      <w:r w:rsidRPr="00E85DDD">
        <w:t>Council’s building assets represent a long term investment for the provision of services to all residents within Yarra</w:t>
      </w:r>
      <w:r w:rsidR="00622DC3">
        <w:t xml:space="preserve"> City Council</w:t>
      </w:r>
      <w:r w:rsidRPr="00E85DDD">
        <w:t xml:space="preserve"> as well as the broader community. The specific long term purpose of this plan is to:</w:t>
      </w:r>
    </w:p>
    <w:p w:rsidR="00CF2212" w:rsidRPr="00E85DDD" w:rsidRDefault="00CF2212" w:rsidP="00CF2212"/>
    <w:p w:rsidR="0024326F" w:rsidRPr="00CF2212" w:rsidRDefault="0024326F" w:rsidP="008348B5">
      <w:pPr>
        <w:pStyle w:val="ListParagraph"/>
        <w:numPr>
          <w:ilvl w:val="0"/>
          <w:numId w:val="55"/>
        </w:numPr>
        <w:rPr>
          <w:rFonts w:ascii="Arial" w:hAnsi="Arial" w:cs="Arial"/>
          <w:sz w:val="20"/>
        </w:rPr>
      </w:pPr>
      <w:r w:rsidRPr="00CF2212">
        <w:rPr>
          <w:rFonts w:ascii="Arial" w:hAnsi="Arial" w:cs="Arial"/>
          <w:sz w:val="20"/>
        </w:rPr>
        <w:t>Demonstrate responsible stewardship;</w:t>
      </w:r>
    </w:p>
    <w:p w:rsidR="0024326F" w:rsidRPr="00CF2212" w:rsidRDefault="0024326F" w:rsidP="008348B5">
      <w:pPr>
        <w:pStyle w:val="ListParagraph"/>
        <w:numPr>
          <w:ilvl w:val="0"/>
          <w:numId w:val="55"/>
        </w:numPr>
        <w:rPr>
          <w:rFonts w:ascii="Arial" w:hAnsi="Arial" w:cs="Arial"/>
          <w:sz w:val="20"/>
        </w:rPr>
      </w:pPr>
      <w:r w:rsidRPr="00CF2212">
        <w:rPr>
          <w:rFonts w:ascii="Arial" w:hAnsi="Arial" w:cs="Arial"/>
          <w:sz w:val="20"/>
        </w:rPr>
        <w:t>Define and articulate how buildings are and will be managed to achieve Council’s objectives;</w:t>
      </w:r>
    </w:p>
    <w:p w:rsidR="0024326F" w:rsidRPr="00CF2212" w:rsidRDefault="0024326F" w:rsidP="008348B5">
      <w:pPr>
        <w:pStyle w:val="ListParagraph"/>
        <w:numPr>
          <w:ilvl w:val="0"/>
          <w:numId w:val="55"/>
        </w:numPr>
        <w:rPr>
          <w:rFonts w:ascii="Arial" w:hAnsi="Arial" w:cs="Arial"/>
          <w:sz w:val="20"/>
        </w:rPr>
      </w:pPr>
      <w:r w:rsidRPr="00CF2212">
        <w:rPr>
          <w:rFonts w:ascii="Arial" w:hAnsi="Arial" w:cs="Arial"/>
          <w:sz w:val="20"/>
        </w:rPr>
        <w:t>Translate the Council Strategic Goals into building strategies and action plans. This plan identifies forward work programmes and financial forecasts required to meet agreed service levels and cater for future growth;</w:t>
      </w:r>
    </w:p>
    <w:p w:rsidR="0024326F" w:rsidRPr="00CF2212" w:rsidRDefault="0024326F" w:rsidP="008348B5">
      <w:pPr>
        <w:pStyle w:val="ListParagraph"/>
        <w:numPr>
          <w:ilvl w:val="0"/>
          <w:numId w:val="55"/>
        </w:numPr>
        <w:rPr>
          <w:rFonts w:ascii="Arial" w:hAnsi="Arial" w:cs="Arial"/>
          <w:sz w:val="20"/>
        </w:rPr>
      </w:pPr>
      <w:r w:rsidRPr="00CF2212">
        <w:rPr>
          <w:rFonts w:ascii="Arial" w:hAnsi="Arial" w:cs="Arial"/>
          <w:sz w:val="20"/>
        </w:rPr>
        <w:t>Provide a basis for stakeholder consultation to determine the appropriate levels of service;</w:t>
      </w:r>
    </w:p>
    <w:p w:rsidR="0024326F" w:rsidRPr="00CF2212" w:rsidRDefault="0024326F" w:rsidP="008348B5">
      <w:pPr>
        <w:pStyle w:val="ListParagraph"/>
        <w:numPr>
          <w:ilvl w:val="0"/>
          <w:numId w:val="55"/>
        </w:numPr>
        <w:rPr>
          <w:rFonts w:ascii="Arial" w:hAnsi="Arial" w:cs="Arial"/>
          <w:sz w:val="20"/>
        </w:rPr>
      </w:pPr>
      <w:r w:rsidRPr="00CF2212">
        <w:rPr>
          <w:rFonts w:ascii="Arial" w:hAnsi="Arial" w:cs="Arial"/>
          <w:sz w:val="20"/>
        </w:rPr>
        <w:t>Manage risk of asset failure;</w:t>
      </w:r>
    </w:p>
    <w:p w:rsidR="0024326F" w:rsidRPr="00CF2212" w:rsidRDefault="0024326F" w:rsidP="008348B5">
      <w:pPr>
        <w:pStyle w:val="ListParagraph"/>
        <w:numPr>
          <w:ilvl w:val="0"/>
          <w:numId w:val="55"/>
        </w:numPr>
        <w:rPr>
          <w:rFonts w:ascii="Arial" w:hAnsi="Arial" w:cs="Arial"/>
          <w:sz w:val="20"/>
        </w:rPr>
      </w:pPr>
      <w:r w:rsidRPr="00CF2212">
        <w:rPr>
          <w:rFonts w:ascii="Arial" w:hAnsi="Arial" w:cs="Arial"/>
          <w:sz w:val="20"/>
        </w:rPr>
        <w:t>Achieve savings by optimising whole of life costs; and</w:t>
      </w:r>
    </w:p>
    <w:p w:rsidR="0024326F" w:rsidRPr="00CF2212" w:rsidRDefault="0024326F" w:rsidP="008348B5">
      <w:pPr>
        <w:pStyle w:val="ListParagraph"/>
        <w:numPr>
          <w:ilvl w:val="0"/>
          <w:numId w:val="55"/>
        </w:numPr>
        <w:rPr>
          <w:rFonts w:ascii="Arial" w:hAnsi="Arial" w:cs="Arial"/>
          <w:sz w:val="20"/>
        </w:rPr>
      </w:pPr>
      <w:r w:rsidRPr="00CF2212">
        <w:rPr>
          <w:rFonts w:ascii="Arial" w:hAnsi="Arial" w:cs="Arial"/>
          <w:sz w:val="20"/>
        </w:rPr>
        <w:t>Support long term financial planning.</w:t>
      </w:r>
    </w:p>
    <w:p w:rsidR="00CF2212" w:rsidRDefault="00CF2212" w:rsidP="00CF2212"/>
    <w:p w:rsidR="0024326F" w:rsidRPr="00E85DDD" w:rsidRDefault="0024326F" w:rsidP="00CF2212">
      <w:r w:rsidRPr="00E85DDD">
        <w:t>The outcomes of this plan identify the future funding requirement for service delivery accounting for the following factors:</w:t>
      </w:r>
    </w:p>
    <w:p w:rsidR="00CF2212" w:rsidRDefault="00CF2212" w:rsidP="00CF2212">
      <w:pPr>
        <w:rPr>
          <w:rFonts w:cs="Arial"/>
        </w:rPr>
      </w:pPr>
    </w:p>
    <w:p w:rsidR="0024326F" w:rsidRPr="00CF2212" w:rsidRDefault="0024326F" w:rsidP="008348B5">
      <w:pPr>
        <w:pStyle w:val="ListParagraph"/>
        <w:numPr>
          <w:ilvl w:val="0"/>
          <w:numId w:val="55"/>
        </w:numPr>
        <w:rPr>
          <w:rFonts w:ascii="Arial" w:hAnsi="Arial" w:cs="Arial"/>
          <w:sz w:val="20"/>
        </w:rPr>
      </w:pPr>
      <w:r w:rsidRPr="00CF2212">
        <w:rPr>
          <w:rFonts w:ascii="Arial" w:hAnsi="Arial" w:cs="Arial"/>
          <w:sz w:val="20"/>
        </w:rPr>
        <w:t>Adopted levels of service;</w:t>
      </w:r>
    </w:p>
    <w:p w:rsidR="0024326F" w:rsidRPr="00CF2212" w:rsidRDefault="0024326F" w:rsidP="008348B5">
      <w:pPr>
        <w:pStyle w:val="ListParagraph"/>
        <w:numPr>
          <w:ilvl w:val="0"/>
          <w:numId w:val="55"/>
        </w:numPr>
        <w:rPr>
          <w:rFonts w:ascii="Arial" w:hAnsi="Arial" w:cs="Arial"/>
          <w:sz w:val="20"/>
        </w:rPr>
      </w:pPr>
      <w:r w:rsidRPr="00CF2212">
        <w:rPr>
          <w:rFonts w:ascii="Arial" w:hAnsi="Arial" w:cs="Arial"/>
          <w:sz w:val="20"/>
        </w:rPr>
        <w:t>Future demand for infrastructure;</w:t>
      </w:r>
    </w:p>
    <w:p w:rsidR="0024326F" w:rsidRPr="00CF2212" w:rsidRDefault="0024326F" w:rsidP="008348B5">
      <w:pPr>
        <w:pStyle w:val="ListParagraph"/>
        <w:numPr>
          <w:ilvl w:val="0"/>
          <w:numId w:val="55"/>
        </w:numPr>
        <w:rPr>
          <w:rFonts w:ascii="Arial" w:hAnsi="Arial" w:cs="Arial"/>
          <w:sz w:val="20"/>
        </w:rPr>
      </w:pPr>
      <w:r w:rsidRPr="00CF2212">
        <w:rPr>
          <w:rFonts w:ascii="Arial" w:hAnsi="Arial" w:cs="Arial"/>
          <w:sz w:val="20"/>
        </w:rPr>
        <w:t>Current asset performance;</w:t>
      </w:r>
    </w:p>
    <w:p w:rsidR="0024326F" w:rsidRPr="00CF2212" w:rsidRDefault="0024326F" w:rsidP="008348B5">
      <w:pPr>
        <w:pStyle w:val="ListParagraph"/>
        <w:numPr>
          <w:ilvl w:val="0"/>
          <w:numId w:val="55"/>
        </w:numPr>
        <w:rPr>
          <w:rFonts w:ascii="Arial" w:hAnsi="Arial" w:cs="Arial"/>
          <w:sz w:val="20"/>
        </w:rPr>
      </w:pPr>
      <w:r w:rsidRPr="00CF2212">
        <w:rPr>
          <w:rFonts w:ascii="Arial" w:hAnsi="Arial" w:cs="Arial"/>
          <w:sz w:val="20"/>
        </w:rPr>
        <w:t>Risk;</w:t>
      </w:r>
    </w:p>
    <w:p w:rsidR="0024326F" w:rsidRPr="00CF2212" w:rsidRDefault="0024326F" w:rsidP="008348B5">
      <w:pPr>
        <w:pStyle w:val="ListParagraph"/>
        <w:numPr>
          <w:ilvl w:val="0"/>
          <w:numId w:val="55"/>
        </w:numPr>
        <w:rPr>
          <w:rFonts w:ascii="Arial" w:hAnsi="Arial" w:cs="Arial"/>
          <w:sz w:val="20"/>
        </w:rPr>
      </w:pPr>
      <w:r w:rsidRPr="00CF2212">
        <w:rPr>
          <w:rFonts w:ascii="Arial" w:hAnsi="Arial" w:cs="Arial"/>
          <w:sz w:val="20"/>
        </w:rPr>
        <w:t>Required works; and</w:t>
      </w:r>
    </w:p>
    <w:p w:rsidR="0024326F" w:rsidRPr="00CF2212" w:rsidRDefault="0024326F" w:rsidP="008348B5">
      <w:pPr>
        <w:pStyle w:val="ListParagraph"/>
        <w:numPr>
          <w:ilvl w:val="0"/>
          <w:numId w:val="55"/>
        </w:numPr>
        <w:rPr>
          <w:rFonts w:ascii="Arial" w:hAnsi="Arial" w:cs="Arial"/>
          <w:sz w:val="20"/>
        </w:rPr>
      </w:pPr>
      <w:r w:rsidRPr="00CF2212">
        <w:rPr>
          <w:rFonts w:ascii="Arial" w:hAnsi="Arial" w:cs="Arial"/>
          <w:sz w:val="20"/>
        </w:rPr>
        <w:t>Funding constraints.</w:t>
      </w:r>
    </w:p>
    <w:p w:rsidR="00CF2212" w:rsidRDefault="00CF2212" w:rsidP="00CF2212"/>
    <w:p w:rsidR="0024326F" w:rsidRPr="00E85DDD" w:rsidRDefault="0024326F" w:rsidP="00CF2212">
      <w:r w:rsidRPr="00E85DDD">
        <w:t xml:space="preserve">The </w:t>
      </w:r>
      <w:r w:rsidR="00E85DDD">
        <w:t>BAMP covers a period of 2</w:t>
      </w:r>
      <w:r w:rsidRPr="00E85DDD">
        <w:t>0 years</w:t>
      </w:r>
      <w:r w:rsidR="00E85DDD">
        <w:t xml:space="preserve"> however t</w:t>
      </w:r>
      <w:r w:rsidRPr="00E85DDD">
        <w:t xml:space="preserve">he focus of the plan is on current building performance </w:t>
      </w:r>
      <w:r w:rsidR="00E85DDD">
        <w:t>and improvements that can be made in the next 10 years</w:t>
      </w:r>
      <w:bookmarkStart w:id="56" w:name="_Toc340575249"/>
      <w:bookmarkStart w:id="57" w:name="_Toc340578046"/>
      <w:bookmarkStart w:id="58" w:name="_Toc340578279"/>
      <w:bookmarkStart w:id="59" w:name="_Toc340575250"/>
      <w:bookmarkStart w:id="60" w:name="_Toc340578047"/>
      <w:bookmarkStart w:id="61" w:name="_Toc340578280"/>
      <w:bookmarkStart w:id="62" w:name="_Toc340575251"/>
      <w:bookmarkStart w:id="63" w:name="_Toc340578048"/>
      <w:bookmarkStart w:id="64" w:name="_Toc340578281"/>
      <w:bookmarkStart w:id="65" w:name="_Toc340575252"/>
      <w:bookmarkStart w:id="66" w:name="_Toc340578049"/>
      <w:bookmarkStart w:id="67" w:name="_Toc340578282"/>
      <w:bookmarkStart w:id="68" w:name="_Toc340575253"/>
      <w:bookmarkStart w:id="69" w:name="_Toc340578050"/>
      <w:bookmarkStart w:id="70" w:name="_Toc340578283"/>
      <w:bookmarkStart w:id="71" w:name="_Toc340575254"/>
      <w:bookmarkStart w:id="72" w:name="_Toc340578051"/>
      <w:bookmarkStart w:id="73" w:name="_Toc340578284"/>
      <w:bookmarkStart w:id="74" w:name="_Toc340575255"/>
      <w:bookmarkStart w:id="75" w:name="_Toc340578052"/>
      <w:bookmarkStart w:id="76" w:name="_Toc340578285"/>
      <w:bookmarkStart w:id="77" w:name="_Toc340575256"/>
      <w:bookmarkStart w:id="78" w:name="_Toc340578053"/>
      <w:bookmarkStart w:id="79" w:name="_Toc340578286"/>
      <w:bookmarkStart w:id="80" w:name="_Toc340575257"/>
      <w:bookmarkStart w:id="81" w:name="_Toc340578054"/>
      <w:bookmarkStart w:id="82" w:name="_Toc340578287"/>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r w:rsidR="00E85DDD">
        <w:t xml:space="preserve"> in accordance with Council</w:t>
      </w:r>
      <w:r w:rsidR="003B7425">
        <w:t>’</w:t>
      </w:r>
      <w:r w:rsidR="00E85DDD">
        <w:t xml:space="preserve">s 10 year </w:t>
      </w:r>
      <w:r w:rsidR="000040F4">
        <w:t>Capital Works Program in the Long T</w:t>
      </w:r>
      <w:r w:rsidR="00E85DDD">
        <w:t xml:space="preserve">erm </w:t>
      </w:r>
      <w:r w:rsidR="000040F4">
        <w:t>F</w:t>
      </w:r>
      <w:r w:rsidR="00E85DDD">
        <w:t xml:space="preserve">inancial </w:t>
      </w:r>
      <w:r w:rsidR="000040F4">
        <w:t>P</w:t>
      </w:r>
      <w:r w:rsidR="00E85DDD">
        <w:t>lan.</w:t>
      </w:r>
    </w:p>
    <w:p w:rsidR="002D4F72" w:rsidRDefault="002D4F72" w:rsidP="00CF2212"/>
    <w:p w:rsidR="002D4F72" w:rsidRPr="001F4DDE" w:rsidRDefault="00CF2212" w:rsidP="00CF2212">
      <w:pPr>
        <w:pStyle w:val="Heading2"/>
      </w:pPr>
      <w:bookmarkStart w:id="83" w:name="_Toc364945245"/>
      <w:r>
        <w:t>Relationship with Other P</w:t>
      </w:r>
      <w:r w:rsidR="002D4F72" w:rsidRPr="001F4DDE">
        <w:t>lanning Documents</w:t>
      </w:r>
      <w:bookmarkEnd w:id="83"/>
    </w:p>
    <w:p w:rsidR="00E85DDD" w:rsidRDefault="0024326F" w:rsidP="00CF2212">
      <w:r w:rsidRPr="00E85DDD">
        <w:t>This BAMP has been developed in accordance with Council</w:t>
      </w:r>
      <w:r w:rsidR="003B7425">
        <w:t>’</w:t>
      </w:r>
      <w:r w:rsidRPr="00E85DDD">
        <w:t xml:space="preserve">s adopted Asset Management Policy and Strategy. </w:t>
      </w:r>
    </w:p>
    <w:p w:rsidR="00CF2212" w:rsidRDefault="00CF2212" w:rsidP="00CF2212"/>
    <w:p w:rsidR="007B2F6C" w:rsidRPr="00CD7D4F" w:rsidRDefault="007B2F6C" w:rsidP="00CF2212">
      <w:r>
        <w:t>T</w:t>
      </w:r>
      <w:r w:rsidRPr="00CD7D4F">
        <w:t xml:space="preserve">his </w:t>
      </w:r>
      <w:r>
        <w:t xml:space="preserve">Asset Management plan has been compiled </w:t>
      </w:r>
      <w:r w:rsidRPr="00CD7D4F">
        <w:t xml:space="preserve">to ensure </w:t>
      </w:r>
      <w:r>
        <w:t>that Yarra</w:t>
      </w:r>
      <w:r w:rsidR="00622DC3">
        <w:t xml:space="preserve"> City Council</w:t>
      </w:r>
      <w:r w:rsidRPr="00CD7D4F">
        <w:t xml:space="preserve"> me</w:t>
      </w:r>
      <w:r>
        <w:t>e</w:t>
      </w:r>
      <w:r w:rsidRPr="00CD7D4F">
        <w:t>t</w:t>
      </w:r>
      <w:r>
        <w:t>s</w:t>
      </w:r>
      <w:r w:rsidRPr="00CD7D4F">
        <w:t xml:space="preserve"> legislative requirements</w:t>
      </w:r>
      <w:r>
        <w:t>, is based on the</w:t>
      </w:r>
      <w:r w:rsidRPr="00CD7D4F">
        <w:t xml:space="preserve"> 2013 Long Term </w:t>
      </w:r>
      <w:r>
        <w:t xml:space="preserve">Financial </w:t>
      </w:r>
      <w:r w:rsidRPr="00CD7D4F">
        <w:t>Plan (LT</w:t>
      </w:r>
      <w:r>
        <w:t>FP) and Council Plan. O</w:t>
      </w:r>
      <w:r w:rsidRPr="00CD7D4F">
        <w:t xml:space="preserve">ther documents </w:t>
      </w:r>
      <w:r>
        <w:t>of Yarra</w:t>
      </w:r>
      <w:r w:rsidR="00622DC3">
        <w:t xml:space="preserve"> City Council</w:t>
      </w:r>
      <w:r w:rsidRPr="00CD7D4F">
        <w:t xml:space="preserve"> will be</w:t>
      </w:r>
      <w:r w:rsidR="00622DC3">
        <w:t xml:space="preserve"> </w:t>
      </w:r>
      <w:r w:rsidRPr="00CD7D4F">
        <w:t>referenced as appropriate</w:t>
      </w:r>
      <w:r>
        <w:t>. The BAMP meets the requirements for core competency of the National Asset Management Assessment Framework (NAMAF), and makes progress towards advanced rating of that framework.</w:t>
      </w:r>
    </w:p>
    <w:p w:rsidR="0024326F" w:rsidRPr="00783D07" w:rsidRDefault="0024326F" w:rsidP="003E5B9F">
      <w:pPr>
        <w:pStyle w:val="StyleHeading3Heading3Char10ptBefore6pt"/>
      </w:pPr>
      <w:bookmarkStart w:id="84" w:name="_Toc346740098"/>
      <w:bookmarkStart w:id="85" w:name="_Toc364945246"/>
      <w:r w:rsidRPr="00783D07">
        <w:t>Council Plan</w:t>
      </w:r>
      <w:bookmarkEnd w:id="84"/>
      <w:bookmarkEnd w:id="85"/>
    </w:p>
    <w:p w:rsidR="0024326F" w:rsidRPr="00E85DDD" w:rsidRDefault="0024326F" w:rsidP="00F06939">
      <w:pPr>
        <w:ind w:left="720"/>
        <w:rPr>
          <w:snapToGrid w:val="0"/>
        </w:rPr>
      </w:pPr>
      <w:r w:rsidRPr="00E85DDD">
        <w:rPr>
          <w:snapToGrid w:val="0"/>
        </w:rPr>
        <w:t>The Council Plan sets out the medium-term direction of Council and the outcomes sought by Councillors for their term. The plan has a strategic focus, concerned with setting out Council’s Strategic Objectives for the next four years and outlining some of the values, policy, research and evidence sitting behind each objective. The Council Plan therefore has a direct impact on the outcomes defined by the service plans, asset management plans and operational management plans.</w:t>
      </w:r>
    </w:p>
    <w:p w:rsidR="0024326F" w:rsidRPr="00783D07" w:rsidRDefault="0024326F" w:rsidP="003E5B9F">
      <w:pPr>
        <w:pStyle w:val="StyleHeading3Heading3Char10ptBefore6pt"/>
      </w:pPr>
      <w:bookmarkStart w:id="86" w:name="_Toc342332285"/>
      <w:bookmarkStart w:id="87" w:name="_Toc346740099"/>
      <w:bookmarkStart w:id="88" w:name="_Toc364945247"/>
      <w:r w:rsidRPr="00783D07">
        <w:t>Service Plans</w:t>
      </w:r>
      <w:bookmarkEnd w:id="86"/>
      <w:bookmarkEnd w:id="87"/>
      <w:bookmarkEnd w:id="88"/>
    </w:p>
    <w:p w:rsidR="0024326F" w:rsidRDefault="0024326F" w:rsidP="00F06939">
      <w:pPr>
        <w:ind w:left="720"/>
        <w:rPr>
          <w:snapToGrid w:val="0"/>
        </w:rPr>
      </w:pPr>
      <w:r w:rsidRPr="00E85DDD">
        <w:rPr>
          <w:snapToGrid w:val="0"/>
        </w:rPr>
        <w:t xml:space="preserve">Council is the custodian of an extensive range of community </w:t>
      </w:r>
      <w:r w:rsidR="007C0D43">
        <w:rPr>
          <w:snapToGrid w:val="0"/>
        </w:rPr>
        <w:t>assets that are provided to</w:t>
      </w:r>
      <w:r w:rsidRPr="00E85DDD">
        <w:rPr>
          <w:snapToGrid w:val="0"/>
        </w:rPr>
        <w:t xml:space="preserve"> deliver of its services to the community. This includes </w:t>
      </w:r>
      <w:r w:rsidR="007C0D43">
        <w:rPr>
          <w:snapToGrid w:val="0"/>
        </w:rPr>
        <w:t xml:space="preserve">a range of </w:t>
      </w:r>
      <w:r w:rsidRPr="00E85DDD">
        <w:rPr>
          <w:snapToGrid w:val="0"/>
        </w:rPr>
        <w:t xml:space="preserve">facilities and associated infrastructure. </w:t>
      </w:r>
      <w:r w:rsidR="007C0D43">
        <w:rPr>
          <w:snapToGrid w:val="0"/>
        </w:rPr>
        <w:t>S</w:t>
      </w:r>
      <w:r w:rsidRPr="00E85DDD">
        <w:rPr>
          <w:snapToGrid w:val="0"/>
        </w:rPr>
        <w:t>ervice plans a</w:t>
      </w:r>
      <w:r w:rsidR="007C0D43">
        <w:rPr>
          <w:snapToGrid w:val="0"/>
        </w:rPr>
        <w:t>re developed by service managers to</w:t>
      </w:r>
      <w:r w:rsidRPr="00E85DDD">
        <w:rPr>
          <w:snapToGrid w:val="0"/>
        </w:rPr>
        <w:t xml:space="preserve"> articulate the </w:t>
      </w:r>
      <w:r w:rsidR="007C0D43">
        <w:rPr>
          <w:snapToGrid w:val="0"/>
        </w:rPr>
        <w:t xml:space="preserve">service provided and document </w:t>
      </w:r>
      <w:r w:rsidRPr="00E85DDD">
        <w:rPr>
          <w:snapToGrid w:val="0"/>
        </w:rPr>
        <w:t xml:space="preserve">future strategies required to either enhance or maintain the services. Currently service plans are in </w:t>
      </w:r>
      <w:r w:rsidR="007C0D43">
        <w:rPr>
          <w:snapToGrid w:val="0"/>
        </w:rPr>
        <w:t>a basic format</w:t>
      </w:r>
      <w:r w:rsidRPr="00E85DDD">
        <w:rPr>
          <w:snapToGrid w:val="0"/>
        </w:rPr>
        <w:t xml:space="preserve"> with the service strategies outlined in a </w:t>
      </w:r>
      <w:r w:rsidR="007C0D43">
        <w:rPr>
          <w:snapToGrid w:val="0"/>
        </w:rPr>
        <w:t>standard template</w:t>
      </w:r>
      <w:r w:rsidRPr="00E85DDD">
        <w:rPr>
          <w:snapToGrid w:val="0"/>
        </w:rPr>
        <w:t xml:space="preserve">. It is intended that the service plans be </w:t>
      </w:r>
      <w:r w:rsidR="007C0D43">
        <w:rPr>
          <w:snapToGrid w:val="0"/>
        </w:rPr>
        <w:t>further developed in future years into a comprehensive plan</w:t>
      </w:r>
      <w:r w:rsidR="00B3590F">
        <w:rPr>
          <w:snapToGrid w:val="0"/>
        </w:rPr>
        <w:t xml:space="preserve"> for each of Council</w:t>
      </w:r>
      <w:r w:rsidR="00724EA9">
        <w:rPr>
          <w:snapToGrid w:val="0"/>
        </w:rPr>
        <w:t>`</w:t>
      </w:r>
      <w:r w:rsidR="00B3590F">
        <w:rPr>
          <w:snapToGrid w:val="0"/>
        </w:rPr>
        <w:t>s services.</w:t>
      </w:r>
    </w:p>
    <w:p w:rsidR="00F06939" w:rsidRPr="00E85DDD" w:rsidRDefault="00F06939" w:rsidP="00F06939">
      <w:pPr>
        <w:ind w:left="720"/>
        <w:rPr>
          <w:snapToGrid w:val="0"/>
        </w:rPr>
      </w:pPr>
    </w:p>
    <w:p w:rsidR="0024326F" w:rsidRDefault="0024326F" w:rsidP="004B0D5B">
      <w:pPr>
        <w:keepNext/>
        <w:keepLines/>
        <w:ind w:left="720"/>
        <w:rPr>
          <w:rFonts w:cs="Arial"/>
        </w:rPr>
      </w:pPr>
      <w:r w:rsidRPr="00F06939">
        <w:rPr>
          <w:rFonts w:cs="Arial"/>
        </w:rPr>
        <w:t>The service plans are intended to include:</w:t>
      </w:r>
    </w:p>
    <w:p w:rsidR="00F06939" w:rsidRPr="00F06939" w:rsidRDefault="00F06939" w:rsidP="004B0D5B">
      <w:pPr>
        <w:keepNext/>
        <w:keepLines/>
        <w:ind w:left="720"/>
        <w:rPr>
          <w:rFonts w:cs="Arial"/>
        </w:rPr>
      </w:pPr>
    </w:p>
    <w:p w:rsidR="0024326F" w:rsidRPr="00CF2212" w:rsidRDefault="0024326F" w:rsidP="004B0D5B">
      <w:pPr>
        <w:pStyle w:val="ListParagraph"/>
        <w:keepNext/>
        <w:keepLines/>
        <w:numPr>
          <w:ilvl w:val="0"/>
          <w:numId w:val="40"/>
        </w:numPr>
        <w:rPr>
          <w:rFonts w:ascii="Arial" w:hAnsi="Arial" w:cs="Arial"/>
          <w:sz w:val="20"/>
        </w:rPr>
      </w:pPr>
      <w:r w:rsidRPr="00CF2212">
        <w:rPr>
          <w:rFonts w:ascii="Arial" w:hAnsi="Arial" w:cs="Arial"/>
          <w:sz w:val="20"/>
        </w:rPr>
        <w:t>The services to be provided;</w:t>
      </w:r>
    </w:p>
    <w:p w:rsidR="0024326F" w:rsidRPr="00CF2212" w:rsidRDefault="0024326F" w:rsidP="004B0D5B">
      <w:pPr>
        <w:pStyle w:val="ListParagraph"/>
        <w:keepNext/>
        <w:keepLines/>
        <w:numPr>
          <w:ilvl w:val="0"/>
          <w:numId w:val="40"/>
        </w:numPr>
        <w:rPr>
          <w:rFonts w:ascii="Arial" w:hAnsi="Arial" w:cs="Arial"/>
          <w:sz w:val="20"/>
        </w:rPr>
      </w:pPr>
      <w:r w:rsidRPr="00CF2212">
        <w:rPr>
          <w:rFonts w:ascii="Arial" w:hAnsi="Arial" w:cs="Arial"/>
          <w:sz w:val="20"/>
        </w:rPr>
        <w:t>Current and future community and technical service levels;</w:t>
      </w:r>
    </w:p>
    <w:p w:rsidR="0024326F" w:rsidRPr="00CF2212" w:rsidRDefault="0024326F" w:rsidP="004B0D5B">
      <w:pPr>
        <w:pStyle w:val="ListParagraph"/>
        <w:keepNext/>
        <w:keepLines/>
        <w:numPr>
          <w:ilvl w:val="0"/>
          <w:numId w:val="40"/>
        </w:numPr>
        <w:rPr>
          <w:rFonts w:ascii="Arial" w:hAnsi="Arial" w:cs="Arial"/>
          <w:sz w:val="20"/>
        </w:rPr>
      </w:pPr>
      <w:r w:rsidRPr="00CF2212">
        <w:rPr>
          <w:rFonts w:ascii="Arial" w:hAnsi="Arial" w:cs="Arial"/>
          <w:sz w:val="20"/>
        </w:rPr>
        <w:t>The buildings required to support the services;</w:t>
      </w:r>
    </w:p>
    <w:p w:rsidR="0024326F" w:rsidRPr="00CF2212" w:rsidRDefault="0024326F" w:rsidP="004B0D5B">
      <w:pPr>
        <w:pStyle w:val="ListParagraph"/>
        <w:keepNext/>
        <w:keepLines/>
        <w:numPr>
          <w:ilvl w:val="0"/>
          <w:numId w:val="40"/>
        </w:numPr>
        <w:rPr>
          <w:rFonts w:ascii="Arial" w:hAnsi="Arial" w:cs="Arial"/>
          <w:sz w:val="20"/>
        </w:rPr>
      </w:pPr>
      <w:r w:rsidRPr="00CF2212">
        <w:rPr>
          <w:rFonts w:ascii="Arial" w:hAnsi="Arial" w:cs="Arial"/>
          <w:sz w:val="20"/>
        </w:rPr>
        <w:t>Current and future resources required to manage the services; and</w:t>
      </w:r>
    </w:p>
    <w:p w:rsidR="0024326F" w:rsidRDefault="0024326F" w:rsidP="004B0D5B">
      <w:pPr>
        <w:pStyle w:val="ListParagraph"/>
        <w:keepNext/>
        <w:keepLines/>
        <w:numPr>
          <w:ilvl w:val="0"/>
          <w:numId w:val="40"/>
        </w:numPr>
        <w:rPr>
          <w:rFonts w:ascii="Arial" w:hAnsi="Arial" w:cs="Arial"/>
          <w:sz w:val="20"/>
        </w:rPr>
      </w:pPr>
      <w:r w:rsidRPr="00CF2212">
        <w:rPr>
          <w:rFonts w:ascii="Arial" w:hAnsi="Arial" w:cs="Arial"/>
          <w:sz w:val="20"/>
        </w:rPr>
        <w:t>Current and future budget needs.</w:t>
      </w:r>
    </w:p>
    <w:p w:rsidR="00F06939" w:rsidRPr="00CF2212" w:rsidRDefault="00F06939" w:rsidP="00F06939">
      <w:pPr>
        <w:pStyle w:val="ListParagraph"/>
        <w:ind w:left="1080"/>
        <w:rPr>
          <w:rFonts w:ascii="Arial" w:hAnsi="Arial" w:cs="Arial"/>
          <w:sz w:val="20"/>
        </w:rPr>
      </w:pPr>
    </w:p>
    <w:bookmarkStart w:id="89" w:name="_MON_1433248893"/>
    <w:bookmarkStart w:id="90" w:name="_MON_1433248502"/>
    <w:bookmarkStart w:id="91" w:name="_MON_1433248847"/>
    <w:bookmarkEnd w:id="89"/>
    <w:bookmarkEnd w:id="90"/>
    <w:bookmarkEnd w:id="91"/>
    <w:bookmarkStart w:id="92" w:name="_MON_1433248861"/>
    <w:bookmarkEnd w:id="92"/>
    <w:p w:rsidR="00D106DA" w:rsidRDefault="004260B8" w:rsidP="00F06939">
      <w:pPr>
        <w:pStyle w:val="ListParagraph"/>
        <w:ind w:left="709"/>
        <w:jc w:val="center"/>
      </w:pPr>
      <w:r w:rsidRPr="006B187D">
        <w:object w:dxaOrig="7205" w:dyaOrig="5401">
          <v:shape id="_x0000_i1026" type="#_x0000_t75" style="width:330pt;height:249.75pt" o:ole="">
            <v:imagedata r:id="rId29" o:title=""/>
          </v:shape>
          <o:OLEObject Type="Embed" ProgID="PowerPoint.Slide.12" ShapeID="_x0000_i1026" DrawAspect="Content" ObjectID="_1607929756" r:id="rId30"/>
        </w:object>
      </w:r>
    </w:p>
    <w:p w:rsidR="003E5B9F" w:rsidRPr="0091425F" w:rsidRDefault="00D20934" w:rsidP="00D20934">
      <w:pPr>
        <w:pStyle w:val="Caption"/>
        <w:spacing w:before="240" w:after="240"/>
        <w:ind w:left="0"/>
        <w:jc w:val="center"/>
        <w:rPr>
          <w:rFonts w:ascii="Arial" w:hAnsi="Arial"/>
          <w:i w:val="0"/>
          <w:iCs w:val="0"/>
          <w:sz w:val="20"/>
          <w:lang w:val="en-AU"/>
        </w:rPr>
      </w:pPr>
      <w:bookmarkStart w:id="93" w:name="_Toc364945377"/>
      <w:r w:rsidRPr="0091425F">
        <w:rPr>
          <w:rFonts w:ascii="Arial" w:hAnsi="Arial"/>
          <w:i w:val="0"/>
          <w:iCs w:val="0"/>
          <w:sz w:val="20"/>
          <w:lang w:val="en-AU"/>
        </w:rPr>
        <w:t xml:space="preserve">Figure </w:t>
      </w:r>
      <w:r w:rsidR="0090414C" w:rsidRPr="0091425F">
        <w:rPr>
          <w:rFonts w:ascii="Arial" w:hAnsi="Arial"/>
          <w:i w:val="0"/>
          <w:iCs w:val="0"/>
          <w:sz w:val="20"/>
          <w:lang w:val="en-AU"/>
        </w:rPr>
        <w:fldChar w:fldCharType="begin"/>
      </w:r>
      <w:r w:rsidRPr="0091425F">
        <w:rPr>
          <w:rFonts w:ascii="Arial" w:hAnsi="Arial"/>
          <w:i w:val="0"/>
          <w:iCs w:val="0"/>
          <w:sz w:val="20"/>
          <w:lang w:val="en-AU"/>
        </w:rPr>
        <w:instrText xml:space="preserve"> SEQ Figure \* ARABIC </w:instrText>
      </w:r>
      <w:r w:rsidR="0090414C" w:rsidRPr="0091425F">
        <w:rPr>
          <w:rFonts w:ascii="Arial" w:hAnsi="Arial"/>
          <w:i w:val="0"/>
          <w:iCs w:val="0"/>
          <w:sz w:val="20"/>
          <w:lang w:val="en-AU"/>
        </w:rPr>
        <w:fldChar w:fldCharType="separate"/>
      </w:r>
      <w:r w:rsidR="00751CEC">
        <w:rPr>
          <w:rFonts w:ascii="Arial" w:hAnsi="Arial"/>
          <w:i w:val="0"/>
          <w:iCs w:val="0"/>
          <w:noProof/>
          <w:sz w:val="20"/>
          <w:lang w:val="en-AU"/>
        </w:rPr>
        <w:t>13</w:t>
      </w:r>
      <w:r w:rsidR="0090414C" w:rsidRPr="0091425F">
        <w:rPr>
          <w:rFonts w:ascii="Arial" w:hAnsi="Arial"/>
          <w:i w:val="0"/>
          <w:iCs w:val="0"/>
          <w:sz w:val="20"/>
          <w:lang w:val="en-AU"/>
        </w:rPr>
        <w:fldChar w:fldCharType="end"/>
      </w:r>
      <w:r w:rsidRPr="0091425F">
        <w:rPr>
          <w:rFonts w:ascii="Arial" w:hAnsi="Arial"/>
          <w:i w:val="0"/>
          <w:iCs w:val="0"/>
          <w:sz w:val="20"/>
          <w:lang w:val="en-AU"/>
        </w:rPr>
        <w:t>:  Relationship Between Planning Documents</w:t>
      </w:r>
      <w:bookmarkEnd w:id="93"/>
    </w:p>
    <w:p w:rsidR="00EA42FF" w:rsidRPr="00CF2212" w:rsidRDefault="00EA42FF" w:rsidP="00CF2212">
      <w:pPr>
        <w:pStyle w:val="Heading2"/>
      </w:pPr>
      <w:bookmarkStart w:id="94" w:name="_Toc364945248"/>
      <w:r w:rsidRPr="00CF2212">
        <w:t>S</w:t>
      </w:r>
      <w:r w:rsidR="00E85DDD" w:rsidRPr="00CF2212">
        <w:t xml:space="preserve">trategic Alignment to the </w:t>
      </w:r>
      <w:r w:rsidR="00CA0407" w:rsidRPr="00CF2212">
        <w:t>Council</w:t>
      </w:r>
      <w:r w:rsidRPr="00CF2212">
        <w:t xml:space="preserve"> Plan</w:t>
      </w:r>
      <w:bookmarkEnd w:id="94"/>
    </w:p>
    <w:p w:rsidR="0024326F" w:rsidRDefault="007C0D43" w:rsidP="00F06939">
      <w:r w:rsidRPr="007C0D43">
        <w:t>The following table doc</w:t>
      </w:r>
      <w:r>
        <w:t>uments how Council</w:t>
      </w:r>
      <w:r w:rsidR="002D4917">
        <w:t>’</w:t>
      </w:r>
      <w:r>
        <w:t>s building assets meet the goals of the Council Plan</w:t>
      </w:r>
      <w:r w:rsidR="00C70C58">
        <w:t>:</w:t>
      </w:r>
    </w:p>
    <w:p w:rsidR="007C0D43" w:rsidRPr="007C0D43" w:rsidRDefault="007C0D43" w:rsidP="00F06939"/>
    <w:tbl>
      <w:tblPr>
        <w:tblW w:w="899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06"/>
        <w:gridCol w:w="5989"/>
      </w:tblGrid>
      <w:tr w:rsidR="00776EB5" w:rsidRPr="00F06939" w:rsidTr="003B5AE2">
        <w:trPr>
          <w:cantSplit/>
          <w:tblHeader/>
          <w:jc w:val="center"/>
        </w:trPr>
        <w:tc>
          <w:tcPr>
            <w:tcW w:w="3006" w:type="dxa"/>
            <w:shd w:val="clear" w:color="auto" w:fill="95B3D7" w:themeFill="accent1" w:themeFillTint="99"/>
          </w:tcPr>
          <w:p w:rsidR="00776EB5" w:rsidRPr="00F06939" w:rsidRDefault="00776EB5" w:rsidP="00F06939">
            <w:pPr>
              <w:spacing w:before="120" w:after="120"/>
              <w:rPr>
                <w:b/>
              </w:rPr>
            </w:pPr>
            <w:r w:rsidRPr="00F06939">
              <w:rPr>
                <w:b/>
              </w:rPr>
              <w:t>Strategic Objective</w:t>
            </w:r>
          </w:p>
        </w:tc>
        <w:tc>
          <w:tcPr>
            <w:tcW w:w="5989" w:type="dxa"/>
            <w:shd w:val="clear" w:color="auto" w:fill="95B3D7" w:themeFill="accent1" w:themeFillTint="99"/>
          </w:tcPr>
          <w:p w:rsidR="00776EB5" w:rsidRPr="00F06939" w:rsidRDefault="00776EB5" w:rsidP="00F06939">
            <w:pPr>
              <w:spacing w:before="120" w:after="120"/>
              <w:rPr>
                <w:b/>
              </w:rPr>
            </w:pPr>
            <w:r w:rsidRPr="00F06939">
              <w:rPr>
                <w:b/>
              </w:rPr>
              <w:t>Facility Goal</w:t>
            </w:r>
          </w:p>
        </w:tc>
      </w:tr>
      <w:tr w:rsidR="00220582" w:rsidRPr="00F06939" w:rsidTr="00BE6259">
        <w:trPr>
          <w:cantSplit/>
          <w:jc w:val="center"/>
        </w:trPr>
        <w:tc>
          <w:tcPr>
            <w:tcW w:w="3006" w:type="dxa"/>
          </w:tcPr>
          <w:p w:rsidR="00220582" w:rsidRPr="00F06939" w:rsidRDefault="00220582" w:rsidP="00BE6259">
            <w:pPr>
              <w:spacing w:before="120" w:after="120"/>
              <w:jc w:val="left"/>
            </w:pPr>
            <w:r w:rsidRPr="00F06939">
              <w:t xml:space="preserve">Celebrating Yarra’s uniqueness </w:t>
            </w:r>
          </w:p>
        </w:tc>
        <w:tc>
          <w:tcPr>
            <w:tcW w:w="5989" w:type="dxa"/>
          </w:tcPr>
          <w:p w:rsidR="00220582" w:rsidRPr="00F06939" w:rsidRDefault="00220582" w:rsidP="00BE6259">
            <w:pPr>
              <w:spacing w:before="120" w:after="120"/>
              <w:jc w:val="left"/>
            </w:pPr>
            <w:r>
              <w:t>To improve the a</w:t>
            </w:r>
            <w:r w:rsidRPr="00F06939">
              <w:t xml:space="preserve">menity and </w:t>
            </w:r>
            <w:r>
              <w:t>a</w:t>
            </w:r>
            <w:r w:rsidRPr="00F06939">
              <w:t xml:space="preserve">mbience of our </w:t>
            </w:r>
            <w:r>
              <w:t>f</w:t>
            </w:r>
            <w:r w:rsidRPr="00F06939">
              <w:t xml:space="preserve">acilities in keeping with our </w:t>
            </w:r>
            <w:r>
              <w:t>h</w:t>
            </w:r>
            <w:r w:rsidRPr="00F06939">
              <w:t>eritage and ‘</w:t>
            </w:r>
            <w:r>
              <w:t>i</w:t>
            </w:r>
            <w:r w:rsidRPr="00F06939">
              <w:t xml:space="preserve">nner </w:t>
            </w:r>
            <w:r>
              <w:t>c</w:t>
            </w:r>
            <w:r w:rsidRPr="00F06939">
              <w:t xml:space="preserve">ity’ lifestyle. </w:t>
            </w:r>
          </w:p>
          <w:p w:rsidR="00220582" w:rsidRPr="00F06939" w:rsidRDefault="00220582" w:rsidP="00220582">
            <w:pPr>
              <w:spacing w:before="120" w:after="120"/>
              <w:jc w:val="left"/>
            </w:pPr>
            <w:r>
              <w:t>To provide f</w:t>
            </w:r>
            <w:r w:rsidRPr="00F06939">
              <w:t xml:space="preserve">acilities that are </w:t>
            </w:r>
            <w:r>
              <w:t>f</w:t>
            </w:r>
            <w:r w:rsidRPr="00F06939">
              <w:t xml:space="preserve">lexible in </w:t>
            </w:r>
            <w:r>
              <w:t>design to cater for m</w:t>
            </w:r>
            <w:r w:rsidRPr="00F06939">
              <w:t xml:space="preserve">ultipurpose use for our </w:t>
            </w:r>
            <w:r>
              <w:t>d</w:t>
            </w:r>
            <w:r w:rsidRPr="00F06939">
              <w:t xml:space="preserve">iverse and </w:t>
            </w:r>
            <w:r>
              <w:t>d</w:t>
            </w:r>
            <w:r w:rsidRPr="00F06939">
              <w:t xml:space="preserve">ynamic </w:t>
            </w:r>
            <w:r>
              <w:t>c</w:t>
            </w:r>
            <w:r w:rsidRPr="00F06939">
              <w:t>ommunity.</w:t>
            </w:r>
          </w:p>
        </w:tc>
      </w:tr>
      <w:tr w:rsidR="00776EB5" w:rsidRPr="00F06939" w:rsidTr="003B5AE2">
        <w:trPr>
          <w:cantSplit/>
          <w:jc w:val="center"/>
        </w:trPr>
        <w:tc>
          <w:tcPr>
            <w:tcW w:w="3006" w:type="dxa"/>
          </w:tcPr>
          <w:p w:rsidR="00776EB5" w:rsidRPr="00F06939" w:rsidRDefault="00776EB5" w:rsidP="00F06939">
            <w:pPr>
              <w:spacing w:before="120" w:after="120"/>
              <w:jc w:val="left"/>
            </w:pPr>
            <w:r w:rsidRPr="00F06939">
              <w:t>Supporting Yarra's Community</w:t>
            </w:r>
          </w:p>
        </w:tc>
        <w:tc>
          <w:tcPr>
            <w:tcW w:w="5989" w:type="dxa"/>
          </w:tcPr>
          <w:p w:rsidR="00776EB5" w:rsidRPr="00F06939" w:rsidRDefault="00220582" w:rsidP="00220582">
            <w:pPr>
              <w:spacing w:before="120" w:after="120"/>
              <w:jc w:val="left"/>
            </w:pPr>
            <w:r>
              <w:t>To provide s</w:t>
            </w:r>
            <w:r w:rsidR="00776EB5" w:rsidRPr="00F06939">
              <w:t xml:space="preserve">afe and </w:t>
            </w:r>
            <w:r>
              <w:t>a</w:t>
            </w:r>
            <w:r w:rsidR="00776EB5" w:rsidRPr="00F06939">
              <w:t xml:space="preserve">ccessible </w:t>
            </w:r>
            <w:r>
              <w:t>f</w:t>
            </w:r>
            <w:r w:rsidR="00776EB5" w:rsidRPr="00F06939">
              <w:t xml:space="preserve">acilities for our </w:t>
            </w:r>
            <w:r>
              <w:t>c</w:t>
            </w:r>
            <w:r w:rsidR="00776EB5" w:rsidRPr="00F06939">
              <w:t>ommunity th</w:t>
            </w:r>
            <w:r>
              <w:t>rough c</w:t>
            </w:r>
            <w:r w:rsidR="00776EB5" w:rsidRPr="00F06939">
              <w:t xml:space="preserve">ompliance with </w:t>
            </w:r>
            <w:r>
              <w:t>l</w:t>
            </w:r>
            <w:r w:rsidR="00776EB5" w:rsidRPr="00F06939">
              <w:t>egislation.</w:t>
            </w:r>
          </w:p>
        </w:tc>
      </w:tr>
      <w:tr w:rsidR="00776EB5" w:rsidRPr="00F06939" w:rsidTr="003B5AE2">
        <w:trPr>
          <w:cantSplit/>
          <w:jc w:val="center"/>
        </w:trPr>
        <w:tc>
          <w:tcPr>
            <w:tcW w:w="3006" w:type="dxa"/>
          </w:tcPr>
          <w:p w:rsidR="00776EB5" w:rsidRPr="00F06939" w:rsidRDefault="00776EB5" w:rsidP="00F06939">
            <w:pPr>
              <w:spacing w:before="120" w:after="120"/>
              <w:jc w:val="left"/>
            </w:pPr>
            <w:r w:rsidRPr="00F06939">
              <w:t>Making Yarra more liveable</w:t>
            </w:r>
          </w:p>
        </w:tc>
        <w:tc>
          <w:tcPr>
            <w:tcW w:w="5989" w:type="dxa"/>
          </w:tcPr>
          <w:p w:rsidR="00776EB5" w:rsidRPr="00F06939" w:rsidRDefault="00776EB5" w:rsidP="00F06939">
            <w:pPr>
              <w:spacing w:before="120" w:after="120"/>
              <w:jc w:val="left"/>
            </w:pPr>
            <w:r w:rsidRPr="00F06939">
              <w:t>To ensure that assets are accessible well maintained and protected for future generations.</w:t>
            </w:r>
          </w:p>
        </w:tc>
      </w:tr>
      <w:tr w:rsidR="00776EB5" w:rsidRPr="00F06939" w:rsidTr="003B5AE2">
        <w:trPr>
          <w:cantSplit/>
          <w:jc w:val="center"/>
        </w:trPr>
        <w:tc>
          <w:tcPr>
            <w:tcW w:w="3006" w:type="dxa"/>
          </w:tcPr>
          <w:p w:rsidR="00776EB5" w:rsidRPr="00F06939" w:rsidRDefault="00776EB5" w:rsidP="00F06939">
            <w:pPr>
              <w:spacing w:before="120" w:after="120"/>
              <w:jc w:val="left"/>
            </w:pPr>
            <w:r w:rsidRPr="00F06939">
              <w:t>Ensuring a Sustainable Yarra</w:t>
            </w:r>
          </w:p>
        </w:tc>
        <w:tc>
          <w:tcPr>
            <w:tcW w:w="5989" w:type="dxa"/>
          </w:tcPr>
          <w:p w:rsidR="00776EB5" w:rsidRPr="00F06939" w:rsidRDefault="00C85022" w:rsidP="00220582">
            <w:pPr>
              <w:spacing w:before="120" w:after="120"/>
              <w:jc w:val="left"/>
            </w:pPr>
            <w:r w:rsidRPr="00F06939">
              <w:t xml:space="preserve">To </w:t>
            </w:r>
            <w:r w:rsidR="00220582">
              <w:t>r</w:t>
            </w:r>
            <w:r w:rsidRPr="00F06939">
              <w:t>educe</w:t>
            </w:r>
            <w:r w:rsidR="00776EB5" w:rsidRPr="00F06939">
              <w:t xml:space="preserve"> our </w:t>
            </w:r>
            <w:r w:rsidR="00220582">
              <w:t>c</w:t>
            </w:r>
            <w:r w:rsidR="00776EB5" w:rsidRPr="00F06939">
              <w:t xml:space="preserve">arbon </w:t>
            </w:r>
            <w:r w:rsidR="00220582">
              <w:t>f</w:t>
            </w:r>
            <w:r w:rsidR="00776EB5" w:rsidRPr="00F06939">
              <w:t xml:space="preserve">ootprint through the use of Innovative </w:t>
            </w:r>
            <w:r w:rsidR="00220582">
              <w:t>t</w:t>
            </w:r>
            <w:r w:rsidR="00776EB5" w:rsidRPr="00F06939">
              <w:t>echnologie</w:t>
            </w:r>
            <w:r w:rsidR="00220582">
              <w:t>s and application of e</w:t>
            </w:r>
            <w:r w:rsidR="00776EB5" w:rsidRPr="00F06939">
              <w:t xml:space="preserve">fficient </w:t>
            </w:r>
            <w:r w:rsidR="00220582">
              <w:t>t</w:t>
            </w:r>
            <w:r w:rsidR="00776EB5" w:rsidRPr="00F06939">
              <w:t>echniques.</w:t>
            </w:r>
          </w:p>
        </w:tc>
      </w:tr>
      <w:tr w:rsidR="00776EB5" w:rsidRPr="00F06939" w:rsidTr="003B5AE2">
        <w:trPr>
          <w:cantSplit/>
          <w:jc w:val="center"/>
        </w:trPr>
        <w:tc>
          <w:tcPr>
            <w:tcW w:w="3006" w:type="dxa"/>
            <w:tcBorders>
              <w:bottom w:val="single" w:sz="4" w:space="0" w:color="auto"/>
            </w:tcBorders>
          </w:tcPr>
          <w:p w:rsidR="00776EB5" w:rsidRPr="00F06939" w:rsidRDefault="00776EB5" w:rsidP="00F06939">
            <w:pPr>
              <w:spacing w:before="120" w:after="120"/>
            </w:pPr>
            <w:r w:rsidRPr="00F06939">
              <w:t>Leading local government</w:t>
            </w:r>
          </w:p>
        </w:tc>
        <w:tc>
          <w:tcPr>
            <w:tcW w:w="5989" w:type="dxa"/>
            <w:tcBorders>
              <w:bottom w:val="single" w:sz="4" w:space="0" w:color="auto"/>
            </w:tcBorders>
          </w:tcPr>
          <w:p w:rsidR="00776EB5" w:rsidRPr="00F06939" w:rsidRDefault="00220582" w:rsidP="00F06939">
            <w:pPr>
              <w:spacing w:before="120" w:after="120"/>
            </w:pPr>
            <w:r>
              <w:t>To apply m</w:t>
            </w:r>
            <w:r w:rsidR="00776EB5" w:rsidRPr="00F06939">
              <w:t xml:space="preserve">anagement </w:t>
            </w:r>
            <w:r>
              <w:t>t</w:t>
            </w:r>
            <w:r w:rsidR="00776EB5" w:rsidRPr="00F06939">
              <w:t xml:space="preserve">echniques that provide </w:t>
            </w:r>
            <w:r>
              <w:t>c</w:t>
            </w:r>
            <w:r w:rsidR="00776EB5" w:rsidRPr="00F06939">
              <w:t xml:space="preserve">apacity within our </w:t>
            </w:r>
            <w:r>
              <w:t>b</w:t>
            </w:r>
            <w:r w:rsidR="00776EB5" w:rsidRPr="00F06939">
              <w:t xml:space="preserve">uilding </w:t>
            </w:r>
            <w:r>
              <w:t>p</w:t>
            </w:r>
            <w:r w:rsidR="00776EB5" w:rsidRPr="00F06939">
              <w:t xml:space="preserve">ortfolio and cater for </w:t>
            </w:r>
            <w:r>
              <w:t>d</w:t>
            </w:r>
            <w:r w:rsidR="00776EB5" w:rsidRPr="00F06939">
              <w:t xml:space="preserve">emand in </w:t>
            </w:r>
            <w:r>
              <w:t>s</w:t>
            </w:r>
            <w:r w:rsidR="00776EB5" w:rsidRPr="00F06939">
              <w:t>ervices.</w:t>
            </w:r>
          </w:p>
          <w:p w:rsidR="00776EB5" w:rsidRPr="00F06939" w:rsidRDefault="00220582" w:rsidP="00220582">
            <w:pPr>
              <w:spacing w:before="120" w:after="120"/>
            </w:pPr>
            <w:r>
              <w:t>To manage our f</w:t>
            </w:r>
            <w:r w:rsidR="00776EB5" w:rsidRPr="00F06939">
              <w:t xml:space="preserve">acilities using </w:t>
            </w:r>
            <w:r>
              <w:t>w</w:t>
            </w:r>
            <w:r w:rsidR="00776EB5" w:rsidRPr="00F06939">
              <w:t>hole of</w:t>
            </w:r>
            <w:r>
              <w:t xml:space="preserve"> l</w:t>
            </w:r>
            <w:r w:rsidR="00776EB5" w:rsidRPr="00F06939">
              <w:t>ife approaches.</w:t>
            </w:r>
          </w:p>
        </w:tc>
      </w:tr>
    </w:tbl>
    <w:p w:rsidR="0024326F" w:rsidRPr="0091425F" w:rsidRDefault="0024326F" w:rsidP="00963199">
      <w:pPr>
        <w:pStyle w:val="Caption"/>
        <w:spacing w:before="240" w:after="240"/>
        <w:ind w:left="0"/>
        <w:jc w:val="center"/>
        <w:rPr>
          <w:rFonts w:ascii="Arial" w:hAnsi="Arial"/>
          <w:i w:val="0"/>
          <w:iCs w:val="0"/>
          <w:sz w:val="20"/>
          <w:lang w:val="en-AU"/>
        </w:rPr>
      </w:pPr>
      <w:bookmarkStart w:id="95" w:name="_Toc346740218"/>
      <w:bookmarkStart w:id="96" w:name="_Toc364945420"/>
      <w:r w:rsidRPr="0091425F">
        <w:rPr>
          <w:rFonts w:ascii="Arial" w:hAnsi="Arial"/>
          <w:i w:val="0"/>
          <w:iCs w:val="0"/>
          <w:sz w:val="20"/>
          <w:lang w:val="en-AU"/>
        </w:rPr>
        <w:t xml:space="preserve">Table </w:t>
      </w:r>
      <w:r w:rsidR="0090414C" w:rsidRPr="0091425F">
        <w:rPr>
          <w:rFonts w:ascii="Arial" w:hAnsi="Arial"/>
          <w:i w:val="0"/>
          <w:iCs w:val="0"/>
          <w:sz w:val="20"/>
          <w:lang w:val="en-AU"/>
        </w:rPr>
        <w:fldChar w:fldCharType="begin"/>
      </w:r>
      <w:r w:rsidR="0012012A" w:rsidRPr="0091425F">
        <w:rPr>
          <w:rFonts w:ascii="Arial" w:hAnsi="Arial"/>
          <w:i w:val="0"/>
          <w:iCs w:val="0"/>
          <w:sz w:val="20"/>
          <w:lang w:val="en-AU"/>
        </w:rPr>
        <w:instrText xml:space="preserve"> SEQ Table \* ARABIC </w:instrText>
      </w:r>
      <w:r w:rsidR="0090414C" w:rsidRPr="0091425F">
        <w:rPr>
          <w:rFonts w:ascii="Arial" w:hAnsi="Arial"/>
          <w:i w:val="0"/>
          <w:iCs w:val="0"/>
          <w:sz w:val="20"/>
          <w:lang w:val="en-AU"/>
        </w:rPr>
        <w:fldChar w:fldCharType="separate"/>
      </w:r>
      <w:r w:rsidR="00751CEC">
        <w:rPr>
          <w:rFonts w:ascii="Arial" w:hAnsi="Arial"/>
          <w:i w:val="0"/>
          <w:iCs w:val="0"/>
          <w:noProof/>
          <w:sz w:val="20"/>
          <w:lang w:val="en-AU"/>
        </w:rPr>
        <w:t>16</w:t>
      </w:r>
      <w:r w:rsidR="0090414C" w:rsidRPr="0091425F">
        <w:rPr>
          <w:rFonts w:ascii="Arial" w:hAnsi="Arial"/>
          <w:i w:val="0"/>
          <w:iCs w:val="0"/>
          <w:sz w:val="20"/>
          <w:lang w:val="en-AU"/>
        </w:rPr>
        <w:fldChar w:fldCharType="end"/>
      </w:r>
      <w:r w:rsidR="00963199" w:rsidRPr="0091425F">
        <w:rPr>
          <w:rFonts w:ascii="Arial" w:hAnsi="Arial"/>
          <w:i w:val="0"/>
          <w:iCs w:val="0"/>
          <w:sz w:val="20"/>
          <w:lang w:val="en-AU"/>
        </w:rPr>
        <w:t xml:space="preserve">:  </w:t>
      </w:r>
      <w:r w:rsidRPr="0091425F">
        <w:rPr>
          <w:rFonts w:ascii="Arial" w:hAnsi="Arial"/>
          <w:i w:val="0"/>
          <w:iCs w:val="0"/>
          <w:sz w:val="20"/>
          <w:lang w:val="en-AU"/>
        </w:rPr>
        <w:t>Alignment of Facility Goals and Strategic Objectives</w:t>
      </w:r>
      <w:bookmarkEnd w:id="95"/>
      <w:bookmarkEnd w:id="96"/>
    </w:p>
    <w:p w:rsidR="00E83B56" w:rsidRPr="00CF2212" w:rsidRDefault="00E83B56" w:rsidP="00C70C58">
      <w:pPr>
        <w:pStyle w:val="Heading2"/>
        <w:keepLines/>
      </w:pPr>
      <w:bookmarkStart w:id="97" w:name="_Toc364945249"/>
      <w:r w:rsidRPr="00CF2212">
        <w:t>Assets Covered in the Plan</w:t>
      </w:r>
      <w:bookmarkEnd w:id="97"/>
      <w:r w:rsidRPr="00CF2212">
        <w:t xml:space="preserve"> </w:t>
      </w:r>
    </w:p>
    <w:p w:rsidR="0024326F" w:rsidRDefault="0024326F" w:rsidP="00C70C58">
      <w:pPr>
        <w:keepNext/>
        <w:keepLines/>
      </w:pPr>
      <w:r w:rsidRPr="007C0D43">
        <w:t>For the purposes of the BAMP, building assets have been divided into six asset classes based on the major types of services provided. Each class has a number of sub classes.</w:t>
      </w:r>
    </w:p>
    <w:p w:rsidR="00B61021" w:rsidRPr="007C0D43" w:rsidRDefault="00B61021" w:rsidP="00C70C58">
      <w:pPr>
        <w:keepNext/>
        <w:keepLines/>
      </w:pPr>
    </w:p>
    <w:p w:rsidR="0024326F" w:rsidRPr="00F72E9C" w:rsidRDefault="0024326F" w:rsidP="00C70C58">
      <w:pPr>
        <w:keepNext/>
        <w:keepLines/>
      </w:pPr>
      <w:r w:rsidRPr="007C0D43">
        <w:t xml:space="preserve">The following table summarises the number of buildings providing those services. A complete listing of all buildings and their locations are provided in </w:t>
      </w:r>
      <w:r w:rsidRPr="00220582">
        <w:t>Appendix A.</w:t>
      </w:r>
      <w:r w:rsidRPr="00F72E9C">
        <w:t xml:space="preserve"> </w:t>
      </w:r>
    </w:p>
    <w:p w:rsidR="00B3590F" w:rsidRPr="00772C14" w:rsidRDefault="00B3590F" w:rsidP="002F775C"/>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6"/>
        <w:gridCol w:w="6856"/>
      </w:tblGrid>
      <w:tr w:rsidR="00B3590F" w:rsidRPr="00B61021" w:rsidTr="003B5AE2">
        <w:trPr>
          <w:cantSplit/>
          <w:tblHeader/>
          <w:jc w:val="center"/>
        </w:trPr>
        <w:tc>
          <w:tcPr>
            <w:tcW w:w="2126" w:type="dxa"/>
            <w:tcBorders>
              <w:top w:val="single" w:sz="4" w:space="0" w:color="auto"/>
              <w:left w:val="single" w:sz="4" w:space="0" w:color="auto"/>
              <w:bottom w:val="single" w:sz="4" w:space="0" w:color="auto"/>
              <w:right w:val="single" w:sz="4" w:space="0" w:color="auto"/>
            </w:tcBorders>
            <w:shd w:val="clear" w:color="auto" w:fill="95B3D7" w:themeFill="accent1" w:themeFillTint="99"/>
          </w:tcPr>
          <w:p w:rsidR="00B3590F" w:rsidRPr="00B61021" w:rsidRDefault="003B5AE2" w:rsidP="003B5AE2">
            <w:pPr>
              <w:spacing w:before="120" w:after="120"/>
              <w:rPr>
                <w:b/>
              </w:rPr>
            </w:pPr>
            <w:r>
              <w:rPr>
                <w:b/>
              </w:rPr>
              <w:t>Service</w:t>
            </w:r>
            <w:r w:rsidR="00B3590F" w:rsidRPr="00B61021">
              <w:rPr>
                <w:b/>
              </w:rPr>
              <w:t>/Asset Class</w:t>
            </w:r>
          </w:p>
        </w:tc>
        <w:tc>
          <w:tcPr>
            <w:tcW w:w="6856" w:type="dxa"/>
            <w:tcBorders>
              <w:top w:val="single" w:sz="4" w:space="0" w:color="auto"/>
              <w:left w:val="single" w:sz="4" w:space="0" w:color="auto"/>
              <w:bottom w:val="single" w:sz="4" w:space="0" w:color="auto"/>
              <w:right w:val="single" w:sz="4" w:space="0" w:color="auto"/>
            </w:tcBorders>
            <w:shd w:val="clear" w:color="auto" w:fill="95B3D7" w:themeFill="accent1" w:themeFillTint="99"/>
          </w:tcPr>
          <w:p w:rsidR="00B3590F" w:rsidRPr="00B61021" w:rsidRDefault="00B3590F" w:rsidP="00B61021">
            <w:pPr>
              <w:spacing w:before="120" w:after="120"/>
              <w:rPr>
                <w:b/>
              </w:rPr>
            </w:pPr>
            <w:r w:rsidRPr="00B61021">
              <w:rPr>
                <w:b/>
              </w:rPr>
              <w:t>Building Categories</w:t>
            </w:r>
          </w:p>
        </w:tc>
      </w:tr>
      <w:tr w:rsidR="00B3590F" w:rsidRPr="00B61021" w:rsidTr="003B5AE2">
        <w:trPr>
          <w:cantSplit/>
          <w:jc w:val="center"/>
        </w:trPr>
        <w:tc>
          <w:tcPr>
            <w:tcW w:w="2126" w:type="dxa"/>
            <w:tcBorders>
              <w:top w:val="single" w:sz="4" w:space="0" w:color="auto"/>
              <w:bottom w:val="single" w:sz="4" w:space="0" w:color="000000"/>
            </w:tcBorders>
          </w:tcPr>
          <w:p w:rsidR="00B3590F" w:rsidRPr="00B61021" w:rsidRDefault="00B3590F" w:rsidP="00B61021">
            <w:pPr>
              <w:spacing w:before="120" w:after="120"/>
              <w:jc w:val="left"/>
            </w:pPr>
            <w:r w:rsidRPr="00B61021">
              <w:t>Commercial</w:t>
            </w:r>
          </w:p>
        </w:tc>
        <w:tc>
          <w:tcPr>
            <w:tcW w:w="6856" w:type="dxa"/>
            <w:tcBorders>
              <w:top w:val="single" w:sz="4" w:space="0" w:color="auto"/>
            </w:tcBorders>
          </w:tcPr>
          <w:p w:rsidR="00B3590F" w:rsidRPr="00B61021" w:rsidRDefault="00B3590F" w:rsidP="00B61021">
            <w:pPr>
              <w:spacing w:before="120" w:after="120"/>
              <w:jc w:val="left"/>
            </w:pPr>
            <w:r w:rsidRPr="00B61021">
              <w:t>Buildings that currently being leased to a third party to provide services or are considered to have a po</w:t>
            </w:r>
            <w:r w:rsidR="00684A02">
              <w:t>tential for a commercial return.</w:t>
            </w:r>
          </w:p>
        </w:tc>
      </w:tr>
      <w:tr w:rsidR="00B3590F" w:rsidRPr="00B61021" w:rsidTr="003B5AE2">
        <w:trPr>
          <w:cantSplit/>
          <w:jc w:val="center"/>
        </w:trPr>
        <w:tc>
          <w:tcPr>
            <w:tcW w:w="2126" w:type="dxa"/>
            <w:tcBorders>
              <w:top w:val="single" w:sz="4" w:space="0" w:color="auto"/>
              <w:bottom w:val="single" w:sz="4" w:space="0" w:color="000000"/>
            </w:tcBorders>
          </w:tcPr>
          <w:p w:rsidR="00B3590F" w:rsidRPr="00B61021" w:rsidRDefault="00B3590F" w:rsidP="00B61021">
            <w:pPr>
              <w:spacing w:before="120" w:after="120"/>
              <w:jc w:val="left"/>
            </w:pPr>
            <w:r w:rsidRPr="00B61021">
              <w:t>Community Services</w:t>
            </w:r>
          </w:p>
        </w:tc>
        <w:tc>
          <w:tcPr>
            <w:tcW w:w="6856" w:type="dxa"/>
            <w:tcBorders>
              <w:top w:val="single" w:sz="4" w:space="0" w:color="auto"/>
            </w:tcBorders>
          </w:tcPr>
          <w:p w:rsidR="00B3590F" w:rsidRPr="00B61021" w:rsidRDefault="00B3590F" w:rsidP="00B61021">
            <w:pPr>
              <w:spacing w:before="120" w:after="120"/>
              <w:jc w:val="left"/>
            </w:pPr>
            <w:r w:rsidRPr="00B61021">
              <w:t xml:space="preserve">Buildings that are used </w:t>
            </w:r>
            <w:r w:rsidR="00967097" w:rsidRPr="00B61021">
              <w:t>primarily</w:t>
            </w:r>
            <w:r w:rsidRPr="00B61021">
              <w:t xml:space="preserve"> to run services </w:t>
            </w:r>
            <w:r w:rsidR="00967097" w:rsidRPr="00B61021">
              <w:t xml:space="preserve">for </w:t>
            </w:r>
            <w:r w:rsidR="00684A02">
              <w:t>the community by the Community P</w:t>
            </w:r>
            <w:r w:rsidR="00967097" w:rsidRPr="00B61021">
              <w:t>rograms Division.</w:t>
            </w:r>
          </w:p>
        </w:tc>
      </w:tr>
      <w:tr w:rsidR="00B3590F" w:rsidRPr="00B61021" w:rsidTr="003B5AE2">
        <w:trPr>
          <w:cantSplit/>
          <w:jc w:val="center"/>
        </w:trPr>
        <w:tc>
          <w:tcPr>
            <w:tcW w:w="2126" w:type="dxa"/>
            <w:tcBorders>
              <w:bottom w:val="single" w:sz="4" w:space="0" w:color="000000"/>
            </w:tcBorders>
          </w:tcPr>
          <w:p w:rsidR="00B3590F" w:rsidRPr="00B61021" w:rsidRDefault="00B3590F" w:rsidP="00B61021">
            <w:pPr>
              <w:spacing w:before="120" w:after="120"/>
              <w:jc w:val="left"/>
            </w:pPr>
            <w:r w:rsidRPr="00B61021">
              <w:t>Council Operations</w:t>
            </w:r>
          </w:p>
        </w:tc>
        <w:tc>
          <w:tcPr>
            <w:tcW w:w="6856" w:type="dxa"/>
          </w:tcPr>
          <w:p w:rsidR="00B3590F" w:rsidRPr="00B61021" w:rsidRDefault="00967097" w:rsidP="00B61021">
            <w:pPr>
              <w:spacing w:before="120" w:after="120"/>
              <w:jc w:val="left"/>
            </w:pPr>
            <w:r w:rsidRPr="00B61021">
              <w:t>Buildings that are used by Council staff for the support and management of Council services, or by internal operational staff that are providing services to the community.</w:t>
            </w:r>
          </w:p>
        </w:tc>
      </w:tr>
      <w:tr w:rsidR="00B3590F" w:rsidRPr="00B61021" w:rsidTr="003B5AE2">
        <w:trPr>
          <w:cantSplit/>
          <w:jc w:val="center"/>
        </w:trPr>
        <w:tc>
          <w:tcPr>
            <w:tcW w:w="2126" w:type="dxa"/>
            <w:tcBorders>
              <w:bottom w:val="single" w:sz="4" w:space="0" w:color="000000"/>
            </w:tcBorders>
          </w:tcPr>
          <w:p w:rsidR="00B3590F" w:rsidRPr="00B61021" w:rsidRDefault="00B3590F" w:rsidP="00B61021">
            <w:pPr>
              <w:spacing w:before="120" w:after="120"/>
              <w:jc w:val="left"/>
            </w:pPr>
            <w:r w:rsidRPr="00B61021">
              <w:t>Leisure Services</w:t>
            </w:r>
          </w:p>
        </w:tc>
        <w:tc>
          <w:tcPr>
            <w:tcW w:w="6856" w:type="dxa"/>
          </w:tcPr>
          <w:p w:rsidR="00B3590F" w:rsidRPr="00B61021" w:rsidRDefault="00967097" w:rsidP="00B61021">
            <w:pPr>
              <w:spacing w:before="120" w:after="120"/>
              <w:jc w:val="left"/>
            </w:pPr>
            <w:r w:rsidRPr="00B61021">
              <w:t>The three leisure centres and golf course buildings.</w:t>
            </w:r>
          </w:p>
        </w:tc>
      </w:tr>
      <w:tr w:rsidR="00B3590F" w:rsidRPr="00B61021" w:rsidTr="003B5AE2">
        <w:trPr>
          <w:cantSplit/>
          <w:jc w:val="center"/>
        </w:trPr>
        <w:tc>
          <w:tcPr>
            <w:tcW w:w="2126" w:type="dxa"/>
            <w:tcBorders>
              <w:bottom w:val="single" w:sz="4" w:space="0" w:color="000000"/>
            </w:tcBorders>
          </w:tcPr>
          <w:p w:rsidR="00B3590F" w:rsidRPr="00B61021" w:rsidRDefault="00B61021" w:rsidP="00B61021">
            <w:pPr>
              <w:spacing w:before="120" w:after="120"/>
              <w:jc w:val="left"/>
            </w:pPr>
            <w:r>
              <w:t>Recreation and</w:t>
            </w:r>
            <w:r w:rsidR="00B3590F" w:rsidRPr="00B61021">
              <w:t xml:space="preserve"> Open Space</w:t>
            </w:r>
          </w:p>
        </w:tc>
        <w:tc>
          <w:tcPr>
            <w:tcW w:w="6856" w:type="dxa"/>
          </w:tcPr>
          <w:p w:rsidR="00B3590F" w:rsidRPr="00B61021" w:rsidRDefault="00967097" w:rsidP="00B61021">
            <w:pPr>
              <w:spacing w:before="120" w:after="120"/>
              <w:jc w:val="left"/>
            </w:pPr>
            <w:r w:rsidRPr="00B61021">
              <w:t>Building</w:t>
            </w:r>
            <w:r w:rsidR="00F73B55" w:rsidRPr="00B61021">
              <w:t>s</w:t>
            </w:r>
            <w:r w:rsidRPr="00B61021">
              <w:t xml:space="preserve"> located in areas of open space that support both passive and active recreation.</w:t>
            </w:r>
          </w:p>
        </w:tc>
      </w:tr>
      <w:tr w:rsidR="00B3590F" w:rsidRPr="00B61021" w:rsidTr="003B5AE2">
        <w:trPr>
          <w:cantSplit/>
          <w:jc w:val="center"/>
        </w:trPr>
        <w:tc>
          <w:tcPr>
            <w:tcW w:w="2126" w:type="dxa"/>
            <w:tcBorders>
              <w:bottom w:val="single" w:sz="4" w:space="0" w:color="000000"/>
            </w:tcBorders>
          </w:tcPr>
          <w:p w:rsidR="00E27317" w:rsidRPr="00B61021" w:rsidRDefault="00E27317" w:rsidP="00B61021">
            <w:pPr>
              <w:spacing w:before="120" w:after="120"/>
              <w:jc w:val="left"/>
            </w:pPr>
            <w:r w:rsidRPr="00B61021">
              <w:t xml:space="preserve">Amenities </w:t>
            </w:r>
          </w:p>
        </w:tc>
        <w:tc>
          <w:tcPr>
            <w:tcW w:w="6856" w:type="dxa"/>
          </w:tcPr>
          <w:p w:rsidR="00B3590F" w:rsidRPr="00B61021" w:rsidRDefault="00967097" w:rsidP="00B61021">
            <w:pPr>
              <w:spacing w:before="120" w:after="120"/>
              <w:jc w:val="left"/>
            </w:pPr>
            <w:r w:rsidRPr="00B61021">
              <w:t>S</w:t>
            </w:r>
            <w:r w:rsidR="00B3590F" w:rsidRPr="00B61021">
              <w:t xml:space="preserve">tandalone public toilets </w:t>
            </w:r>
            <w:r w:rsidRPr="00B61021">
              <w:t>that are in the urban environment.</w:t>
            </w:r>
          </w:p>
        </w:tc>
      </w:tr>
      <w:tr w:rsidR="00B3590F" w:rsidRPr="00B61021" w:rsidTr="003B5AE2">
        <w:trPr>
          <w:cantSplit/>
          <w:jc w:val="center"/>
        </w:trPr>
        <w:tc>
          <w:tcPr>
            <w:tcW w:w="2126" w:type="dxa"/>
            <w:tcBorders>
              <w:bottom w:val="single" w:sz="4" w:space="0" w:color="000000"/>
            </w:tcBorders>
          </w:tcPr>
          <w:p w:rsidR="00B3590F" w:rsidRPr="00B61021" w:rsidRDefault="00B3590F" w:rsidP="00B61021">
            <w:pPr>
              <w:spacing w:before="120" w:after="120"/>
              <w:jc w:val="left"/>
            </w:pPr>
            <w:r w:rsidRPr="00B61021">
              <w:t>Miscellaneous</w:t>
            </w:r>
          </w:p>
        </w:tc>
        <w:tc>
          <w:tcPr>
            <w:tcW w:w="6856" w:type="dxa"/>
          </w:tcPr>
          <w:p w:rsidR="00B3590F" w:rsidRPr="00B61021" w:rsidRDefault="00967097" w:rsidP="00B61021">
            <w:pPr>
              <w:spacing w:before="120" w:after="120"/>
              <w:jc w:val="left"/>
            </w:pPr>
            <w:r w:rsidRPr="00B61021">
              <w:t>Structures that are not classified as buildings that are maintained by the Buildings and Property Branch</w:t>
            </w:r>
            <w:r w:rsidR="00CD1A39">
              <w:t xml:space="preserve"> such as decks and rotundas</w:t>
            </w:r>
          </w:p>
        </w:tc>
      </w:tr>
    </w:tbl>
    <w:p w:rsidR="004B1B4F" w:rsidRPr="0091425F" w:rsidRDefault="004B1B4F" w:rsidP="004B1B4F">
      <w:pPr>
        <w:pStyle w:val="Caption"/>
        <w:spacing w:before="240" w:after="240"/>
        <w:ind w:left="0"/>
        <w:jc w:val="center"/>
        <w:rPr>
          <w:rFonts w:ascii="Arial" w:hAnsi="Arial"/>
          <w:i w:val="0"/>
          <w:iCs w:val="0"/>
          <w:sz w:val="20"/>
          <w:lang w:val="en-AU"/>
        </w:rPr>
      </w:pPr>
      <w:bookmarkStart w:id="98" w:name="_Toc364945421"/>
      <w:r w:rsidRPr="0091425F">
        <w:rPr>
          <w:rFonts w:ascii="Arial" w:hAnsi="Arial"/>
          <w:i w:val="0"/>
          <w:iCs w:val="0"/>
          <w:sz w:val="20"/>
          <w:lang w:val="en-AU"/>
        </w:rPr>
        <w:t xml:space="preserve">Table </w:t>
      </w:r>
      <w:r w:rsidR="0090414C" w:rsidRPr="0091425F">
        <w:rPr>
          <w:rFonts w:ascii="Arial" w:hAnsi="Arial"/>
          <w:i w:val="0"/>
          <w:iCs w:val="0"/>
          <w:sz w:val="20"/>
          <w:lang w:val="en-AU"/>
        </w:rPr>
        <w:fldChar w:fldCharType="begin"/>
      </w:r>
      <w:r w:rsidRPr="0091425F">
        <w:rPr>
          <w:rFonts w:ascii="Arial" w:hAnsi="Arial"/>
          <w:i w:val="0"/>
          <w:iCs w:val="0"/>
          <w:sz w:val="20"/>
          <w:lang w:val="en-AU"/>
        </w:rPr>
        <w:instrText xml:space="preserve"> SEQ Table \* ARABIC </w:instrText>
      </w:r>
      <w:r w:rsidR="0090414C" w:rsidRPr="0091425F">
        <w:rPr>
          <w:rFonts w:ascii="Arial" w:hAnsi="Arial"/>
          <w:i w:val="0"/>
          <w:iCs w:val="0"/>
          <w:sz w:val="20"/>
          <w:lang w:val="en-AU"/>
        </w:rPr>
        <w:fldChar w:fldCharType="separate"/>
      </w:r>
      <w:r w:rsidR="00751CEC">
        <w:rPr>
          <w:rFonts w:ascii="Arial" w:hAnsi="Arial"/>
          <w:i w:val="0"/>
          <w:iCs w:val="0"/>
          <w:noProof/>
          <w:sz w:val="20"/>
          <w:lang w:val="en-AU"/>
        </w:rPr>
        <w:t>17</w:t>
      </w:r>
      <w:r w:rsidR="0090414C" w:rsidRPr="0091425F">
        <w:rPr>
          <w:rFonts w:ascii="Arial" w:hAnsi="Arial"/>
          <w:i w:val="0"/>
          <w:iCs w:val="0"/>
          <w:sz w:val="20"/>
          <w:lang w:val="en-AU"/>
        </w:rPr>
        <w:fldChar w:fldCharType="end"/>
      </w:r>
      <w:r w:rsidRPr="0091425F">
        <w:rPr>
          <w:rFonts w:ascii="Arial" w:hAnsi="Arial"/>
          <w:i w:val="0"/>
          <w:iCs w:val="0"/>
          <w:sz w:val="20"/>
          <w:lang w:val="en-AU"/>
        </w:rPr>
        <w:t>:  Definition of Building Categories</w:t>
      </w:r>
      <w:bookmarkEnd w:id="98"/>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57"/>
        <w:gridCol w:w="4820"/>
        <w:gridCol w:w="992"/>
        <w:gridCol w:w="1513"/>
      </w:tblGrid>
      <w:tr w:rsidR="002D0BBB" w:rsidRPr="00B61021" w:rsidTr="00C70C58">
        <w:trPr>
          <w:cantSplit/>
          <w:tblHeader/>
          <w:jc w:val="center"/>
        </w:trPr>
        <w:tc>
          <w:tcPr>
            <w:tcW w:w="1657"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tcPr>
          <w:p w:rsidR="0024326F" w:rsidRPr="00B61021" w:rsidRDefault="00B61021" w:rsidP="00D20934">
            <w:pPr>
              <w:spacing w:before="80" w:after="80"/>
              <w:rPr>
                <w:b/>
              </w:rPr>
            </w:pPr>
            <w:r>
              <w:rPr>
                <w:b/>
              </w:rPr>
              <w:t>Service</w:t>
            </w:r>
            <w:r w:rsidR="0024326F" w:rsidRPr="00B61021">
              <w:rPr>
                <w:b/>
              </w:rPr>
              <w:t>/Asset Class</w:t>
            </w:r>
          </w:p>
        </w:tc>
        <w:tc>
          <w:tcPr>
            <w:tcW w:w="4820"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tcPr>
          <w:p w:rsidR="0024326F" w:rsidRPr="00B61021" w:rsidRDefault="0024326F" w:rsidP="00D20934">
            <w:pPr>
              <w:spacing w:before="80" w:after="80"/>
              <w:rPr>
                <w:b/>
              </w:rPr>
            </w:pPr>
            <w:r w:rsidRPr="00B61021">
              <w:rPr>
                <w:b/>
              </w:rPr>
              <w:t>Building Categories</w:t>
            </w:r>
          </w:p>
        </w:tc>
        <w:tc>
          <w:tcPr>
            <w:tcW w:w="992"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tcPr>
          <w:p w:rsidR="0024326F" w:rsidRPr="00B61021" w:rsidRDefault="003B5AE2" w:rsidP="00D20934">
            <w:pPr>
              <w:spacing w:before="80" w:after="80"/>
              <w:jc w:val="center"/>
              <w:rPr>
                <w:b/>
              </w:rPr>
            </w:pPr>
            <w:r>
              <w:rPr>
                <w:b/>
              </w:rPr>
              <w:t>Council</w:t>
            </w:r>
            <w:r>
              <w:rPr>
                <w:b/>
              </w:rPr>
              <w:br/>
              <w:t>Owned</w:t>
            </w:r>
            <w:r>
              <w:rPr>
                <w:b/>
              </w:rPr>
              <w:br/>
            </w:r>
            <w:r w:rsidR="0024326F" w:rsidRPr="00B61021">
              <w:rPr>
                <w:b/>
              </w:rPr>
              <w:t>Service</w:t>
            </w:r>
            <w:r>
              <w:rPr>
                <w:b/>
              </w:rPr>
              <w:br/>
            </w:r>
            <w:r w:rsidR="0024326F" w:rsidRPr="00B61021">
              <w:rPr>
                <w:b/>
              </w:rPr>
              <w:t>Sites</w:t>
            </w:r>
          </w:p>
        </w:tc>
        <w:tc>
          <w:tcPr>
            <w:tcW w:w="1513"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tcPr>
          <w:p w:rsidR="0024326F" w:rsidRPr="00B61021" w:rsidRDefault="00B61021" w:rsidP="00D20934">
            <w:pPr>
              <w:spacing w:before="80" w:after="80"/>
              <w:jc w:val="center"/>
              <w:rPr>
                <w:b/>
              </w:rPr>
            </w:pPr>
            <w:r>
              <w:rPr>
                <w:b/>
              </w:rPr>
              <w:t>Replacement Cost</w:t>
            </w:r>
            <w:r w:rsidR="002D0BBB">
              <w:rPr>
                <w:b/>
              </w:rPr>
              <w:t xml:space="preserve"> </w:t>
            </w:r>
            <w:r w:rsidR="0024326F" w:rsidRPr="00B61021">
              <w:rPr>
                <w:b/>
              </w:rPr>
              <w:t>(30.6.2012)</w:t>
            </w:r>
          </w:p>
        </w:tc>
      </w:tr>
      <w:tr w:rsidR="00E170FD" w:rsidRPr="00B61021" w:rsidTr="00C70C58">
        <w:trPr>
          <w:cantSplit/>
          <w:jc w:val="center"/>
        </w:trPr>
        <w:tc>
          <w:tcPr>
            <w:tcW w:w="1657" w:type="dxa"/>
            <w:tcBorders>
              <w:top w:val="single" w:sz="4" w:space="0" w:color="auto"/>
              <w:bottom w:val="single" w:sz="4" w:space="0" w:color="000000"/>
            </w:tcBorders>
          </w:tcPr>
          <w:p w:rsidR="00E170FD" w:rsidRPr="00B61021" w:rsidRDefault="00E170FD" w:rsidP="00D20934">
            <w:pPr>
              <w:pStyle w:val="TableText1"/>
              <w:spacing w:before="80"/>
              <w:jc w:val="left"/>
              <w:rPr>
                <w:sz w:val="20"/>
              </w:rPr>
            </w:pPr>
            <w:r w:rsidRPr="00B61021">
              <w:rPr>
                <w:sz w:val="20"/>
              </w:rPr>
              <w:t>Commercial</w:t>
            </w:r>
          </w:p>
        </w:tc>
        <w:tc>
          <w:tcPr>
            <w:tcW w:w="4820" w:type="dxa"/>
            <w:tcBorders>
              <w:top w:val="single" w:sz="4" w:space="0" w:color="auto"/>
            </w:tcBorders>
          </w:tcPr>
          <w:p w:rsidR="00E170FD" w:rsidRPr="00B61021" w:rsidRDefault="00E170FD" w:rsidP="00D20934">
            <w:pPr>
              <w:spacing w:before="80" w:after="80"/>
              <w:jc w:val="left"/>
            </w:pPr>
            <w:r w:rsidRPr="00B61021">
              <w:t>Child Care Centres</w:t>
            </w:r>
            <w:r w:rsidR="00CD1A39">
              <w:t xml:space="preserve"> (Private)</w:t>
            </w:r>
            <w:r w:rsidRPr="00B61021">
              <w:t>, Community Halls, Offices, Residences, Shops, Factories, Stores, Sheds, Garages and Tearooms.</w:t>
            </w:r>
          </w:p>
        </w:tc>
        <w:tc>
          <w:tcPr>
            <w:tcW w:w="992" w:type="dxa"/>
            <w:tcBorders>
              <w:top w:val="single" w:sz="4" w:space="0" w:color="auto"/>
            </w:tcBorders>
          </w:tcPr>
          <w:p w:rsidR="00E170FD" w:rsidRPr="00B61021" w:rsidRDefault="005D47C9" w:rsidP="00D20934">
            <w:pPr>
              <w:tabs>
                <w:tab w:val="decimal" w:pos="415"/>
              </w:tabs>
              <w:spacing w:before="80" w:after="80"/>
              <w:jc w:val="center"/>
            </w:pPr>
            <w:r>
              <w:t>12</w:t>
            </w:r>
          </w:p>
        </w:tc>
        <w:tc>
          <w:tcPr>
            <w:tcW w:w="1513" w:type="dxa"/>
            <w:tcBorders>
              <w:top w:val="single" w:sz="4" w:space="0" w:color="auto"/>
            </w:tcBorders>
          </w:tcPr>
          <w:p w:rsidR="00E170FD" w:rsidRPr="00B61021" w:rsidRDefault="00E170FD" w:rsidP="005D47C9">
            <w:pPr>
              <w:spacing w:before="80" w:after="80"/>
              <w:jc w:val="right"/>
            </w:pPr>
            <w:r w:rsidRPr="00B61021">
              <w:t>$</w:t>
            </w:r>
            <w:r w:rsidR="005D47C9">
              <w:t>21,298,444</w:t>
            </w:r>
          </w:p>
        </w:tc>
      </w:tr>
      <w:tr w:rsidR="0024326F" w:rsidRPr="00B61021" w:rsidTr="00C70C58">
        <w:trPr>
          <w:cantSplit/>
          <w:jc w:val="center"/>
        </w:trPr>
        <w:tc>
          <w:tcPr>
            <w:tcW w:w="1657" w:type="dxa"/>
            <w:tcBorders>
              <w:top w:val="single" w:sz="4" w:space="0" w:color="auto"/>
              <w:bottom w:val="single" w:sz="4" w:space="0" w:color="000000"/>
            </w:tcBorders>
          </w:tcPr>
          <w:p w:rsidR="0024326F" w:rsidRPr="00B61021" w:rsidRDefault="0024326F" w:rsidP="00D20934">
            <w:pPr>
              <w:pStyle w:val="TableText1"/>
              <w:spacing w:before="80"/>
              <w:jc w:val="left"/>
              <w:rPr>
                <w:sz w:val="20"/>
              </w:rPr>
            </w:pPr>
            <w:r w:rsidRPr="00B61021">
              <w:rPr>
                <w:sz w:val="20"/>
              </w:rPr>
              <w:t>Community Services</w:t>
            </w:r>
          </w:p>
        </w:tc>
        <w:tc>
          <w:tcPr>
            <w:tcW w:w="4820" w:type="dxa"/>
            <w:tcBorders>
              <w:top w:val="single" w:sz="4" w:space="0" w:color="auto"/>
            </w:tcBorders>
          </w:tcPr>
          <w:p w:rsidR="0024326F" w:rsidRPr="00B61021" w:rsidRDefault="0024326F" w:rsidP="00D20934">
            <w:pPr>
              <w:spacing w:before="80" w:after="80"/>
              <w:jc w:val="left"/>
            </w:pPr>
            <w:r w:rsidRPr="00B61021">
              <w:t>Child Care Centres</w:t>
            </w:r>
            <w:r w:rsidR="00CD1A39">
              <w:t xml:space="preserve"> (Council-managed)</w:t>
            </w:r>
            <w:r w:rsidRPr="00B61021">
              <w:t xml:space="preserve">, Kindergartens, Community Halls, </w:t>
            </w:r>
            <w:r w:rsidR="005D47C9">
              <w:t xml:space="preserve">Libraries, </w:t>
            </w:r>
            <w:r w:rsidRPr="00B61021">
              <w:t>Maternal and Child Health Centres, Neighbourhood Houses, Senior Citizen Centres, Theatres and Youth Services Centres.</w:t>
            </w:r>
          </w:p>
        </w:tc>
        <w:tc>
          <w:tcPr>
            <w:tcW w:w="992" w:type="dxa"/>
            <w:tcBorders>
              <w:top w:val="single" w:sz="4" w:space="0" w:color="auto"/>
            </w:tcBorders>
          </w:tcPr>
          <w:p w:rsidR="0024326F" w:rsidRPr="00B61021" w:rsidRDefault="00E170FD" w:rsidP="00D20934">
            <w:pPr>
              <w:tabs>
                <w:tab w:val="decimal" w:pos="415"/>
              </w:tabs>
              <w:spacing w:before="80" w:after="80"/>
              <w:jc w:val="center"/>
            </w:pPr>
            <w:r w:rsidRPr="00B61021">
              <w:t>4</w:t>
            </w:r>
            <w:r w:rsidR="005D47C9">
              <w:t>4</w:t>
            </w:r>
          </w:p>
        </w:tc>
        <w:tc>
          <w:tcPr>
            <w:tcW w:w="1513" w:type="dxa"/>
            <w:tcBorders>
              <w:top w:val="single" w:sz="4" w:space="0" w:color="auto"/>
            </w:tcBorders>
          </w:tcPr>
          <w:p w:rsidR="0024326F" w:rsidRPr="00B61021" w:rsidRDefault="0024326F" w:rsidP="005D47C9">
            <w:pPr>
              <w:spacing w:before="80" w:after="80"/>
              <w:jc w:val="right"/>
            </w:pPr>
            <w:r w:rsidRPr="00B61021">
              <w:t>$</w:t>
            </w:r>
            <w:r w:rsidR="005D47C9">
              <w:t>35,823,5</w:t>
            </w:r>
            <w:r w:rsidR="00E170FD" w:rsidRPr="00B61021">
              <w:t>3</w:t>
            </w:r>
            <w:r w:rsidR="005D47C9">
              <w:t>8</w:t>
            </w:r>
          </w:p>
        </w:tc>
      </w:tr>
      <w:tr w:rsidR="0024326F" w:rsidRPr="00B61021" w:rsidTr="00C70C58">
        <w:trPr>
          <w:cantSplit/>
          <w:jc w:val="center"/>
        </w:trPr>
        <w:tc>
          <w:tcPr>
            <w:tcW w:w="1657" w:type="dxa"/>
            <w:tcBorders>
              <w:bottom w:val="single" w:sz="4" w:space="0" w:color="000000"/>
            </w:tcBorders>
          </w:tcPr>
          <w:p w:rsidR="0024326F" w:rsidRPr="00B61021" w:rsidRDefault="0024326F" w:rsidP="00D20934">
            <w:pPr>
              <w:pStyle w:val="TableText1"/>
              <w:spacing w:before="80"/>
              <w:jc w:val="left"/>
              <w:rPr>
                <w:sz w:val="20"/>
              </w:rPr>
            </w:pPr>
            <w:r w:rsidRPr="00B61021">
              <w:rPr>
                <w:sz w:val="20"/>
              </w:rPr>
              <w:t>Council Operations</w:t>
            </w:r>
          </w:p>
        </w:tc>
        <w:tc>
          <w:tcPr>
            <w:tcW w:w="4820" w:type="dxa"/>
          </w:tcPr>
          <w:p w:rsidR="0024326F" w:rsidRPr="00B61021" w:rsidRDefault="0024326F" w:rsidP="00D20934">
            <w:pPr>
              <w:spacing w:before="80" w:after="80"/>
              <w:jc w:val="left"/>
            </w:pPr>
            <w:r w:rsidRPr="00B61021">
              <w:t>Depot buildings and Town Halls.</w:t>
            </w:r>
          </w:p>
        </w:tc>
        <w:tc>
          <w:tcPr>
            <w:tcW w:w="992" w:type="dxa"/>
          </w:tcPr>
          <w:p w:rsidR="0024326F" w:rsidRPr="00B61021" w:rsidRDefault="0024326F" w:rsidP="005D47C9">
            <w:pPr>
              <w:tabs>
                <w:tab w:val="decimal" w:pos="415"/>
              </w:tabs>
              <w:spacing w:before="80" w:after="80"/>
              <w:jc w:val="center"/>
            </w:pPr>
            <w:r w:rsidRPr="00B61021">
              <w:t>2</w:t>
            </w:r>
            <w:r w:rsidR="005D47C9">
              <w:t>4</w:t>
            </w:r>
          </w:p>
        </w:tc>
        <w:tc>
          <w:tcPr>
            <w:tcW w:w="1513" w:type="dxa"/>
          </w:tcPr>
          <w:p w:rsidR="0024326F" w:rsidRPr="00B61021" w:rsidRDefault="0024326F" w:rsidP="005D47C9">
            <w:pPr>
              <w:spacing w:before="80" w:after="80"/>
              <w:jc w:val="right"/>
            </w:pPr>
            <w:r w:rsidRPr="00B61021">
              <w:t>$</w:t>
            </w:r>
            <w:r w:rsidR="00CE1D57" w:rsidRPr="00B61021">
              <w:t>106,4</w:t>
            </w:r>
            <w:r w:rsidR="005D47C9">
              <w:t>9</w:t>
            </w:r>
            <w:r w:rsidR="00E170FD" w:rsidRPr="00B61021">
              <w:t>5,3</w:t>
            </w:r>
            <w:r w:rsidR="005D47C9">
              <w:t>1</w:t>
            </w:r>
            <w:r w:rsidR="00E170FD" w:rsidRPr="00B61021">
              <w:t>1</w:t>
            </w:r>
          </w:p>
        </w:tc>
      </w:tr>
      <w:tr w:rsidR="00E170FD" w:rsidRPr="00B61021" w:rsidTr="00C70C58">
        <w:trPr>
          <w:cantSplit/>
          <w:jc w:val="center"/>
        </w:trPr>
        <w:tc>
          <w:tcPr>
            <w:tcW w:w="1657" w:type="dxa"/>
            <w:tcBorders>
              <w:bottom w:val="single" w:sz="4" w:space="0" w:color="000000"/>
            </w:tcBorders>
          </w:tcPr>
          <w:p w:rsidR="00E170FD" w:rsidRPr="00B61021" w:rsidRDefault="00E170FD" w:rsidP="00D20934">
            <w:pPr>
              <w:pStyle w:val="TableText1"/>
              <w:spacing w:before="80"/>
              <w:jc w:val="left"/>
              <w:rPr>
                <w:sz w:val="20"/>
              </w:rPr>
            </w:pPr>
            <w:r w:rsidRPr="00B61021">
              <w:rPr>
                <w:sz w:val="20"/>
              </w:rPr>
              <w:t>Leisure Services</w:t>
            </w:r>
          </w:p>
        </w:tc>
        <w:tc>
          <w:tcPr>
            <w:tcW w:w="4820" w:type="dxa"/>
          </w:tcPr>
          <w:p w:rsidR="00E170FD" w:rsidRPr="00B61021" w:rsidRDefault="00E170FD" w:rsidP="00C70C58">
            <w:pPr>
              <w:spacing w:before="80" w:after="80"/>
              <w:jc w:val="left"/>
            </w:pPr>
            <w:r w:rsidRPr="00B61021">
              <w:t xml:space="preserve">Leisure </w:t>
            </w:r>
            <w:r w:rsidR="00724EA9" w:rsidRPr="00B61021">
              <w:t xml:space="preserve"> and Recreation </w:t>
            </w:r>
            <w:r w:rsidRPr="00B61021">
              <w:t>Centres,</w:t>
            </w:r>
            <w:r w:rsidR="00724EA9" w:rsidRPr="00B61021">
              <w:t xml:space="preserve"> Golf Course,</w:t>
            </w:r>
            <w:r w:rsidRPr="00B61021">
              <w:t xml:space="preserve"> Office Administration, Stores, Sheds and Garages</w:t>
            </w:r>
          </w:p>
        </w:tc>
        <w:tc>
          <w:tcPr>
            <w:tcW w:w="992" w:type="dxa"/>
          </w:tcPr>
          <w:p w:rsidR="00E170FD" w:rsidRPr="00B61021" w:rsidRDefault="00E170FD" w:rsidP="00D20934">
            <w:pPr>
              <w:tabs>
                <w:tab w:val="decimal" w:pos="415"/>
              </w:tabs>
              <w:spacing w:before="80" w:after="80"/>
              <w:jc w:val="center"/>
            </w:pPr>
            <w:r w:rsidRPr="00B61021">
              <w:t>9</w:t>
            </w:r>
          </w:p>
        </w:tc>
        <w:tc>
          <w:tcPr>
            <w:tcW w:w="1513" w:type="dxa"/>
          </w:tcPr>
          <w:p w:rsidR="00E170FD" w:rsidRPr="00B61021" w:rsidRDefault="00E170FD" w:rsidP="00D20934">
            <w:pPr>
              <w:spacing w:before="80" w:after="80"/>
              <w:jc w:val="right"/>
            </w:pPr>
            <w:r w:rsidRPr="00B61021">
              <w:t>$34,471,518</w:t>
            </w:r>
          </w:p>
        </w:tc>
      </w:tr>
      <w:tr w:rsidR="0024326F" w:rsidRPr="00B61021" w:rsidTr="00C70C58">
        <w:trPr>
          <w:cantSplit/>
          <w:jc w:val="center"/>
        </w:trPr>
        <w:tc>
          <w:tcPr>
            <w:tcW w:w="1657" w:type="dxa"/>
            <w:tcBorders>
              <w:bottom w:val="single" w:sz="4" w:space="0" w:color="000000"/>
            </w:tcBorders>
          </w:tcPr>
          <w:p w:rsidR="0024326F" w:rsidRPr="00B61021" w:rsidRDefault="002D0BBB" w:rsidP="00D20934">
            <w:pPr>
              <w:pStyle w:val="TableText1"/>
              <w:spacing w:before="80"/>
              <w:jc w:val="left"/>
              <w:rPr>
                <w:sz w:val="20"/>
              </w:rPr>
            </w:pPr>
            <w:r>
              <w:rPr>
                <w:sz w:val="20"/>
              </w:rPr>
              <w:t>Recreation and</w:t>
            </w:r>
            <w:r w:rsidR="0024326F" w:rsidRPr="00B61021">
              <w:rPr>
                <w:sz w:val="20"/>
              </w:rPr>
              <w:t xml:space="preserve"> Open Space</w:t>
            </w:r>
          </w:p>
        </w:tc>
        <w:tc>
          <w:tcPr>
            <w:tcW w:w="4820" w:type="dxa"/>
          </w:tcPr>
          <w:p w:rsidR="0024326F" w:rsidRPr="00B61021" w:rsidRDefault="00E170FD" w:rsidP="00D20934">
            <w:pPr>
              <w:spacing w:before="80" w:after="80"/>
              <w:jc w:val="left"/>
            </w:pPr>
            <w:r w:rsidRPr="00B61021">
              <w:t xml:space="preserve">Bowling Clubs, Grandstands, </w:t>
            </w:r>
            <w:r w:rsidR="00F93F43">
              <w:t>Pavilions/</w:t>
            </w:r>
            <w:r w:rsidR="0024326F" w:rsidRPr="00B61021">
              <w:t>Clubrooms, Rotundas/Shelters and Tennis Clubhouses.</w:t>
            </w:r>
          </w:p>
        </w:tc>
        <w:tc>
          <w:tcPr>
            <w:tcW w:w="992" w:type="dxa"/>
          </w:tcPr>
          <w:p w:rsidR="0024326F" w:rsidRPr="00B61021" w:rsidRDefault="0024326F" w:rsidP="005D47C9">
            <w:pPr>
              <w:tabs>
                <w:tab w:val="decimal" w:pos="415"/>
              </w:tabs>
              <w:spacing w:before="80" w:after="80"/>
              <w:jc w:val="center"/>
            </w:pPr>
            <w:r w:rsidRPr="00B61021">
              <w:t>5</w:t>
            </w:r>
            <w:r w:rsidR="005D47C9">
              <w:t>5</w:t>
            </w:r>
          </w:p>
        </w:tc>
        <w:tc>
          <w:tcPr>
            <w:tcW w:w="1513" w:type="dxa"/>
          </w:tcPr>
          <w:p w:rsidR="0024326F" w:rsidRPr="00B61021" w:rsidRDefault="0024326F" w:rsidP="005D47C9">
            <w:pPr>
              <w:spacing w:before="80" w:after="80"/>
              <w:jc w:val="right"/>
            </w:pPr>
            <w:r w:rsidRPr="00B61021">
              <w:t>$</w:t>
            </w:r>
            <w:r w:rsidR="005D47C9">
              <w:t>28</w:t>
            </w:r>
            <w:r w:rsidR="00E170FD" w:rsidRPr="00B61021">
              <w:t>,</w:t>
            </w:r>
            <w:r w:rsidR="005D47C9">
              <w:t>485</w:t>
            </w:r>
            <w:r w:rsidR="00E170FD" w:rsidRPr="00B61021">
              <w:t>,</w:t>
            </w:r>
            <w:r w:rsidR="005D47C9">
              <w:t>878</w:t>
            </w:r>
          </w:p>
        </w:tc>
      </w:tr>
      <w:tr w:rsidR="0024326F" w:rsidRPr="00B61021" w:rsidTr="00C70C58">
        <w:trPr>
          <w:cantSplit/>
          <w:jc w:val="center"/>
        </w:trPr>
        <w:tc>
          <w:tcPr>
            <w:tcW w:w="1657" w:type="dxa"/>
            <w:tcBorders>
              <w:bottom w:val="single" w:sz="4" w:space="0" w:color="000000"/>
            </w:tcBorders>
          </w:tcPr>
          <w:p w:rsidR="0024326F" w:rsidRPr="00B61021" w:rsidRDefault="0024326F" w:rsidP="00D20934">
            <w:pPr>
              <w:pStyle w:val="TableText1"/>
              <w:spacing w:before="80"/>
              <w:jc w:val="left"/>
              <w:rPr>
                <w:sz w:val="20"/>
              </w:rPr>
            </w:pPr>
            <w:r w:rsidRPr="00B61021">
              <w:rPr>
                <w:sz w:val="20"/>
              </w:rPr>
              <w:t xml:space="preserve">Amenities     </w:t>
            </w:r>
          </w:p>
        </w:tc>
        <w:tc>
          <w:tcPr>
            <w:tcW w:w="4820" w:type="dxa"/>
          </w:tcPr>
          <w:p w:rsidR="0024326F" w:rsidRPr="00B61021" w:rsidRDefault="00CD1A39" w:rsidP="00CD1A39">
            <w:pPr>
              <w:spacing w:before="80" w:after="80"/>
              <w:jc w:val="left"/>
            </w:pPr>
            <w:r>
              <w:t>S</w:t>
            </w:r>
            <w:r w:rsidR="0024326F" w:rsidRPr="00B61021">
              <w:t>tandalone public toilets</w:t>
            </w:r>
            <w:r w:rsidR="005D47C9">
              <w:t>.</w:t>
            </w:r>
            <w:r w:rsidR="0024326F" w:rsidRPr="00B61021">
              <w:t xml:space="preserve"> </w:t>
            </w:r>
          </w:p>
        </w:tc>
        <w:tc>
          <w:tcPr>
            <w:tcW w:w="992" w:type="dxa"/>
          </w:tcPr>
          <w:p w:rsidR="0024326F" w:rsidRPr="00B61021" w:rsidRDefault="005D47C9" w:rsidP="005D47C9">
            <w:pPr>
              <w:tabs>
                <w:tab w:val="decimal" w:pos="415"/>
              </w:tabs>
              <w:spacing w:before="80" w:after="80"/>
              <w:jc w:val="center"/>
            </w:pPr>
            <w:r>
              <w:t>9</w:t>
            </w:r>
          </w:p>
        </w:tc>
        <w:tc>
          <w:tcPr>
            <w:tcW w:w="1513" w:type="dxa"/>
          </w:tcPr>
          <w:p w:rsidR="0024326F" w:rsidRPr="00B61021" w:rsidRDefault="0024326F" w:rsidP="005D47C9">
            <w:pPr>
              <w:spacing w:before="80" w:after="80"/>
              <w:jc w:val="right"/>
            </w:pPr>
            <w:r w:rsidRPr="00B61021">
              <w:t xml:space="preserve"> $</w:t>
            </w:r>
            <w:r w:rsidR="00E170FD" w:rsidRPr="00B61021">
              <w:t>1,</w:t>
            </w:r>
            <w:r w:rsidR="005D47C9">
              <w:t>232</w:t>
            </w:r>
            <w:r w:rsidR="00E170FD" w:rsidRPr="00B61021">
              <w:t>,</w:t>
            </w:r>
            <w:r w:rsidR="005D47C9">
              <w:t>14</w:t>
            </w:r>
            <w:r w:rsidR="00E170FD" w:rsidRPr="00B61021">
              <w:t>8</w:t>
            </w:r>
            <w:r w:rsidRPr="00B61021">
              <w:t xml:space="preserve"> </w:t>
            </w:r>
          </w:p>
        </w:tc>
      </w:tr>
      <w:tr w:rsidR="003B5AE2" w:rsidRPr="00B61021" w:rsidTr="00C70C58">
        <w:trPr>
          <w:cantSplit/>
          <w:jc w:val="center"/>
        </w:trPr>
        <w:tc>
          <w:tcPr>
            <w:tcW w:w="1657" w:type="dxa"/>
            <w:tcBorders>
              <w:bottom w:val="single" w:sz="4" w:space="0" w:color="000000"/>
            </w:tcBorders>
          </w:tcPr>
          <w:p w:rsidR="0024326F" w:rsidRPr="00B61021" w:rsidRDefault="0024326F" w:rsidP="00D20934">
            <w:pPr>
              <w:pStyle w:val="TableText1"/>
              <w:spacing w:before="80"/>
              <w:jc w:val="left"/>
              <w:rPr>
                <w:sz w:val="20"/>
              </w:rPr>
            </w:pPr>
            <w:r w:rsidRPr="00B61021">
              <w:rPr>
                <w:sz w:val="20"/>
              </w:rPr>
              <w:t>Miscellaneous</w:t>
            </w:r>
          </w:p>
        </w:tc>
        <w:tc>
          <w:tcPr>
            <w:tcW w:w="4820" w:type="dxa"/>
            <w:tcBorders>
              <w:bottom w:val="single" w:sz="4" w:space="0" w:color="000000"/>
            </w:tcBorders>
          </w:tcPr>
          <w:p w:rsidR="0024326F" w:rsidRPr="00B61021" w:rsidRDefault="00E170FD" w:rsidP="00D20934">
            <w:pPr>
              <w:pStyle w:val="Bullet"/>
              <w:numPr>
                <w:ilvl w:val="0"/>
                <w:numId w:val="0"/>
              </w:numPr>
              <w:spacing w:before="80" w:after="80"/>
              <w:ind w:left="34"/>
              <w:rPr>
                <w:rFonts w:ascii="Arial" w:hAnsi="Arial" w:cs="Arial"/>
                <w:sz w:val="20"/>
              </w:rPr>
            </w:pPr>
            <w:r w:rsidRPr="00B61021">
              <w:rPr>
                <w:rFonts w:ascii="Arial" w:hAnsi="Arial" w:cs="Arial"/>
                <w:sz w:val="20"/>
              </w:rPr>
              <w:t>S</w:t>
            </w:r>
            <w:r w:rsidR="0024326F" w:rsidRPr="00B61021">
              <w:rPr>
                <w:rFonts w:ascii="Arial" w:hAnsi="Arial" w:cs="Arial"/>
                <w:sz w:val="20"/>
              </w:rPr>
              <w:t xml:space="preserve">tructures. </w:t>
            </w:r>
          </w:p>
        </w:tc>
        <w:tc>
          <w:tcPr>
            <w:tcW w:w="992" w:type="dxa"/>
            <w:tcBorders>
              <w:bottom w:val="single" w:sz="4" w:space="0" w:color="000000"/>
            </w:tcBorders>
          </w:tcPr>
          <w:p w:rsidR="0024326F" w:rsidRPr="00B61021" w:rsidRDefault="005D47C9" w:rsidP="005D47C9">
            <w:pPr>
              <w:tabs>
                <w:tab w:val="decimal" w:pos="415"/>
              </w:tabs>
              <w:spacing w:before="80" w:after="80"/>
              <w:jc w:val="center"/>
            </w:pPr>
            <w:r>
              <w:t>6</w:t>
            </w:r>
          </w:p>
        </w:tc>
        <w:tc>
          <w:tcPr>
            <w:tcW w:w="1513" w:type="dxa"/>
            <w:tcBorders>
              <w:bottom w:val="single" w:sz="4" w:space="0" w:color="000000"/>
            </w:tcBorders>
          </w:tcPr>
          <w:p w:rsidR="0024326F" w:rsidRPr="00B61021" w:rsidRDefault="0024326F" w:rsidP="00D20934">
            <w:pPr>
              <w:spacing w:before="80" w:after="80"/>
              <w:jc w:val="right"/>
            </w:pPr>
            <w:r w:rsidRPr="00B61021">
              <w:t xml:space="preserve">$ </w:t>
            </w:r>
            <w:r w:rsidR="00E170FD" w:rsidRPr="00B61021">
              <w:t>2</w:t>
            </w:r>
            <w:r w:rsidR="005D47C9">
              <w:t>4</w:t>
            </w:r>
            <w:r w:rsidR="00E170FD" w:rsidRPr="00B61021">
              <w:t>0,000</w:t>
            </w:r>
          </w:p>
        </w:tc>
      </w:tr>
      <w:tr w:rsidR="002D0BBB" w:rsidRPr="00B61021" w:rsidTr="00C70C58">
        <w:trPr>
          <w:cantSplit/>
          <w:jc w:val="center"/>
        </w:trPr>
        <w:tc>
          <w:tcPr>
            <w:tcW w:w="1657" w:type="dxa"/>
            <w:tcBorders>
              <w:bottom w:val="single" w:sz="4" w:space="0" w:color="auto"/>
              <w:right w:val="nil"/>
            </w:tcBorders>
          </w:tcPr>
          <w:p w:rsidR="0024326F" w:rsidRPr="00B61021" w:rsidRDefault="0024326F" w:rsidP="00D20934">
            <w:pPr>
              <w:pStyle w:val="TableText1"/>
              <w:spacing w:before="80"/>
              <w:rPr>
                <w:b/>
                <w:sz w:val="20"/>
              </w:rPr>
            </w:pPr>
          </w:p>
        </w:tc>
        <w:tc>
          <w:tcPr>
            <w:tcW w:w="4820" w:type="dxa"/>
            <w:tcBorders>
              <w:left w:val="nil"/>
              <w:bottom w:val="single" w:sz="4" w:space="0" w:color="auto"/>
            </w:tcBorders>
          </w:tcPr>
          <w:p w:rsidR="0024326F" w:rsidRPr="005D47C9" w:rsidRDefault="0024326F" w:rsidP="00D20934">
            <w:pPr>
              <w:spacing w:before="80" w:after="80"/>
              <w:rPr>
                <w:b/>
              </w:rPr>
            </w:pPr>
            <w:r w:rsidRPr="005D47C9">
              <w:rPr>
                <w:b/>
              </w:rPr>
              <w:t>Building Portfolio Total</w:t>
            </w:r>
          </w:p>
        </w:tc>
        <w:tc>
          <w:tcPr>
            <w:tcW w:w="992" w:type="dxa"/>
            <w:tcBorders>
              <w:bottom w:val="single" w:sz="4" w:space="0" w:color="auto"/>
            </w:tcBorders>
          </w:tcPr>
          <w:p w:rsidR="0024326F" w:rsidRPr="005D47C9" w:rsidRDefault="00E170FD" w:rsidP="005D47C9">
            <w:pPr>
              <w:tabs>
                <w:tab w:val="decimal" w:pos="415"/>
              </w:tabs>
              <w:spacing w:before="80" w:after="80"/>
              <w:jc w:val="center"/>
              <w:rPr>
                <w:b/>
              </w:rPr>
            </w:pPr>
            <w:r w:rsidRPr="005D47C9">
              <w:rPr>
                <w:b/>
              </w:rPr>
              <w:t>1</w:t>
            </w:r>
            <w:r w:rsidR="005D47C9" w:rsidRPr="005D47C9">
              <w:rPr>
                <w:b/>
              </w:rPr>
              <w:t>59</w:t>
            </w:r>
          </w:p>
        </w:tc>
        <w:tc>
          <w:tcPr>
            <w:tcW w:w="1513" w:type="dxa"/>
            <w:tcBorders>
              <w:bottom w:val="single" w:sz="4" w:space="0" w:color="auto"/>
            </w:tcBorders>
          </w:tcPr>
          <w:p w:rsidR="0024326F" w:rsidRPr="005D47C9" w:rsidRDefault="0024326F" w:rsidP="005D47C9">
            <w:pPr>
              <w:spacing w:before="80" w:after="80"/>
              <w:jc w:val="right"/>
              <w:rPr>
                <w:b/>
              </w:rPr>
            </w:pPr>
            <w:r w:rsidRPr="005D47C9">
              <w:rPr>
                <w:b/>
              </w:rPr>
              <w:t>$</w:t>
            </w:r>
            <w:bookmarkStart w:id="99" w:name="OLE_LINK13"/>
            <w:r w:rsidR="00E170FD" w:rsidRPr="005D47C9">
              <w:rPr>
                <w:b/>
              </w:rPr>
              <w:t>22</w:t>
            </w:r>
            <w:r w:rsidR="005D47C9" w:rsidRPr="005D47C9">
              <w:rPr>
                <w:b/>
              </w:rPr>
              <w:t>8</w:t>
            </w:r>
            <w:r w:rsidRPr="005D47C9">
              <w:rPr>
                <w:b/>
              </w:rPr>
              <w:t>,</w:t>
            </w:r>
            <w:r w:rsidR="005D47C9" w:rsidRPr="005D47C9">
              <w:rPr>
                <w:b/>
              </w:rPr>
              <w:t>046,</w:t>
            </w:r>
            <w:r w:rsidR="00CE1D57" w:rsidRPr="005D47C9">
              <w:rPr>
                <w:b/>
              </w:rPr>
              <w:t>8</w:t>
            </w:r>
            <w:r w:rsidR="005D47C9" w:rsidRPr="005D47C9">
              <w:rPr>
                <w:b/>
              </w:rPr>
              <w:t>37</w:t>
            </w:r>
            <w:bookmarkEnd w:id="99"/>
          </w:p>
        </w:tc>
      </w:tr>
    </w:tbl>
    <w:p w:rsidR="0024326F" w:rsidRPr="0091425F" w:rsidRDefault="0024326F" w:rsidP="00963199">
      <w:pPr>
        <w:pStyle w:val="Caption"/>
        <w:spacing w:before="240" w:after="240"/>
        <w:ind w:left="0"/>
        <w:jc w:val="center"/>
        <w:rPr>
          <w:rFonts w:ascii="Arial" w:hAnsi="Arial"/>
          <w:i w:val="0"/>
          <w:iCs w:val="0"/>
          <w:sz w:val="20"/>
          <w:lang w:val="en-AU"/>
        </w:rPr>
      </w:pPr>
      <w:bookmarkStart w:id="100" w:name="_Toc346740217"/>
      <w:bookmarkStart w:id="101" w:name="_Toc364945422"/>
      <w:r w:rsidRPr="0091425F">
        <w:rPr>
          <w:rFonts w:ascii="Arial" w:hAnsi="Arial"/>
          <w:i w:val="0"/>
          <w:iCs w:val="0"/>
          <w:sz w:val="20"/>
          <w:lang w:val="en-AU"/>
        </w:rPr>
        <w:t xml:space="preserve">Table </w:t>
      </w:r>
      <w:r w:rsidR="0090414C" w:rsidRPr="0091425F">
        <w:rPr>
          <w:rFonts w:ascii="Arial" w:hAnsi="Arial"/>
          <w:i w:val="0"/>
          <w:iCs w:val="0"/>
          <w:sz w:val="20"/>
          <w:lang w:val="en-AU"/>
        </w:rPr>
        <w:fldChar w:fldCharType="begin"/>
      </w:r>
      <w:r w:rsidR="0012012A" w:rsidRPr="0091425F">
        <w:rPr>
          <w:rFonts w:ascii="Arial" w:hAnsi="Arial"/>
          <w:i w:val="0"/>
          <w:iCs w:val="0"/>
          <w:sz w:val="20"/>
          <w:lang w:val="en-AU"/>
        </w:rPr>
        <w:instrText xml:space="preserve"> SEQ Table \* ARABIC </w:instrText>
      </w:r>
      <w:r w:rsidR="0090414C" w:rsidRPr="0091425F">
        <w:rPr>
          <w:rFonts w:ascii="Arial" w:hAnsi="Arial"/>
          <w:i w:val="0"/>
          <w:iCs w:val="0"/>
          <w:sz w:val="20"/>
          <w:lang w:val="en-AU"/>
        </w:rPr>
        <w:fldChar w:fldCharType="separate"/>
      </w:r>
      <w:r w:rsidR="00751CEC">
        <w:rPr>
          <w:rFonts w:ascii="Arial" w:hAnsi="Arial"/>
          <w:i w:val="0"/>
          <w:iCs w:val="0"/>
          <w:noProof/>
          <w:sz w:val="20"/>
          <w:lang w:val="en-AU"/>
        </w:rPr>
        <w:t>18</w:t>
      </w:r>
      <w:r w:rsidR="0090414C" w:rsidRPr="0091425F">
        <w:rPr>
          <w:rFonts w:ascii="Arial" w:hAnsi="Arial"/>
          <w:i w:val="0"/>
          <w:iCs w:val="0"/>
          <w:sz w:val="20"/>
          <w:lang w:val="en-AU"/>
        </w:rPr>
        <w:fldChar w:fldCharType="end"/>
      </w:r>
      <w:r w:rsidR="00963199" w:rsidRPr="0091425F">
        <w:rPr>
          <w:rFonts w:ascii="Arial" w:hAnsi="Arial"/>
          <w:i w:val="0"/>
          <w:iCs w:val="0"/>
          <w:sz w:val="20"/>
          <w:lang w:val="en-AU"/>
        </w:rPr>
        <w:t>:  Asset Classes and A</w:t>
      </w:r>
      <w:r w:rsidRPr="0091425F">
        <w:rPr>
          <w:rFonts w:ascii="Arial" w:hAnsi="Arial"/>
          <w:i w:val="0"/>
          <w:iCs w:val="0"/>
          <w:sz w:val="20"/>
          <w:lang w:val="en-AU"/>
        </w:rPr>
        <w:t>ssociated Buildings</w:t>
      </w:r>
      <w:bookmarkEnd w:id="100"/>
      <w:bookmarkEnd w:id="101"/>
    </w:p>
    <w:p w:rsidR="005F6479" w:rsidRDefault="005F6479" w:rsidP="006E407F">
      <w:pPr>
        <w:rPr>
          <w:lang w:val="en-NZ"/>
        </w:rPr>
      </w:pPr>
      <w:r w:rsidRPr="005F6479">
        <w:rPr>
          <w:lang w:val="en-NZ"/>
        </w:rPr>
        <w:t xml:space="preserve">The </w:t>
      </w:r>
      <w:r>
        <w:rPr>
          <w:lang w:val="en-NZ"/>
        </w:rPr>
        <w:t>following buildings are owned by others but are maintained by Council</w:t>
      </w:r>
      <w:r w:rsidR="0048684F">
        <w:rPr>
          <w:lang w:val="en-NZ"/>
        </w:rPr>
        <w:t>, or where Council has some maintenance responsibilities,</w:t>
      </w:r>
      <w:r>
        <w:rPr>
          <w:lang w:val="en-NZ"/>
        </w:rPr>
        <w:t xml:space="preserve"> and have not been included in the </w:t>
      </w:r>
      <w:r w:rsidR="00F73B55">
        <w:rPr>
          <w:lang w:val="en-NZ"/>
        </w:rPr>
        <w:t>Building Portfolio total above.</w:t>
      </w:r>
      <w:r>
        <w:rPr>
          <w:lang w:val="en-NZ"/>
        </w:rPr>
        <w:t xml:space="preserve"> </w:t>
      </w:r>
    </w:p>
    <w:p w:rsidR="006E407F" w:rsidRPr="005F6479" w:rsidRDefault="006E407F" w:rsidP="006E407F">
      <w:pPr>
        <w:rPr>
          <w:lang w:val="en-NZ"/>
        </w:rPr>
      </w:pPr>
    </w:p>
    <w:tbl>
      <w:tblPr>
        <w:tblW w:w="9112" w:type="dxa"/>
        <w:jc w:val="center"/>
        <w:tblLook w:val="04A0" w:firstRow="1" w:lastRow="0" w:firstColumn="1" w:lastColumn="0" w:noHBand="0" w:noVBand="1"/>
      </w:tblPr>
      <w:tblGrid>
        <w:gridCol w:w="1017"/>
        <w:gridCol w:w="3115"/>
        <w:gridCol w:w="2410"/>
        <w:gridCol w:w="2570"/>
      </w:tblGrid>
      <w:tr w:rsidR="0048684F" w:rsidRPr="006E407F" w:rsidTr="0048684F">
        <w:trPr>
          <w:cantSplit/>
          <w:trHeight w:val="20"/>
          <w:jc w:val="center"/>
        </w:trPr>
        <w:tc>
          <w:tcPr>
            <w:tcW w:w="1017" w:type="dxa"/>
            <w:tcBorders>
              <w:top w:val="single" w:sz="4" w:space="0" w:color="auto"/>
              <w:left w:val="single" w:sz="4" w:space="0" w:color="auto"/>
              <w:bottom w:val="single" w:sz="4" w:space="0" w:color="auto"/>
              <w:right w:val="single" w:sz="4" w:space="0" w:color="auto"/>
            </w:tcBorders>
            <w:shd w:val="clear" w:color="auto" w:fill="95B3D7" w:themeFill="accent1" w:themeFillTint="99"/>
            <w:noWrap/>
          </w:tcPr>
          <w:p w:rsidR="0048684F" w:rsidRPr="006E407F" w:rsidRDefault="0048684F" w:rsidP="0048684F">
            <w:pPr>
              <w:spacing w:before="120" w:after="120"/>
              <w:jc w:val="center"/>
              <w:rPr>
                <w:b/>
              </w:rPr>
            </w:pPr>
            <w:r>
              <w:rPr>
                <w:b/>
              </w:rPr>
              <w:t>Asset No.</w:t>
            </w:r>
          </w:p>
        </w:tc>
        <w:tc>
          <w:tcPr>
            <w:tcW w:w="3115" w:type="dxa"/>
            <w:tcBorders>
              <w:top w:val="single" w:sz="4" w:space="0" w:color="auto"/>
              <w:left w:val="single" w:sz="4" w:space="0" w:color="auto"/>
              <w:bottom w:val="single" w:sz="4" w:space="0" w:color="auto"/>
              <w:right w:val="single" w:sz="4" w:space="0" w:color="auto"/>
            </w:tcBorders>
            <w:shd w:val="clear" w:color="auto" w:fill="95B3D7" w:themeFill="accent1" w:themeFillTint="99"/>
          </w:tcPr>
          <w:p w:rsidR="0048684F" w:rsidRPr="006E407F" w:rsidRDefault="0048684F" w:rsidP="0048684F">
            <w:pPr>
              <w:spacing w:before="120" w:after="120"/>
              <w:jc w:val="left"/>
              <w:rPr>
                <w:b/>
              </w:rPr>
            </w:pPr>
            <w:r>
              <w:rPr>
                <w:b/>
              </w:rPr>
              <w:t>Asset</w:t>
            </w:r>
          </w:p>
        </w:tc>
        <w:tc>
          <w:tcPr>
            <w:tcW w:w="2410" w:type="dxa"/>
            <w:tcBorders>
              <w:top w:val="single" w:sz="4" w:space="0" w:color="auto"/>
              <w:left w:val="single" w:sz="4" w:space="0" w:color="auto"/>
              <w:bottom w:val="single" w:sz="4" w:space="0" w:color="auto"/>
              <w:right w:val="single" w:sz="4" w:space="0" w:color="auto"/>
            </w:tcBorders>
            <w:shd w:val="clear" w:color="auto" w:fill="95B3D7" w:themeFill="accent1" w:themeFillTint="99"/>
          </w:tcPr>
          <w:p w:rsidR="0048684F" w:rsidRPr="006E407F" w:rsidRDefault="0048684F" w:rsidP="0048684F">
            <w:pPr>
              <w:spacing w:before="120" w:after="120"/>
              <w:jc w:val="center"/>
              <w:rPr>
                <w:b/>
              </w:rPr>
            </w:pPr>
            <w:r>
              <w:rPr>
                <w:b/>
              </w:rPr>
              <w:t xml:space="preserve">Building </w:t>
            </w:r>
            <w:r w:rsidRPr="006E407F">
              <w:rPr>
                <w:b/>
              </w:rPr>
              <w:t>Owner</w:t>
            </w:r>
          </w:p>
        </w:tc>
        <w:tc>
          <w:tcPr>
            <w:tcW w:w="2570" w:type="dxa"/>
            <w:tcBorders>
              <w:top w:val="single" w:sz="4" w:space="0" w:color="auto"/>
              <w:left w:val="single" w:sz="4" w:space="0" w:color="auto"/>
              <w:bottom w:val="single" w:sz="4" w:space="0" w:color="auto"/>
              <w:right w:val="single" w:sz="4" w:space="0" w:color="auto"/>
            </w:tcBorders>
            <w:shd w:val="clear" w:color="auto" w:fill="95B3D7" w:themeFill="accent1" w:themeFillTint="99"/>
          </w:tcPr>
          <w:p w:rsidR="0048684F" w:rsidRDefault="0048684F" w:rsidP="0048684F">
            <w:pPr>
              <w:spacing w:before="120" w:after="120"/>
              <w:jc w:val="center"/>
              <w:rPr>
                <w:b/>
              </w:rPr>
            </w:pPr>
            <w:r>
              <w:rPr>
                <w:b/>
              </w:rPr>
              <w:t>Who Maintains</w:t>
            </w:r>
          </w:p>
        </w:tc>
      </w:tr>
      <w:tr w:rsidR="0048684F" w:rsidRPr="006E407F" w:rsidTr="0048684F">
        <w:trPr>
          <w:cantSplit/>
          <w:trHeight w:val="20"/>
          <w:jc w:val="center"/>
        </w:trPr>
        <w:tc>
          <w:tcPr>
            <w:tcW w:w="1017" w:type="dxa"/>
            <w:tcBorders>
              <w:top w:val="nil"/>
              <w:left w:val="single" w:sz="4" w:space="0" w:color="auto"/>
              <w:bottom w:val="single" w:sz="4" w:space="0" w:color="auto"/>
              <w:right w:val="single" w:sz="4" w:space="0" w:color="auto"/>
            </w:tcBorders>
            <w:shd w:val="clear" w:color="auto" w:fill="auto"/>
            <w:noWrap/>
          </w:tcPr>
          <w:p w:rsidR="0048684F" w:rsidRPr="00825540" w:rsidRDefault="0048684F" w:rsidP="00496759">
            <w:pPr>
              <w:spacing w:before="120" w:after="120"/>
              <w:jc w:val="center"/>
              <w:rPr>
                <w:color w:val="000000" w:themeColor="text1"/>
              </w:rPr>
            </w:pPr>
            <w:r w:rsidRPr="00825540">
              <w:rPr>
                <w:color w:val="000000" w:themeColor="text1"/>
              </w:rPr>
              <w:t>B000053</w:t>
            </w:r>
          </w:p>
        </w:tc>
        <w:tc>
          <w:tcPr>
            <w:tcW w:w="3115" w:type="dxa"/>
            <w:tcBorders>
              <w:top w:val="nil"/>
              <w:left w:val="nil"/>
              <w:bottom w:val="single" w:sz="4" w:space="0" w:color="auto"/>
              <w:right w:val="single" w:sz="4" w:space="0" w:color="auto"/>
            </w:tcBorders>
            <w:shd w:val="clear" w:color="auto" w:fill="auto"/>
          </w:tcPr>
          <w:p w:rsidR="0048684F" w:rsidRPr="006E407F" w:rsidRDefault="0048684F" w:rsidP="00496759">
            <w:pPr>
              <w:spacing w:before="120" w:after="120"/>
              <w:jc w:val="left"/>
            </w:pPr>
            <w:r>
              <w:t>Dob Club Shelter and Store – Alphington Park</w:t>
            </w:r>
          </w:p>
        </w:tc>
        <w:tc>
          <w:tcPr>
            <w:tcW w:w="2410" w:type="dxa"/>
            <w:tcBorders>
              <w:top w:val="nil"/>
              <w:left w:val="nil"/>
              <w:bottom w:val="single" w:sz="4" w:space="0" w:color="auto"/>
              <w:right w:val="single" w:sz="4" w:space="0" w:color="auto"/>
            </w:tcBorders>
          </w:tcPr>
          <w:p w:rsidR="0048684F" w:rsidRPr="006E407F" w:rsidRDefault="0048684F" w:rsidP="00496759">
            <w:pPr>
              <w:spacing w:before="120" w:after="120"/>
              <w:jc w:val="center"/>
            </w:pPr>
            <w:r>
              <w:t>Northcote Dog Obedience Club</w:t>
            </w:r>
          </w:p>
        </w:tc>
        <w:tc>
          <w:tcPr>
            <w:tcW w:w="2570" w:type="dxa"/>
            <w:tcBorders>
              <w:top w:val="nil"/>
              <w:left w:val="nil"/>
              <w:bottom w:val="single" w:sz="4" w:space="0" w:color="auto"/>
              <w:right w:val="single" w:sz="4" w:space="0" w:color="auto"/>
            </w:tcBorders>
          </w:tcPr>
          <w:p w:rsidR="0048684F" w:rsidRDefault="0048684F" w:rsidP="00496759">
            <w:pPr>
              <w:spacing w:before="120" w:after="120"/>
              <w:jc w:val="center"/>
            </w:pPr>
            <w:r>
              <w:t>Northcote Dog Obedience Club</w:t>
            </w:r>
          </w:p>
        </w:tc>
      </w:tr>
      <w:tr w:rsidR="0048684F" w:rsidRPr="006E407F" w:rsidTr="0048684F">
        <w:trPr>
          <w:cantSplit/>
          <w:trHeight w:val="20"/>
          <w:jc w:val="center"/>
        </w:trPr>
        <w:tc>
          <w:tcPr>
            <w:tcW w:w="1017" w:type="dxa"/>
            <w:tcBorders>
              <w:top w:val="nil"/>
              <w:left w:val="single" w:sz="4" w:space="0" w:color="auto"/>
              <w:bottom w:val="single" w:sz="4" w:space="0" w:color="auto"/>
              <w:right w:val="single" w:sz="4" w:space="0" w:color="auto"/>
            </w:tcBorders>
            <w:shd w:val="clear" w:color="auto" w:fill="auto"/>
            <w:noWrap/>
            <w:hideMark/>
          </w:tcPr>
          <w:p w:rsidR="0048684F" w:rsidRPr="00825540" w:rsidRDefault="0048684F" w:rsidP="00496759">
            <w:pPr>
              <w:spacing w:before="120" w:after="120"/>
              <w:jc w:val="center"/>
              <w:rPr>
                <w:color w:val="000000" w:themeColor="text1"/>
              </w:rPr>
            </w:pPr>
            <w:r w:rsidRPr="00825540">
              <w:rPr>
                <w:color w:val="000000" w:themeColor="text1"/>
              </w:rPr>
              <w:t>B000070</w:t>
            </w:r>
          </w:p>
        </w:tc>
        <w:tc>
          <w:tcPr>
            <w:tcW w:w="3115" w:type="dxa"/>
            <w:tcBorders>
              <w:top w:val="nil"/>
              <w:left w:val="nil"/>
              <w:bottom w:val="single" w:sz="4" w:space="0" w:color="auto"/>
              <w:right w:val="single" w:sz="4" w:space="0" w:color="auto"/>
            </w:tcBorders>
            <w:shd w:val="clear" w:color="auto" w:fill="auto"/>
            <w:hideMark/>
          </w:tcPr>
          <w:p w:rsidR="0048684F" w:rsidRPr="006E407F" w:rsidRDefault="0048684F" w:rsidP="00496759">
            <w:pPr>
              <w:spacing w:before="120" w:after="120"/>
              <w:jc w:val="left"/>
            </w:pPr>
            <w:r w:rsidRPr="006E407F">
              <w:t>Tennis Court and Pavilion - Ryan’s Reserve</w:t>
            </w:r>
          </w:p>
        </w:tc>
        <w:tc>
          <w:tcPr>
            <w:tcW w:w="2410" w:type="dxa"/>
            <w:tcBorders>
              <w:top w:val="nil"/>
              <w:left w:val="nil"/>
              <w:bottom w:val="single" w:sz="4" w:space="0" w:color="auto"/>
              <w:right w:val="single" w:sz="4" w:space="0" w:color="auto"/>
            </w:tcBorders>
          </w:tcPr>
          <w:p w:rsidR="0048684F" w:rsidRPr="006E407F" w:rsidRDefault="0048684F" w:rsidP="00496759">
            <w:pPr>
              <w:spacing w:before="120" w:after="120"/>
              <w:jc w:val="center"/>
            </w:pPr>
            <w:r w:rsidRPr="006E407F">
              <w:t>Dep</w:t>
            </w:r>
            <w:r>
              <w:t>artment of</w:t>
            </w:r>
            <w:r w:rsidRPr="006E407F">
              <w:t xml:space="preserve"> Education</w:t>
            </w:r>
          </w:p>
        </w:tc>
        <w:tc>
          <w:tcPr>
            <w:tcW w:w="2570" w:type="dxa"/>
            <w:tcBorders>
              <w:top w:val="nil"/>
              <w:left w:val="nil"/>
              <w:bottom w:val="single" w:sz="4" w:space="0" w:color="auto"/>
              <w:right w:val="single" w:sz="4" w:space="0" w:color="auto"/>
            </w:tcBorders>
          </w:tcPr>
          <w:p w:rsidR="0048684F" w:rsidRPr="006E407F" w:rsidRDefault="0048684F" w:rsidP="00496759">
            <w:pPr>
              <w:spacing w:before="120" w:after="120"/>
              <w:jc w:val="center"/>
            </w:pPr>
            <w:r>
              <w:t>Yarra City Council</w:t>
            </w:r>
          </w:p>
        </w:tc>
      </w:tr>
      <w:tr w:rsidR="0048684F" w:rsidRPr="006E407F" w:rsidTr="0048684F">
        <w:trPr>
          <w:cantSplit/>
          <w:trHeight w:val="20"/>
          <w:jc w:val="center"/>
        </w:trPr>
        <w:tc>
          <w:tcPr>
            <w:tcW w:w="1017" w:type="dxa"/>
            <w:tcBorders>
              <w:top w:val="nil"/>
              <w:left w:val="single" w:sz="4" w:space="0" w:color="auto"/>
              <w:bottom w:val="single" w:sz="4" w:space="0" w:color="auto"/>
              <w:right w:val="single" w:sz="4" w:space="0" w:color="auto"/>
            </w:tcBorders>
            <w:shd w:val="clear" w:color="auto" w:fill="auto"/>
            <w:noWrap/>
            <w:hideMark/>
          </w:tcPr>
          <w:p w:rsidR="0048684F" w:rsidRPr="00825540" w:rsidRDefault="0048684F" w:rsidP="00496759">
            <w:pPr>
              <w:spacing w:before="120" w:after="120"/>
              <w:jc w:val="center"/>
              <w:rPr>
                <w:color w:val="000000" w:themeColor="text1"/>
              </w:rPr>
            </w:pPr>
            <w:r w:rsidRPr="00825540">
              <w:rPr>
                <w:color w:val="000000" w:themeColor="text1"/>
              </w:rPr>
              <w:t>B000108</w:t>
            </w:r>
          </w:p>
        </w:tc>
        <w:tc>
          <w:tcPr>
            <w:tcW w:w="3115" w:type="dxa"/>
            <w:tcBorders>
              <w:top w:val="nil"/>
              <w:left w:val="nil"/>
              <w:bottom w:val="single" w:sz="4" w:space="0" w:color="auto"/>
              <w:right w:val="single" w:sz="4" w:space="0" w:color="auto"/>
            </w:tcBorders>
            <w:shd w:val="clear" w:color="auto" w:fill="auto"/>
            <w:hideMark/>
          </w:tcPr>
          <w:p w:rsidR="0048684F" w:rsidRPr="006E407F" w:rsidRDefault="0048684F" w:rsidP="00496759">
            <w:pPr>
              <w:spacing w:before="120" w:after="120"/>
              <w:jc w:val="left"/>
            </w:pPr>
            <w:r w:rsidRPr="006E407F">
              <w:t>Collingwood MCHC</w:t>
            </w:r>
          </w:p>
        </w:tc>
        <w:tc>
          <w:tcPr>
            <w:tcW w:w="2410" w:type="dxa"/>
            <w:tcBorders>
              <w:top w:val="nil"/>
              <w:left w:val="nil"/>
              <w:bottom w:val="single" w:sz="4" w:space="0" w:color="auto"/>
              <w:right w:val="single" w:sz="4" w:space="0" w:color="auto"/>
            </w:tcBorders>
          </w:tcPr>
          <w:p w:rsidR="0048684F" w:rsidRPr="006E407F" w:rsidRDefault="0048684F" w:rsidP="00496759">
            <w:pPr>
              <w:spacing w:before="120" w:after="120"/>
              <w:jc w:val="center"/>
            </w:pPr>
            <w:r w:rsidRPr="006E407F">
              <w:t>Ministry of Housing</w:t>
            </w:r>
          </w:p>
        </w:tc>
        <w:tc>
          <w:tcPr>
            <w:tcW w:w="2570" w:type="dxa"/>
            <w:tcBorders>
              <w:top w:val="nil"/>
              <w:left w:val="nil"/>
              <w:bottom w:val="single" w:sz="4" w:space="0" w:color="auto"/>
              <w:right w:val="single" w:sz="4" w:space="0" w:color="auto"/>
            </w:tcBorders>
          </w:tcPr>
          <w:p w:rsidR="0048684F" w:rsidRPr="006E407F" w:rsidRDefault="0048684F" w:rsidP="00496759">
            <w:pPr>
              <w:spacing w:before="120" w:after="120"/>
              <w:jc w:val="center"/>
            </w:pPr>
            <w:r>
              <w:t>DHS/ Yarra City Council – currently vacant</w:t>
            </w:r>
          </w:p>
        </w:tc>
      </w:tr>
      <w:tr w:rsidR="0048684F" w:rsidRPr="006E407F" w:rsidTr="0048684F">
        <w:trPr>
          <w:cantSplit/>
          <w:trHeight w:val="20"/>
          <w:jc w:val="center"/>
        </w:trPr>
        <w:tc>
          <w:tcPr>
            <w:tcW w:w="1017" w:type="dxa"/>
            <w:tcBorders>
              <w:top w:val="nil"/>
              <w:left w:val="single" w:sz="4" w:space="0" w:color="auto"/>
              <w:bottom w:val="single" w:sz="4" w:space="0" w:color="auto"/>
              <w:right w:val="single" w:sz="4" w:space="0" w:color="auto"/>
            </w:tcBorders>
            <w:shd w:val="clear" w:color="auto" w:fill="auto"/>
            <w:noWrap/>
            <w:hideMark/>
          </w:tcPr>
          <w:p w:rsidR="0048684F" w:rsidRPr="00825540" w:rsidRDefault="0048684F" w:rsidP="00496759">
            <w:pPr>
              <w:spacing w:before="120" w:after="120"/>
              <w:jc w:val="center"/>
              <w:rPr>
                <w:color w:val="000000" w:themeColor="text1"/>
              </w:rPr>
            </w:pPr>
            <w:r w:rsidRPr="00825540">
              <w:rPr>
                <w:color w:val="000000" w:themeColor="text1"/>
              </w:rPr>
              <w:t>B000127</w:t>
            </w:r>
          </w:p>
        </w:tc>
        <w:tc>
          <w:tcPr>
            <w:tcW w:w="3115" w:type="dxa"/>
            <w:tcBorders>
              <w:top w:val="single" w:sz="4" w:space="0" w:color="auto"/>
              <w:left w:val="nil"/>
              <w:bottom w:val="single" w:sz="4" w:space="0" w:color="auto"/>
              <w:right w:val="single" w:sz="4" w:space="0" w:color="auto"/>
            </w:tcBorders>
            <w:shd w:val="clear" w:color="auto" w:fill="auto"/>
            <w:hideMark/>
          </w:tcPr>
          <w:p w:rsidR="0048684F" w:rsidRPr="006E407F" w:rsidRDefault="0048684F" w:rsidP="00496759">
            <w:pPr>
              <w:spacing w:before="120" w:after="120"/>
              <w:jc w:val="left"/>
            </w:pPr>
            <w:r w:rsidRPr="006E407F">
              <w:t>Cubbies Adventure Playground</w:t>
            </w:r>
          </w:p>
        </w:tc>
        <w:tc>
          <w:tcPr>
            <w:tcW w:w="2410" w:type="dxa"/>
            <w:tcBorders>
              <w:top w:val="single" w:sz="4" w:space="0" w:color="auto"/>
              <w:left w:val="nil"/>
              <w:bottom w:val="single" w:sz="4" w:space="0" w:color="auto"/>
              <w:right w:val="single" w:sz="4" w:space="0" w:color="auto"/>
            </w:tcBorders>
          </w:tcPr>
          <w:p w:rsidR="0048684F" w:rsidRPr="006E407F" w:rsidRDefault="0048684F" w:rsidP="00496759">
            <w:pPr>
              <w:spacing w:before="120" w:after="120"/>
              <w:jc w:val="center"/>
            </w:pPr>
            <w:r w:rsidRPr="006E407F">
              <w:t>Ministry of Housing</w:t>
            </w:r>
          </w:p>
        </w:tc>
        <w:tc>
          <w:tcPr>
            <w:tcW w:w="2570" w:type="dxa"/>
            <w:tcBorders>
              <w:top w:val="single" w:sz="4" w:space="0" w:color="auto"/>
              <w:left w:val="nil"/>
              <w:bottom w:val="single" w:sz="4" w:space="0" w:color="auto"/>
              <w:right w:val="single" w:sz="4" w:space="0" w:color="auto"/>
            </w:tcBorders>
          </w:tcPr>
          <w:p w:rsidR="0048684F" w:rsidRPr="006E407F" w:rsidRDefault="0048684F" w:rsidP="00825540">
            <w:pPr>
              <w:spacing w:before="120" w:after="120"/>
              <w:jc w:val="center"/>
            </w:pPr>
            <w:r>
              <w:t>Cubbies/Yarra City Council</w:t>
            </w:r>
          </w:p>
        </w:tc>
      </w:tr>
      <w:tr w:rsidR="0048684F" w:rsidRPr="006E407F" w:rsidTr="0048684F">
        <w:trPr>
          <w:cantSplit/>
          <w:trHeight w:val="20"/>
          <w:jc w:val="center"/>
        </w:trPr>
        <w:tc>
          <w:tcPr>
            <w:tcW w:w="1017" w:type="dxa"/>
            <w:tcBorders>
              <w:top w:val="nil"/>
              <w:left w:val="single" w:sz="4" w:space="0" w:color="auto"/>
              <w:bottom w:val="single" w:sz="4" w:space="0" w:color="auto"/>
              <w:right w:val="single" w:sz="4" w:space="0" w:color="auto"/>
            </w:tcBorders>
            <w:shd w:val="clear" w:color="auto" w:fill="auto"/>
            <w:noWrap/>
            <w:hideMark/>
          </w:tcPr>
          <w:p w:rsidR="0048684F" w:rsidRPr="00825540" w:rsidRDefault="0048684F" w:rsidP="00496759">
            <w:pPr>
              <w:spacing w:before="120" w:after="120"/>
              <w:jc w:val="center"/>
              <w:rPr>
                <w:color w:val="000000" w:themeColor="text1"/>
              </w:rPr>
            </w:pPr>
            <w:r w:rsidRPr="00825540">
              <w:rPr>
                <w:color w:val="000000" w:themeColor="text1"/>
              </w:rPr>
              <w:t>B000128</w:t>
            </w:r>
          </w:p>
        </w:tc>
        <w:tc>
          <w:tcPr>
            <w:tcW w:w="3115" w:type="dxa"/>
            <w:tcBorders>
              <w:top w:val="nil"/>
              <w:left w:val="nil"/>
              <w:bottom w:val="single" w:sz="4" w:space="0" w:color="auto"/>
              <w:right w:val="single" w:sz="4" w:space="0" w:color="auto"/>
            </w:tcBorders>
            <w:shd w:val="clear" w:color="auto" w:fill="auto"/>
            <w:hideMark/>
          </w:tcPr>
          <w:p w:rsidR="0048684F" w:rsidRPr="006E407F" w:rsidRDefault="0048684F" w:rsidP="00496759">
            <w:pPr>
              <w:spacing w:before="120" w:after="120"/>
              <w:jc w:val="left"/>
            </w:pPr>
            <w:r w:rsidRPr="006E407F">
              <w:t>Kindergarten and OOSH - Atherton Gardens</w:t>
            </w:r>
          </w:p>
        </w:tc>
        <w:tc>
          <w:tcPr>
            <w:tcW w:w="2410" w:type="dxa"/>
            <w:tcBorders>
              <w:top w:val="nil"/>
              <w:left w:val="nil"/>
              <w:bottom w:val="single" w:sz="4" w:space="0" w:color="auto"/>
              <w:right w:val="single" w:sz="4" w:space="0" w:color="auto"/>
            </w:tcBorders>
          </w:tcPr>
          <w:p w:rsidR="0048684F" w:rsidRPr="006E407F" w:rsidRDefault="0048684F" w:rsidP="00496759">
            <w:pPr>
              <w:spacing w:before="120" w:after="120"/>
              <w:jc w:val="center"/>
            </w:pPr>
            <w:r w:rsidRPr="006E407F">
              <w:t>Ministry of Housing</w:t>
            </w:r>
          </w:p>
        </w:tc>
        <w:tc>
          <w:tcPr>
            <w:tcW w:w="2570" w:type="dxa"/>
            <w:tcBorders>
              <w:top w:val="nil"/>
              <w:left w:val="nil"/>
              <w:bottom w:val="single" w:sz="4" w:space="0" w:color="auto"/>
              <w:right w:val="single" w:sz="4" w:space="0" w:color="auto"/>
            </w:tcBorders>
          </w:tcPr>
          <w:p w:rsidR="0048684F" w:rsidRPr="006E407F" w:rsidRDefault="0048684F" w:rsidP="00496759">
            <w:pPr>
              <w:spacing w:before="120" w:after="120"/>
              <w:jc w:val="center"/>
            </w:pPr>
            <w:r>
              <w:t>DHS/ Yarra City Council</w:t>
            </w:r>
          </w:p>
        </w:tc>
      </w:tr>
      <w:tr w:rsidR="0048684F" w:rsidRPr="006E407F" w:rsidTr="00825540">
        <w:trPr>
          <w:cantSplit/>
          <w:trHeight w:val="20"/>
          <w:jc w:val="center"/>
        </w:trPr>
        <w:tc>
          <w:tcPr>
            <w:tcW w:w="1017" w:type="dxa"/>
            <w:tcBorders>
              <w:top w:val="nil"/>
              <w:left w:val="single" w:sz="4" w:space="0" w:color="auto"/>
              <w:bottom w:val="single" w:sz="4" w:space="0" w:color="auto"/>
              <w:right w:val="single" w:sz="4" w:space="0" w:color="auto"/>
            </w:tcBorders>
            <w:shd w:val="clear" w:color="auto" w:fill="auto"/>
            <w:noWrap/>
          </w:tcPr>
          <w:p w:rsidR="0048684F" w:rsidRPr="00825540" w:rsidRDefault="0048684F" w:rsidP="00496759">
            <w:pPr>
              <w:spacing w:before="120" w:after="120"/>
              <w:jc w:val="center"/>
              <w:rPr>
                <w:color w:val="000000" w:themeColor="text1"/>
              </w:rPr>
            </w:pPr>
            <w:r w:rsidRPr="00825540">
              <w:rPr>
                <w:color w:val="000000" w:themeColor="text1"/>
              </w:rPr>
              <w:t>B000148</w:t>
            </w:r>
          </w:p>
        </w:tc>
        <w:tc>
          <w:tcPr>
            <w:tcW w:w="3115" w:type="dxa"/>
            <w:tcBorders>
              <w:top w:val="nil"/>
              <w:left w:val="nil"/>
              <w:bottom w:val="single" w:sz="4" w:space="0" w:color="auto"/>
              <w:right w:val="single" w:sz="4" w:space="0" w:color="auto"/>
            </w:tcBorders>
            <w:shd w:val="clear" w:color="auto" w:fill="auto"/>
          </w:tcPr>
          <w:p w:rsidR="0048684F" w:rsidRPr="006E407F" w:rsidRDefault="0048684F" w:rsidP="00496759">
            <w:pPr>
              <w:spacing w:before="120" w:after="120"/>
              <w:jc w:val="left"/>
            </w:pPr>
            <w:r>
              <w:t>239 and 241 Brunswick Street</w:t>
            </w:r>
          </w:p>
        </w:tc>
        <w:tc>
          <w:tcPr>
            <w:tcW w:w="2410" w:type="dxa"/>
            <w:tcBorders>
              <w:top w:val="nil"/>
              <w:left w:val="nil"/>
              <w:bottom w:val="single" w:sz="4" w:space="0" w:color="auto"/>
              <w:right w:val="single" w:sz="4" w:space="0" w:color="auto"/>
            </w:tcBorders>
          </w:tcPr>
          <w:p w:rsidR="0048684F" w:rsidRPr="006E407F" w:rsidRDefault="0048684F" w:rsidP="00496759">
            <w:pPr>
              <w:spacing w:before="120" w:after="120"/>
              <w:jc w:val="center"/>
            </w:pPr>
            <w:r>
              <w:t>Yarra Community Housing</w:t>
            </w:r>
          </w:p>
        </w:tc>
        <w:tc>
          <w:tcPr>
            <w:tcW w:w="2570" w:type="dxa"/>
            <w:tcBorders>
              <w:top w:val="nil"/>
              <w:left w:val="nil"/>
              <w:bottom w:val="single" w:sz="4" w:space="0" w:color="auto"/>
              <w:right w:val="single" w:sz="4" w:space="0" w:color="auto"/>
            </w:tcBorders>
          </w:tcPr>
          <w:p w:rsidR="0048684F" w:rsidRDefault="0048684F" w:rsidP="00496759">
            <w:pPr>
              <w:spacing w:before="120" w:after="120"/>
              <w:jc w:val="center"/>
            </w:pPr>
            <w:r>
              <w:t>Shop – Yarra City Council</w:t>
            </w:r>
            <w:r>
              <w:br/>
              <w:t>Housing – Yarra Community Housing</w:t>
            </w:r>
          </w:p>
        </w:tc>
      </w:tr>
      <w:tr w:rsidR="0048684F" w:rsidRPr="006E407F" w:rsidTr="00825540">
        <w:trPr>
          <w:cantSplit/>
          <w:trHeight w:val="20"/>
          <w:jc w:val="center"/>
        </w:trPr>
        <w:tc>
          <w:tcPr>
            <w:tcW w:w="1017" w:type="dxa"/>
            <w:tcBorders>
              <w:top w:val="single" w:sz="4" w:space="0" w:color="auto"/>
              <w:left w:val="single" w:sz="4" w:space="0" w:color="auto"/>
              <w:bottom w:val="single" w:sz="4" w:space="0" w:color="auto"/>
              <w:right w:val="single" w:sz="4" w:space="0" w:color="auto"/>
            </w:tcBorders>
            <w:shd w:val="clear" w:color="auto" w:fill="auto"/>
            <w:noWrap/>
            <w:hideMark/>
          </w:tcPr>
          <w:p w:rsidR="0048684F" w:rsidRPr="00825540" w:rsidRDefault="0048684F" w:rsidP="00496759">
            <w:pPr>
              <w:spacing w:before="120" w:after="120"/>
              <w:jc w:val="center"/>
              <w:rPr>
                <w:color w:val="000000" w:themeColor="text1"/>
              </w:rPr>
            </w:pPr>
            <w:r w:rsidRPr="00825540">
              <w:rPr>
                <w:color w:val="000000" w:themeColor="text1"/>
              </w:rPr>
              <w:t>B000182</w:t>
            </w:r>
          </w:p>
        </w:tc>
        <w:tc>
          <w:tcPr>
            <w:tcW w:w="3115" w:type="dxa"/>
            <w:tcBorders>
              <w:top w:val="nil"/>
              <w:left w:val="nil"/>
              <w:bottom w:val="nil"/>
              <w:right w:val="single" w:sz="4" w:space="0" w:color="auto"/>
            </w:tcBorders>
            <w:shd w:val="clear" w:color="auto" w:fill="auto"/>
            <w:hideMark/>
          </w:tcPr>
          <w:p w:rsidR="0048684F" w:rsidRPr="006E407F" w:rsidRDefault="0048684F" w:rsidP="00496759">
            <w:pPr>
              <w:spacing w:before="120" w:after="120"/>
              <w:jc w:val="left"/>
            </w:pPr>
            <w:r w:rsidRPr="006E407F">
              <w:t>North Fitzroy Library</w:t>
            </w:r>
          </w:p>
        </w:tc>
        <w:tc>
          <w:tcPr>
            <w:tcW w:w="2410" w:type="dxa"/>
            <w:tcBorders>
              <w:top w:val="nil"/>
              <w:left w:val="nil"/>
              <w:bottom w:val="nil"/>
              <w:right w:val="single" w:sz="4" w:space="0" w:color="auto"/>
            </w:tcBorders>
          </w:tcPr>
          <w:p w:rsidR="0048684F" w:rsidRPr="006E407F" w:rsidRDefault="0048684F" w:rsidP="00496759">
            <w:pPr>
              <w:spacing w:before="120" w:after="120"/>
              <w:jc w:val="center"/>
            </w:pPr>
            <w:r w:rsidRPr="006E407F">
              <w:t>Druce, Druce &amp; Fisher</w:t>
            </w:r>
          </w:p>
        </w:tc>
        <w:tc>
          <w:tcPr>
            <w:tcW w:w="2570" w:type="dxa"/>
            <w:tcBorders>
              <w:top w:val="nil"/>
              <w:left w:val="nil"/>
              <w:bottom w:val="nil"/>
              <w:right w:val="single" w:sz="4" w:space="0" w:color="auto"/>
            </w:tcBorders>
          </w:tcPr>
          <w:p w:rsidR="0048684F" w:rsidRPr="006E407F" w:rsidRDefault="0048684F" w:rsidP="00496759">
            <w:pPr>
              <w:spacing w:before="120" w:after="120"/>
              <w:jc w:val="center"/>
            </w:pPr>
            <w:r>
              <w:t>Yarra City Council</w:t>
            </w:r>
          </w:p>
        </w:tc>
      </w:tr>
      <w:tr w:rsidR="0048684F" w:rsidRPr="006E407F" w:rsidTr="00825540">
        <w:trPr>
          <w:cantSplit/>
          <w:trHeight w:val="20"/>
          <w:jc w:val="center"/>
        </w:trPr>
        <w:tc>
          <w:tcPr>
            <w:tcW w:w="1017" w:type="dxa"/>
            <w:tcBorders>
              <w:top w:val="single" w:sz="4" w:space="0" w:color="auto"/>
              <w:left w:val="single" w:sz="4" w:space="0" w:color="auto"/>
              <w:bottom w:val="single" w:sz="4" w:space="0" w:color="auto"/>
              <w:right w:val="single" w:sz="4" w:space="0" w:color="auto"/>
            </w:tcBorders>
            <w:shd w:val="clear" w:color="auto" w:fill="auto"/>
            <w:noWrap/>
            <w:hideMark/>
          </w:tcPr>
          <w:p w:rsidR="0048684F" w:rsidRPr="00825540" w:rsidRDefault="0048684F" w:rsidP="00496759">
            <w:pPr>
              <w:spacing w:before="120" w:after="120"/>
              <w:jc w:val="center"/>
              <w:rPr>
                <w:color w:val="000000" w:themeColor="text1"/>
              </w:rPr>
            </w:pPr>
            <w:r w:rsidRPr="00825540">
              <w:rPr>
                <w:color w:val="000000" w:themeColor="text1"/>
              </w:rPr>
              <w:t>B000188</w:t>
            </w:r>
          </w:p>
        </w:tc>
        <w:tc>
          <w:tcPr>
            <w:tcW w:w="3115" w:type="dxa"/>
            <w:tcBorders>
              <w:top w:val="single" w:sz="4" w:space="0" w:color="auto"/>
              <w:left w:val="nil"/>
              <w:bottom w:val="single" w:sz="4" w:space="0" w:color="auto"/>
              <w:right w:val="single" w:sz="4" w:space="0" w:color="auto"/>
            </w:tcBorders>
            <w:shd w:val="clear" w:color="auto" w:fill="auto"/>
            <w:hideMark/>
          </w:tcPr>
          <w:p w:rsidR="0048684F" w:rsidRPr="006E407F" w:rsidRDefault="0048684F" w:rsidP="00496759">
            <w:pPr>
              <w:spacing w:before="120" w:after="120"/>
              <w:jc w:val="left"/>
            </w:pPr>
            <w:r w:rsidRPr="006E407F">
              <w:t>Princes Hill Children’s Centre</w:t>
            </w:r>
          </w:p>
        </w:tc>
        <w:tc>
          <w:tcPr>
            <w:tcW w:w="2410" w:type="dxa"/>
            <w:tcBorders>
              <w:top w:val="single" w:sz="4" w:space="0" w:color="auto"/>
              <w:left w:val="nil"/>
              <w:bottom w:val="single" w:sz="4" w:space="0" w:color="auto"/>
              <w:right w:val="single" w:sz="4" w:space="0" w:color="auto"/>
            </w:tcBorders>
          </w:tcPr>
          <w:p w:rsidR="0048684F" w:rsidRPr="006E407F" w:rsidRDefault="0048684F" w:rsidP="00496759">
            <w:pPr>
              <w:spacing w:before="120" w:after="120"/>
              <w:jc w:val="center"/>
            </w:pPr>
            <w:r w:rsidRPr="006E407F">
              <w:t>Department of  Education</w:t>
            </w:r>
          </w:p>
        </w:tc>
        <w:tc>
          <w:tcPr>
            <w:tcW w:w="2570" w:type="dxa"/>
            <w:tcBorders>
              <w:top w:val="single" w:sz="4" w:space="0" w:color="auto"/>
              <w:left w:val="nil"/>
              <w:bottom w:val="single" w:sz="4" w:space="0" w:color="auto"/>
              <w:right w:val="single" w:sz="4" w:space="0" w:color="auto"/>
            </w:tcBorders>
          </w:tcPr>
          <w:p w:rsidR="0048684F" w:rsidRPr="006E407F" w:rsidRDefault="0048684F" w:rsidP="00496759">
            <w:pPr>
              <w:spacing w:before="120" w:after="120"/>
              <w:jc w:val="center"/>
            </w:pPr>
            <w:r>
              <w:t>Yarra City Council</w:t>
            </w:r>
          </w:p>
        </w:tc>
      </w:tr>
      <w:tr w:rsidR="0048684F" w:rsidRPr="006E407F" w:rsidTr="0048684F">
        <w:trPr>
          <w:cantSplit/>
          <w:trHeight w:val="20"/>
          <w:jc w:val="center"/>
        </w:trPr>
        <w:tc>
          <w:tcPr>
            <w:tcW w:w="1017" w:type="dxa"/>
            <w:tcBorders>
              <w:top w:val="single" w:sz="4" w:space="0" w:color="auto"/>
              <w:left w:val="single" w:sz="4" w:space="0" w:color="auto"/>
              <w:bottom w:val="single" w:sz="4" w:space="0" w:color="auto"/>
              <w:right w:val="single" w:sz="4" w:space="0" w:color="auto"/>
            </w:tcBorders>
            <w:shd w:val="clear" w:color="auto" w:fill="auto"/>
            <w:noWrap/>
            <w:hideMark/>
          </w:tcPr>
          <w:p w:rsidR="0048684F" w:rsidRPr="00825540" w:rsidRDefault="0048684F" w:rsidP="0048684F">
            <w:pPr>
              <w:spacing w:before="120" w:after="120"/>
              <w:jc w:val="center"/>
              <w:rPr>
                <w:color w:val="000000" w:themeColor="text1"/>
              </w:rPr>
            </w:pPr>
            <w:r w:rsidRPr="00825540">
              <w:rPr>
                <w:color w:val="000000" w:themeColor="text1"/>
              </w:rPr>
              <w:t>B000213</w:t>
            </w:r>
          </w:p>
        </w:tc>
        <w:tc>
          <w:tcPr>
            <w:tcW w:w="3115" w:type="dxa"/>
            <w:tcBorders>
              <w:top w:val="single" w:sz="4" w:space="0" w:color="auto"/>
              <w:left w:val="nil"/>
              <w:bottom w:val="single" w:sz="4" w:space="0" w:color="auto"/>
              <w:right w:val="single" w:sz="4" w:space="0" w:color="auto"/>
            </w:tcBorders>
            <w:shd w:val="clear" w:color="auto" w:fill="auto"/>
            <w:hideMark/>
          </w:tcPr>
          <w:p w:rsidR="0048684F" w:rsidRPr="006E407F" w:rsidRDefault="0048684F" w:rsidP="0048684F">
            <w:pPr>
              <w:spacing w:before="120" w:after="120"/>
              <w:jc w:val="left"/>
            </w:pPr>
            <w:r w:rsidRPr="006E407F">
              <w:t>Richmond Union Bowling Club</w:t>
            </w:r>
          </w:p>
        </w:tc>
        <w:tc>
          <w:tcPr>
            <w:tcW w:w="2410" w:type="dxa"/>
            <w:tcBorders>
              <w:top w:val="single" w:sz="4" w:space="0" w:color="auto"/>
              <w:left w:val="nil"/>
              <w:bottom w:val="single" w:sz="4" w:space="0" w:color="auto"/>
              <w:right w:val="single" w:sz="4" w:space="0" w:color="auto"/>
            </w:tcBorders>
          </w:tcPr>
          <w:p w:rsidR="0048684F" w:rsidRPr="006E407F" w:rsidRDefault="0048684F" w:rsidP="0048684F">
            <w:pPr>
              <w:spacing w:before="120" w:after="120"/>
              <w:jc w:val="center"/>
            </w:pPr>
            <w:r w:rsidRPr="006E407F">
              <w:t>Richmond Union Bowling Club</w:t>
            </w:r>
          </w:p>
        </w:tc>
        <w:tc>
          <w:tcPr>
            <w:tcW w:w="2570" w:type="dxa"/>
            <w:tcBorders>
              <w:top w:val="single" w:sz="4" w:space="0" w:color="auto"/>
              <w:left w:val="nil"/>
              <w:bottom w:val="single" w:sz="4" w:space="0" w:color="auto"/>
              <w:right w:val="single" w:sz="4" w:space="0" w:color="auto"/>
            </w:tcBorders>
          </w:tcPr>
          <w:p w:rsidR="0048684F" w:rsidRPr="006E407F" w:rsidRDefault="0048684F" w:rsidP="0048684F">
            <w:pPr>
              <w:spacing w:before="120" w:after="120"/>
              <w:jc w:val="center"/>
            </w:pPr>
            <w:r w:rsidRPr="006E407F">
              <w:t>Richmond Union Bowling Club</w:t>
            </w:r>
          </w:p>
        </w:tc>
      </w:tr>
    </w:tbl>
    <w:p w:rsidR="004B1B4F" w:rsidRPr="0091425F" w:rsidRDefault="004B1B4F" w:rsidP="00F838AF">
      <w:pPr>
        <w:pStyle w:val="Caption"/>
        <w:spacing w:before="240" w:after="240"/>
        <w:ind w:left="709"/>
        <w:jc w:val="center"/>
        <w:rPr>
          <w:rFonts w:ascii="Arial" w:hAnsi="Arial"/>
          <w:i w:val="0"/>
          <w:iCs w:val="0"/>
          <w:sz w:val="20"/>
          <w:lang w:val="en-AU"/>
        </w:rPr>
      </w:pPr>
      <w:bookmarkStart w:id="102" w:name="_Toc364945423"/>
      <w:r w:rsidRPr="0091425F">
        <w:rPr>
          <w:rFonts w:ascii="Arial" w:hAnsi="Arial"/>
          <w:i w:val="0"/>
          <w:iCs w:val="0"/>
          <w:sz w:val="20"/>
          <w:lang w:val="en-AU"/>
        </w:rPr>
        <w:t xml:space="preserve">Table </w:t>
      </w:r>
      <w:r w:rsidR="0090414C" w:rsidRPr="0091425F">
        <w:rPr>
          <w:rFonts w:ascii="Arial" w:hAnsi="Arial"/>
          <w:i w:val="0"/>
          <w:iCs w:val="0"/>
          <w:sz w:val="20"/>
          <w:lang w:val="en-AU"/>
        </w:rPr>
        <w:fldChar w:fldCharType="begin"/>
      </w:r>
      <w:r w:rsidRPr="0091425F">
        <w:rPr>
          <w:rFonts w:ascii="Arial" w:hAnsi="Arial"/>
          <w:i w:val="0"/>
          <w:iCs w:val="0"/>
          <w:sz w:val="20"/>
          <w:lang w:val="en-AU"/>
        </w:rPr>
        <w:instrText xml:space="preserve"> SEQ Table \* ARABIC </w:instrText>
      </w:r>
      <w:r w:rsidR="0090414C" w:rsidRPr="0091425F">
        <w:rPr>
          <w:rFonts w:ascii="Arial" w:hAnsi="Arial"/>
          <w:i w:val="0"/>
          <w:iCs w:val="0"/>
          <w:sz w:val="20"/>
          <w:lang w:val="en-AU"/>
        </w:rPr>
        <w:fldChar w:fldCharType="separate"/>
      </w:r>
      <w:r w:rsidR="00751CEC">
        <w:rPr>
          <w:rFonts w:ascii="Arial" w:hAnsi="Arial"/>
          <w:i w:val="0"/>
          <w:iCs w:val="0"/>
          <w:noProof/>
          <w:sz w:val="20"/>
          <w:lang w:val="en-AU"/>
        </w:rPr>
        <w:t>19</w:t>
      </w:r>
      <w:r w:rsidR="0090414C" w:rsidRPr="0091425F">
        <w:rPr>
          <w:rFonts w:ascii="Arial" w:hAnsi="Arial"/>
          <w:i w:val="0"/>
          <w:iCs w:val="0"/>
          <w:sz w:val="20"/>
          <w:lang w:val="en-AU"/>
        </w:rPr>
        <w:fldChar w:fldCharType="end"/>
      </w:r>
      <w:r w:rsidRPr="0091425F">
        <w:rPr>
          <w:rFonts w:ascii="Arial" w:hAnsi="Arial"/>
          <w:i w:val="0"/>
          <w:iCs w:val="0"/>
          <w:sz w:val="20"/>
          <w:lang w:val="en-AU"/>
        </w:rPr>
        <w:t>:  Non-Council Owned Assets, Maintained by Council</w:t>
      </w:r>
      <w:bookmarkEnd w:id="102"/>
    </w:p>
    <w:p w:rsidR="00BE1669" w:rsidRPr="00CF2212" w:rsidRDefault="00BE1669" w:rsidP="00CF2212">
      <w:pPr>
        <w:pStyle w:val="Heading2"/>
      </w:pPr>
      <w:bookmarkStart w:id="103" w:name="_Toc364945250"/>
      <w:r w:rsidRPr="00CF2212">
        <w:t>Goals and Objectives of Asset Ownership</w:t>
      </w:r>
      <w:bookmarkEnd w:id="103"/>
    </w:p>
    <w:p w:rsidR="00F73B55" w:rsidRDefault="00F73B55" w:rsidP="006E407F">
      <w:r>
        <w:t>Council</w:t>
      </w:r>
      <w:r w:rsidR="00CD1A39">
        <w:t>-</w:t>
      </w:r>
      <w:r>
        <w:t>owned buildings are provided for the provision of services to and for the community. They are provided to encourage</w:t>
      </w:r>
      <w:r w:rsidRPr="00E85DDD">
        <w:t xml:space="preserve"> public participation, </w:t>
      </w:r>
      <w:r>
        <w:t xml:space="preserve">for the </w:t>
      </w:r>
      <w:r w:rsidRPr="00E85DDD">
        <w:t xml:space="preserve">health and wellbeing of the community by providing community facilities such as recreational, aged care, youth, and disability, family and children services. </w:t>
      </w:r>
    </w:p>
    <w:p w:rsidR="006E407F" w:rsidRPr="00E85DDD" w:rsidRDefault="006E407F" w:rsidP="006E407F"/>
    <w:p w:rsidR="00F73B55" w:rsidRDefault="00F73B55" w:rsidP="006E407F">
      <w:pPr>
        <w:rPr>
          <w:rFonts w:cs="Arial"/>
        </w:rPr>
      </w:pPr>
      <w:r w:rsidRPr="00F73B55">
        <w:rPr>
          <w:rFonts w:cs="Arial"/>
        </w:rPr>
        <w:t xml:space="preserve">Buildings are also provided for </w:t>
      </w:r>
      <w:r>
        <w:rPr>
          <w:rFonts w:cs="Arial"/>
        </w:rPr>
        <w:t>the day to day operations of Council, for the administration and direct service provision by internal staff and external contractors.</w:t>
      </w:r>
    </w:p>
    <w:p w:rsidR="00F73B55" w:rsidRPr="00F73B55" w:rsidRDefault="00F73B55" w:rsidP="006E407F">
      <w:pPr>
        <w:rPr>
          <w:rFonts w:cs="Arial"/>
        </w:rPr>
      </w:pPr>
    </w:p>
    <w:p w:rsidR="009161AA" w:rsidRDefault="009161AA" w:rsidP="003E5B9F">
      <w:pPr>
        <w:pStyle w:val="StyleHeading3Heading3Char10ptBefore6pt"/>
      </w:pPr>
      <w:bookmarkStart w:id="104" w:name="_Toc364945251"/>
      <w:bookmarkStart w:id="105" w:name="_Toc346740105"/>
      <w:r>
        <w:t>Rationale for Asset Ownership</w:t>
      </w:r>
      <w:bookmarkEnd w:id="104"/>
    </w:p>
    <w:p w:rsidR="009161AA" w:rsidRDefault="009161AA" w:rsidP="006E407F">
      <w:pPr>
        <w:ind w:left="720"/>
      </w:pPr>
      <w:r w:rsidRPr="00772C14">
        <w:t>Local Government is the third tier of government and supplies core services which meet the needs of the local community. The services which are provided and how they are provided depends on the level of service required by the community. Buildings and landholdings within the City of Yarra are generally in strategic locations and have been duplicated with the joining of three former small municipalities. Many have not been purpose</w:t>
      </w:r>
      <w:r w:rsidR="00622DC3">
        <w:t>-</w:t>
      </w:r>
      <w:r w:rsidRPr="00772C14">
        <w:t>built but have been modified to meet the needs of the local community over time as a result of changing demographics, and lifestyles needs.</w:t>
      </w:r>
    </w:p>
    <w:p w:rsidR="009161AA" w:rsidRPr="005520A3" w:rsidRDefault="009161AA" w:rsidP="003E5B9F">
      <w:pPr>
        <w:pStyle w:val="StyleHeading3Heading3Char10ptBefore6pt"/>
      </w:pPr>
      <w:bookmarkStart w:id="106" w:name="_Toc364945252"/>
      <w:r w:rsidRPr="005520A3">
        <w:t xml:space="preserve">Services Supported by </w:t>
      </w:r>
      <w:r>
        <w:t>the Buildings</w:t>
      </w:r>
      <w:bookmarkEnd w:id="105"/>
      <w:bookmarkEnd w:id="106"/>
    </w:p>
    <w:p w:rsidR="009161AA" w:rsidRDefault="009161AA" w:rsidP="006E407F">
      <w:pPr>
        <w:ind w:left="720"/>
      </w:pPr>
      <w:r w:rsidRPr="00967097">
        <w:t>Services supported by Yarra</w:t>
      </w:r>
      <w:r w:rsidR="004B1B4F">
        <w:t xml:space="preserve"> City Council</w:t>
      </w:r>
      <w:r w:rsidRPr="00967097">
        <w:t xml:space="preserve"> through the provisions of buildings include, but are not limited to, the following:</w:t>
      </w:r>
    </w:p>
    <w:p w:rsidR="000E1A78" w:rsidRPr="00967097" w:rsidRDefault="000E1A78" w:rsidP="006E407F">
      <w:pPr>
        <w:ind w:left="720"/>
      </w:pPr>
    </w:p>
    <w:tbl>
      <w:tblPr>
        <w:tblW w:w="56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6"/>
        <w:gridCol w:w="2835"/>
      </w:tblGrid>
      <w:tr w:rsidR="006E407F" w:rsidRPr="006E407F" w:rsidTr="00F838AF">
        <w:trPr>
          <w:trHeight w:val="215"/>
          <w:jc w:val="center"/>
        </w:trPr>
        <w:tc>
          <w:tcPr>
            <w:tcW w:w="5621" w:type="dxa"/>
            <w:gridSpan w:val="2"/>
            <w:shd w:val="clear" w:color="auto" w:fill="95B3D7" w:themeFill="accent1" w:themeFillTint="99"/>
            <w:vAlign w:val="center"/>
          </w:tcPr>
          <w:p w:rsidR="000E1A78" w:rsidRPr="006E407F" w:rsidRDefault="000E1A78" w:rsidP="005C66FB">
            <w:pPr>
              <w:pStyle w:val="Bullet"/>
              <w:numPr>
                <w:ilvl w:val="0"/>
                <w:numId w:val="0"/>
              </w:numPr>
              <w:tabs>
                <w:tab w:val="left" w:pos="426"/>
                <w:tab w:val="left" w:pos="1134"/>
                <w:tab w:val="left" w:pos="1701"/>
              </w:tabs>
              <w:spacing w:before="60" w:after="60"/>
              <w:jc w:val="center"/>
              <w:rPr>
                <w:rFonts w:ascii="Arial" w:hAnsi="Arial" w:cs="Arial"/>
                <w:b/>
                <w:sz w:val="20"/>
              </w:rPr>
            </w:pPr>
            <w:r w:rsidRPr="006E407F">
              <w:rPr>
                <w:rFonts w:ascii="Arial" w:hAnsi="Arial" w:cs="Arial"/>
                <w:b/>
                <w:sz w:val="20"/>
              </w:rPr>
              <w:t>Services</w:t>
            </w:r>
            <w:r w:rsidR="006E407F" w:rsidRPr="006E407F">
              <w:rPr>
                <w:rFonts w:ascii="Arial" w:hAnsi="Arial" w:cs="Arial"/>
                <w:b/>
                <w:sz w:val="20"/>
              </w:rPr>
              <w:t xml:space="preserve"> S</w:t>
            </w:r>
            <w:r w:rsidRPr="006E407F">
              <w:rPr>
                <w:rFonts w:ascii="Arial" w:hAnsi="Arial" w:cs="Arial"/>
                <w:b/>
                <w:sz w:val="20"/>
              </w:rPr>
              <w:t>upported by Council Buildings</w:t>
            </w:r>
          </w:p>
        </w:tc>
      </w:tr>
      <w:tr w:rsidR="009161AA" w:rsidRPr="00967097" w:rsidTr="00F838AF">
        <w:trPr>
          <w:jc w:val="center"/>
        </w:trPr>
        <w:tc>
          <w:tcPr>
            <w:tcW w:w="2786" w:type="dxa"/>
            <w:vAlign w:val="center"/>
          </w:tcPr>
          <w:p w:rsidR="009161AA" w:rsidRPr="00967097" w:rsidRDefault="006E407F" w:rsidP="005C66FB">
            <w:pPr>
              <w:pStyle w:val="Bullet"/>
              <w:numPr>
                <w:ilvl w:val="0"/>
                <w:numId w:val="0"/>
              </w:numPr>
              <w:tabs>
                <w:tab w:val="left" w:pos="426"/>
                <w:tab w:val="left" w:pos="1134"/>
                <w:tab w:val="left" w:pos="1701"/>
              </w:tabs>
              <w:spacing w:before="60" w:after="60"/>
              <w:jc w:val="both"/>
              <w:rPr>
                <w:rFonts w:ascii="Arial" w:hAnsi="Arial" w:cs="Arial"/>
                <w:sz w:val="20"/>
              </w:rPr>
            </w:pPr>
            <w:r>
              <w:rPr>
                <w:rFonts w:ascii="Arial" w:hAnsi="Arial" w:cs="Arial"/>
                <w:sz w:val="20"/>
              </w:rPr>
              <w:t>Children and</w:t>
            </w:r>
            <w:r w:rsidR="009161AA" w:rsidRPr="00967097">
              <w:rPr>
                <w:rFonts w:ascii="Arial" w:hAnsi="Arial" w:cs="Arial"/>
                <w:sz w:val="20"/>
              </w:rPr>
              <w:t xml:space="preserve"> Family Support</w:t>
            </w:r>
          </w:p>
        </w:tc>
        <w:tc>
          <w:tcPr>
            <w:tcW w:w="2835" w:type="dxa"/>
            <w:vAlign w:val="center"/>
          </w:tcPr>
          <w:p w:rsidR="009161AA" w:rsidRPr="00967097" w:rsidRDefault="006E407F" w:rsidP="005C66FB">
            <w:pPr>
              <w:pStyle w:val="Bullet"/>
              <w:numPr>
                <w:ilvl w:val="0"/>
                <w:numId w:val="0"/>
              </w:numPr>
              <w:tabs>
                <w:tab w:val="left" w:pos="426"/>
                <w:tab w:val="left" w:pos="1134"/>
                <w:tab w:val="left" w:pos="1701"/>
              </w:tabs>
              <w:spacing w:before="60" w:after="60"/>
              <w:jc w:val="both"/>
              <w:rPr>
                <w:rFonts w:ascii="Arial" w:hAnsi="Arial" w:cs="Arial"/>
                <w:sz w:val="20"/>
              </w:rPr>
            </w:pPr>
            <w:r>
              <w:rPr>
                <w:rFonts w:ascii="Arial" w:hAnsi="Arial" w:cs="Arial"/>
                <w:sz w:val="20"/>
              </w:rPr>
              <w:t>Residential and</w:t>
            </w:r>
            <w:r w:rsidR="009161AA" w:rsidRPr="00967097">
              <w:rPr>
                <w:rFonts w:ascii="Arial" w:hAnsi="Arial" w:cs="Arial"/>
                <w:sz w:val="20"/>
              </w:rPr>
              <w:t xml:space="preserve"> Respite Care</w:t>
            </w:r>
          </w:p>
        </w:tc>
      </w:tr>
      <w:tr w:rsidR="009161AA" w:rsidRPr="00967097" w:rsidTr="00F838AF">
        <w:trPr>
          <w:jc w:val="center"/>
        </w:trPr>
        <w:tc>
          <w:tcPr>
            <w:tcW w:w="2786" w:type="dxa"/>
            <w:vAlign w:val="center"/>
          </w:tcPr>
          <w:p w:rsidR="009161AA" w:rsidRPr="00967097" w:rsidRDefault="009161AA" w:rsidP="005C66FB">
            <w:pPr>
              <w:pStyle w:val="Bullet"/>
              <w:numPr>
                <w:ilvl w:val="0"/>
                <w:numId w:val="0"/>
              </w:numPr>
              <w:tabs>
                <w:tab w:val="left" w:pos="426"/>
                <w:tab w:val="left" w:pos="1134"/>
                <w:tab w:val="left" w:pos="1701"/>
              </w:tabs>
              <w:spacing w:before="60" w:after="60"/>
              <w:jc w:val="both"/>
              <w:rPr>
                <w:rFonts w:ascii="Arial" w:hAnsi="Arial" w:cs="Arial"/>
                <w:sz w:val="20"/>
              </w:rPr>
            </w:pPr>
            <w:r w:rsidRPr="00967097">
              <w:rPr>
                <w:rFonts w:ascii="Arial" w:hAnsi="Arial" w:cs="Arial"/>
                <w:sz w:val="20"/>
              </w:rPr>
              <w:t>Community Meeting Space</w:t>
            </w:r>
          </w:p>
        </w:tc>
        <w:tc>
          <w:tcPr>
            <w:tcW w:w="2835" w:type="dxa"/>
            <w:vAlign w:val="center"/>
          </w:tcPr>
          <w:p w:rsidR="009161AA" w:rsidRPr="00967097" w:rsidRDefault="009161AA" w:rsidP="005C66FB">
            <w:pPr>
              <w:pStyle w:val="Bullet"/>
              <w:numPr>
                <w:ilvl w:val="0"/>
                <w:numId w:val="0"/>
              </w:numPr>
              <w:tabs>
                <w:tab w:val="left" w:pos="426"/>
                <w:tab w:val="left" w:pos="1134"/>
                <w:tab w:val="left" w:pos="1701"/>
              </w:tabs>
              <w:spacing w:before="60" w:after="60"/>
              <w:jc w:val="both"/>
              <w:rPr>
                <w:rFonts w:ascii="Arial" w:hAnsi="Arial" w:cs="Arial"/>
                <w:sz w:val="20"/>
              </w:rPr>
            </w:pPr>
            <w:r w:rsidRPr="00967097">
              <w:rPr>
                <w:rFonts w:ascii="Arial" w:hAnsi="Arial" w:cs="Arial"/>
                <w:sz w:val="20"/>
              </w:rPr>
              <w:t xml:space="preserve">Social Activity Support </w:t>
            </w:r>
          </w:p>
        </w:tc>
      </w:tr>
      <w:tr w:rsidR="009161AA" w:rsidRPr="00967097" w:rsidTr="00F838AF">
        <w:trPr>
          <w:jc w:val="center"/>
        </w:trPr>
        <w:tc>
          <w:tcPr>
            <w:tcW w:w="2786" w:type="dxa"/>
            <w:vAlign w:val="center"/>
          </w:tcPr>
          <w:p w:rsidR="009161AA" w:rsidRPr="00967097" w:rsidRDefault="009161AA" w:rsidP="005C66FB">
            <w:pPr>
              <w:pStyle w:val="Bullet"/>
              <w:numPr>
                <w:ilvl w:val="0"/>
                <w:numId w:val="0"/>
              </w:numPr>
              <w:tabs>
                <w:tab w:val="left" w:pos="426"/>
                <w:tab w:val="left" w:pos="1134"/>
                <w:tab w:val="left" w:pos="1701"/>
              </w:tabs>
              <w:spacing w:before="60" w:after="60"/>
              <w:jc w:val="both"/>
              <w:rPr>
                <w:rFonts w:ascii="Arial" w:hAnsi="Arial" w:cs="Arial"/>
                <w:sz w:val="20"/>
              </w:rPr>
            </w:pPr>
            <w:r w:rsidRPr="00967097">
              <w:rPr>
                <w:rFonts w:ascii="Arial" w:hAnsi="Arial" w:cs="Arial"/>
                <w:sz w:val="20"/>
              </w:rPr>
              <w:t>Community Education</w:t>
            </w:r>
          </w:p>
        </w:tc>
        <w:tc>
          <w:tcPr>
            <w:tcW w:w="2835" w:type="dxa"/>
            <w:vAlign w:val="center"/>
          </w:tcPr>
          <w:p w:rsidR="009161AA" w:rsidRPr="00967097" w:rsidRDefault="009161AA" w:rsidP="005C66FB">
            <w:pPr>
              <w:pStyle w:val="Bullet"/>
              <w:numPr>
                <w:ilvl w:val="0"/>
                <w:numId w:val="0"/>
              </w:numPr>
              <w:tabs>
                <w:tab w:val="left" w:pos="426"/>
                <w:tab w:val="left" w:pos="1134"/>
                <w:tab w:val="left" w:pos="1701"/>
              </w:tabs>
              <w:spacing w:before="60" w:after="60"/>
              <w:jc w:val="both"/>
              <w:rPr>
                <w:rFonts w:ascii="Arial" w:hAnsi="Arial" w:cs="Arial"/>
                <w:sz w:val="20"/>
              </w:rPr>
            </w:pPr>
            <w:r w:rsidRPr="00967097">
              <w:rPr>
                <w:rFonts w:ascii="Arial" w:hAnsi="Arial" w:cs="Arial"/>
                <w:sz w:val="20"/>
              </w:rPr>
              <w:t>Structured Sport</w:t>
            </w:r>
          </w:p>
        </w:tc>
      </w:tr>
      <w:tr w:rsidR="009161AA" w:rsidRPr="00967097" w:rsidTr="00F838AF">
        <w:trPr>
          <w:jc w:val="center"/>
        </w:trPr>
        <w:tc>
          <w:tcPr>
            <w:tcW w:w="2786" w:type="dxa"/>
            <w:vAlign w:val="center"/>
          </w:tcPr>
          <w:p w:rsidR="009161AA" w:rsidRPr="00967097" w:rsidRDefault="009161AA" w:rsidP="005C66FB">
            <w:pPr>
              <w:pStyle w:val="Bullet"/>
              <w:numPr>
                <w:ilvl w:val="0"/>
                <w:numId w:val="0"/>
              </w:numPr>
              <w:tabs>
                <w:tab w:val="left" w:pos="426"/>
                <w:tab w:val="left" w:pos="1134"/>
                <w:tab w:val="left" w:pos="1701"/>
              </w:tabs>
              <w:spacing w:before="60" w:after="60"/>
              <w:jc w:val="both"/>
              <w:rPr>
                <w:rFonts w:ascii="Arial" w:hAnsi="Arial" w:cs="Arial"/>
                <w:sz w:val="20"/>
              </w:rPr>
            </w:pPr>
            <w:r w:rsidRPr="00967097">
              <w:rPr>
                <w:rFonts w:ascii="Arial" w:hAnsi="Arial" w:cs="Arial"/>
                <w:sz w:val="20"/>
              </w:rPr>
              <w:t>Food Distribution</w:t>
            </w:r>
          </w:p>
        </w:tc>
        <w:tc>
          <w:tcPr>
            <w:tcW w:w="2835" w:type="dxa"/>
            <w:vAlign w:val="center"/>
          </w:tcPr>
          <w:p w:rsidR="009161AA" w:rsidRPr="00967097" w:rsidRDefault="009161AA" w:rsidP="005C66FB">
            <w:pPr>
              <w:pStyle w:val="Bullet"/>
              <w:numPr>
                <w:ilvl w:val="0"/>
                <w:numId w:val="0"/>
              </w:numPr>
              <w:tabs>
                <w:tab w:val="left" w:pos="426"/>
                <w:tab w:val="left" w:pos="1134"/>
                <w:tab w:val="left" w:pos="1701"/>
              </w:tabs>
              <w:spacing w:before="60" w:after="60"/>
              <w:jc w:val="both"/>
              <w:rPr>
                <w:rFonts w:ascii="Arial" w:hAnsi="Arial" w:cs="Arial"/>
                <w:sz w:val="20"/>
              </w:rPr>
            </w:pPr>
            <w:r w:rsidRPr="00967097">
              <w:rPr>
                <w:rFonts w:ascii="Arial" w:hAnsi="Arial" w:cs="Arial"/>
                <w:sz w:val="20"/>
              </w:rPr>
              <w:t>Unstructured Recreation</w:t>
            </w:r>
          </w:p>
        </w:tc>
      </w:tr>
      <w:tr w:rsidR="009161AA" w:rsidRPr="00967097" w:rsidTr="00F838AF">
        <w:trPr>
          <w:jc w:val="center"/>
        </w:trPr>
        <w:tc>
          <w:tcPr>
            <w:tcW w:w="2786" w:type="dxa"/>
            <w:vAlign w:val="center"/>
          </w:tcPr>
          <w:p w:rsidR="009161AA" w:rsidRPr="00967097" w:rsidRDefault="009161AA" w:rsidP="005C66FB">
            <w:pPr>
              <w:pStyle w:val="Bullet"/>
              <w:numPr>
                <w:ilvl w:val="0"/>
                <w:numId w:val="0"/>
              </w:numPr>
              <w:tabs>
                <w:tab w:val="left" w:pos="426"/>
                <w:tab w:val="left" w:pos="1134"/>
                <w:tab w:val="left" w:pos="1701"/>
              </w:tabs>
              <w:spacing w:before="60" w:after="60"/>
              <w:jc w:val="both"/>
              <w:rPr>
                <w:rFonts w:ascii="Arial" w:hAnsi="Arial" w:cs="Arial"/>
                <w:sz w:val="20"/>
              </w:rPr>
            </w:pPr>
            <w:r w:rsidRPr="00967097">
              <w:rPr>
                <w:rFonts w:ascii="Arial" w:hAnsi="Arial" w:cs="Arial"/>
                <w:sz w:val="20"/>
              </w:rPr>
              <w:t>Heritage Protection</w:t>
            </w:r>
          </w:p>
        </w:tc>
        <w:tc>
          <w:tcPr>
            <w:tcW w:w="2835" w:type="dxa"/>
            <w:vAlign w:val="center"/>
          </w:tcPr>
          <w:p w:rsidR="009161AA" w:rsidRPr="00967097" w:rsidRDefault="009161AA" w:rsidP="005C66FB">
            <w:pPr>
              <w:pStyle w:val="Bullet"/>
              <w:numPr>
                <w:ilvl w:val="0"/>
                <w:numId w:val="0"/>
              </w:numPr>
              <w:tabs>
                <w:tab w:val="left" w:pos="426"/>
                <w:tab w:val="left" w:pos="1134"/>
                <w:tab w:val="left" w:pos="1701"/>
              </w:tabs>
              <w:spacing w:before="60" w:after="60"/>
              <w:jc w:val="both"/>
              <w:rPr>
                <w:rFonts w:ascii="Arial" w:hAnsi="Arial" w:cs="Arial"/>
                <w:sz w:val="20"/>
              </w:rPr>
            </w:pPr>
            <w:r w:rsidRPr="00967097">
              <w:rPr>
                <w:rFonts w:ascii="Arial" w:hAnsi="Arial" w:cs="Arial"/>
                <w:sz w:val="20"/>
              </w:rPr>
              <w:t>Youth Support</w:t>
            </w:r>
          </w:p>
        </w:tc>
      </w:tr>
      <w:tr w:rsidR="009161AA" w:rsidRPr="00967097" w:rsidTr="00F838AF">
        <w:trPr>
          <w:jc w:val="center"/>
        </w:trPr>
        <w:tc>
          <w:tcPr>
            <w:tcW w:w="2786" w:type="dxa"/>
            <w:vAlign w:val="center"/>
          </w:tcPr>
          <w:p w:rsidR="009161AA" w:rsidRPr="00967097" w:rsidRDefault="009161AA" w:rsidP="005C66FB">
            <w:pPr>
              <w:pStyle w:val="Bullet"/>
              <w:numPr>
                <w:ilvl w:val="0"/>
                <w:numId w:val="0"/>
              </w:numPr>
              <w:tabs>
                <w:tab w:val="left" w:pos="426"/>
                <w:tab w:val="left" w:pos="1134"/>
                <w:tab w:val="left" w:pos="1701"/>
              </w:tabs>
              <w:spacing w:before="60" w:after="60"/>
              <w:jc w:val="both"/>
              <w:rPr>
                <w:rFonts w:ascii="Arial" w:hAnsi="Arial" w:cs="Arial"/>
                <w:sz w:val="20"/>
              </w:rPr>
            </w:pPr>
            <w:r w:rsidRPr="00967097">
              <w:rPr>
                <w:rFonts w:ascii="Arial" w:hAnsi="Arial" w:cs="Arial"/>
                <w:sz w:val="20"/>
              </w:rPr>
              <w:t>Performing and Visual Arts</w:t>
            </w:r>
          </w:p>
        </w:tc>
        <w:tc>
          <w:tcPr>
            <w:tcW w:w="2835" w:type="dxa"/>
            <w:vAlign w:val="center"/>
          </w:tcPr>
          <w:p w:rsidR="009161AA" w:rsidRPr="00967097" w:rsidRDefault="009161AA" w:rsidP="005C66FB">
            <w:pPr>
              <w:pStyle w:val="Bullet"/>
              <w:numPr>
                <w:ilvl w:val="0"/>
                <w:numId w:val="0"/>
              </w:numPr>
              <w:tabs>
                <w:tab w:val="left" w:pos="426"/>
                <w:tab w:val="left" w:pos="1134"/>
                <w:tab w:val="left" w:pos="1701"/>
              </w:tabs>
              <w:spacing w:before="60" w:after="60"/>
              <w:jc w:val="both"/>
              <w:rPr>
                <w:rFonts w:ascii="Arial" w:hAnsi="Arial" w:cs="Arial"/>
                <w:sz w:val="20"/>
              </w:rPr>
            </w:pPr>
            <w:r w:rsidRPr="00967097">
              <w:rPr>
                <w:rFonts w:ascii="Arial" w:hAnsi="Arial" w:cs="Arial"/>
                <w:sz w:val="20"/>
              </w:rPr>
              <w:t>Council Operations Support</w:t>
            </w:r>
          </w:p>
        </w:tc>
      </w:tr>
    </w:tbl>
    <w:p w:rsidR="004B1B4F" w:rsidRPr="0091425F" w:rsidRDefault="004B1B4F" w:rsidP="00F838AF">
      <w:pPr>
        <w:pStyle w:val="Caption"/>
        <w:spacing w:before="240" w:after="240"/>
        <w:ind w:left="567"/>
        <w:jc w:val="center"/>
        <w:rPr>
          <w:rFonts w:ascii="Arial" w:hAnsi="Arial"/>
          <w:i w:val="0"/>
          <w:iCs w:val="0"/>
          <w:sz w:val="20"/>
          <w:lang w:val="en-AU"/>
        </w:rPr>
      </w:pPr>
      <w:bookmarkStart w:id="107" w:name="_Toc364945424"/>
      <w:r w:rsidRPr="0091425F">
        <w:rPr>
          <w:rFonts w:ascii="Arial" w:hAnsi="Arial"/>
          <w:i w:val="0"/>
          <w:iCs w:val="0"/>
          <w:sz w:val="20"/>
          <w:lang w:val="en-AU"/>
        </w:rPr>
        <w:t xml:space="preserve">Table </w:t>
      </w:r>
      <w:r w:rsidR="0090414C" w:rsidRPr="0091425F">
        <w:rPr>
          <w:rFonts w:ascii="Arial" w:hAnsi="Arial"/>
          <w:i w:val="0"/>
          <w:iCs w:val="0"/>
          <w:sz w:val="20"/>
          <w:lang w:val="en-AU"/>
        </w:rPr>
        <w:fldChar w:fldCharType="begin"/>
      </w:r>
      <w:r w:rsidRPr="0091425F">
        <w:rPr>
          <w:rFonts w:ascii="Arial" w:hAnsi="Arial"/>
          <w:i w:val="0"/>
          <w:iCs w:val="0"/>
          <w:sz w:val="20"/>
          <w:lang w:val="en-AU"/>
        </w:rPr>
        <w:instrText xml:space="preserve"> SEQ Table \* ARABIC </w:instrText>
      </w:r>
      <w:r w:rsidR="0090414C" w:rsidRPr="0091425F">
        <w:rPr>
          <w:rFonts w:ascii="Arial" w:hAnsi="Arial"/>
          <w:i w:val="0"/>
          <w:iCs w:val="0"/>
          <w:sz w:val="20"/>
          <w:lang w:val="en-AU"/>
        </w:rPr>
        <w:fldChar w:fldCharType="separate"/>
      </w:r>
      <w:r w:rsidR="00751CEC">
        <w:rPr>
          <w:rFonts w:ascii="Arial" w:hAnsi="Arial"/>
          <w:i w:val="0"/>
          <w:iCs w:val="0"/>
          <w:noProof/>
          <w:sz w:val="20"/>
          <w:lang w:val="en-AU"/>
        </w:rPr>
        <w:t>20</w:t>
      </w:r>
      <w:r w:rsidR="0090414C" w:rsidRPr="0091425F">
        <w:rPr>
          <w:rFonts w:ascii="Arial" w:hAnsi="Arial"/>
          <w:i w:val="0"/>
          <w:iCs w:val="0"/>
          <w:sz w:val="20"/>
          <w:lang w:val="en-AU"/>
        </w:rPr>
        <w:fldChar w:fldCharType="end"/>
      </w:r>
      <w:r w:rsidRPr="0091425F">
        <w:rPr>
          <w:rFonts w:ascii="Arial" w:hAnsi="Arial"/>
          <w:i w:val="0"/>
          <w:iCs w:val="0"/>
          <w:sz w:val="20"/>
          <w:lang w:val="en-AU"/>
        </w:rPr>
        <w:t>:  Services Provided by Council</w:t>
      </w:r>
      <w:bookmarkEnd w:id="107"/>
    </w:p>
    <w:p w:rsidR="009161AA" w:rsidRPr="00D168D3" w:rsidRDefault="009161AA" w:rsidP="003E5B9F">
      <w:pPr>
        <w:pStyle w:val="StyleHeading3Heading3Char10ptBefore6pt"/>
      </w:pPr>
      <w:bookmarkStart w:id="108" w:name="_Toc346740107"/>
      <w:bookmarkStart w:id="109" w:name="_Toc364945253"/>
      <w:r w:rsidRPr="00D168D3">
        <w:t>Existing Property Occupancy Agreements</w:t>
      </w:r>
      <w:bookmarkEnd w:id="108"/>
      <w:bookmarkEnd w:id="109"/>
      <w:r w:rsidRPr="00D168D3">
        <w:t xml:space="preserve"> </w:t>
      </w:r>
    </w:p>
    <w:p w:rsidR="009161AA" w:rsidRDefault="009161AA" w:rsidP="003B5AE2">
      <w:pPr>
        <w:ind w:left="720"/>
      </w:pPr>
      <w:r w:rsidRPr="00772C14">
        <w:t xml:space="preserve">Council currently provides owned and managed buildings to third party occupants for commercial, recreational and community use formalising these occupancies through a variety of site specific occupancy agreements, such as: </w:t>
      </w:r>
    </w:p>
    <w:p w:rsidR="006E407F" w:rsidRPr="00772C14" w:rsidRDefault="006E407F" w:rsidP="003B5AE2">
      <w:pPr>
        <w:ind w:left="720"/>
      </w:pPr>
    </w:p>
    <w:p w:rsidR="009161AA" w:rsidRPr="006E407F" w:rsidRDefault="009161AA" w:rsidP="008348B5">
      <w:pPr>
        <w:pStyle w:val="ListParagraph"/>
        <w:numPr>
          <w:ilvl w:val="0"/>
          <w:numId w:val="56"/>
        </w:numPr>
        <w:rPr>
          <w:rFonts w:ascii="Arial" w:hAnsi="Arial" w:cs="Arial"/>
          <w:sz w:val="20"/>
        </w:rPr>
      </w:pPr>
      <w:r w:rsidRPr="006E407F">
        <w:rPr>
          <w:rFonts w:ascii="Arial" w:hAnsi="Arial" w:cs="Arial"/>
          <w:sz w:val="20"/>
        </w:rPr>
        <w:t>Leases;</w:t>
      </w:r>
    </w:p>
    <w:p w:rsidR="009161AA" w:rsidRPr="006E407F" w:rsidRDefault="009161AA" w:rsidP="008348B5">
      <w:pPr>
        <w:pStyle w:val="ListParagraph"/>
        <w:numPr>
          <w:ilvl w:val="0"/>
          <w:numId w:val="56"/>
        </w:numPr>
        <w:rPr>
          <w:rFonts w:ascii="Arial" w:hAnsi="Arial" w:cs="Arial"/>
          <w:sz w:val="20"/>
        </w:rPr>
      </w:pPr>
      <w:r w:rsidRPr="006E407F">
        <w:rPr>
          <w:rFonts w:ascii="Arial" w:hAnsi="Arial" w:cs="Arial"/>
          <w:sz w:val="20"/>
        </w:rPr>
        <w:t>Licences;</w:t>
      </w:r>
    </w:p>
    <w:p w:rsidR="009161AA" w:rsidRPr="006E407F" w:rsidRDefault="009161AA" w:rsidP="008348B5">
      <w:pPr>
        <w:pStyle w:val="ListParagraph"/>
        <w:numPr>
          <w:ilvl w:val="0"/>
          <w:numId w:val="56"/>
        </w:numPr>
        <w:rPr>
          <w:rFonts w:ascii="Arial" w:hAnsi="Arial" w:cs="Arial"/>
          <w:sz w:val="20"/>
        </w:rPr>
      </w:pPr>
      <w:r w:rsidRPr="006E407F">
        <w:rPr>
          <w:rFonts w:ascii="Arial" w:hAnsi="Arial" w:cs="Arial"/>
          <w:sz w:val="20"/>
        </w:rPr>
        <w:t>Seasonal agreements;</w:t>
      </w:r>
    </w:p>
    <w:p w:rsidR="009161AA" w:rsidRPr="006E407F" w:rsidRDefault="009161AA" w:rsidP="008348B5">
      <w:pPr>
        <w:pStyle w:val="ListParagraph"/>
        <w:numPr>
          <w:ilvl w:val="0"/>
          <w:numId w:val="56"/>
        </w:numPr>
        <w:rPr>
          <w:rFonts w:ascii="Arial" w:hAnsi="Arial" w:cs="Arial"/>
          <w:sz w:val="20"/>
        </w:rPr>
      </w:pPr>
      <w:r w:rsidRPr="006E407F">
        <w:rPr>
          <w:rFonts w:ascii="Arial" w:hAnsi="Arial" w:cs="Arial"/>
          <w:sz w:val="20"/>
        </w:rPr>
        <w:t>Management agreements; and</w:t>
      </w:r>
    </w:p>
    <w:p w:rsidR="009161AA" w:rsidRPr="006E407F" w:rsidRDefault="009161AA" w:rsidP="008348B5">
      <w:pPr>
        <w:pStyle w:val="ListParagraph"/>
        <w:numPr>
          <w:ilvl w:val="0"/>
          <w:numId w:val="56"/>
        </w:numPr>
        <w:rPr>
          <w:rFonts w:ascii="Arial" w:hAnsi="Arial" w:cs="Arial"/>
          <w:sz w:val="20"/>
        </w:rPr>
      </w:pPr>
      <w:r w:rsidRPr="006E407F">
        <w:rPr>
          <w:rFonts w:ascii="Arial" w:hAnsi="Arial" w:cs="Arial"/>
          <w:sz w:val="20"/>
        </w:rPr>
        <w:t>Casual hire agreements etc.</w:t>
      </w:r>
    </w:p>
    <w:p w:rsidR="00724EA9" w:rsidRPr="00772C14" w:rsidRDefault="00724EA9" w:rsidP="003B5AE2">
      <w:pPr>
        <w:ind w:left="720"/>
        <w:rPr>
          <w:rFonts w:cs="Arial"/>
        </w:rPr>
      </w:pPr>
    </w:p>
    <w:p w:rsidR="009161AA" w:rsidRDefault="009161AA" w:rsidP="003B5AE2">
      <w:pPr>
        <w:ind w:left="720"/>
      </w:pPr>
      <w:r w:rsidRPr="00772C14">
        <w:t>With respect to the above agreements the responsibilities of an occupier include the general maintenance of the building with reference to the applicable legislation. However it should be noted that each agreement is specific to the situation and as such responsibilities are defined on a case by case basis.</w:t>
      </w:r>
    </w:p>
    <w:p w:rsidR="006E407F" w:rsidRPr="00772C14" w:rsidRDefault="006E407F" w:rsidP="003B5AE2">
      <w:pPr>
        <w:ind w:left="720"/>
      </w:pPr>
    </w:p>
    <w:p w:rsidR="009161AA" w:rsidRPr="00772C14" w:rsidRDefault="009161AA" w:rsidP="003B5AE2">
      <w:pPr>
        <w:ind w:left="720"/>
      </w:pPr>
      <w:r w:rsidRPr="00772C14">
        <w:t>Additionally, Council als</w:t>
      </w:r>
      <w:r w:rsidR="00724EA9">
        <w:t xml:space="preserve">o leases a number of buildings </w:t>
      </w:r>
      <w:r w:rsidRPr="00772C14">
        <w:t xml:space="preserve">which are either used by our internal services or provided to third party occupants </w:t>
      </w:r>
      <w:r w:rsidR="00724EA9">
        <w:t>in much the same manner as discussed</w:t>
      </w:r>
      <w:r w:rsidRPr="00772C14">
        <w:t xml:space="preserve"> above</w:t>
      </w:r>
      <w:r w:rsidR="00724EA9">
        <w:t>.</w:t>
      </w:r>
    </w:p>
    <w:p w:rsidR="009161AA" w:rsidRPr="00772C14" w:rsidRDefault="009161AA" w:rsidP="003B5AE2">
      <w:pPr>
        <w:ind w:left="720"/>
      </w:pPr>
    </w:p>
    <w:p w:rsidR="009161AA" w:rsidRPr="006E407F" w:rsidRDefault="009161AA" w:rsidP="003B5AE2">
      <w:pPr>
        <w:ind w:left="720"/>
        <w:rPr>
          <w:u w:val="single"/>
        </w:rPr>
      </w:pPr>
      <w:r w:rsidRPr="006E407F">
        <w:rPr>
          <w:u w:val="single"/>
        </w:rPr>
        <w:t>Council Buildings Leased or Licensed to Others</w:t>
      </w:r>
    </w:p>
    <w:p w:rsidR="006E407F" w:rsidRDefault="006E407F" w:rsidP="003B5AE2">
      <w:pPr>
        <w:ind w:left="720"/>
        <w:rPr>
          <w:highlight w:val="yellow"/>
        </w:rPr>
      </w:pPr>
    </w:p>
    <w:p w:rsidR="009161AA" w:rsidRDefault="009161AA" w:rsidP="003B5AE2">
      <w:pPr>
        <w:ind w:left="720"/>
      </w:pPr>
      <w:r w:rsidRPr="00BE6259">
        <w:t>Appendix A lists</w:t>
      </w:r>
      <w:r w:rsidRPr="00772C14">
        <w:t xml:space="preserve"> Council controlled buildings with formal occupancy agreements</w:t>
      </w:r>
      <w:r w:rsidR="00F25676">
        <w:t>,</w:t>
      </w:r>
      <w:r w:rsidRPr="00772C14">
        <w:t xml:space="preserve"> full or part leases and licences to others.</w:t>
      </w:r>
    </w:p>
    <w:p w:rsidR="006E407F" w:rsidRPr="00772C14" w:rsidRDefault="006E407F" w:rsidP="003B5AE2">
      <w:pPr>
        <w:ind w:left="720"/>
      </w:pPr>
    </w:p>
    <w:p w:rsidR="009161AA" w:rsidRDefault="009161AA" w:rsidP="003B5AE2">
      <w:pPr>
        <w:ind w:left="720"/>
      </w:pPr>
      <w:r w:rsidRPr="00772C14">
        <w:t xml:space="preserve">Each of the buildings has an individual occupancy agreement, in the form of a lease, licence, seasonal agreement or management agreement that outlines the responsibilities of both the </w:t>
      </w:r>
      <w:r w:rsidR="00724EA9">
        <w:t>o</w:t>
      </w:r>
      <w:r w:rsidRPr="00772C14">
        <w:t xml:space="preserve">ccupier and the lessor of the building. </w:t>
      </w:r>
    </w:p>
    <w:p w:rsidR="003B5AE2" w:rsidRPr="00772C14" w:rsidRDefault="003B5AE2" w:rsidP="003B5AE2">
      <w:pPr>
        <w:ind w:left="720"/>
      </w:pPr>
    </w:p>
    <w:p w:rsidR="009161AA" w:rsidRDefault="009161AA" w:rsidP="003B5AE2">
      <w:pPr>
        <w:ind w:left="720"/>
      </w:pPr>
      <w:r w:rsidRPr="00772C14">
        <w:t>The Coordinator</w:t>
      </w:r>
      <w:r w:rsidR="00724EA9">
        <w:t>,</w:t>
      </w:r>
      <w:r w:rsidRPr="00772C14">
        <w:t xml:space="preserve"> Council Property is responsible for ensuring that the maintenance of the building accords with the occupancy arrangement.</w:t>
      </w:r>
    </w:p>
    <w:p w:rsidR="009161AA" w:rsidRDefault="009161AA" w:rsidP="003B5AE2">
      <w:pPr>
        <w:ind w:left="720"/>
      </w:pPr>
    </w:p>
    <w:p w:rsidR="009161AA" w:rsidRPr="003B5AE2" w:rsidRDefault="009161AA" w:rsidP="003B5AE2">
      <w:pPr>
        <w:ind w:left="720"/>
        <w:rPr>
          <w:u w:val="single"/>
        </w:rPr>
      </w:pPr>
      <w:r w:rsidRPr="003B5AE2">
        <w:rPr>
          <w:u w:val="single"/>
        </w:rPr>
        <w:t>Buildings Owned by Others and leased to Council</w:t>
      </w:r>
    </w:p>
    <w:p w:rsidR="003B5AE2" w:rsidRDefault="003B5AE2" w:rsidP="003B5AE2">
      <w:pPr>
        <w:ind w:left="720"/>
      </w:pPr>
    </w:p>
    <w:p w:rsidR="009161AA" w:rsidRDefault="009161AA" w:rsidP="003B5AE2">
      <w:pPr>
        <w:ind w:left="720"/>
      </w:pPr>
      <w:r w:rsidRPr="00772C14">
        <w:t>There are examples of buildings that Council lease f</w:t>
      </w:r>
      <w:r w:rsidR="00724EA9">
        <w:t>rom third party agencies. In these</w:t>
      </w:r>
      <w:r w:rsidRPr="00772C14">
        <w:t xml:space="preserve"> instance</w:t>
      </w:r>
      <w:r w:rsidR="00724EA9">
        <w:t>s</w:t>
      </w:r>
      <w:r w:rsidRPr="00772C14">
        <w:t xml:space="preserve"> Council takes on the role of the tenant as per the lease agreements.</w:t>
      </w:r>
    </w:p>
    <w:p w:rsidR="00E416BC" w:rsidRDefault="00E416BC" w:rsidP="003B5AE2">
      <w:pPr>
        <w:ind w:left="720"/>
      </w:pPr>
    </w:p>
    <w:p w:rsidR="009161AA" w:rsidRPr="003B5AE2" w:rsidRDefault="009161AA" w:rsidP="003B5AE2">
      <w:pPr>
        <w:ind w:left="720"/>
        <w:rPr>
          <w:u w:val="single"/>
        </w:rPr>
      </w:pPr>
      <w:r w:rsidRPr="003B5AE2">
        <w:rPr>
          <w:u w:val="single"/>
        </w:rPr>
        <w:t>Buildings Built by Occupiers on Council Managed Crown Reserve</w:t>
      </w:r>
    </w:p>
    <w:p w:rsidR="003B5AE2" w:rsidRDefault="003B5AE2" w:rsidP="003B5AE2">
      <w:pPr>
        <w:ind w:left="720"/>
      </w:pPr>
    </w:p>
    <w:p w:rsidR="009161AA" w:rsidRDefault="009161AA" w:rsidP="003B5AE2">
      <w:pPr>
        <w:ind w:left="720"/>
      </w:pPr>
      <w:r w:rsidRPr="00772C14">
        <w:t>There are instances when an occupier may construct a building in support of the existing facility e.g</w:t>
      </w:r>
      <w:r w:rsidR="00724EA9">
        <w:t xml:space="preserve">. pavilion at a bowling club.  </w:t>
      </w:r>
      <w:r w:rsidRPr="00772C14">
        <w:t>Council acts as the lessor in the</w:t>
      </w:r>
      <w:r w:rsidR="00724EA9">
        <w:t>se</w:t>
      </w:r>
      <w:r w:rsidRPr="00772C14">
        <w:t xml:space="preserve"> lease agreements.</w:t>
      </w:r>
    </w:p>
    <w:p w:rsidR="00E96F28" w:rsidRPr="00CD7D4F" w:rsidRDefault="00237E04" w:rsidP="003E5B9F">
      <w:pPr>
        <w:pStyle w:val="StyleHeading3Heading3Char10ptBefore6pt"/>
      </w:pPr>
      <w:bookmarkStart w:id="110" w:name="_Toc287547008"/>
      <w:bookmarkStart w:id="111" w:name="_Toc287547939"/>
      <w:bookmarkStart w:id="112" w:name="_Toc287864997"/>
      <w:bookmarkStart w:id="113" w:name="_Toc287981302"/>
      <w:bookmarkStart w:id="114" w:name="_Toc287986173"/>
      <w:bookmarkStart w:id="115" w:name="_Toc287988961"/>
      <w:bookmarkStart w:id="116" w:name="_Toc364945254"/>
      <w:bookmarkEnd w:id="110"/>
      <w:bookmarkEnd w:id="111"/>
      <w:bookmarkEnd w:id="112"/>
      <w:bookmarkEnd w:id="113"/>
      <w:bookmarkEnd w:id="114"/>
      <w:bookmarkEnd w:id="115"/>
      <w:r>
        <w:t>B</w:t>
      </w:r>
      <w:r w:rsidR="00C8003E">
        <w:t>AMP Framework</w:t>
      </w:r>
      <w:bookmarkEnd w:id="116"/>
      <w:r w:rsidR="00E96F28" w:rsidRPr="00CD7D4F">
        <w:t xml:space="preserve"> </w:t>
      </w:r>
    </w:p>
    <w:p w:rsidR="00D106DA" w:rsidRDefault="00D106DA" w:rsidP="003B5AE2">
      <w:pPr>
        <w:ind w:left="720"/>
      </w:pPr>
      <w:r w:rsidRPr="00D847E6">
        <w:t xml:space="preserve">The </w:t>
      </w:r>
      <w:r w:rsidR="000E710D">
        <w:t>B</w:t>
      </w:r>
      <w:r w:rsidRPr="00D847E6">
        <w:t xml:space="preserve">AMP incorporates current management, financial and technical practices. It is used as a tool to ensure service delivery meets community needs at the most economical cost. The plan is also intended to protect the environmental and cultural values of the </w:t>
      </w:r>
      <w:r w:rsidR="000E710D">
        <w:t xml:space="preserve">building </w:t>
      </w:r>
      <w:r w:rsidRPr="00D847E6">
        <w:t>assets.</w:t>
      </w:r>
    </w:p>
    <w:p w:rsidR="003B5AE2" w:rsidRPr="00D847E6" w:rsidRDefault="003B5AE2" w:rsidP="003B5AE2">
      <w:pPr>
        <w:ind w:left="720"/>
      </w:pPr>
    </w:p>
    <w:p w:rsidR="00D106DA" w:rsidRDefault="000E710D" w:rsidP="003B5AE2">
      <w:pPr>
        <w:ind w:left="720"/>
      </w:pPr>
      <w:r>
        <w:t>The BAMP</w:t>
      </w:r>
      <w:r w:rsidR="00D106DA" w:rsidRPr="00D847E6">
        <w:t xml:space="preserve"> document</w:t>
      </w:r>
      <w:r>
        <w:t>s strategic goals</w:t>
      </w:r>
      <w:r w:rsidR="00D106DA" w:rsidRPr="00D847E6">
        <w:t xml:space="preserve"> into specific objectives relevant to the </w:t>
      </w:r>
      <w:r>
        <w:t>building</w:t>
      </w:r>
      <w:r w:rsidR="00D106DA" w:rsidRPr="00D847E6">
        <w:t xml:space="preserve"> asset</w:t>
      </w:r>
      <w:r>
        <w:t xml:space="preserve">s. The BAMP </w:t>
      </w:r>
      <w:r w:rsidR="00724EA9">
        <w:t>is further supported by a Buildings Management</w:t>
      </w:r>
      <w:r w:rsidR="00D106DA" w:rsidRPr="00D847E6">
        <w:t xml:space="preserve"> Operational Plan</w:t>
      </w:r>
      <w:r w:rsidR="00724EA9">
        <w:t xml:space="preserve"> (BMOP)</w:t>
      </w:r>
      <w:r w:rsidR="00D106DA" w:rsidRPr="00D847E6">
        <w:t xml:space="preserve">. The </w:t>
      </w:r>
      <w:r w:rsidR="00724EA9">
        <w:t>BMOP</w:t>
      </w:r>
      <w:r w:rsidR="00D106DA" w:rsidRPr="00D847E6">
        <w:t xml:space="preserve"> is a tactical plan that documents the day to day procedures, activities, budgets and resources that are required to achieve strategic goals through meeting defined levels of service.</w:t>
      </w:r>
      <w:r w:rsidR="00FD77CC">
        <w:t xml:space="preserve"> Both plans are in accordance with the requirements of the International Infrastructure Management Manual (IIMM) and the federal governments </w:t>
      </w:r>
      <w:r w:rsidR="00FD77CC" w:rsidRPr="00D847E6">
        <w:t>National Asset Management Assessment Framework for Local Government</w:t>
      </w:r>
      <w:r w:rsidR="00FD77CC">
        <w:t xml:space="preserve"> (NAMAF).</w:t>
      </w:r>
    </w:p>
    <w:p w:rsidR="00FD77CC" w:rsidRPr="00D847E6" w:rsidRDefault="00FD77CC" w:rsidP="003B5AE2">
      <w:pPr>
        <w:ind w:left="720"/>
      </w:pPr>
    </w:p>
    <w:p w:rsidR="00D106DA" w:rsidRDefault="00FD77CC" w:rsidP="003B5AE2">
      <w:pPr>
        <w:ind w:left="720"/>
      </w:pPr>
      <w:r>
        <w:t>A requirement of the IIMM is that sections within Council</w:t>
      </w:r>
      <w:r w:rsidR="002D4917">
        <w:t>’</w:t>
      </w:r>
      <w:r>
        <w:t xml:space="preserve">s </w:t>
      </w:r>
      <w:r w:rsidR="00D106DA" w:rsidRPr="00D847E6">
        <w:t>AMP</w:t>
      </w:r>
      <w:r>
        <w:t>s</w:t>
      </w:r>
      <w:r w:rsidR="00D106DA" w:rsidRPr="00D847E6">
        <w:t xml:space="preserve"> provide commentary on Asset Portfolio, the Strategic Environment, Levels of Service, Demand, Risk </w:t>
      </w:r>
      <w:r w:rsidR="00927AFA">
        <w:t>and</w:t>
      </w:r>
      <w:r w:rsidR="00D106DA" w:rsidRPr="00D847E6">
        <w:t xml:space="preserve"> Lifecycle Management, Financial Summary and Plan Improvement and Monitoring.</w:t>
      </w:r>
      <w:r>
        <w:t xml:space="preserve"> Whilst the </w:t>
      </w:r>
      <w:r w:rsidR="00D106DA" w:rsidRPr="00D847E6">
        <w:t>N</w:t>
      </w:r>
      <w:r w:rsidR="00724EA9">
        <w:t xml:space="preserve">AMAF </w:t>
      </w:r>
      <w:r>
        <w:t xml:space="preserve">has </w:t>
      </w:r>
      <w:r w:rsidR="00D106DA" w:rsidRPr="00D847E6">
        <w:t>been developed to</w:t>
      </w:r>
      <w:r w:rsidR="00724EA9">
        <w:t>:</w:t>
      </w:r>
    </w:p>
    <w:p w:rsidR="00724EA9" w:rsidRPr="00D847E6" w:rsidRDefault="00724EA9" w:rsidP="003B5AE2">
      <w:pPr>
        <w:ind w:left="720"/>
        <w:rPr>
          <w:rFonts w:eastAsia="Calibri"/>
        </w:rPr>
      </w:pPr>
    </w:p>
    <w:p w:rsidR="00D106DA" w:rsidRPr="003B5AE2" w:rsidRDefault="00D106DA" w:rsidP="008348B5">
      <w:pPr>
        <w:pStyle w:val="ListParagraph"/>
        <w:numPr>
          <w:ilvl w:val="0"/>
          <w:numId w:val="57"/>
        </w:numPr>
        <w:rPr>
          <w:rFonts w:ascii="Arial" w:hAnsi="Arial" w:cs="Arial"/>
          <w:sz w:val="20"/>
        </w:rPr>
      </w:pPr>
      <w:r w:rsidRPr="003B5AE2">
        <w:rPr>
          <w:rFonts w:ascii="Arial" w:hAnsi="Arial" w:cs="Arial"/>
          <w:sz w:val="20"/>
        </w:rPr>
        <w:t>Support improved asset and financial management by local governments ac</w:t>
      </w:r>
      <w:r w:rsidR="0024611A">
        <w:rPr>
          <w:rFonts w:ascii="Arial" w:hAnsi="Arial" w:cs="Arial"/>
          <w:sz w:val="20"/>
        </w:rPr>
        <w:t>ross Australia;</w:t>
      </w:r>
    </w:p>
    <w:p w:rsidR="00D106DA" w:rsidRPr="003B5AE2" w:rsidRDefault="00D106DA" w:rsidP="008348B5">
      <w:pPr>
        <w:pStyle w:val="ListParagraph"/>
        <w:numPr>
          <w:ilvl w:val="0"/>
          <w:numId w:val="57"/>
        </w:numPr>
        <w:rPr>
          <w:rFonts w:ascii="Arial" w:hAnsi="Arial" w:cs="Arial"/>
          <w:sz w:val="20"/>
        </w:rPr>
      </w:pPr>
      <w:r w:rsidRPr="003B5AE2">
        <w:rPr>
          <w:rFonts w:ascii="Arial" w:hAnsi="Arial" w:cs="Arial"/>
          <w:sz w:val="20"/>
        </w:rPr>
        <w:t>Assist in highlighting key financial issues wh</w:t>
      </w:r>
      <w:r w:rsidR="0024611A">
        <w:rPr>
          <w:rFonts w:ascii="Arial" w:hAnsi="Arial" w:cs="Arial"/>
          <w:sz w:val="20"/>
        </w:rPr>
        <w:t>ere a common approach is needed;</w:t>
      </w:r>
    </w:p>
    <w:p w:rsidR="00D106DA" w:rsidRPr="003B5AE2" w:rsidRDefault="00D106DA" w:rsidP="008348B5">
      <w:pPr>
        <w:pStyle w:val="ListParagraph"/>
        <w:numPr>
          <w:ilvl w:val="0"/>
          <w:numId w:val="57"/>
        </w:numPr>
        <w:rPr>
          <w:rFonts w:ascii="Arial" w:hAnsi="Arial" w:cs="Arial"/>
          <w:sz w:val="20"/>
        </w:rPr>
      </w:pPr>
      <w:r w:rsidRPr="003B5AE2">
        <w:rPr>
          <w:rFonts w:ascii="Arial" w:hAnsi="Arial" w:cs="Arial"/>
          <w:sz w:val="20"/>
        </w:rPr>
        <w:t>Promote prudent, transparent and accountable manage</w:t>
      </w:r>
      <w:r w:rsidR="0024611A">
        <w:rPr>
          <w:rFonts w:ascii="Arial" w:hAnsi="Arial" w:cs="Arial"/>
          <w:sz w:val="20"/>
        </w:rPr>
        <w:t>ment of local government assets;</w:t>
      </w:r>
    </w:p>
    <w:p w:rsidR="00D106DA" w:rsidRDefault="00D106DA" w:rsidP="008348B5">
      <w:pPr>
        <w:pStyle w:val="ListParagraph"/>
        <w:numPr>
          <w:ilvl w:val="0"/>
          <w:numId w:val="57"/>
        </w:numPr>
        <w:rPr>
          <w:rFonts w:ascii="Arial" w:hAnsi="Arial" w:cs="Arial"/>
          <w:sz w:val="20"/>
        </w:rPr>
      </w:pPr>
      <w:r w:rsidRPr="003B5AE2">
        <w:rPr>
          <w:rFonts w:ascii="Arial" w:hAnsi="Arial" w:cs="Arial"/>
          <w:sz w:val="20"/>
        </w:rPr>
        <w:t xml:space="preserve">Introduce a strategic approach to meet </w:t>
      </w:r>
      <w:r w:rsidR="0024611A">
        <w:rPr>
          <w:rFonts w:ascii="Arial" w:hAnsi="Arial" w:cs="Arial"/>
          <w:sz w:val="20"/>
        </w:rPr>
        <w:t>current and emerging challenges; and</w:t>
      </w:r>
    </w:p>
    <w:p w:rsidR="003B5AE2" w:rsidRPr="0024611A" w:rsidRDefault="00D106DA" w:rsidP="0024611A">
      <w:pPr>
        <w:pStyle w:val="ListParagraph"/>
        <w:numPr>
          <w:ilvl w:val="0"/>
          <w:numId w:val="57"/>
        </w:numPr>
        <w:rPr>
          <w:rFonts w:ascii="Arial" w:hAnsi="Arial" w:cs="Arial"/>
          <w:sz w:val="20"/>
        </w:rPr>
      </w:pPr>
      <w:r w:rsidRPr="0024611A">
        <w:rPr>
          <w:rFonts w:ascii="Arial" w:hAnsi="Arial" w:cs="Arial"/>
          <w:sz w:val="20"/>
        </w:rPr>
        <w:t>Ensure a national debate on local government can occur in an informed basis.</w:t>
      </w:r>
    </w:p>
    <w:p w:rsidR="003B5AE2" w:rsidRPr="003B5AE2" w:rsidRDefault="003B5AE2" w:rsidP="003B5AE2">
      <w:pPr>
        <w:pStyle w:val="ListParagraph"/>
        <w:ind w:left="1080"/>
      </w:pPr>
    </w:p>
    <w:p w:rsidR="005C66FB" w:rsidRDefault="0022210A" w:rsidP="0022210A">
      <w:pPr>
        <w:pStyle w:val="Caption"/>
        <w:spacing w:before="240" w:after="240"/>
        <w:ind w:left="0"/>
        <w:jc w:val="center"/>
      </w:pPr>
      <w:r>
        <w:object w:dxaOrig="11531" w:dyaOrig="8394">
          <v:shape id="_x0000_i1027" type="#_x0000_t75" style="width:469.5pt;height:279.75pt" o:ole="">
            <v:imagedata r:id="rId31" o:title=""/>
          </v:shape>
          <o:OLEObject Type="Embed" ProgID="Visio.Drawing.11" ShapeID="_x0000_i1027" DrawAspect="Content" ObjectID="_1607929757" r:id="rId32"/>
        </w:object>
      </w:r>
    </w:p>
    <w:p w:rsidR="00704BA9" w:rsidRPr="0024611A" w:rsidRDefault="005C66FB" w:rsidP="00704BA9">
      <w:pPr>
        <w:pStyle w:val="Caption"/>
        <w:spacing w:before="240" w:after="240"/>
        <w:ind w:left="720"/>
        <w:jc w:val="center"/>
        <w:rPr>
          <w:rFonts w:ascii="Arial" w:hAnsi="Arial"/>
          <w:i w:val="0"/>
          <w:iCs w:val="0"/>
          <w:sz w:val="20"/>
          <w:lang w:val="en-AU"/>
        </w:rPr>
      </w:pPr>
      <w:bookmarkStart w:id="117" w:name="_Toc364945378"/>
      <w:r w:rsidRPr="0024611A">
        <w:rPr>
          <w:rFonts w:ascii="Arial" w:hAnsi="Arial"/>
          <w:i w:val="0"/>
          <w:iCs w:val="0"/>
          <w:sz w:val="20"/>
          <w:lang w:val="en-AU"/>
        </w:rPr>
        <w:t xml:space="preserve">Figure </w:t>
      </w:r>
      <w:r w:rsidR="0090414C" w:rsidRPr="0024611A">
        <w:rPr>
          <w:rFonts w:ascii="Arial" w:hAnsi="Arial"/>
          <w:i w:val="0"/>
          <w:iCs w:val="0"/>
          <w:sz w:val="20"/>
          <w:lang w:val="en-AU"/>
        </w:rPr>
        <w:fldChar w:fldCharType="begin"/>
      </w:r>
      <w:r w:rsidRPr="0024611A">
        <w:rPr>
          <w:rFonts w:ascii="Arial" w:hAnsi="Arial"/>
          <w:i w:val="0"/>
          <w:iCs w:val="0"/>
          <w:sz w:val="20"/>
          <w:lang w:val="en-AU"/>
        </w:rPr>
        <w:instrText xml:space="preserve"> SEQ Figure \* ARABIC </w:instrText>
      </w:r>
      <w:r w:rsidR="0090414C" w:rsidRPr="0024611A">
        <w:rPr>
          <w:rFonts w:ascii="Arial" w:hAnsi="Arial"/>
          <w:i w:val="0"/>
          <w:iCs w:val="0"/>
          <w:sz w:val="20"/>
          <w:lang w:val="en-AU"/>
        </w:rPr>
        <w:fldChar w:fldCharType="separate"/>
      </w:r>
      <w:r w:rsidR="00751CEC">
        <w:rPr>
          <w:rFonts w:ascii="Arial" w:hAnsi="Arial"/>
          <w:i w:val="0"/>
          <w:iCs w:val="0"/>
          <w:noProof/>
          <w:sz w:val="20"/>
          <w:lang w:val="en-AU"/>
        </w:rPr>
        <w:t>14</w:t>
      </w:r>
      <w:r w:rsidR="0090414C" w:rsidRPr="0024611A">
        <w:rPr>
          <w:rFonts w:ascii="Arial" w:hAnsi="Arial"/>
          <w:i w:val="0"/>
          <w:iCs w:val="0"/>
          <w:sz w:val="20"/>
          <w:lang w:val="en-AU"/>
        </w:rPr>
        <w:fldChar w:fldCharType="end"/>
      </w:r>
      <w:r w:rsidR="00704BA9" w:rsidRPr="0024611A">
        <w:rPr>
          <w:rFonts w:ascii="Arial" w:hAnsi="Arial"/>
          <w:i w:val="0"/>
          <w:iCs w:val="0"/>
          <w:sz w:val="20"/>
          <w:lang w:val="en-AU"/>
        </w:rPr>
        <w:t>:  Building Asset Management Plan Framework</w:t>
      </w:r>
      <w:bookmarkEnd w:id="117"/>
    </w:p>
    <w:p w:rsidR="000E1A78" w:rsidRPr="00CD7D4F" w:rsidRDefault="004920A0" w:rsidP="003E5B9F">
      <w:pPr>
        <w:pStyle w:val="StyleHeading3Heading3Char10ptBefore6pt"/>
      </w:pPr>
      <w:bookmarkStart w:id="118" w:name="_Toc364945255"/>
      <w:r>
        <w:t xml:space="preserve">AMP Development </w:t>
      </w:r>
      <w:r w:rsidR="000E1A78">
        <w:t>and Review Process</w:t>
      </w:r>
      <w:bookmarkEnd w:id="118"/>
    </w:p>
    <w:p w:rsidR="000E1A78" w:rsidRDefault="000E1A78" w:rsidP="00341C26">
      <w:pPr>
        <w:ind w:left="720"/>
      </w:pPr>
      <w:r>
        <w:t xml:space="preserve">Each year the BAMP is reviewed and financial data updated including the funding Gap analysis. Every four years the plan has a comprehensive review to consider strategies maintenance schedules intervention and service levels following an external audit and fit for purpose audit which are planned to occur on a four yearly cycle. </w:t>
      </w:r>
    </w:p>
    <w:p w:rsidR="007171A1" w:rsidRPr="00C70C58" w:rsidRDefault="007171A1" w:rsidP="00D42C2E">
      <w:pPr>
        <w:pStyle w:val="Heading2"/>
        <w:keepLines/>
      </w:pPr>
      <w:bookmarkStart w:id="119" w:name="_Toc364945256"/>
      <w:r w:rsidRPr="00C70C58">
        <w:t>Organisation Structure</w:t>
      </w:r>
      <w:bookmarkEnd w:id="119"/>
    </w:p>
    <w:p w:rsidR="00A56239" w:rsidRDefault="00D048BF" w:rsidP="00D42C2E">
      <w:pPr>
        <w:keepNext/>
        <w:keepLines/>
        <w:jc w:val="center"/>
      </w:pPr>
      <w:r w:rsidRPr="00CD2E5D">
        <w:object w:dxaOrig="13567" w:dyaOrig="7861">
          <v:shape id="_x0000_i1028" type="#_x0000_t75" style="width:438pt;height:249.75pt" o:ole="">
            <v:imagedata r:id="rId33" o:title=""/>
          </v:shape>
          <o:OLEObject Type="Embed" ProgID="Visio.Drawing.11" ShapeID="_x0000_i1028" DrawAspect="Content" ObjectID="_1607929758" r:id="rId34"/>
        </w:object>
      </w:r>
    </w:p>
    <w:p w:rsidR="00704BA9" w:rsidRPr="0024611A" w:rsidRDefault="005C66FB" w:rsidP="00704BA9">
      <w:pPr>
        <w:pStyle w:val="Caption"/>
        <w:spacing w:before="240" w:after="240"/>
        <w:ind w:left="720"/>
        <w:jc w:val="center"/>
        <w:rPr>
          <w:rFonts w:ascii="Arial" w:hAnsi="Arial"/>
          <w:i w:val="0"/>
          <w:iCs w:val="0"/>
          <w:sz w:val="20"/>
          <w:lang w:val="en-AU"/>
        </w:rPr>
      </w:pPr>
      <w:bookmarkStart w:id="120" w:name="_Toc364945379"/>
      <w:r w:rsidRPr="0024611A">
        <w:rPr>
          <w:rFonts w:ascii="Arial" w:hAnsi="Arial"/>
          <w:i w:val="0"/>
          <w:iCs w:val="0"/>
          <w:sz w:val="20"/>
          <w:lang w:val="en-AU"/>
        </w:rPr>
        <w:t xml:space="preserve">Figure </w:t>
      </w:r>
      <w:r w:rsidR="0090414C" w:rsidRPr="0024611A">
        <w:rPr>
          <w:rFonts w:ascii="Arial" w:hAnsi="Arial"/>
          <w:i w:val="0"/>
          <w:iCs w:val="0"/>
          <w:sz w:val="20"/>
          <w:lang w:val="en-AU"/>
        </w:rPr>
        <w:fldChar w:fldCharType="begin"/>
      </w:r>
      <w:r w:rsidRPr="0024611A">
        <w:rPr>
          <w:rFonts w:ascii="Arial" w:hAnsi="Arial"/>
          <w:i w:val="0"/>
          <w:iCs w:val="0"/>
          <w:sz w:val="20"/>
          <w:lang w:val="en-AU"/>
        </w:rPr>
        <w:instrText xml:space="preserve"> SEQ Figure \* ARABIC </w:instrText>
      </w:r>
      <w:r w:rsidR="0090414C" w:rsidRPr="0024611A">
        <w:rPr>
          <w:rFonts w:ascii="Arial" w:hAnsi="Arial"/>
          <w:i w:val="0"/>
          <w:iCs w:val="0"/>
          <w:sz w:val="20"/>
          <w:lang w:val="en-AU"/>
        </w:rPr>
        <w:fldChar w:fldCharType="separate"/>
      </w:r>
      <w:r w:rsidR="00751CEC">
        <w:rPr>
          <w:rFonts w:ascii="Arial" w:hAnsi="Arial"/>
          <w:i w:val="0"/>
          <w:iCs w:val="0"/>
          <w:noProof/>
          <w:sz w:val="20"/>
          <w:lang w:val="en-AU"/>
        </w:rPr>
        <w:t>15</w:t>
      </w:r>
      <w:r w:rsidR="0090414C" w:rsidRPr="0024611A">
        <w:rPr>
          <w:rFonts w:ascii="Arial" w:hAnsi="Arial"/>
          <w:i w:val="0"/>
          <w:iCs w:val="0"/>
          <w:sz w:val="20"/>
          <w:lang w:val="en-AU"/>
        </w:rPr>
        <w:fldChar w:fldCharType="end"/>
      </w:r>
      <w:r w:rsidR="00704BA9" w:rsidRPr="0024611A">
        <w:rPr>
          <w:rFonts w:ascii="Arial" w:hAnsi="Arial"/>
          <w:i w:val="0"/>
          <w:iCs w:val="0"/>
          <w:sz w:val="20"/>
          <w:lang w:val="en-AU"/>
        </w:rPr>
        <w:t>:  Organisation Structure</w:t>
      </w:r>
      <w:bookmarkEnd w:id="120"/>
    </w:p>
    <w:p w:rsidR="00A56239" w:rsidRPr="006D6E45" w:rsidRDefault="00BD4AED" w:rsidP="00D42C2E">
      <w:pPr>
        <w:keepNext/>
        <w:keepLines/>
      </w:pPr>
      <w:r w:rsidRPr="006D6E45">
        <w:t>The organisational structure above highlights that the Buildings and Property</w:t>
      </w:r>
      <w:r w:rsidR="005C38DE">
        <w:t xml:space="preserve"> Branch</w:t>
      </w:r>
      <w:r w:rsidRPr="006D6E45">
        <w:t xml:space="preserve"> have the primary role in the management of Council</w:t>
      </w:r>
      <w:r w:rsidR="002D4917">
        <w:t>’</w:t>
      </w:r>
      <w:r w:rsidRPr="006D6E45">
        <w:t xml:space="preserve">s buildings supported by the Sustainable Asset Management Branch. </w:t>
      </w:r>
      <w:r w:rsidR="00E86716" w:rsidRPr="006D6E45">
        <w:t>T</w:t>
      </w:r>
      <w:r w:rsidRPr="006D6E45">
        <w:t>he key service providers</w:t>
      </w:r>
      <w:r w:rsidR="00E86716" w:rsidRPr="006D6E45">
        <w:t xml:space="preserve"> also highlighted provide services out of Council</w:t>
      </w:r>
      <w:r w:rsidR="002E2578">
        <w:t>-</w:t>
      </w:r>
      <w:r w:rsidR="00E86716" w:rsidRPr="006D6E45">
        <w:t>owned or managed building assets.</w:t>
      </w:r>
      <w:r w:rsidR="002579B6">
        <w:t xml:space="preserve"> The Sustainability and Strategic Transport Branch provide a support role in advising on environmentally sustainable design and energy saving initiatives. The Strategic Procurement Branch supports procurement for operational and capital works projects and Information Systems support the TechnologyOne databases. The Corporate and Financial Services Division provides support for the establishment of the Long Term Financial Plan.</w:t>
      </w:r>
      <w:r w:rsidR="00E86716" w:rsidRPr="006D6E45">
        <w:t xml:space="preserve"> All other branches and divisions within Council operate from Council facilities and therefore also have an interest in how these facilities are managed.</w:t>
      </w:r>
    </w:p>
    <w:p w:rsidR="00A56239" w:rsidRDefault="00A56239" w:rsidP="002F775C"/>
    <w:p w:rsidR="00BD4AED" w:rsidRDefault="00E86716" w:rsidP="00F575D3">
      <w:pPr>
        <w:keepNext/>
        <w:keepLines/>
      </w:pPr>
      <w:r>
        <w:t xml:space="preserve">The </w:t>
      </w:r>
      <w:r w:rsidR="00C6605E">
        <w:t>M</w:t>
      </w:r>
      <w:r w:rsidR="002B60C6">
        <w:t>anager,</w:t>
      </w:r>
      <w:r>
        <w:t xml:space="preserve"> Buildings </w:t>
      </w:r>
      <w:r w:rsidR="00C631B9">
        <w:t>and</w:t>
      </w:r>
      <w:r>
        <w:t xml:space="preserve"> Property has the responsibility for ensuring that all Council</w:t>
      </w:r>
      <w:r w:rsidR="00FB6D48">
        <w:t>-</w:t>
      </w:r>
      <w:r>
        <w:t>owned and managed assets are inspected, serviced and maintained to the appropriate standards and in accordance with legislative requirements as well as Council policy and strategies.</w:t>
      </w:r>
    </w:p>
    <w:p w:rsidR="000873C4" w:rsidRDefault="000873C4" w:rsidP="000873C4">
      <w:pPr>
        <w:spacing w:before="120"/>
        <w:jc w:val="center"/>
      </w:pPr>
      <w:r>
        <w:object w:dxaOrig="13150" w:dyaOrig="8349">
          <v:shape id="_x0000_i1029" type="#_x0000_t75" style="width:433.5pt;height:275.25pt" o:ole="">
            <v:imagedata r:id="rId35" o:title=""/>
          </v:shape>
          <o:OLEObject Type="Embed" ProgID="Visio.Drawing.11" ShapeID="_x0000_i1029" DrawAspect="Content" ObjectID="_1607929759" r:id="rId36"/>
        </w:object>
      </w:r>
    </w:p>
    <w:p w:rsidR="00DF1D3F" w:rsidRPr="000873C4" w:rsidRDefault="005419D7" w:rsidP="005419D7">
      <w:pPr>
        <w:pStyle w:val="Caption"/>
        <w:spacing w:before="240" w:after="240"/>
        <w:ind w:left="720"/>
        <w:jc w:val="center"/>
        <w:rPr>
          <w:b w:val="0"/>
        </w:rPr>
      </w:pPr>
      <w:bookmarkStart w:id="121" w:name="_Toc364945380"/>
      <w:r w:rsidRPr="0024611A">
        <w:rPr>
          <w:rFonts w:ascii="Arial" w:hAnsi="Arial"/>
          <w:i w:val="0"/>
          <w:iCs w:val="0"/>
          <w:sz w:val="20"/>
          <w:lang w:val="en-AU"/>
        </w:rPr>
        <w:t xml:space="preserve">Figure </w:t>
      </w:r>
      <w:r w:rsidRPr="0024611A">
        <w:rPr>
          <w:rFonts w:ascii="Arial" w:hAnsi="Arial"/>
          <w:i w:val="0"/>
          <w:iCs w:val="0"/>
          <w:sz w:val="20"/>
          <w:lang w:val="en-AU"/>
        </w:rPr>
        <w:fldChar w:fldCharType="begin"/>
      </w:r>
      <w:r w:rsidRPr="0024611A">
        <w:rPr>
          <w:rFonts w:ascii="Arial" w:hAnsi="Arial"/>
          <w:i w:val="0"/>
          <w:iCs w:val="0"/>
          <w:sz w:val="20"/>
          <w:lang w:val="en-AU"/>
        </w:rPr>
        <w:instrText xml:space="preserve"> SEQ Figure \* ARABIC </w:instrText>
      </w:r>
      <w:r w:rsidRPr="0024611A">
        <w:rPr>
          <w:rFonts w:ascii="Arial" w:hAnsi="Arial"/>
          <w:i w:val="0"/>
          <w:iCs w:val="0"/>
          <w:sz w:val="20"/>
          <w:lang w:val="en-AU"/>
        </w:rPr>
        <w:fldChar w:fldCharType="separate"/>
      </w:r>
      <w:r w:rsidR="00751CEC">
        <w:rPr>
          <w:rFonts w:ascii="Arial" w:hAnsi="Arial"/>
          <w:i w:val="0"/>
          <w:iCs w:val="0"/>
          <w:noProof/>
          <w:sz w:val="20"/>
          <w:lang w:val="en-AU"/>
        </w:rPr>
        <w:t>16</w:t>
      </w:r>
      <w:r w:rsidRPr="0024611A">
        <w:rPr>
          <w:rFonts w:ascii="Arial" w:hAnsi="Arial"/>
          <w:i w:val="0"/>
          <w:iCs w:val="0"/>
          <w:sz w:val="20"/>
          <w:lang w:val="en-AU"/>
        </w:rPr>
        <w:fldChar w:fldCharType="end"/>
      </w:r>
      <w:r w:rsidRPr="0024611A">
        <w:rPr>
          <w:rFonts w:ascii="Arial" w:hAnsi="Arial"/>
          <w:i w:val="0"/>
          <w:iCs w:val="0"/>
          <w:sz w:val="20"/>
          <w:lang w:val="en-AU"/>
        </w:rPr>
        <w:t xml:space="preserve">:  </w:t>
      </w:r>
      <w:r>
        <w:rPr>
          <w:rFonts w:ascii="Arial" w:hAnsi="Arial"/>
          <w:i w:val="0"/>
          <w:iCs w:val="0"/>
          <w:sz w:val="20"/>
          <w:lang w:val="en-AU"/>
        </w:rPr>
        <w:t>Buildings and Property Branch Structure</w:t>
      </w:r>
      <w:bookmarkEnd w:id="121"/>
    </w:p>
    <w:p w:rsidR="00DF1D3F" w:rsidRDefault="00DF1D3F" w:rsidP="00341C26">
      <w:pPr>
        <w:sectPr w:rsidR="00DF1D3F" w:rsidSect="00704BA9">
          <w:type w:val="oddPage"/>
          <w:pgSz w:w="11906" w:h="16838" w:code="9"/>
          <w:pgMar w:top="1418" w:right="1418" w:bottom="851" w:left="1418" w:header="284" w:footer="312" w:gutter="0"/>
          <w:cols w:space="720"/>
          <w:docGrid w:linePitch="360"/>
        </w:sectPr>
      </w:pPr>
    </w:p>
    <w:p w:rsidR="00E96F28" w:rsidRPr="00E062A4" w:rsidRDefault="00B4348A" w:rsidP="002F775C">
      <w:pPr>
        <w:pStyle w:val="Heading1"/>
      </w:pPr>
      <w:bookmarkStart w:id="122" w:name="_Toc287981306"/>
      <w:bookmarkStart w:id="123" w:name="_Toc287986177"/>
      <w:bookmarkStart w:id="124" w:name="_Toc287988965"/>
      <w:bookmarkStart w:id="125" w:name="_Toc287547012"/>
      <w:bookmarkStart w:id="126" w:name="_Toc287547943"/>
      <w:bookmarkStart w:id="127" w:name="_Toc287865001"/>
      <w:bookmarkStart w:id="128" w:name="_Toc287981307"/>
      <w:bookmarkStart w:id="129" w:name="_Toc287986178"/>
      <w:bookmarkStart w:id="130" w:name="_Toc287988966"/>
      <w:bookmarkStart w:id="131" w:name="_Toc287547013"/>
      <w:bookmarkStart w:id="132" w:name="_Toc287547944"/>
      <w:bookmarkStart w:id="133" w:name="_Toc287865002"/>
      <w:bookmarkStart w:id="134" w:name="_Toc287981308"/>
      <w:bookmarkStart w:id="135" w:name="_Toc287986179"/>
      <w:bookmarkStart w:id="136" w:name="_Toc287988967"/>
      <w:bookmarkStart w:id="137" w:name="_Toc287547014"/>
      <w:bookmarkStart w:id="138" w:name="_Toc287547945"/>
      <w:bookmarkStart w:id="139" w:name="_Toc287865003"/>
      <w:bookmarkStart w:id="140" w:name="_Toc287981309"/>
      <w:bookmarkStart w:id="141" w:name="_Toc287986180"/>
      <w:bookmarkStart w:id="142" w:name="_Toc287988968"/>
      <w:bookmarkStart w:id="143" w:name="_Toc287547015"/>
      <w:bookmarkStart w:id="144" w:name="_Toc287547946"/>
      <w:bookmarkStart w:id="145" w:name="_Toc287865004"/>
      <w:bookmarkStart w:id="146" w:name="_Toc287981310"/>
      <w:bookmarkStart w:id="147" w:name="_Toc287986181"/>
      <w:bookmarkStart w:id="148" w:name="_Toc287988969"/>
      <w:bookmarkStart w:id="149" w:name="_Toc287547016"/>
      <w:bookmarkStart w:id="150" w:name="_Toc287547947"/>
      <w:bookmarkStart w:id="151" w:name="_Toc287865005"/>
      <w:bookmarkStart w:id="152" w:name="_Toc287981311"/>
      <w:bookmarkStart w:id="153" w:name="_Toc287986182"/>
      <w:bookmarkStart w:id="154" w:name="_Toc287988970"/>
      <w:bookmarkStart w:id="155" w:name="_Toc287547019"/>
      <w:bookmarkStart w:id="156" w:name="_Toc287547950"/>
      <w:bookmarkStart w:id="157" w:name="_Toc287865008"/>
      <w:bookmarkStart w:id="158" w:name="_Toc287981314"/>
      <w:bookmarkStart w:id="159" w:name="_Toc287986185"/>
      <w:bookmarkStart w:id="160" w:name="_Toc287988973"/>
      <w:bookmarkStart w:id="161" w:name="_Toc287547020"/>
      <w:bookmarkStart w:id="162" w:name="_Toc287547951"/>
      <w:bookmarkStart w:id="163" w:name="_Toc287865009"/>
      <w:bookmarkStart w:id="164" w:name="_Toc287981315"/>
      <w:bookmarkStart w:id="165" w:name="_Toc287986186"/>
      <w:bookmarkStart w:id="166" w:name="_Toc287988974"/>
      <w:bookmarkStart w:id="167" w:name="_Toc287547021"/>
      <w:bookmarkStart w:id="168" w:name="_Toc287547952"/>
      <w:bookmarkStart w:id="169" w:name="_Toc287865010"/>
      <w:bookmarkStart w:id="170" w:name="_Toc287981316"/>
      <w:bookmarkStart w:id="171" w:name="_Toc287986187"/>
      <w:bookmarkStart w:id="172" w:name="_Toc287988975"/>
      <w:bookmarkStart w:id="173" w:name="_Toc287547022"/>
      <w:bookmarkStart w:id="174" w:name="_Toc287547953"/>
      <w:bookmarkStart w:id="175" w:name="_Toc287865011"/>
      <w:bookmarkStart w:id="176" w:name="_Toc287981317"/>
      <w:bookmarkStart w:id="177" w:name="_Toc287986188"/>
      <w:bookmarkStart w:id="178" w:name="_Toc287988976"/>
      <w:bookmarkStart w:id="179" w:name="_Toc287547023"/>
      <w:bookmarkStart w:id="180" w:name="_Toc287547954"/>
      <w:bookmarkStart w:id="181" w:name="_Toc287865012"/>
      <w:bookmarkStart w:id="182" w:name="_Toc287981318"/>
      <w:bookmarkStart w:id="183" w:name="_Toc287986189"/>
      <w:bookmarkStart w:id="184" w:name="_Toc287988977"/>
      <w:bookmarkStart w:id="185" w:name="_Toc287547024"/>
      <w:bookmarkStart w:id="186" w:name="_Toc287547955"/>
      <w:bookmarkStart w:id="187" w:name="_Toc287865013"/>
      <w:bookmarkStart w:id="188" w:name="_Toc287981319"/>
      <w:bookmarkStart w:id="189" w:name="_Toc287986190"/>
      <w:bookmarkStart w:id="190" w:name="_Toc287988978"/>
      <w:bookmarkStart w:id="191" w:name="_Toc287547026"/>
      <w:bookmarkStart w:id="192" w:name="_Toc287547957"/>
      <w:bookmarkStart w:id="193" w:name="_Toc287865015"/>
      <w:bookmarkStart w:id="194" w:name="_Toc287981321"/>
      <w:bookmarkStart w:id="195" w:name="_Toc287986192"/>
      <w:bookmarkStart w:id="196" w:name="_Toc287988980"/>
      <w:bookmarkStart w:id="197" w:name="_Toc287547027"/>
      <w:bookmarkStart w:id="198" w:name="_Toc287547958"/>
      <w:bookmarkStart w:id="199" w:name="_Toc287865016"/>
      <w:bookmarkStart w:id="200" w:name="_Toc287981322"/>
      <w:bookmarkStart w:id="201" w:name="_Toc287986193"/>
      <w:bookmarkStart w:id="202" w:name="_Toc287988981"/>
      <w:bookmarkStart w:id="203" w:name="_Toc287547028"/>
      <w:bookmarkStart w:id="204" w:name="_Toc287547959"/>
      <w:bookmarkStart w:id="205" w:name="_Toc287865017"/>
      <w:bookmarkStart w:id="206" w:name="_Toc287981323"/>
      <w:bookmarkStart w:id="207" w:name="_Toc287986194"/>
      <w:bookmarkStart w:id="208" w:name="_Toc287988982"/>
      <w:bookmarkStart w:id="209" w:name="_Toc287547030"/>
      <w:bookmarkStart w:id="210" w:name="_Toc287547961"/>
      <w:bookmarkStart w:id="211" w:name="_Toc287865019"/>
      <w:bookmarkStart w:id="212" w:name="_Toc287981325"/>
      <w:bookmarkStart w:id="213" w:name="_Toc287986196"/>
      <w:bookmarkStart w:id="214" w:name="_Toc287988984"/>
      <w:bookmarkStart w:id="215" w:name="_Toc287547031"/>
      <w:bookmarkStart w:id="216" w:name="_Toc287547962"/>
      <w:bookmarkStart w:id="217" w:name="_Toc287865020"/>
      <w:bookmarkStart w:id="218" w:name="_Toc287981326"/>
      <w:bookmarkStart w:id="219" w:name="_Toc287986197"/>
      <w:bookmarkStart w:id="220" w:name="_Toc287988985"/>
      <w:bookmarkStart w:id="221" w:name="_Toc287547032"/>
      <w:bookmarkStart w:id="222" w:name="_Toc287547963"/>
      <w:bookmarkStart w:id="223" w:name="_Toc287865021"/>
      <w:bookmarkStart w:id="224" w:name="_Toc287981327"/>
      <w:bookmarkStart w:id="225" w:name="_Toc287986198"/>
      <w:bookmarkStart w:id="226" w:name="_Toc287988986"/>
      <w:bookmarkStart w:id="227" w:name="_Toc287547033"/>
      <w:bookmarkStart w:id="228" w:name="_Toc287547964"/>
      <w:bookmarkStart w:id="229" w:name="_Toc287865022"/>
      <w:bookmarkStart w:id="230" w:name="_Toc287981328"/>
      <w:bookmarkStart w:id="231" w:name="_Toc287986199"/>
      <w:bookmarkStart w:id="232" w:name="_Toc287988987"/>
      <w:bookmarkStart w:id="233" w:name="_Toc287547035"/>
      <w:bookmarkStart w:id="234" w:name="_Toc287547966"/>
      <w:bookmarkStart w:id="235" w:name="_Toc287865024"/>
      <w:bookmarkStart w:id="236" w:name="_Toc287981330"/>
      <w:bookmarkStart w:id="237" w:name="_Toc287986201"/>
      <w:bookmarkStart w:id="238" w:name="_Toc287988989"/>
      <w:bookmarkStart w:id="239" w:name="_Toc287547037"/>
      <w:bookmarkStart w:id="240" w:name="_Toc287547968"/>
      <w:bookmarkStart w:id="241" w:name="_Toc287865026"/>
      <w:bookmarkStart w:id="242" w:name="_Toc287981332"/>
      <w:bookmarkStart w:id="243" w:name="_Toc287986203"/>
      <w:bookmarkStart w:id="244" w:name="_Toc287988991"/>
      <w:bookmarkStart w:id="245" w:name="_Toc287547038"/>
      <w:bookmarkStart w:id="246" w:name="_Toc287547969"/>
      <w:bookmarkStart w:id="247" w:name="_Toc287865027"/>
      <w:bookmarkStart w:id="248" w:name="_Toc287981333"/>
      <w:bookmarkStart w:id="249" w:name="_Toc287986204"/>
      <w:bookmarkStart w:id="250" w:name="_Toc287988992"/>
      <w:bookmarkStart w:id="251" w:name="_Toc287547039"/>
      <w:bookmarkStart w:id="252" w:name="_Toc287547970"/>
      <w:bookmarkStart w:id="253" w:name="_Toc287865028"/>
      <w:bookmarkStart w:id="254" w:name="_Toc287981334"/>
      <w:bookmarkStart w:id="255" w:name="_Toc287986205"/>
      <w:bookmarkStart w:id="256" w:name="_Toc287988993"/>
      <w:bookmarkStart w:id="257" w:name="_Toc287547040"/>
      <w:bookmarkStart w:id="258" w:name="_Toc287547971"/>
      <w:bookmarkStart w:id="259" w:name="_Toc287865029"/>
      <w:bookmarkStart w:id="260" w:name="_Toc287981335"/>
      <w:bookmarkStart w:id="261" w:name="_Toc287986206"/>
      <w:bookmarkStart w:id="262" w:name="_Toc287988994"/>
      <w:bookmarkStart w:id="263" w:name="_Toc287547041"/>
      <w:bookmarkStart w:id="264" w:name="_Toc287547972"/>
      <w:bookmarkStart w:id="265" w:name="_Toc287865030"/>
      <w:bookmarkStart w:id="266" w:name="_Toc287981336"/>
      <w:bookmarkStart w:id="267" w:name="_Toc287986207"/>
      <w:bookmarkStart w:id="268" w:name="_Toc287988995"/>
      <w:bookmarkStart w:id="269" w:name="_Toc287547042"/>
      <w:bookmarkStart w:id="270" w:name="_Toc287547973"/>
      <w:bookmarkStart w:id="271" w:name="_Toc287865031"/>
      <w:bookmarkStart w:id="272" w:name="_Toc287981337"/>
      <w:bookmarkStart w:id="273" w:name="_Toc287986208"/>
      <w:bookmarkStart w:id="274" w:name="_Toc287988996"/>
      <w:bookmarkStart w:id="275" w:name="_Toc287547043"/>
      <w:bookmarkStart w:id="276" w:name="_Toc287547974"/>
      <w:bookmarkStart w:id="277" w:name="_Toc287865032"/>
      <w:bookmarkStart w:id="278" w:name="_Toc287981338"/>
      <w:bookmarkStart w:id="279" w:name="_Toc287986209"/>
      <w:bookmarkStart w:id="280" w:name="_Toc287988997"/>
      <w:bookmarkStart w:id="281" w:name="_Toc287547044"/>
      <w:bookmarkStart w:id="282" w:name="_Toc287547975"/>
      <w:bookmarkStart w:id="283" w:name="_Toc287865033"/>
      <w:bookmarkStart w:id="284" w:name="_Toc287981339"/>
      <w:bookmarkStart w:id="285" w:name="_Toc287986210"/>
      <w:bookmarkStart w:id="286" w:name="_Toc287988998"/>
      <w:bookmarkStart w:id="287" w:name="_Toc287547045"/>
      <w:bookmarkStart w:id="288" w:name="_Toc287547976"/>
      <w:bookmarkStart w:id="289" w:name="_Toc287865034"/>
      <w:bookmarkStart w:id="290" w:name="_Toc287981340"/>
      <w:bookmarkStart w:id="291" w:name="_Toc287986211"/>
      <w:bookmarkStart w:id="292" w:name="_Toc287988999"/>
      <w:bookmarkStart w:id="293" w:name="_Toc287547046"/>
      <w:bookmarkStart w:id="294" w:name="_Toc287547977"/>
      <w:bookmarkStart w:id="295" w:name="_Toc287865035"/>
      <w:bookmarkStart w:id="296" w:name="_Toc287981341"/>
      <w:bookmarkStart w:id="297" w:name="_Toc287986212"/>
      <w:bookmarkStart w:id="298" w:name="_Toc287989000"/>
      <w:bookmarkStart w:id="299" w:name="_Toc287547047"/>
      <w:bookmarkStart w:id="300" w:name="_Toc287547978"/>
      <w:bookmarkStart w:id="301" w:name="_Toc287865036"/>
      <w:bookmarkStart w:id="302" w:name="_Toc287981342"/>
      <w:bookmarkStart w:id="303" w:name="_Toc287986213"/>
      <w:bookmarkStart w:id="304" w:name="_Toc287989001"/>
      <w:bookmarkStart w:id="305" w:name="_Toc287547048"/>
      <w:bookmarkStart w:id="306" w:name="_Toc287547979"/>
      <w:bookmarkStart w:id="307" w:name="_Toc287865037"/>
      <w:bookmarkStart w:id="308" w:name="_Toc287981343"/>
      <w:bookmarkStart w:id="309" w:name="_Toc287986214"/>
      <w:bookmarkStart w:id="310" w:name="_Toc287989002"/>
      <w:bookmarkStart w:id="311" w:name="_Toc287547049"/>
      <w:bookmarkStart w:id="312" w:name="_Toc287547980"/>
      <w:bookmarkStart w:id="313" w:name="_Toc287865038"/>
      <w:bookmarkStart w:id="314" w:name="_Toc287981344"/>
      <w:bookmarkStart w:id="315" w:name="_Toc287986215"/>
      <w:bookmarkStart w:id="316" w:name="_Toc287989003"/>
      <w:bookmarkStart w:id="317" w:name="_Toc287547050"/>
      <w:bookmarkStart w:id="318" w:name="_Toc287547981"/>
      <w:bookmarkStart w:id="319" w:name="_Toc287865039"/>
      <w:bookmarkStart w:id="320" w:name="_Toc287981345"/>
      <w:bookmarkStart w:id="321" w:name="_Toc287986216"/>
      <w:bookmarkStart w:id="322" w:name="_Toc287989004"/>
      <w:bookmarkStart w:id="323" w:name="_Toc364945257"/>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r w:rsidRPr="00E062A4">
        <w:t>L</w:t>
      </w:r>
      <w:r w:rsidR="00341C26">
        <w:t>evels of Service</w:t>
      </w:r>
      <w:bookmarkEnd w:id="323"/>
    </w:p>
    <w:p w:rsidR="00341C26" w:rsidRDefault="00341C26" w:rsidP="002F775C"/>
    <w:p w:rsidR="007C70ED" w:rsidRDefault="00622DC3" w:rsidP="002F775C">
      <w:r>
        <w:t>The Y</w:t>
      </w:r>
      <w:r w:rsidR="007C70ED" w:rsidRPr="00802264">
        <w:t>arra</w:t>
      </w:r>
      <w:r>
        <w:t xml:space="preserve"> City Council</w:t>
      </w:r>
      <w:r w:rsidR="007C70ED" w:rsidRPr="00802264">
        <w:t xml:space="preserve"> is </w:t>
      </w:r>
      <w:r>
        <w:t>committed</w:t>
      </w:r>
      <w:r w:rsidR="007C70ED" w:rsidRPr="00802264">
        <w:t xml:space="preserve"> to enhance the management of Council assets to better meet community expectations within financial and other practical constraints. Achievement of this objective will require the development of service level targets that guide future asset management decision</w:t>
      </w:r>
      <w:r w:rsidR="009A7487">
        <w:t>-</w:t>
      </w:r>
      <w:r w:rsidR="007C70ED" w:rsidRPr="00802264">
        <w:t xml:space="preserve">making. </w:t>
      </w:r>
    </w:p>
    <w:p w:rsidR="00341C26" w:rsidRPr="00802264" w:rsidRDefault="00341C26" w:rsidP="002F775C"/>
    <w:p w:rsidR="007C70ED" w:rsidRDefault="007C70ED" w:rsidP="002F775C">
      <w:r w:rsidRPr="00802264">
        <w:t>This section of the BAMP documents the methodology and the Levels of Service to be delivered by the Buildings and Property Branch through the implementation of the BAMP.</w:t>
      </w:r>
    </w:p>
    <w:p w:rsidR="00341C26" w:rsidRPr="00802264" w:rsidRDefault="00341C26" w:rsidP="002F775C"/>
    <w:p w:rsidR="008D6EB9" w:rsidRDefault="008D6EB9" w:rsidP="002F775C">
      <w:r w:rsidRPr="00802264">
        <w:t xml:space="preserve">Service Managers, who are in </w:t>
      </w:r>
      <w:r w:rsidR="00065965">
        <w:t>regular</w:t>
      </w:r>
      <w:r w:rsidRPr="00802264">
        <w:t xml:space="preserve"> contact with the community and therefore have a good understanding of customer expectations, develop and document the customer service levels. </w:t>
      </w:r>
    </w:p>
    <w:p w:rsidR="00341C26" w:rsidRPr="00802264" w:rsidRDefault="00341C26" w:rsidP="002F775C"/>
    <w:p w:rsidR="008D6EB9" w:rsidRDefault="008D6EB9" w:rsidP="002F775C">
      <w:r w:rsidRPr="00802264">
        <w:t xml:space="preserve">When customer expectations have been documented, the next step is to develop technical service level statements that describe what Council intends to do in order to meet service expectations. </w:t>
      </w:r>
    </w:p>
    <w:p w:rsidR="00341C26" w:rsidRPr="00802264" w:rsidRDefault="00341C26" w:rsidP="002F775C"/>
    <w:p w:rsidR="008D6EB9" w:rsidRDefault="008D6EB9" w:rsidP="002F775C">
      <w:r w:rsidRPr="00802264">
        <w:t>Desired technical service levels should consider all phases of the asset lifecycle (creation, maintenance, renewal, upgrade and disposal).</w:t>
      </w:r>
    </w:p>
    <w:p w:rsidR="00341C26" w:rsidRPr="00802264" w:rsidRDefault="00341C26" w:rsidP="002F775C"/>
    <w:p w:rsidR="008D6EB9" w:rsidRDefault="008D6EB9" w:rsidP="002F775C">
      <w:r w:rsidRPr="00802264">
        <w:t>The figure below is intended to demonstrate that Council’s technical service levels define Council’s approach to service and asset management. If defined, funded and delivered appropriately, technical service levels enable Council to manage its assets and services in a manner that delivers customer service levels that meet community expectations and Council’s strategic objectives.</w:t>
      </w:r>
    </w:p>
    <w:p w:rsidR="008D6EB9" w:rsidRPr="005520A3" w:rsidRDefault="008D6EB9" w:rsidP="002F775C"/>
    <w:bookmarkStart w:id="324" w:name="_top"/>
    <w:bookmarkEnd w:id="324"/>
    <w:p w:rsidR="008D6EB9" w:rsidRPr="005520A3" w:rsidRDefault="00ED394A" w:rsidP="002F775C">
      <w:r>
        <w:rPr>
          <w:noProof/>
        </w:rPr>
      </w:r>
      <w:r w:rsidR="0037126C">
        <w:rPr>
          <w:noProof/>
        </w:rPr>
        <w:pict>
          <v:group id="Group 250" o:spid="_x0000_s1026" style="width:461.3pt;height:232.4pt;mso-position-horizontal-relative:char;mso-position-vertical-relative:line" coordsize="58586,29516">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utoShape 2" o:spid="_x0000_s1027" type="#_x0000_t68" style="position:absolute;left:728;top:21362;width:3200;height:815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4qgsAA&#10;AADbAAAADwAAAGRycy9kb3ducmV2LnhtbERP3WrCMBS+H/gO4QjeaboKQ6tRiqJT0QvdHuDQHJvO&#10;5qQ0Ubu3Xy6EXX58//NlZ2vxoNZXjhW8jxIQxIXTFZcKvr82wwkIH5A11o5JwS95WC56b3PMtHvy&#10;mR6XUIoYwj5DBSaEJpPSF4Ys+pFriCN3da3FEGFbSt3iM4bbWqZJ8iEtVhwbDDa0MlTcLner4DDx&#10;nE5vu5/P43Zfrk3Op/w+VmrQ7/IZiEBd+Be/3DutII3r45f4A+Ti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I4qgsAAAADbAAAADwAAAAAAAAAAAAAAAACYAgAAZHJzL2Rvd25y&#10;ZXYueG1sUEsFBgAAAAAEAAQA9QAAAIUDAAAAAA==&#10;" fillcolor="#92cddc [1944]"/>
            <v:shape id="AutoShape 3" o:spid="_x0000_s1028" type="#_x0000_t68" style="position:absolute;left:4046;top:21362;width:3200;height:815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y09cQA&#10;AADbAAAADwAAAGRycy9kb3ducmV2LnhtbESP3WrCQBSE7wt9h+UUvNNNI4iNrhJa/Ct6UfUBDtlj&#10;NjV7NmRXjW/vFoReDjPzDTOdd7YWV2p95VjB+yABQVw4XXGp4HhY9McgfEDWWDsmBXfyMJ+9vkwx&#10;0+7GP3Tdh1JECPsMFZgQmkxKXxiy6AeuIY7eybUWQ5RtKXWLtwi3tUyTZCQtVhwXDDb0aag47y9W&#10;wffYc/pxXv+utstN+WVy3uWXoVK9ty6fgAjUhf/ws73WCtIh/H2JP0DO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BctPXEAAAA2wAAAA8AAAAAAAAAAAAAAAAAmAIAAGRycy9k&#10;b3ducmV2LnhtbFBLBQYAAAAABAAEAPUAAACJAwAAAAA=&#10;" fillcolor="#92cddc [1944]"/>
            <v:shape id="AutoShape 4" o:spid="_x0000_s1029" type="#_x0000_t68" style="position:absolute;left:7201;top:21362;width:3201;height:815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UsgcUA&#10;AADbAAAADwAAAGRycy9kb3ducmV2LnhtbESP3WrCQBSE74W+w3IKvdONUUSjq4QWqy3thT8PcMge&#10;s9Hs2ZBdNX37bkHo5TAz3zCLVWdrcaPWV44VDAcJCOLC6YpLBcfDuj8F4QOyxtoxKfghD6vlU2+B&#10;mXZ33tFtH0oRIewzVGBCaDIpfWHIoh+4hjh6J9daDFG2pdQt3iPc1jJNkom0WHFcMNjQq6Hisr9a&#10;BZ9Tz+nssj1vvt4/yjeT83d+HSn18tzlcxCBuvAffrS3WkE6hr8v8Qf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tSyBxQAAANsAAAAPAAAAAAAAAAAAAAAAAJgCAABkcnMv&#10;ZG93bnJldi54bWxQSwUGAAAAAAQABAD1AAAAigMAAAAA&#10;" fillcolor="#92cddc [1944]"/>
            <v:shape id="AutoShape 5" o:spid="_x0000_s1030" type="#_x0000_t68" style="position:absolute;left:26541;top:21362;width:3201;height:815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sXbcQA&#10;AADbAAAADwAAAGRycy9kb3ducmV2LnhtbESP0WrCQBRE3wv+w3KFvtWNKYimriEobVXaB20/4JK9&#10;zcZk74bsqunfu0Khj8PMnGGW+WBbcaHe144VTCcJCOLS6ZorBd9fr09zED4ga2wdk4Jf8pCvRg9L&#10;zLS78oEux1CJCGGfoQITQpdJ6UtDFv3EdcTR+3G9xRBlX0nd4zXCbSvTJJlJizXHBYMdrQ2VzfFs&#10;FeznntNFsz29f7ztqo0p+LM4Pyv1OB6KFxCBhvAf/mtvtYJ0Bvcv8QfI1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rF23EAAAA2wAAAA8AAAAAAAAAAAAAAAAAmAIAAGRycy9k&#10;b3ducmV2LnhtbFBLBQYAAAAABAAEAPUAAACJAwAAAAA=&#10;" fillcolor="#92cddc [1944]"/>
            <v:shape id="AutoShape 6" o:spid="_x0000_s1031" type="#_x0000_t68" style="position:absolute;left:30506;top:21362;width:3201;height:815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ygucIA&#10;AADcAAAADwAAAGRycy9kb3ducmV2LnhtbERP3WrCMBS+F3yHcITdzdQK4jpTKY5NHe5ibg9waI5N&#10;tTkpTard2y8Xgpcf3/9qPdhGXKnztWMFs2kCgrh0uuZKwe/P+/MShA/IGhvHpOCPPKzz8WiFmXY3&#10;/qbrMVQihrDPUIEJoc2k9KUhi37qWuLInVxnMUTYVVJ3eIvhtpFpkiykxZpjg8GWNobKy7G3Cj6X&#10;ntOXy+68PXzsqzdT8FfRz5V6mgzFK4hAQ3iI7+6dVpDO4/x4Jh4Bmf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DKC5wgAAANwAAAAPAAAAAAAAAAAAAAAAAJgCAABkcnMvZG93&#10;bnJldi54bWxQSwUGAAAAAAQABAD1AAAAhwMAAAAA&#10;" fillcolor="#92cddc [1944]"/>
            <v:shape id="AutoShape 7" o:spid="_x0000_s1032" type="#_x0000_t68" style="position:absolute;left:34148;top:21362;width:3200;height:815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sDIcUA&#10;AADcAAAADwAAAGRycy9kb3ducmV2LnhtbESP3WrCQBSE7wu+w3IE7+rGiEVTVwmW+oe9qPYBDtnT&#10;bGr2bMiumr59Vyh4OczMN8x82dlaXKn1lWMFo2ECgrhwuuJSwdfp/XkKwgdkjbVjUvBLHpaL3tMc&#10;M+1u/EnXYyhFhLDPUIEJocmk9IUhi37oGuLofbvWYoiyLaVu8RbhtpZpkrxIixXHBYMNrQwV5+PF&#10;KthPPaez8/Znc1jvyjeT80d+GSs16Hf5K4hAXXiE/9tbrSAdT+B+Jh4B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ewMhxQAAANwAAAAPAAAAAAAAAAAAAAAAAJgCAABkcnMv&#10;ZG93bnJldi54bWxQSwUGAAAAAAQABAD1AAAAigMAAAAA&#10;" fillcolor="#92cddc [1944]"/>
            <v:shape id="AutoShape 8" o:spid="_x0000_s1033" type="#_x0000_t68" style="position:absolute;left:38113;top:21362;width:3200;height:815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U4zcUA&#10;AADcAAAADwAAAGRycy9kb3ducmV2LnhtbESP3WrCQBSE7wu+w3IE7+rGCFZTVwmW+oe9qPYBDtnT&#10;bGr2bMiumr59Vyh4OczMN8x82dlaXKn1lWMFo2ECgrhwuuJSwdfp/XkKwgdkjbVjUvBLHpaL3tMc&#10;M+1u/EnXYyhFhLDPUIEJocmk9IUhi37oGuLofbvWYoiyLaVu8RbhtpZpkkykxYrjgsGGVoaK8/Fi&#10;FeynntPZefuzOax35ZvJ+SO/jJUa9Lv8FUSgLjzC/+2tVpCOX+B+Jh4B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5TjNxQAAANwAAAAPAAAAAAAAAAAAAAAAAJgCAABkcnMv&#10;ZG93bnJldi54bWxQSwUGAAAAAAQABAD1AAAAigMAAAAA&#10;" fillcolor="#92cddc [1944]"/>
            <v:shape id="AutoShape 9" o:spid="_x0000_s1034" type="#_x0000_t68" style="position:absolute;left:42159;top:21362;width:3200;height:815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YJJMUA&#10;AADcAAAADwAAAGRycy9kb3ducmV2LnhtbESP0WrCQBRE3wX/YblC3+qmEYpGVwktWhV90PYDLtlr&#10;NjV7N2RXTf/eFQo+DjNzhpktOluLK7W+cqzgbZiAIC6crrhU8PO9fB2D8AFZY+2YFPyRh8W835th&#10;pt2ND3Q9hlJECPsMFZgQmkxKXxiy6IeuIY7eybUWQ5RtKXWLtwi3tUyT5F1arDguGGzow1BxPl6s&#10;gu3Yczo5r3+/dqtN+Wly3ueXkVIvgy6fggjUhWf4v73WCtLRBB5n4hGQ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NgkkxQAAANwAAAAPAAAAAAAAAAAAAAAAAJgCAABkcnMv&#10;ZG93bnJldi54bWxQSwUGAAAAAAQABAD1AAAAigMAAAAA&#10;" fillcolor="#92cddc [1944]"/>
            <v:shape id="AutoShape 10" o:spid="_x0000_s1049" type="#_x0000_t68" style="position:absolute;left:46367;top:21362;width:3200;height:815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rTxMIA&#10;AADcAAAADwAAAGRycy9kb3ducmV2LnhtbERPS27CMBDdV+odrKnErjgNCNEUJ4pa8RUsSnuAUTyN&#10;U+JxFBsIt8eLSl0+vf+iGGwrLtT7xrGCl3ECgrhyuuFawffX8nkOwgdkja1jUnAjD0X++LDATLsr&#10;f9LlGGoRQ9hnqMCE0GVS+sqQRT92HXHkflxvMUTY11L3eI3htpVpksykxYZjg8GO3g1Vp+PZKtjN&#10;Paevp83ver/a1h+m5EN5nig1ehrKNxCBhvAv/nNvtIJ0GufHM/EIyP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tPEwgAAANwAAAAPAAAAAAAAAAAAAAAAAJgCAABkcnMvZG93&#10;bnJldi54bWxQSwUGAAAAAAQABAD1AAAAhwMAAAAA&#10;" fillcolor="#92cddc [1944]"/>
            <v:shape id="AutoShape 11" o:spid="_x0000_s1036" type="#_x0000_t68" style="position:absolute;left:15051;top:21362;width:3200;height:815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Z2X8UA&#10;AADcAAAADwAAAGRycy9kb3ducmV2LnhtbESP0WrCQBRE3wX/YblC33RjLKKpq4QWWyvtQ7UfcMle&#10;s9Hs3ZBdNf69WxD6OMzMGWax6mwtLtT6yrGC8SgBQVw4XXGp4He/Hs5A+ICssXZMCm7kYbXs9xaY&#10;aXflH7rsQikihH2GCkwITSalLwxZ9CPXEEfv4FqLIcq2lLrFa4TbWqZJMpUWK44LBht6NVScdmer&#10;YDvznM5Pm+PH1/tn+WZy/s7PE6WeBl3+AiJQF/7Dj/ZGK0ifx/B3Jh4Bub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RnZfxQAAANwAAAAPAAAAAAAAAAAAAAAAAJgCAABkcnMv&#10;ZG93bnJldi54bWxQSwUGAAAAAAQABAD1AAAAigMAAAAA&#10;" fillcolor="#92cddc [1944]"/>
            <v:shape id="AutoShape 12" o:spid="_x0000_s1037" type="#_x0000_t68" style="position:absolute;left:18692;top:21362;width:3201;height:815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ToKMUA&#10;AADcAAAADwAAAGRycy9kb3ducmV2LnhtbESP3WrCQBSE7wt9h+UUvGs2Rik2ukpo8Zf2orYPcMge&#10;s9Hs2ZBdNX37rlDwcpiZb5jZoreNuFDna8cKhkkKgrh0uuZKwc/38nkCwgdkjY1jUvBLHhbzx4cZ&#10;5tpd+Ysu+1CJCGGfowITQptL6UtDFn3iWuLoHVxnMUTZVVJ3eI1w28gsTV+kxZrjgsGW3gyVp/3Z&#10;KthNPGevp81x/bHaVu+m4M/iPFJq8NQXUxCB+nAP/7c3WkE2zuB2Jh4BO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lOgoxQAAANwAAAAPAAAAAAAAAAAAAAAAAJgCAABkcnMv&#10;ZG93bnJldi54bWxQSwUGAAAAAAQABAD1AAAAigMAAAAA&#10;" fillcolor="#92cddc [1944]"/>
            <v:shape id="AutoShape 13" o:spid="_x0000_s1038" type="#_x0000_t68" style="position:absolute;left:22738;top:21362;width:3201;height:815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hNs8UA&#10;AADcAAAADwAAAGRycy9kb3ducmV2LnhtbESP3WrCQBSE7wu+w3IE7+rGKEVTVwmW+oe9qPYBDtnT&#10;bGr2bMiumr59Vyh4OczMN8x82dlaXKn1lWMFo2ECgrhwuuJSwdfp/XkKwgdkjbVjUvBLHpaL3tMc&#10;M+1u/EnXYyhFhLDPUIEJocmk9IUhi37oGuLofbvWYoiyLaVu8RbhtpZpkrxIixXHBYMNrQwV5+PF&#10;KthPPaez8/Znc1jvyjeT80d+GSs16Hf5K4hAXXiE/9tbrSCdjOF+Jh4B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2E2zxQAAANwAAAAPAAAAAAAAAAAAAAAAAJgCAABkcnMv&#10;ZG93bnJldi54bWxQSwUGAAAAAAQABAD1AAAAigMAAAAA&#10;" fillcolor="#92cddc [1944]"/>
            <v:shape id="AutoShape 14" o:spid="_x0000_s1039" type="#_x0000_t68" style="position:absolute;left:11328;top:21362;width:3201;height:815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HVx8UA&#10;AADcAAAADwAAAGRycy9kb3ducmV2LnhtbESP0WrCQBRE3wv+w3IF3+rGKKKpqwRLWyv2odoPuGRv&#10;s6nZuyG7avx7tyD4OMzMGWax6mwtztT6yrGC0TABQVw4XXGp4Ofw9jwD4QOyxtoxKbiSh9Wy97TA&#10;TLsLf9N5H0oRIewzVGBCaDIpfWHIoh+6hjh6v661GKJsS6lbvES4rWWaJFNpseK4YLChtaHiuD9Z&#10;BduZ53R+3Px97N4/y1eT81d+Gis16Hf5C4hAXXiE7+2NVpBOJvB/Jh4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MdXHxQAAANwAAAAPAAAAAAAAAAAAAAAAAJgCAABkcnMv&#10;ZG93bnJldi54bWxQSwUGAAAAAAQABAD1AAAAigMAAAAA&#10;" fillcolor="#92cddc [1944]"/>
            <v:shape id="AutoShape 15" o:spid="_x0000_s1040" type="#_x0000_t68" style="position:absolute;left:50656;top:21362;width:3200;height:815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1wXMYA&#10;AADcAAAADwAAAGRycy9kb3ducmV2LnhtbESPzW7CMBCE70h9B2sr9QZOU1pBwKCoFX9Ve4D2AVbx&#10;EqfE6yg2EN4eV0LiOJqZbzTTeWdrcaLWV44VPA8SEMSF0xWXCn5/Fv0RCB+QNdaOScGFPMxnD70p&#10;ZtqdeUunXShFhLDPUIEJocmk9IUhi37gGuLo7V1rMUTZllK3eI5wW8s0Sd6kxYrjgsGG3g0Vh93R&#10;KvgceU7Hh/Xf6mu5KT9Mzt/58UWpp8cun4AI1IV7+NZeawXp8BX+z8QjIG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31wXMYAAADcAAAADwAAAAAAAAAAAAAAAACYAgAAZHJz&#10;L2Rvd25yZXYueG1sUEsFBgAAAAAEAAQA9QAAAIsDAAAAAA==&#10;" fillcolor="#92cddc [1944]"/>
            <v:shape id="AutoShape 16" o:spid="_x0000_s1041" type="#_x0000_t68" style="position:absolute;left:54216;top:21362;width:3201;height:815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uK8UA&#10;AADcAAAADwAAAGRycy9kb3ducmV2LnhtbESP3WrCQBSE7wu+w3IE7+rGWERTVwmW+oe9qPYBDtnT&#10;bGr2bMiumr59tyB4OczMN8x82dlaXKn1lWMFo2ECgrhwuuJSwdfp/XkKwgdkjbVjUvBLHpaL3tMc&#10;M+1u/EnXYyhFhLDPUIEJocmk9IUhi37oGuLofbvWYoiyLaVu8RbhtpZpkkykxYrjgsGGVoaK8/Fi&#10;FeynntPZefuzOax35ZvJ+SO/jJUa9Lv8FUSgLjzC9/ZWK0hfJvB/Jh4B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r+4rxQAAANwAAAAPAAAAAAAAAAAAAAAAAJgCAABkcnMv&#10;ZG93bnJldi54bWxQSwUGAAAAAAQABAD1AAAAigMAAAAA&#10;" fillcolor="#92cddc [1944]"/>
            <v:shapetype id="_x0000_t202" coordsize="21600,21600" o:spt="202" path="m,l,21600r21600,l21600,xe">
              <v:stroke joinstyle="miter"/>
              <v:path gradientshapeok="t" o:connecttype="rect"/>
            </v:shapetype>
            <v:shape id="Text Box 17" o:spid="_x0000_s1042" type="#_x0000_t202" style="position:absolute;left:5097;top:23143;width:49042;height:46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2R3sMA&#10;AADcAAAADwAAAGRycy9kb3ducmV2LnhtbESP3YrCMBSE7xd8h3AE79ZUEStdoywughcK/j3AsTnb&#10;hm1OSpO11ac3guDlMDPfMPNlZytxpcYbxwpGwwQEce604ULB+bT+nIHwAVlj5ZgU3MjDctH7mGOm&#10;XcsHuh5DISKEfYYKyhDqTEqfl2TRD11NHL1f11gMUTaF1A22EW4rOU6SqbRoOC6UWNOqpPzv+G8V&#10;7H6SLrXmdm8v66lL673ZemeUGvS77y8QgbrwDr/aG61gPEnheSYeAbl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q2R3sMAAADcAAAADwAAAAAAAAAAAAAAAACYAgAAZHJzL2Rv&#10;d25yZXYueG1sUEsFBgAAAAAEAAQA9QAAAIgDAAAAAA==&#10;" fillcolor="#b6dde8 [1304]">
              <v:textbox style="mso-next-textbox:#Text Box 17">
                <w:txbxContent>
                  <w:p w:rsidR="00496759" w:rsidRPr="00D26E0D" w:rsidRDefault="00496759" w:rsidP="00D26E0D">
                    <w:pPr>
                      <w:jc w:val="center"/>
                      <w:rPr>
                        <w:sz w:val="16"/>
                        <w:szCs w:val="16"/>
                      </w:rPr>
                    </w:pPr>
                    <w:r w:rsidRPr="00D26E0D">
                      <w:rPr>
                        <w:sz w:val="16"/>
                        <w:szCs w:val="16"/>
                      </w:rPr>
                      <w:t>Technical Levels of Service</w:t>
                    </w:r>
                    <w:r w:rsidRPr="00D26E0D">
                      <w:rPr>
                        <w:sz w:val="16"/>
                        <w:szCs w:val="16"/>
                      </w:rPr>
                      <w:br/>
                      <w:t>Measurable service and asset performance targets that define what Council should be doing to deliver Customer Service levels in a sustainable manner consistent with Council</w:t>
                    </w:r>
                    <w:r>
                      <w:rPr>
                        <w:sz w:val="16"/>
                        <w:szCs w:val="16"/>
                      </w:rPr>
                      <w:t>’</w:t>
                    </w:r>
                    <w:r w:rsidRPr="00D26E0D">
                      <w:rPr>
                        <w:sz w:val="16"/>
                        <w:szCs w:val="16"/>
                      </w:rPr>
                      <w:t>s strategic direction.</w:t>
                    </w:r>
                  </w:p>
                </w:txbxContent>
              </v:textbox>
            </v:shape>
            <v:shape id="Diagram 1" o:spid="_x0000_s1043" type="#_x0000_t75" style="position:absolute;left:-121;top:-182;width:58825;height:2133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OZsjDAAAA3AAAAA8AAABkcnMvZG93bnJldi54bWxET11rwjAUfRf2H8Id+DLWdE5Ea6Nsg8GY&#10;IOjU50tzbYvJTWliW/frl4eBj4fzna8Ha0RHra8dK3hJUhDEhdM1lwoOP5/PcxA+IGs0jknBjTys&#10;Vw+jHDPtet5Rtw+liCHsM1RQhdBkUvqiIos+cQ1x5M6utRgibEupW+xjuDVykqYzabHm2FBhQx8V&#10;FZf91SowM7P4fTdbu1nM+1t3/H6tT0+s1PhxeFuCCDSEu/jf/aUVTKZxbTwTj4Bc/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2U5myMMAAADcAAAADwAAAAAAAAAAAAAAAACf&#10;AgAAZHJzL2Rvd25yZXYueG1sUEsFBgAAAAAEAAQA9wAAAI8DAAAAAA==&#10;">
              <v:imagedata r:id="rId37" o:title=""/>
              <o:lock v:ext="edit" aspectratio="f"/>
            </v:shape>
            <w10:anchorlock/>
          </v:group>
        </w:pict>
      </w:r>
    </w:p>
    <w:p w:rsidR="008D6EB9" w:rsidRPr="0091425F" w:rsidRDefault="008D6EB9" w:rsidP="00D17B90">
      <w:pPr>
        <w:pStyle w:val="Caption"/>
        <w:spacing w:before="240" w:after="240"/>
        <w:ind w:left="0"/>
        <w:jc w:val="center"/>
        <w:rPr>
          <w:rFonts w:ascii="Arial" w:hAnsi="Arial"/>
          <w:i w:val="0"/>
          <w:iCs w:val="0"/>
          <w:sz w:val="20"/>
          <w:lang w:val="en-AU"/>
        </w:rPr>
      </w:pPr>
      <w:bookmarkStart w:id="325" w:name="_Toc335055049"/>
      <w:bookmarkStart w:id="326" w:name="_Toc364945381"/>
      <w:r w:rsidRPr="0091425F">
        <w:rPr>
          <w:rFonts w:ascii="Arial" w:hAnsi="Arial"/>
          <w:i w:val="0"/>
          <w:iCs w:val="0"/>
          <w:sz w:val="20"/>
          <w:lang w:val="en-AU"/>
        </w:rPr>
        <w:t xml:space="preserve">Figure </w:t>
      </w:r>
      <w:r w:rsidR="0090414C" w:rsidRPr="0091425F">
        <w:rPr>
          <w:rFonts w:ascii="Arial" w:hAnsi="Arial"/>
          <w:i w:val="0"/>
          <w:iCs w:val="0"/>
          <w:sz w:val="20"/>
          <w:lang w:val="en-AU"/>
        </w:rPr>
        <w:fldChar w:fldCharType="begin"/>
      </w:r>
      <w:r w:rsidR="00CC614F" w:rsidRPr="0091425F">
        <w:rPr>
          <w:rFonts w:ascii="Arial" w:hAnsi="Arial"/>
          <w:i w:val="0"/>
          <w:iCs w:val="0"/>
          <w:sz w:val="20"/>
          <w:lang w:val="en-AU"/>
        </w:rPr>
        <w:instrText xml:space="preserve"> SEQ Figure \* ARABIC </w:instrText>
      </w:r>
      <w:r w:rsidR="0090414C" w:rsidRPr="0091425F">
        <w:rPr>
          <w:rFonts w:ascii="Arial" w:hAnsi="Arial"/>
          <w:i w:val="0"/>
          <w:iCs w:val="0"/>
          <w:sz w:val="20"/>
          <w:lang w:val="en-AU"/>
        </w:rPr>
        <w:fldChar w:fldCharType="separate"/>
      </w:r>
      <w:r w:rsidR="00751CEC">
        <w:rPr>
          <w:rFonts w:ascii="Arial" w:hAnsi="Arial"/>
          <w:i w:val="0"/>
          <w:iCs w:val="0"/>
          <w:noProof/>
          <w:sz w:val="20"/>
          <w:lang w:val="en-AU"/>
        </w:rPr>
        <w:t>17</w:t>
      </w:r>
      <w:r w:rsidR="0090414C" w:rsidRPr="0091425F">
        <w:rPr>
          <w:rFonts w:ascii="Arial" w:hAnsi="Arial"/>
          <w:i w:val="0"/>
          <w:iCs w:val="0"/>
          <w:sz w:val="20"/>
          <w:lang w:val="en-AU"/>
        </w:rPr>
        <w:fldChar w:fldCharType="end"/>
      </w:r>
      <w:r w:rsidR="00D26E0D" w:rsidRPr="0091425F">
        <w:rPr>
          <w:rFonts w:ascii="Arial" w:hAnsi="Arial"/>
          <w:i w:val="0"/>
          <w:iCs w:val="0"/>
          <w:sz w:val="20"/>
          <w:lang w:val="en-AU"/>
        </w:rPr>
        <w:t xml:space="preserve">:  </w:t>
      </w:r>
      <w:r w:rsidRPr="0091425F">
        <w:rPr>
          <w:rFonts w:ascii="Arial" w:hAnsi="Arial"/>
          <w:i w:val="0"/>
          <w:iCs w:val="0"/>
          <w:sz w:val="20"/>
          <w:lang w:val="en-AU"/>
        </w:rPr>
        <w:t>Levels of Service Supporting Council’s Core Values</w:t>
      </w:r>
      <w:bookmarkEnd w:id="325"/>
      <w:bookmarkEnd w:id="326"/>
      <w:r w:rsidRPr="0091425F">
        <w:rPr>
          <w:rFonts w:ascii="Arial" w:hAnsi="Arial"/>
          <w:i w:val="0"/>
          <w:iCs w:val="0"/>
          <w:sz w:val="20"/>
          <w:lang w:val="en-AU"/>
        </w:rPr>
        <w:t xml:space="preserve"> </w:t>
      </w:r>
    </w:p>
    <w:p w:rsidR="008D6EB9" w:rsidRDefault="008D6EB9" w:rsidP="00D26E0D">
      <w:r w:rsidRPr="00802264">
        <w:t>Levels of service are able to be developed for six categories that are li</w:t>
      </w:r>
      <w:r w:rsidR="00D26E0D">
        <w:t>nked to Council</w:t>
      </w:r>
      <w:r w:rsidR="002D4917">
        <w:t>’</w:t>
      </w:r>
      <w:r w:rsidR="00D26E0D">
        <w:t>s risk framework:</w:t>
      </w:r>
    </w:p>
    <w:p w:rsidR="00D26E0D" w:rsidRPr="00802264" w:rsidRDefault="00D26E0D" w:rsidP="00D26E0D"/>
    <w:p w:rsidR="008D6EB9" w:rsidRPr="00D26E0D" w:rsidRDefault="008D6EB9" w:rsidP="008348B5">
      <w:pPr>
        <w:pStyle w:val="ListParagraph"/>
        <w:numPr>
          <w:ilvl w:val="0"/>
          <w:numId w:val="58"/>
        </w:numPr>
        <w:rPr>
          <w:rFonts w:ascii="Arial" w:hAnsi="Arial" w:cs="Arial"/>
          <w:sz w:val="20"/>
        </w:rPr>
      </w:pPr>
      <w:r w:rsidRPr="00D26E0D">
        <w:rPr>
          <w:rFonts w:ascii="Arial" w:hAnsi="Arial" w:cs="Arial"/>
          <w:sz w:val="20"/>
        </w:rPr>
        <w:t>Legislative compliance</w:t>
      </w:r>
      <w:r w:rsidR="00D26E0D">
        <w:rPr>
          <w:rFonts w:ascii="Arial" w:hAnsi="Arial" w:cs="Arial"/>
          <w:sz w:val="20"/>
        </w:rPr>
        <w:t>;</w:t>
      </w:r>
    </w:p>
    <w:p w:rsidR="008D6EB9" w:rsidRPr="00D26E0D" w:rsidRDefault="008D6EB9" w:rsidP="008348B5">
      <w:pPr>
        <w:pStyle w:val="ListParagraph"/>
        <w:numPr>
          <w:ilvl w:val="0"/>
          <w:numId w:val="58"/>
        </w:numPr>
        <w:rPr>
          <w:rFonts w:ascii="Arial" w:hAnsi="Arial" w:cs="Arial"/>
          <w:sz w:val="20"/>
        </w:rPr>
      </w:pPr>
      <w:r w:rsidRPr="00D26E0D">
        <w:rPr>
          <w:rFonts w:ascii="Arial" w:hAnsi="Arial" w:cs="Arial"/>
          <w:sz w:val="20"/>
        </w:rPr>
        <w:t>Accessibility</w:t>
      </w:r>
      <w:r w:rsidR="00D26E0D">
        <w:rPr>
          <w:rFonts w:ascii="Arial" w:hAnsi="Arial" w:cs="Arial"/>
          <w:sz w:val="20"/>
        </w:rPr>
        <w:t>;</w:t>
      </w:r>
    </w:p>
    <w:p w:rsidR="008D6EB9" w:rsidRPr="00D26E0D" w:rsidRDefault="008D6EB9" w:rsidP="008348B5">
      <w:pPr>
        <w:pStyle w:val="ListParagraph"/>
        <w:numPr>
          <w:ilvl w:val="0"/>
          <w:numId w:val="58"/>
        </w:numPr>
        <w:rPr>
          <w:rFonts w:ascii="Arial" w:hAnsi="Arial" w:cs="Arial"/>
          <w:sz w:val="20"/>
        </w:rPr>
      </w:pPr>
      <w:r w:rsidRPr="00D26E0D">
        <w:rPr>
          <w:rFonts w:ascii="Arial" w:hAnsi="Arial" w:cs="Arial"/>
          <w:sz w:val="20"/>
        </w:rPr>
        <w:t xml:space="preserve">Health </w:t>
      </w:r>
      <w:r w:rsidR="00927AFA">
        <w:rPr>
          <w:rFonts w:ascii="Arial" w:hAnsi="Arial" w:cs="Arial"/>
          <w:sz w:val="20"/>
        </w:rPr>
        <w:t>and</w:t>
      </w:r>
      <w:r w:rsidRPr="00D26E0D">
        <w:rPr>
          <w:rFonts w:ascii="Arial" w:hAnsi="Arial" w:cs="Arial"/>
          <w:sz w:val="20"/>
        </w:rPr>
        <w:t xml:space="preserve"> safety</w:t>
      </w:r>
      <w:r w:rsidR="00D26E0D">
        <w:rPr>
          <w:rFonts w:ascii="Arial" w:hAnsi="Arial" w:cs="Arial"/>
          <w:sz w:val="20"/>
        </w:rPr>
        <w:t>;</w:t>
      </w:r>
    </w:p>
    <w:p w:rsidR="008D6EB9" w:rsidRPr="00D26E0D" w:rsidRDefault="008D6EB9" w:rsidP="008348B5">
      <w:pPr>
        <w:pStyle w:val="ListParagraph"/>
        <w:numPr>
          <w:ilvl w:val="0"/>
          <w:numId w:val="58"/>
        </w:numPr>
        <w:rPr>
          <w:rFonts w:ascii="Arial" w:hAnsi="Arial" w:cs="Arial"/>
          <w:sz w:val="20"/>
        </w:rPr>
      </w:pPr>
      <w:r w:rsidRPr="00D26E0D">
        <w:rPr>
          <w:rFonts w:ascii="Arial" w:hAnsi="Arial" w:cs="Arial"/>
          <w:sz w:val="20"/>
        </w:rPr>
        <w:t>Quality</w:t>
      </w:r>
      <w:r w:rsidR="00D26E0D">
        <w:rPr>
          <w:rFonts w:ascii="Arial" w:hAnsi="Arial" w:cs="Arial"/>
          <w:sz w:val="20"/>
        </w:rPr>
        <w:t>;</w:t>
      </w:r>
    </w:p>
    <w:p w:rsidR="008D6EB9" w:rsidRPr="00D26E0D" w:rsidRDefault="00D26E0D" w:rsidP="008348B5">
      <w:pPr>
        <w:pStyle w:val="ListParagraph"/>
        <w:numPr>
          <w:ilvl w:val="0"/>
          <w:numId w:val="58"/>
        </w:numPr>
        <w:rPr>
          <w:rFonts w:ascii="Arial" w:hAnsi="Arial" w:cs="Arial"/>
          <w:sz w:val="20"/>
        </w:rPr>
      </w:pPr>
      <w:r>
        <w:rPr>
          <w:rFonts w:ascii="Arial" w:hAnsi="Arial" w:cs="Arial"/>
          <w:sz w:val="20"/>
        </w:rPr>
        <w:t>Reliability/</w:t>
      </w:r>
      <w:r w:rsidR="008D6EB9" w:rsidRPr="00D26E0D">
        <w:rPr>
          <w:rFonts w:ascii="Arial" w:hAnsi="Arial" w:cs="Arial"/>
          <w:sz w:val="20"/>
        </w:rPr>
        <w:t xml:space="preserve">Responsiveness, and </w:t>
      </w:r>
    </w:p>
    <w:p w:rsidR="008D6EB9" w:rsidRPr="00D26E0D" w:rsidRDefault="00E6320C" w:rsidP="008348B5">
      <w:pPr>
        <w:pStyle w:val="ListParagraph"/>
        <w:numPr>
          <w:ilvl w:val="0"/>
          <w:numId w:val="58"/>
        </w:numPr>
        <w:rPr>
          <w:rFonts w:ascii="Arial" w:hAnsi="Arial" w:cs="Arial"/>
          <w:sz w:val="20"/>
        </w:rPr>
      </w:pPr>
      <w:r w:rsidRPr="00D26E0D">
        <w:rPr>
          <w:rFonts w:ascii="Arial" w:hAnsi="Arial" w:cs="Arial"/>
          <w:sz w:val="20"/>
        </w:rPr>
        <w:t>Environmental</w:t>
      </w:r>
      <w:r w:rsidR="00164162" w:rsidRPr="00D26E0D">
        <w:rPr>
          <w:rFonts w:ascii="Arial" w:hAnsi="Arial" w:cs="Arial"/>
          <w:sz w:val="20"/>
        </w:rPr>
        <w:t xml:space="preserve"> </w:t>
      </w:r>
      <w:r w:rsidR="008D6EB9" w:rsidRPr="00D26E0D">
        <w:rPr>
          <w:rFonts w:ascii="Arial" w:hAnsi="Arial" w:cs="Arial"/>
          <w:sz w:val="20"/>
        </w:rPr>
        <w:t>Sustainability</w:t>
      </w:r>
      <w:r w:rsidR="00D26E0D">
        <w:rPr>
          <w:rFonts w:ascii="Arial" w:hAnsi="Arial" w:cs="Arial"/>
          <w:sz w:val="20"/>
        </w:rPr>
        <w:t>.</w:t>
      </w:r>
    </w:p>
    <w:p w:rsidR="00D26E0D" w:rsidRDefault="00D26E0D" w:rsidP="00D26E0D"/>
    <w:p w:rsidR="008D6EB9" w:rsidRPr="00802264" w:rsidRDefault="008D6EB9" w:rsidP="00D26E0D">
      <w:r w:rsidRPr="00802264">
        <w:t>When developing levels of service, asset managers and service managers need to identify those categories that have the greatest impact on the service being provided, and what data can be captured and measured to ensure the levels of service are being met.</w:t>
      </w:r>
    </w:p>
    <w:p w:rsidR="008D6EB9" w:rsidRPr="00802264" w:rsidRDefault="008D6EB9" w:rsidP="00D26E0D">
      <w:r w:rsidRPr="00802264">
        <w:t>The focus of the BAMP is to document the Technical Levels of Service that will be used by the Buildings and Property Branch in order to maintain Council’s building assets to meet the desired community levels of service that have been developed by Service Managers.</w:t>
      </w:r>
    </w:p>
    <w:p w:rsidR="00E96F28" w:rsidRPr="00CF2212" w:rsidRDefault="00E96F28" w:rsidP="00CF2212">
      <w:pPr>
        <w:pStyle w:val="Heading2"/>
      </w:pPr>
      <w:bookmarkStart w:id="327" w:name="_Toc269810721"/>
      <w:bookmarkStart w:id="328" w:name="_Toc269810815"/>
      <w:bookmarkStart w:id="329" w:name="_Toc269815466"/>
      <w:bookmarkStart w:id="330" w:name="_Toc269846366"/>
      <w:bookmarkStart w:id="331" w:name="_Toc270519792"/>
      <w:bookmarkStart w:id="332" w:name="_Toc270519846"/>
      <w:bookmarkStart w:id="333" w:name="_Toc270605275"/>
      <w:bookmarkStart w:id="334" w:name="_Toc270605442"/>
      <w:bookmarkStart w:id="335" w:name="_Toc270682942"/>
      <w:bookmarkStart w:id="336" w:name="_Toc271708893"/>
      <w:bookmarkStart w:id="337" w:name="_Toc271786757"/>
      <w:bookmarkStart w:id="338" w:name="_Toc271810880"/>
      <w:bookmarkStart w:id="339" w:name="_Toc364945258"/>
      <w:r w:rsidRPr="00CF2212">
        <w:t>Overview</w:t>
      </w:r>
      <w:bookmarkEnd w:id="327"/>
      <w:bookmarkEnd w:id="328"/>
      <w:bookmarkEnd w:id="329"/>
      <w:bookmarkEnd w:id="330"/>
      <w:bookmarkEnd w:id="331"/>
      <w:bookmarkEnd w:id="332"/>
      <w:bookmarkEnd w:id="333"/>
      <w:bookmarkEnd w:id="334"/>
      <w:bookmarkEnd w:id="335"/>
      <w:bookmarkEnd w:id="336"/>
      <w:bookmarkEnd w:id="337"/>
      <w:bookmarkEnd w:id="338"/>
      <w:bookmarkEnd w:id="339"/>
    </w:p>
    <w:p w:rsidR="00EE73E2" w:rsidRPr="00802264" w:rsidRDefault="00EE73E2" w:rsidP="002F775C">
      <w:r w:rsidRPr="00802264">
        <w:t xml:space="preserve">This section outlines how asset management decisions are guided by a clear understanding of the Council liveability principles, customer and stakeholder expectations, service levels and standards (as defined by legislation and industry bodies). </w:t>
      </w:r>
    </w:p>
    <w:p w:rsidR="00EE73E2" w:rsidRPr="00802264" w:rsidRDefault="00EE73E2" w:rsidP="002F775C"/>
    <w:p w:rsidR="00EE73E2" w:rsidRPr="00802264" w:rsidRDefault="00EE73E2" w:rsidP="002F775C">
      <w:r w:rsidRPr="00802264">
        <w:t>The L</w:t>
      </w:r>
      <w:r w:rsidR="00292C4F" w:rsidRPr="00802264">
        <w:t>evels of Service</w:t>
      </w:r>
      <w:r w:rsidRPr="00802264">
        <w:t xml:space="preserve"> identified in this </w:t>
      </w:r>
      <w:r w:rsidR="00B12327">
        <w:t>B</w:t>
      </w:r>
      <w:r w:rsidRPr="00802264">
        <w:t xml:space="preserve">AMP forms part of the Council’s Performance Management Framework and are defined as outputs that </w:t>
      </w:r>
      <w:r w:rsidR="006A6C2D" w:rsidRPr="00802264">
        <w:t>Yarra</w:t>
      </w:r>
      <w:r w:rsidR="00622DC3">
        <w:t xml:space="preserve"> City Council</w:t>
      </w:r>
      <w:r w:rsidRPr="00802264">
        <w:t xml:space="preserve"> is expected to deliver that either demonstrate value to the community or are key to the way public uses or experiences the activity.</w:t>
      </w:r>
    </w:p>
    <w:p w:rsidR="00EE73E2" w:rsidRPr="00802264" w:rsidRDefault="00EE73E2" w:rsidP="002F775C"/>
    <w:p w:rsidR="00EE73E2" w:rsidRPr="00802264" w:rsidRDefault="00EE73E2" w:rsidP="002F775C">
      <w:r w:rsidRPr="00802264">
        <w:t>A clear definition of the community’s needs and expectations is required to ensure that asset plans accurately reflect both the quantity and quality of assets required to satisfy the community’s needs for the delivery of services.</w:t>
      </w:r>
    </w:p>
    <w:p w:rsidR="00EE73E2" w:rsidRPr="00802264" w:rsidRDefault="00EE73E2" w:rsidP="002F775C"/>
    <w:p w:rsidR="00EE73E2" w:rsidRPr="00802264" w:rsidRDefault="00EE73E2" w:rsidP="002F775C">
      <w:r w:rsidRPr="00802264">
        <w:t xml:space="preserve">The Asset Management Framework stipulates that asset management decisions and practices should be </w:t>
      </w:r>
      <w:r w:rsidR="005D1C45" w:rsidRPr="00802264">
        <w:t>based</w:t>
      </w:r>
      <w:r w:rsidRPr="00802264">
        <w:t xml:space="preserve"> on the fact that assets exist to support the delivery of service outcomes to the community. In other words, a better or bigger asset does not always automatically equate to better service. </w:t>
      </w:r>
    </w:p>
    <w:p w:rsidR="00EE73E2" w:rsidRPr="00802264" w:rsidRDefault="00EE73E2" w:rsidP="002F775C"/>
    <w:p w:rsidR="00EE73E2" w:rsidRPr="00802264" w:rsidRDefault="00EE73E2" w:rsidP="002F775C">
      <w:r w:rsidRPr="00802264">
        <w:t xml:space="preserve">Details of the measures and mechanisms used to assess performance are provided in the following sections. Performance of assets and related activities are evaluated by both quantitative and qualitative measures that will ascertain whether levels of service have been delivered. </w:t>
      </w:r>
    </w:p>
    <w:p w:rsidR="00EE73E2" w:rsidRPr="00802264" w:rsidRDefault="00EE73E2" w:rsidP="002F775C"/>
    <w:p w:rsidR="00EE73E2" w:rsidRDefault="00EE73E2" w:rsidP="002F775C">
      <w:r w:rsidRPr="00802264">
        <w:t xml:space="preserve">This </w:t>
      </w:r>
      <w:r w:rsidR="0008506F">
        <w:t>B</w:t>
      </w:r>
      <w:r w:rsidRPr="00802264">
        <w:t>AMP will outline strategies to address any gaps identified between the assisting asset portfolio and the desired service outcomes.</w:t>
      </w:r>
    </w:p>
    <w:p w:rsidR="00D26E0D" w:rsidRPr="00802264" w:rsidRDefault="00D26E0D" w:rsidP="002F775C"/>
    <w:p w:rsidR="004E4BB8" w:rsidRDefault="004E4BB8" w:rsidP="002F775C">
      <w:r w:rsidRPr="00802264">
        <w:t>The development of levels of service demonstrates Council’s ability to integrate servic</w:t>
      </w:r>
      <w:r w:rsidR="0067277B">
        <w:t>e and asset management decision-</w:t>
      </w:r>
      <w:r w:rsidRPr="00802264">
        <w:t xml:space="preserve">making in order to deliver cost-effective services that meet community needs. Improvements in Council’s asset management performance and financial sustainability can be expected. </w:t>
      </w:r>
    </w:p>
    <w:p w:rsidR="00D26E0D" w:rsidRPr="00802264" w:rsidRDefault="00D26E0D" w:rsidP="002F775C"/>
    <w:p w:rsidR="004E4BB8" w:rsidRDefault="004E4BB8" w:rsidP="002F775C">
      <w:r w:rsidRPr="00802264">
        <w:t xml:space="preserve">Defining service levels will improve future asset management performance in a number of ways: </w:t>
      </w:r>
    </w:p>
    <w:p w:rsidR="00B12327" w:rsidRPr="00802264" w:rsidRDefault="00B12327" w:rsidP="002F775C"/>
    <w:p w:rsidR="004E4BB8" w:rsidRPr="00D26E0D" w:rsidRDefault="004E4BB8" w:rsidP="008348B5">
      <w:pPr>
        <w:pStyle w:val="ListParagraph"/>
        <w:numPr>
          <w:ilvl w:val="0"/>
          <w:numId w:val="59"/>
        </w:numPr>
        <w:rPr>
          <w:rFonts w:ascii="Arial" w:hAnsi="Arial" w:cs="Arial"/>
          <w:sz w:val="20"/>
        </w:rPr>
      </w:pPr>
      <w:r w:rsidRPr="00D26E0D">
        <w:rPr>
          <w:rFonts w:ascii="Arial" w:hAnsi="Arial" w:cs="Arial"/>
          <w:sz w:val="20"/>
        </w:rPr>
        <w:t>Provide either the community</w:t>
      </w:r>
      <w:r w:rsidR="008473C2">
        <w:rPr>
          <w:rFonts w:ascii="Arial" w:hAnsi="Arial" w:cs="Arial"/>
          <w:sz w:val="20"/>
        </w:rPr>
        <w:t xml:space="preserve"> and</w:t>
      </w:r>
      <w:r w:rsidRPr="00D26E0D">
        <w:rPr>
          <w:rFonts w:ascii="Arial" w:hAnsi="Arial" w:cs="Arial"/>
          <w:sz w:val="20"/>
        </w:rPr>
        <w:t xml:space="preserve">/or internal stakeholders with </w:t>
      </w:r>
      <w:r w:rsidR="00B12327" w:rsidRPr="00D26E0D">
        <w:rPr>
          <w:rFonts w:ascii="Arial" w:hAnsi="Arial" w:cs="Arial"/>
          <w:sz w:val="20"/>
        </w:rPr>
        <w:t xml:space="preserve">a </w:t>
      </w:r>
      <w:r w:rsidRPr="00D26E0D">
        <w:rPr>
          <w:rFonts w:ascii="Arial" w:hAnsi="Arial" w:cs="Arial"/>
          <w:sz w:val="20"/>
        </w:rPr>
        <w:t xml:space="preserve">clear </w:t>
      </w:r>
      <w:r w:rsidR="00B12327" w:rsidRPr="00D26E0D">
        <w:rPr>
          <w:rFonts w:ascii="Arial" w:hAnsi="Arial" w:cs="Arial"/>
          <w:sz w:val="20"/>
        </w:rPr>
        <w:t>description</w:t>
      </w:r>
      <w:r w:rsidRPr="00D26E0D">
        <w:rPr>
          <w:rFonts w:ascii="Arial" w:hAnsi="Arial" w:cs="Arial"/>
          <w:sz w:val="20"/>
        </w:rPr>
        <w:t xml:space="preserve"> of the services </w:t>
      </w:r>
      <w:r w:rsidR="00B12327" w:rsidRPr="00D26E0D">
        <w:rPr>
          <w:rFonts w:ascii="Arial" w:hAnsi="Arial" w:cs="Arial"/>
          <w:sz w:val="20"/>
        </w:rPr>
        <w:t>that Council currently provides.</w:t>
      </w:r>
    </w:p>
    <w:p w:rsidR="004E4BB8" w:rsidRPr="00D26E0D" w:rsidRDefault="00B12327" w:rsidP="008348B5">
      <w:pPr>
        <w:pStyle w:val="ListParagraph"/>
        <w:numPr>
          <w:ilvl w:val="0"/>
          <w:numId w:val="59"/>
        </w:numPr>
        <w:rPr>
          <w:rFonts w:ascii="Arial" w:hAnsi="Arial" w:cs="Arial"/>
          <w:sz w:val="20"/>
        </w:rPr>
      </w:pPr>
      <w:r w:rsidRPr="00D26E0D">
        <w:rPr>
          <w:rFonts w:ascii="Arial" w:hAnsi="Arial" w:cs="Arial"/>
          <w:sz w:val="20"/>
        </w:rPr>
        <w:t>Describe</w:t>
      </w:r>
      <w:r w:rsidR="004E4BB8" w:rsidRPr="00D26E0D">
        <w:rPr>
          <w:rFonts w:ascii="Arial" w:hAnsi="Arial" w:cs="Arial"/>
          <w:sz w:val="20"/>
        </w:rPr>
        <w:t xml:space="preserve"> the maintenance and renewal standards that Council currently provides.</w:t>
      </w:r>
    </w:p>
    <w:p w:rsidR="004E4BB8" w:rsidRPr="00D26E0D" w:rsidRDefault="004E4BB8" w:rsidP="008348B5">
      <w:pPr>
        <w:pStyle w:val="ListParagraph"/>
        <w:numPr>
          <w:ilvl w:val="0"/>
          <w:numId w:val="59"/>
        </w:numPr>
        <w:rPr>
          <w:rFonts w:ascii="Arial" w:hAnsi="Arial" w:cs="Arial"/>
          <w:sz w:val="20"/>
        </w:rPr>
      </w:pPr>
      <w:r w:rsidRPr="00D26E0D">
        <w:rPr>
          <w:rFonts w:ascii="Arial" w:hAnsi="Arial" w:cs="Arial"/>
          <w:sz w:val="20"/>
        </w:rPr>
        <w:t>Identify gaps in service and asset management practices.</w:t>
      </w:r>
    </w:p>
    <w:p w:rsidR="004E4BB8" w:rsidRPr="00D26E0D" w:rsidRDefault="004E4BB8" w:rsidP="008348B5">
      <w:pPr>
        <w:pStyle w:val="ListParagraph"/>
        <w:numPr>
          <w:ilvl w:val="0"/>
          <w:numId w:val="59"/>
        </w:numPr>
        <w:rPr>
          <w:rFonts w:ascii="Arial" w:hAnsi="Arial" w:cs="Arial"/>
          <w:sz w:val="20"/>
        </w:rPr>
      </w:pPr>
      <w:r w:rsidRPr="00D26E0D">
        <w:rPr>
          <w:rFonts w:ascii="Arial" w:hAnsi="Arial" w:cs="Arial"/>
          <w:sz w:val="20"/>
        </w:rPr>
        <w:t>Align service delivery objectives, used by Council’s Service Managers, with the strategic objectives set by Council.</w:t>
      </w:r>
    </w:p>
    <w:p w:rsidR="004E4BB8" w:rsidRPr="00D26E0D" w:rsidRDefault="004E4BB8" w:rsidP="008348B5">
      <w:pPr>
        <w:pStyle w:val="ListParagraph"/>
        <w:numPr>
          <w:ilvl w:val="0"/>
          <w:numId w:val="59"/>
        </w:numPr>
        <w:rPr>
          <w:rFonts w:ascii="Arial" w:hAnsi="Arial" w:cs="Arial"/>
          <w:sz w:val="20"/>
        </w:rPr>
      </w:pPr>
      <w:r w:rsidRPr="00D26E0D">
        <w:rPr>
          <w:rFonts w:ascii="Arial" w:hAnsi="Arial" w:cs="Arial"/>
          <w:sz w:val="20"/>
        </w:rPr>
        <w:t>Align the technical service levels (operational activities and performance indicators) used by the Asset Manager with the service delivery objectives used by Council’s Service Managers.</w:t>
      </w:r>
    </w:p>
    <w:p w:rsidR="004E4BB8" w:rsidRPr="00D26E0D" w:rsidRDefault="004E4BB8" w:rsidP="008348B5">
      <w:pPr>
        <w:pStyle w:val="ListParagraph"/>
        <w:numPr>
          <w:ilvl w:val="0"/>
          <w:numId w:val="59"/>
        </w:numPr>
        <w:rPr>
          <w:rFonts w:ascii="Arial" w:hAnsi="Arial" w:cs="Arial"/>
          <w:sz w:val="20"/>
        </w:rPr>
      </w:pPr>
      <w:r w:rsidRPr="00D26E0D">
        <w:rPr>
          <w:rFonts w:ascii="Arial" w:hAnsi="Arial" w:cs="Arial"/>
          <w:sz w:val="20"/>
        </w:rPr>
        <w:t>Provide performance targets against which Council’s current and future Asset performance can be measured.</w:t>
      </w:r>
    </w:p>
    <w:p w:rsidR="004E4BB8" w:rsidRPr="00D26E0D" w:rsidRDefault="004E4BB8" w:rsidP="008348B5">
      <w:pPr>
        <w:pStyle w:val="ListParagraph"/>
        <w:numPr>
          <w:ilvl w:val="0"/>
          <w:numId w:val="59"/>
        </w:numPr>
        <w:rPr>
          <w:rFonts w:ascii="Arial" w:hAnsi="Arial" w:cs="Arial"/>
          <w:sz w:val="20"/>
        </w:rPr>
      </w:pPr>
      <w:r w:rsidRPr="00D26E0D">
        <w:rPr>
          <w:rFonts w:ascii="Arial" w:hAnsi="Arial" w:cs="Arial"/>
          <w:sz w:val="20"/>
        </w:rPr>
        <w:t xml:space="preserve">Enable Council to determine the cost, and feasible timeframes for achieving documented desired service levels. </w:t>
      </w:r>
    </w:p>
    <w:p w:rsidR="007C70ED" w:rsidRPr="00802264" w:rsidRDefault="007C70ED" w:rsidP="00D26E0D"/>
    <w:p w:rsidR="007C70ED" w:rsidRDefault="007C70ED" w:rsidP="00D26E0D">
      <w:r w:rsidRPr="00802264">
        <w:t>The development of levels of service demonstrates Council’s ability to integrate service and asset management decision</w:t>
      </w:r>
      <w:r w:rsidR="0067277B">
        <w:t>-</w:t>
      </w:r>
      <w:r w:rsidRPr="00802264">
        <w:t xml:space="preserve">making in order to deliver cost-effective services that meet community needs. Improvements in Council’s asset management performance and financial sustainability can be expected. </w:t>
      </w:r>
    </w:p>
    <w:p w:rsidR="00E27317" w:rsidRPr="00802264" w:rsidRDefault="00E27317" w:rsidP="00D26E0D"/>
    <w:p w:rsidR="004E4BB8" w:rsidRPr="00CF2212" w:rsidRDefault="004E4BB8" w:rsidP="00CF2212">
      <w:pPr>
        <w:pStyle w:val="Heading2"/>
      </w:pPr>
      <w:bookmarkStart w:id="340" w:name="_Toc364945259"/>
      <w:r w:rsidRPr="00CF2212">
        <w:t>Basis of the Levels of Service</w:t>
      </w:r>
      <w:bookmarkEnd w:id="340"/>
    </w:p>
    <w:p w:rsidR="004E4BB8" w:rsidRDefault="004E4BB8" w:rsidP="00D26E0D">
      <w:r w:rsidRPr="00802264">
        <w:t>The levels of service will be used:</w:t>
      </w:r>
    </w:p>
    <w:p w:rsidR="00D26E0D" w:rsidRPr="00802264" w:rsidRDefault="00D26E0D" w:rsidP="00D26E0D"/>
    <w:p w:rsidR="004E4BB8" w:rsidRPr="00D26E0D" w:rsidRDefault="004E4BB8" w:rsidP="008348B5">
      <w:pPr>
        <w:pStyle w:val="ListParagraph"/>
        <w:numPr>
          <w:ilvl w:val="0"/>
          <w:numId w:val="60"/>
        </w:numPr>
        <w:rPr>
          <w:rFonts w:ascii="Arial" w:hAnsi="Arial" w:cs="Arial"/>
          <w:sz w:val="20"/>
        </w:rPr>
      </w:pPr>
      <w:r w:rsidRPr="00D26E0D">
        <w:rPr>
          <w:rFonts w:ascii="Arial" w:hAnsi="Arial" w:cs="Arial"/>
          <w:sz w:val="20"/>
        </w:rPr>
        <w:t>To inform customers of the proposed type and level of service to be offered;</w:t>
      </w:r>
    </w:p>
    <w:p w:rsidR="004E4BB8" w:rsidRPr="00D26E0D" w:rsidRDefault="004E4BB8" w:rsidP="008348B5">
      <w:pPr>
        <w:pStyle w:val="ListParagraph"/>
        <w:numPr>
          <w:ilvl w:val="0"/>
          <w:numId w:val="60"/>
        </w:numPr>
        <w:rPr>
          <w:rFonts w:ascii="Arial" w:hAnsi="Arial" w:cs="Arial"/>
          <w:sz w:val="20"/>
        </w:rPr>
      </w:pPr>
      <w:r w:rsidRPr="00D26E0D">
        <w:rPr>
          <w:rFonts w:ascii="Arial" w:hAnsi="Arial" w:cs="Arial"/>
          <w:sz w:val="20"/>
        </w:rPr>
        <w:t>As a focus for the A</w:t>
      </w:r>
      <w:r w:rsidR="005419D7">
        <w:rPr>
          <w:rFonts w:ascii="Arial" w:hAnsi="Arial" w:cs="Arial"/>
          <w:sz w:val="20"/>
        </w:rPr>
        <w:t>sset Management</w:t>
      </w:r>
      <w:r w:rsidRPr="00D26E0D">
        <w:rPr>
          <w:rFonts w:ascii="Arial" w:hAnsi="Arial" w:cs="Arial"/>
          <w:sz w:val="20"/>
        </w:rPr>
        <w:t xml:space="preserve"> strategies developed to deliver the required level of service;</w:t>
      </w:r>
    </w:p>
    <w:p w:rsidR="004E4BB8" w:rsidRPr="00D26E0D" w:rsidRDefault="004E4BB8" w:rsidP="008348B5">
      <w:pPr>
        <w:pStyle w:val="ListParagraph"/>
        <w:numPr>
          <w:ilvl w:val="0"/>
          <w:numId w:val="60"/>
        </w:numPr>
        <w:rPr>
          <w:rFonts w:ascii="Arial" w:hAnsi="Arial" w:cs="Arial"/>
          <w:sz w:val="20"/>
        </w:rPr>
      </w:pPr>
      <w:r w:rsidRPr="00D26E0D">
        <w:rPr>
          <w:rFonts w:ascii="Arial" w:hAnsi="Arial" w:cs="Arial"/>
          <w:sz w:val="20"/>
        </w:rPr>
        <w:t>As a measure of the effectiveness of the A</w:t>
      </w:r>
      <w:r w:rsidR="005419D7">
        <w:rPr>
          <w:rFonts w:ascii="Arial" w:hAnsi="Arial" w:cs="Arial"/>
          <w:sz w:val="20"/>
        </w:rPr>
        <w:t>sset Management</w:t>
      </w:r>
      <w:r w:rsidRPr="00D26E0D">
        <w:rPr>
          <w:rFonts w:ascii="Arial" w:hAnsi="Arial" w:cs="Arial"/>
          <w:sz w:val="20"/>
        </w:rPr>
        <w:t xml:space="preserve"> plan;</w:t>
      </w:r>
    </w:p>
    <w:p w:rsidR="004E4BB8" w:rsidRPr="00D26E0D" w:rsidRDefault="004E4BB8" w:rsidP="008348B5">
      <w:pPr>
        <w:pStyle w:val="ListParagraph"/>
        <w:numPr>
          <w:ilvl w:val="0"/>
          <w:numId w:val="60"/>
        </w:numPr>
        <w:rPr>
          <w:rFonts w:ascii="Arial" w:hAnsi="Arial" w:cs="Arial"/>
          <w:sz w:val="20"/>
        </w:rPr>
      </w:pPr>
      <w:r w:rsidRPr="00D26E0D">
        <w:rPr>
          <w:rFonts w:ascii="Arial" w:hAnsi="Arial" w:cs="Arial"/>
          <w:sz w:val="20"/>
        </w:rPr>
        <w:t>To identify the costs and benefits of the services offered; and</w:t>
      </w:r>
    </w:p>
    <w:p w:rsidR="004E4BB8" w:rsidRPr="00D26E0D" w:rsidRDefault="004E4BB8" w:rsidP="008348B5">
      <w:pPr>
        <w:pStyle w:val="ListParagraph"/>
        <w:numPr>
          <w:ilvl w:val="0"/>
          <w:numId w:val="60"/>
        </w:numPr>
        <w:rPr>
          <w:rFonts w:ascii="Arial" w:hAnsi="Arial" w:cs="Arial"/>
          <w:sz w:val="20"/>
        </w:rPr>
      </w:pPr>
      <w:r w:rsidRPr="00D26E0D">
        <w:rPr>
          <w:rFonts w:ascii="Arial" w:hAnsi="Arial" w:cs="Arial"/>
          <w:sz w:val="20"/>
        </w:rPr>
        <w:t>To enable customers to assess suitability, affordability and equity of the services offered.</w:t>
      </w:r>
    </w:p>
    <w:p w:rsidR="006D6E45" w:rsidRPr="00802264" w:rsidRDefault="006D6E45" w:rsidP="00D26E0D">
      <w:pPr>
        <w:rPr>
          <w:rFonts w:cs="Arial"/>
        </w:rPr>
      </w:pPr>
    </w:p>
    <w:tbl>
      <w:tblPr>
        <w:tblStyle w:val="TableGrid"/>
        <w:tblW w:w="0" w:type="auto"/>
        <w:jc w:val="center"/>
        <w:tblLook w:val="04A0" w:firstRow="1" w:lastRow="0" w:firstColumn="1" w:lastColumn="0" w:noHBand="0" w:noVBand="1"/>
      </w:tblPr>
      <w:tblGrid>
        <w:gridCol w:w="2580"/>
        <w:gridCol w:w="6546"/>
      </w:tblGrid>
      <w:tr w:rsidR="006D6E45" w:rsidRPr="0024611A" w:rsidTr="00CB495A">
        <w:trPr>
          <w:cantSplit/>
          <w:jc w:val="center"/>
        </w:trPr>
        <w:tc>
          <w:tcPr>
            <w:tcW w:w="9126" w:type="dxa"/>
            <w:gridSpan w:val="2"/>
            <w:shd w:val="clear" w:color="auto" w:fill="95B3D7" w:themeFill="accent1" w:themeFillTint="99"/>
            <w:vAlign w:val="center"/>
          </w:tcPr>
          <w:p w:rsidR="006D6E45" w:rsidRPr="0024611A" w:rsidRDefault="006D6E45" w:rsidP="00704BA9">
            <w:pPr>
              <w:spacing w:before="120" w:after="120"/>
              <w:rPr>
                <w:b/>
                <w:sz w:val="20"/>
              </w:rPr>
            </w:pPr>
            <w:r w:rsidRPr="0024611A">
              <w:rPr>
                <w:b/>
                <w:sz w:val="20"/>
              </w:rPr>
              <w:t xml:space="preserve">Basis for </w:t>
            </w:r>
            <w:r w:rsidR="00704BA9" w:rsidRPr="0024611A">
              <w:rPr>
                <w:b/>
                <w:sz w:val="20"/>
              </w:rPr>
              <w:t>Establishing L</w:t>
            </w:r>
            <w:r w:rsidRPr="0024611A">
              <w:rPr>
                <w:b/>
                <w:sz w:val="20"/>
              </w:rPr>
              <w:t>evels of Service</w:t>
            </w:r>
          </w:p>
        </w:tc>
      </w:tr>
      <w:tr w:rsidR="006D6E45" w:rsidRPr="0024611A" w:rsidTr="00CB495A">
        <w:trPr>
          <w:cantSplit/>
          <w:jc w:val="center"/>
        </w:trPr>
        <w:tc>
          <w:tcPr>
            <w:tcW w:w="2580" w:type="dxa"/>
          </w:tcPr>
          <w:p w:rsidR="006D6E45" w:rsidRPr="0024611A" w:rsidRDefault="006D6E45" w:rsidP="00CB495A">
            <w:pPr>
              <w:spacing w:before="120" w:after="120"/>
              <w:jc w:val="left"/>
              <w:rPr>
                <w:sz w:val="20"/>
              </w:rPr>
            </w:pPr>
            <w:r w:rsidRPr="0024611A">
              <w:rPr>
                <w:sz w:val="20"/>
              </w:rPr>
              <w:t>Community Research and Expectations</w:t>
            </w:r>
          </w:p>
        </w:tc>
        <w:tc>
          <w:tcPr>
            <w:tcW w:w="6546" w:type="dxa"/>
          </w:tcPr>
          <w:p w:rsidR="006D6E45" w:rsidRPr="0024611A" w:rsidRDefault="006D6E45" w:rsidP="00CB495A">
            <w:pPr>
              <w:pStyle w:val="Bullet"/>
              <w:numPr>
                <w:ilvl w:val="0"/>
                <w:numId w:val="0"/>
              </w:numPr>
              <w:tabs>
                <w:tab w:val="left" w:pos="426"/>
              </w:tabs>
              <w:spacing w:before="120" w:after="120"/>
              <w:rPr>
                <w:rFonts w:ascii="Arial" w:hAnsi="Arial" w:cs="Arial"/>
                <w:sz w:val="20"/>
              </w:rPr>
            </w:pPr>
            <w:r w:rsidRPr="0024611A">
              <w:rPr>
                <w:rFonts w:ascii="Arial" w:hAnsi="Arial" w:cs="Arial"/>
                <w:sz w:val="20"/>
              </w:rPr>
              <w:t>Information gathered from customers on expected quality and cost of services.</w:t>
            </w:r>
          </w:p>
        </w:tc>
      </w:tr>
      <w:tr w:rsidR="006D6E45" w:rsidRPr="0024611A" w:rsidTr="00CB495A">
        <w:trPr>
          <w:cantSplit/>
          <w:jc w:val="center"/>
        </w:trPr>
        <w:tc>
          <w:tcPr>
            <w:tcW w:w="2580" w:type="dxa"/>
          </w:tcPr>
          <w:p w:rsidR="006D6E45" w:rsidRPr="0024611A" w:rsidRDefault="006D6E45" w:rsidP="00CB495A">
            <w:pPr>
              <w:spacing w:before="120" w:after="120"/>
              <w:jc w:val="left"/>
              <w:rPr>
                <w:sz w:val="20"/>
              </w:rPr>
            </w:pPr>
            <w:r w:rsidRPr="0024611A">
              <w:rPr>
                <w:sz w:val="20"/>
              </w:rPr>
              <w:t>Strategic and Corporate Goals</w:t>
            </w:r>
          </w:p>
        </w:tc>
        <w:tc>
          <w:tcPr>
            <w:tcW w:w="6546" w:type="dxa"/>
          </w:tcPr>
          <w:p w:rsidR="006D6E45" w:rsidRPr="0024611A" w:rsidRDefault="006D6E45" w:rsidP="00CB495A">
            <w:pPr>
              <w:spacing w:before="120" w:after="120"/>
              <w:jc w:val="left"/>
              <w:rPr>
                <w:sz w:val="20"/>
              </w:rPr>
            </w:pPr>
            <w:r w:rsidRPr="0024611A">
              <w:rPr>
                <w:sz w:val="20"/>
              </w:rPr>
              <w:t>Provides guidance for the scope of current and future services offered, the manner of the service delivery and defines the specific levels of service that the Council wishes to achieve</w:t>
            </w:r>
          </w:p>
        </w:tc>
      </w:tr>
      <w:tr w:rsidR="006D6E45" w:rsidRPr="0024611A" w:rsidTr="00CB495A">
        <w:trPr>
          <w:cantSplit/>
          <w:jc w:val="center"/>
        </w:trPr>
        <w:tc>
          <w:tcPr>
            <w:tcW w:w="2580" w:type="dxa"/>
          </w:tcPr>
          <w:p w:rsidR="006D6E45" w:rsidRPr="0024611A" w:rsidRDefault="006D6E45" w:rsidP="00CB495A">
            <w:pPr>
              <w:spacing w:before="120" w:after="120"/>
              <w:jc w:val="left"/>
              <w:rPr>
                <w:sz w:val="20"/>
              </w:rPr>
            </w:pPr>
            <w:r w:rsidRPr="0024611A">
              <w:rPr>
                <w:sz w:val="20"/>
              </w:rPr>
              <w:t>Legislative Requirements, Compliance</w:t>
            </w:r>
          </w:p>
        </w:tc>
        <w:tc>
          <w:tcPr>
            <w:tcW w:w="6546" w:type="dxa"/>
          </w:tcPr>
          <w:p w:rsidR="006D6E45" w:rsidRPr="0024611A" w:rsidRDefault="006D6E45" w:rsidP="00CB495A">
            <w:pPr>
              <w:spacing w:before="120" w:after="120"/>
              <w:jc w:val="left"/>
              <w:rPr>
                <w:sz w:val="20"/>
              </w:rPr>
            </w:pPr>
            <w:r w:rsidRPr="0024611A">
              <w:rPr>
                <w:sz w:val="20"/>
              </w:rPr>
              <w:t>Legislation, Regulations, Environmental Standards and Council by-laws that impact on the way assets are managed</w:t>
            </w:r>
          </w:p>
        </w:tc>
      </w:tr>
      <w:tr w:rsidR="006D6E45" w:rsidRPr="0024611A" w:rsidTr="00CB495A">
        <w:trPr>
          <w:cantSplit/>
          <w:jc w:val="center"/>
        </w:trPr>
        <w:tc>
          <w:tcPr>
            <w:tcW w:w="2580" w:type="dxa"/>
          </w:tcPr>
          <w:p w:rsidR="006D6E45" w:rsidRPr="0024611A" w:rsidRDefault="006D6E45" w:rsidP="00CB495A">
            <w:pPr>
              <w:spacing w:before="120" w:after="120"/>
              <w:jc w:val="left"/>
              <w:rPr>
                <w:sz w:val="20"/>
              </w:rPr>
            </w:pPr>
            <w:r w:rsidRPr="0024611A">
              <w:rPr>
                <w:sz w:val="20"/>
              </w:rPr>
              <w:t>Design Standards and Codes of Practice</w:t>
            </w:r>
          </w:p>
        </w:tc>
        <w:tc>
          <w:tcPr>
            <w:tcW w:w="6546" w:type="dxa"/>
          </w:tcPr>
          <w:p w:rsidR="006D6E45" w:rsidRPr="0024611A" w:rsidRDefault="006D6E45" w:rsidP="00CB495A">
            <w:pPr>
              <w:spacing w:before="120" w:after="120"/>
              <w:jc w:val="left"/>
              <w:rPr>
                <w:sz w:val="20"/>
              </w:rPr>
            </w:pPr>
            <w:r w:rsidRPr="0024611A">
              <w:rPr>
                <w:sz w:val="20"/>
              </w:rPr>
              <w:t>Australian Design Standards also provide the minimum design parameters for infrastructure delivery</w:t>
            </w:r>
            <w:r w:rsidR="00B12327" w:rsidRPr="0024611A">
              <w:rPr>
                <w:sz w:val="20"/>
              </w:rPr>
              <w:t>.</w:t>
            </w:r>
          </w:p>
        </w:tc>
      </w:tr>
    </w:tbl>
    <w:p w:rsidR="003E5B9F" w:rsidRPr="0091425F" w:rsidRDefault="003E5B9F" w:rsidP="003E5B9F">
      <w:pPr>
        <w:pStyle w:val="Caption"/>
        <w:spacing w:before="240" w:after="240"/>
        <w:ind w:left="0"/>
        <w:jc w:val="center"/>
        <w:rPr>
          <w:rFonts w:ascii="Arial" w:hAnsi="Arial"/>
          <w:i w:val="0"/>
          <w:iCs w:val="0"/>
          <w:sz w:val="20"/>
          <w:lang w:val="en-AU"/>
        </w:rPr>
      </w:pPr>
      <w:bookmarkStart w:id="341" w:name="_Toc364945425"/>
      <w:r w:rsidRPr="0091425F">
        <w:rPr>
          <w:rFonts w:ascii="Arial" w:hAnsi="Arial"/>
          <w:i w:val="0"/>
          <w:iCs w:val="0"/>
          <w:sz w:val="20"/>
          <w:lang w:val="en-AU"/>
        </w:rPr>
        <w:t xml:space="preserve">Table </w:t>
      </w:r>
      <w:r w:rsidR="0090414C" w:rsidRPr="0091425F">
        <w:rPr>
          <w:rFonts w:ascii="Arial" w:hAnsi="Arial"/>
          <w:i w:val="0"/>
          <w:iCs w:val="0"/>
          <w:sz w:val="20"/>
          <w:lang w:val="en-AU"/>
        </w:rPr>
        <w:fldChar w:fldCharType="begin"/>
      </w:r>
      <w:r w:rsidRPr="0091425F">
        <w:rPr>
          <w:rFonts w:ascii="Arial" w:hAnsi="Arial"/>
          <w:i w:val="0"/>
          <w:iCs w:val="0"/>
          <w:sz w:val="20"/>
          <w:lang w:val="en-AU"/>
        </w:rPr>
        <w:instrText xml:space="preserve"> SEQ Table \* ARABIC </w:instrText>
      </w:r>
      <w:r w:rsidR="0090414C" w:rsidRPr="0091425F">
        <w:rPr>
          <w:rFonts w:ascii="Arial" w:hAnsi="Arial"/>
          <w:i w:val="0"/>
          <w:iCs w:val="0"/>
          <w:sz w:val="20"/>
          <w:lang w:val="en-AU"/>
        </w:rPr>
        <w:fldChar w:fldCharType="separate"/>
      </w:r>
      <w:r w:rsidR="00751CEC">
        <w:rPr>
          <w:rFonts w:ascii="Arial" w:hAnsi="Arial"/>
          <w:i w:val="0"/>
          <w:iCs w:val="0"/>
          <w:noProof/>
          <w:sz w:val="20"/>
          <w:lang w:val="en-AU"/>
        </w:rPr>
        <w:t>21</w:t>
      </w:r>
      <w:r w:rsidR="0090414C" w:rsidRPr="0091425F">
        <w:rPr>
          <w:rFonts w:ascii="Arial" w:hAnsi="Arial"/>
          <w:i w:val="0"/>
          <w:iCs w:val="0"/>
          <w:sz w:val="20"/>
          <w:lang w:val="en-AU"/>
        </w:rPr>
        <w:fldChar w:fldCharType="end"/>
      </w:r>
      <w:r w:rsidRPr="0091425F">
        <w:rPr>
          <w:rFonts w:ascii="Arial" w:hAnsi="Arial"/>
          <w:i w:val="0"/>
          <w:iCs w:val="0"/>
          <w:sz w:val="20"/>
          <w:lang w:val="en-AU"/>
        </w:rPr>
        <w:t>:  Basis for Establishing Levels of Service</w:t>
      </w:r>
      <w:bookmarkEnd w:id="341"/>
    </w:p>
    <w:p w:rsidR="00E96F28" w:rsidRPr="00CF2212" w:rsidRDefault="00E96F28" w:rsidP="00CF2212">
      <w:pPr>
        <w:pStyle w:val="Heading2"/>
      </w:pPr>
      <w:bookmarkStart w:id="342" w:name="_Toc364945260"/>
      <w:r w:rsidRPr="00CF2212">
        <w:t>Customers and Stakeholders</w:t>
      </w:r>
      <w:bookmarkEnd w:id="342"/>
      <w:r w:rsidRPr="00CF2212">
        <w:t xml:space="preserve"> </w:t>
      </w:r>
    </w:p>
    <w:p w:rsidR="007C70ED" w:rsidRDefault="007C70ED" w:rsidP="002F775C">
      <w:r w:rsidRPr="00802264">
        <w:t xml:space="preserve">The BAMP is intended to demonstrate to stakeholders that Council is managing the assets responsibly by articulating the key issues, documenting action plans and quantifying the future costs to undertake works and manage the assets both short and long term.  </w:t>
      </w:r>
    </w:p>
    <w:p w:rsidR="00430953" w:rsidRPr="00802264" w:rsidRDefault="00430953" w:rsidP="002F775C"/>
    <w:p w:rsidR="007C70ED" w:rsidRDefault="007C70ED" w:rsidP="002F775C">
      <w:r w:rsidRPr="00802264">
        <w:t>The key stakeholders include:</w:t>
      </w:r>
    </w:p>
    <w:p w:rsidR="00CB495A" w:rsidRPr="00802264" w:rsidRDefault="00CB495A" w:rsidP="002F775C"/>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71"/>
        <w:gridCol w:w="3096"/>
      </w:tblGrid>
      <w:tr w:rsidR="006D6E45" w:rsidRPr="00CB495A" w:rsidTr="003E5B9F">
        <w:trPr>
          <w:cantSplit/>
          <w:jc w:val="center"/>
        </w:trPr>
        <w:tc>
          <w:tcPr>
            <w:tcW w:w="6267" w:type="dxa"/>
            <w:gridSpan w:val="2"/>
            <w:shd w:val="clear" w:color="auto" w:fill="95B3D7" w:themeFill="accent1" w:themeFillTint="99"/>
            <w:vAlign w:val="center"/>
          </w:tcPr>
          <w:p w:rsidR="006D6E45" w:rsidRPr="00CB495A" w:rsidRDefault="006D6E45" w:rsidP="00CB495A">
            <w:pPr>
              <w:spacing w:before="120" w:after="120"/>
              <w:jc w:val="center"/>
              <w:rPr>
                <w:b/>
              </w:rPr>
            </w:pPr>
            <w:r w:rsidRPr="00CB495A">
              <w:rPr>
                <w:b/>
              </w:rPr>
              <w:t>Stakeholders</w:t>
            </w:r>
          </w:p>
        </w:tc>
      </w:tr>
      <w:tr w:rsidR="007C70ED" w:rsidRPr="00CB495A" w:rsidTr="003E5B9F">
        <w:trPr>
          <w:cantSplit/>
          <w:jc w:val="center"/>
        </w:trPr>
        <w:tc>
          <w:tcPr>
            <w:tcW w:w="3171" w:type="dxa"/>
          </w:tcPr>
          <w:p w:rsidR="007C70ED" w:rsidRPr="00CB495A" w:rsidRDefault="00CB495A" w:rsidP="00CB495A">
            <w:pPr>
              <w:spacing w:before="120" w:after="120"/>
            </w:pPr>
            <w:r>
              <w:t>Residents</w:t>
            </w:r>
          </w:p>
        </w:tc>
        <w:tc>
          <w:tcPr>
            <w:tcW w:w="0" w:type="auto"/>
          </w:tcPr>
          <w:p w:rsidR="007C70ED" w:rsidRPr="00CB495A" w:rsidRDefault="00CB495A" w:rsidP="00CB495A">
            <w:pPr>
              <w:spacing w:before="120" w:after="120"/>
            </w:pPr>
            <w:r>
              <w:t>State Government Departments</w:t>
            </w:r>
          </w:p>
        </w:tc>
      </w:tr>
      <w:tr w:rsidR="007C70ED" w:rsidRPr="00CB495A" w:rsidTr="003E5B9F">
        <w:trPr>
          <w:cantSplit/>
          <w:jc w:val="center"/>
        </w:trPr>
        <w:tc>
          <w:tcPr>
            <w:tcW w:w="3171" w:type="dxa"/>
          </w:tcPr>
          <w:p w:rsidR="007C70ED" w:rsidRPr="00CB495A" w:rsidRDefault="00CB495A" w:rsidP="00CB495A">
            <w:pPr>
              <w:spacing w:before="120" w:after="120"/>
            </w:pPr>
            <w:r>
              <w:t>Visitors/Shoppers</w:t>
            </w:r>
          </w:p>
        </w:tc>
        <w:tc>
          <w:tcPr>
            <w:tcW w:w="0" w:type="auto"/>
          </w:tcPr>
          <w:p w:rsidR="007C70ED" w:rsidRPr="00CB495A" w:rsidRDefault="00CB495A" w:rsidP="00CB495A">
            <w:pPr>
              <w:spacing w:before="120" w:after="120"/>
            </w:pPr>
            <w:r>
              <w:t>Local Community Groups</w:t>
            </w:r>
          </w:p>
        </w:tc>
      </w:tr>
      <w:tr w:rsidR="007C70ED" w:rsidRPr="00CB495A" w:rsidTr="003E5B9F">
        <w:trPr>
          <w:cantSplit/>
          <w:jc w:val="center"/>
        </w:trPr>
        <w:tc>
          <w:tcPr>
            <w:tcW w:w="3171" w:type="dxa"/>
          </w:tcPr>
          <w:p w:rsidR="007C70ED" w:rsidRPr="00CB495A" w:rsidRDefault="007C70ED" w:rsidP="00CB495A">
            <w:pPr>
              <w:spacing w:before="120" w:after="120"/>
            </w:pPr>
            <w:r w:rsidRPr="00CB495A">
              <w:t>Busi</w:t>
            </w:r>
            <w:r w:rsidR="00CB495A">
              <w:t>nesses</w:t>
            </w:r>
          </w:p>
        </w:tc>
        <w:tc>
          <w:tcPr>
            <w:tcW w:w="0" w:type="auto"/>
          </w:tcPr>
          <w:p w:rsidR="007C70ED" w:rsidRPr="00CB495A" w:rsidRDefault="00CB495A" w:rsidP="00CB495A">
            <w:pPr>
              <w:spacing w:before="120" w:after="120"/>
            </w:pPr>
            <w:r>
              <w:t>General Community</w:t>
            </w:r>
          </w:p>
        </w:tc>
      </w:tr>
      <w:tr w:rsidR="007C70ED" w:rsidRPr="00CB495A" w:rsidTr="003E5B9F">
        <w:trPr>
          <w:cantSplit/>
          <w:jc w:val="center"/>
        </w:trPr>
        <w:tc>
          <w:tcPr>
            <w:tcW w:w="3171" w:type="dxa"/>
          </w:tcPr>
          <w:p w:rsidR="007C70ED" w:rsidRPr="00C6605E" w:rsidRDefault="00CB495A" w:rsidP="00CB495A">
            <w:pPr>
              <w:spacing w:before="120" w:after="120"/>
            </w:pPr>
            <w:r w:rsidRPr="00C6605E">
              <w:t>Councillors</w:t>
            </w:r>
          </w:p>
        </w:tc>
        <w:tc>
          <w:tcPr>
            <w:tcW w:w="0" w:type="auto"/>
          </w:tcPr>
          <w:p w:rsidR="007C70ED" w:rsidRPr="00CB495A" w:rsidRDefault="00CB495A" w:rsidP="00CB495A">
            <w:pPr>
              <w:spacing w:before="120" w:after="120"/>
            </w:pPr>
            <w:r w:rsidRPr="00C6605E">
              <w:t>Contractors/Suppliers</w:t>
            </w:r>
          </w:p>
        </w:tc>
      </w:tr>
      <w:tr w:rsidR="007C70ED" w:rsidRPr="00CB495A" w:rsidTr="003E5B9F">
        <w:trPr>
          <w:cantSplit/>
          <w:jc w:val="center"/>
        </w:trPr>
        <w:tc>
          <w:tcPr>
            <w:tcW w:w="3171" w:type="dxa"/>
          </w:tcPr>
          <w:p w:rsidR="007C70ED" w:rsidRPr="00CB495A" w:rsidRDefault="00CB495A" w:rsidP="00CB495A">
            <w:pPr>
              <w:spacing w:before="120" w:after="120"/>
            </w:pPr>
            <w:r>
              <w:t>CEO, Executive and Staff</w:t>
            </w:r>
          </w:p>
        </w:tc>
        <w:tc>
          <w:tcPr>
            <w:tcW w:w="0" w:type="auto"/>
          </w:tcPr>
          <w:p w:rsidR="007C70ED" w:rsidRPr="00CB495A" w:rsidRDefault="00CB495A" w:rsidP="00CB495A">
            <w:pPr>
              <w:spacing w:before="120" w:after="120"/>
            </w:pPr>
            <w:r>
              <w:t>Insurers</w:t>
            </w:r>
          </w:p>
        </w:tc>
      </w:tr>
    </w:tbl>
    <w:p w:rsidR="003E5B9F" w:rsidRPr="0091425F" w:rsidRDefault="003E5B9F" w:rsidP="003E5B9F">
      <w:pPr>
        <w:pStyle w:val="Caption"/>
        <w:spacing w:before="240" w:after="240"/>
        <w:ind w:left="0"/>
        <w:jc w:val="center"/>
        <w:rPr>
          <w:rFonts w:ascii="Arial" w:hAnsi="Arial"/>
          <w:i w:val="0"/>
          <w:iCs w:val="0"/>
          <w:sz w:val="20"/>
          <w:lang w:val="en-AU"/>
        </w:rPr>
      </w:pPr>
      <w:bookmarkStart w:id="343" w:name="_Toc364945426"/>
      <w:r w:rsidRPr="0091425F">
        <w:rPr>
          <w:rFonts w:ascii="Arial" w:hAnsi="Arial"/>
          <w:i w:val="0"/>
          <w:iCs w:val="0"/>
          <w:sz w:val="20"/>
          <w:lang w:val="en-AU"/>
        </w:rPr>
        <w:t xml:space="preserve">Table </w:t>
      </w:r>
      <w:r w:rsidR="0090414C" w:rsidRPr="0091425F">
        <w:rPr>
          <w:rFonts w:ascii="Arial" w:hAnsi="Arial"/>
          <w:i w:val="0"/>
          <w:iCs w:val="0"/>
          <w:sz w:val="20"/>
          <w:lang w:val="en-AU"/>
        </w:rPr>
        <w:fldChar w:fldCharType="begin"/>
      </w:r>
      <w:r w:rsidRPr="0091425F">
        <w:rPr>
          <w:rFonts w:ascii="Arial" w:hAnsi="Arial"/>
          <w:i w:val="0"/>
          <w:iCs w:val="0"/>
          <w:sz w:val="20"/>
          <w:lang w:val="en-AU"/>
        </w:rPr>
        <w:instrText xml:space="preserve"> SEQ Table \* ARABIC </w:instrText>
      </w:r>
      <w:r w:rsidR="0090414C" w:rsidRPr="0091425F">
        <w:rPr>
          <w:rFonts w:ascii="Arial" w:hAnsi="Arial"/>
          <w:i w:val="0"/>
          <w:iCs w:val="0"/>
          <w:sz w:val="20"/>
          <w:lang w:val="en-AU"/>
        </w:rPr>
        <w:fldChar w:fldCharType="separate"/>
      </w:r>
      <w:r w:rsidR="00751CEC">
        <w:rPr>
          <w:rFonts w:ascii="Arial" w:hAnsi="Arial"/>
          <w:i w:val="0"/>
          <w:iCs w:val="0"/>
          <w:noProof/>
          <w:sz w:val="20"/>
          <w:lang w:val="en-AU"/>
        </w:rPr>
        <w:t>22</w:t>
      </w:r>
      <w:r w:rsidR="0090414C" w:rsidRPr="0091425F">
        <w:rPr>
          <w:rFonts w:ascii="Arial" w:hAnsi="Arial"/>
          <w:i w:val="0"/>
          <w:iCs w:val="0"/>
          <w:sz w:val="20"/>
          <w:lang w:val="en-AU"/>
        </w:rPr>
        <w:fldChar w:fldCharType="end"/>
      </w:r>
      <w:r w:rsidRPr="0091425F">
        <w:rPr>
          <w:rFonts w:ascii="Arial" w:hAnsi="Arial"/>
          <w:i w:val="0"/>
          <w:iCs w:val="0"/>
          <w:sz w:val="20"/>
          <w:lang w:val="en-AU"/>
        </w:rPr>
        <w:t>:  List of Stakeholders</w:t>
      </w:r>
      <w:bookmarkEnd w:id="343"/>
    </w:p>
    <w:p w:rsidR="007C70ED" w:rsidRPr="003E5B9F" w:rsidRDefault="003E5B9F" w:rsidP="002F775C">
      <w:pPr>
        <w:rPr>
          <w:rFonts w:cs="Arial"/>
          <w:u w:val="single"/>
        </w:rPr>
      </w:pPr>
      <w:r>
        <w:rPr>
          <w:rFonts w:cs="Arial"/>
          <w:u w:val="single"/>
        </w:rPr>
        <w:t>What are we A</w:t>
      </w:r>
      <w:r w:rsidR="006D6E45" w:rsidRPr="003E5B9F">
        <w:rPr>
          <w:rFonts w:cs="Arial"/>
          <w:u w:val="single"/>
        </w:rPr>
        <w:t xml:space="preserve">iming to </w:t>
      </w:r>
      <w:r>
        <w:rPr>
          <w:rFonts w:cs="Arial"/>
          <w:u w:val="single"/>
        </w:rPr>
        <w:t>A</w:t>
      </w:r>
      <w:r w:rsidR="007C70ED" w:rsidRPr="003E5B9F">
        <w:rPr>
          <w:rFonts w:cs="Arial"/>
          <w:u w:val="single"/>
        </w:rPr>
        <w:t>chieve</w:t>
      </w:r>
      <w:r w:rsidR="006D6E45" w:rsidRPr="003E5B9F">
        <w:rPr>
          <w:rFonts w:cs="Arial"/>
          <w:u w:val="single"/>
        </w:rPr>
        <w:t>?</w:t>
      </w:r>
    </w:p>
    <w:p w:rsidR="00CB495A" w:rsidRPr="00050793" w:rsidRDefault="00CB495A" w:rsidP="002F775C"/>
    <w:p w:rsidR="007C70ED" w:rsidRPr="003E5B9F" w:rsidRDefault="007C70ED" w:rsidP="002F775C">
      <w:pPr>
        <w:rPr>
          <w:i/>
        </w:rPr>
      </w:pPr>
      <w:r w:rsidRPr="003E5B9F">
        <w:rPr>
          <w:i/>
        </w:rPr>
        <w:t>For Residents</w:t>
      </w:r>
    </w:p>
    <w:p w:rsidR="00CB495A" w:rsidRPr="00050793" w:rsidRDefault="00CB495A" w:rsidP="00F72E9C"/>
    <w:p w:rsidR="0049408C" w:rsidRPr="00F72E9C" w:rsidRDefault="007C70ED" w:rsidP="00F72E9C">
      <w:r w:rsidRPr="00F72E9C">
        <w:t xml:space="preserve">Residents use the local facilities on a day-to-day basis. They require buildings that </w:t>
      </w:r>
      <w:r w:rsidR="006D6E45" w:rsidRPr="00F72E9C">
        <w:t>are</w:t>
      </w:r>
      <w:r w:rsidRPr="00F72E9C">
        <w:t xml:space="preserve"> safe</w:t>
      </w:r>
      <w:r w:rsidR="0049408C" w:rsidRPr="00F72E9C">
        <w:t xml:space="preserve">, at </w:t>
      </w:r>
      <w:r w:rsidRPr="00F72E9C">
        <w:t xml:space="preserve">a convenient </w:t>
      </w:r>
      <w:r w:rsidR="0049408C" w:rsidRPr="00F72E9C">
        <w:t>location that are accessible with adequate parking.</w:t>
      </w:r>
      <w:r w:rsidRPr="00F72E9C">
        <w:t xml:space="preserve"> They expect protection of Council’s heritage </w:t>
      </w:r>
      <w:r w:rsidR="0049408C" w:rsidRPr="00F72E9C">
        <w:t xml:space="preserve">and culturally significant </w:t>
      </w:r>
      <w:r w:rsidRPr="00F72E9C">
        <w:t>assets. They expect to be involved in decisions relating to changes to the facilities. They expect changes and repairs to be made in a timely manner with little inconvenience to their day-to-day activities</w:t>
      </w:r>
      <w:r w:rsidR="0049408C" w:rsidRPr="00F72E9C">
        <w:t>.</w:t>
      </w:r>
    </w:p>
    <w:p w:rsidR="007C70ED" w:rsidRPr="00F72E9C" w:rsidRDefault="007C70ED" w:rsidP="00F72E9C"/>
    <w:p w:rsidR="007C70ED" w:rsidRPr="003E5B9F" w:rsidRDefault="007C70ED" w:rsidP="002F775C">
      <w:pPr>
        <w:rPr>
          <w:i/>
        </w:rPr>
      </w:pPr>
      <w:r w:rsidRPr="003E5B9F">
        <w:rPr>
          <w:i/>
        </w:rPr>
        <w:t>For Visitors</w:t>
      </w:r>
    </w:p>
    <w:p w:rsidR="00CB495A" w:rsidRDefault="00CB495A" w:rsidP="002F775C"/>
    <w:p w:rsidR="007C70ED" w:rsidRPr="00802264" w:rsidRDefault="007C70ED" w:rsidP="002F775C">
      <w:r w:rsidRPr="00802264">
        <w:t xml:space="preserve">People visit the City of Yarra for a variety of reasons including shopping, education, medical treatment and employment. They expect safe access and amenity across the building network. </w:t>
      </w:r>
    </w:p>
    <w:p w:rsidR="00CB495A" w:rsidRDefault="00CB495A" w:rsidP="002F775C"/>
    <w:p w:rsidR="007C70ED" w:rsidRPr="003E5B9F" w:rsidRDefault="007C70ED" w:rsidP="002F775C">
      <w:pPr>
        <w:rPr>
          <w:i/>
        </w:rPr>
      </w:pPr>
      <w:r w:rsidRPr="003E5B9F">
        <w:rPr>
          <w:i/>
        </w:rPr>
        <w:t xml:space="preserve">For Businesses </w:t>
      </w:r>
    </w:p>
    <w:p w:rsidR="00CB495A" w:rsidRDefault="00CB495A" w:rsidP="002F775C"/>
    <w:p w:rsidR="007C70ED" w:rsidRPr="00802264" w:rsidRDefault="007C70ED" w:rsidP="002F775C">
      <w:r w:rsidRPr="00802264">
        <w:t>Business owners expect infrastructure to support their business needs. They also expect buildings to be located in close proximity to attract residents and visitors to their business.</w:t>
      </w:r>
    </w:p>
    <w:p w:rsidR="00CB495A" w:rsidRDefault="00CB495A" w:rsidP="002F775C"/>
    <w:p w:rsidR="007C70ED" w:rsidRPr="003E5B9F" w:rsidRDefault="007C70ED" w:rsidP="00CB495A">
      <w:pPr>
        <w:keepNext/>
        <w:keepLines/>
        <w:rPr>
          <w:i/>
        </w:rPr>
      </w:pPr>
      <w:r w:rsidRPr="003E5B9F">
        <w:rPr>
          <w:i/>
        </w:rPr>
        <w:t>For Council</w:t>
      </w:r>
    </w:p>
    <w:p w:rsidR="00CB495A" w:rsidRDefault="00CB495A" w:rsidP="00CB495A">
      <w:pPr>
        <w:keepNext/>
        <w:keepLines/>
      </w:pPr>
    </w:p>
    <w:p w:rsidR="007C70ED" w:rsidRDefault="007C70ED" w:rsidP="00CB495A">
      <w:pPr>
        <w:keepNext/>
        <w:keepLines/>
      </w:pPr>
      <w:r w:rsidRPr="00802264">
        <w:t>Council expects the</w:t>
      </w:r>
      <w:r w:rsidR="00B12327">
        <w:t xml:space="preserve"> Buildings and Property Branch</w:t>
      </w:r>
      <w:r w:rsidRPr="00802264">
        <w:t xml:space="preserve"> to optimise the life of the building assets and to complete projects within budget and agreed timelines with minimal disruption to the community. </w:t>
      </w:r>
      <w:r w:rsidR="00B12327">
        <w:t>It also</w:t>
      </w:r>
      <w:r w:rsidRPr="00802264">
        <w:t xml:space="preserve"> expects that capital and maintenance activities are co-ordinated so that the overall condition of the asset is improved and that priorities are developed by a structured planning process that is consistent with the Council Plan and Council Policies.</w:t>
      </w:r>
    </w:p>
    <w:p w:rsidR="00C6605E" w:rsidRDefault="00C6605E" w:rsidP="00CB495A">
      <w:pPr>
        <w:keepNext/>
        <w:keepLines/>
      </w:pPr>
    </w:p>
    <w:p w:rsidR="00C6605E" w:rsidRPr="00050793" w:rsidRDefault="00C6605E" w:rsidP="00C6605E">
      <w:pPr>
        <w:rPr>
          <w:rFonts w:cs="Arial"/>
        </w:rPr>
      </w:pPr>
      <w:r w:rsidRPr="00C6605E">
        <w:t>The following table</w:t>
      </w:r>
      <w:r w:rsidRPr="00802264">
        <w:t xml:space="preserve"> summarises the likely expectations of the various stakeholders in relation to</w:t>
      </w:r>
      <w:r>
        <w:t xml:space="preserve"> </w:t>
      </w:r>
      <w:r w:rsidRPr="00802264">
        <w:t xml:space="preserve">the </w:t>
      </w:r>
      <w:r w:rsidRPr="00050793">
        <w:t>provision and</w:t>
      </w:r>
      <w:r>
        <w:rPr>
          <w:rFonts w:cs="Arial"/>
        </w:rPr>
        <w:t xml:space="preserve"> maintenance of building assets:</w:t>
      </w:r>
    </w:p>
    <w:p w:rsidR="007C70ED" w:rsidRPr="006E1DC9" w:rsidRDefault="007C70ED" w:rsidP="00CB495A"/>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61"/>
        <w:gridCol w:w="4675"/>
      </w:tblGrid>
      <w:tr w:rsidR="007C70ED" w:rsidRPr="00CB495A" w:rsidTr="00BB5962">
        <w:trPr>
          <w:cantSplit/>
          <w:tblHeader/>
          <w:jc w:val="center"/>
        </w:trPr>
        <w:tc>
          <w:tcPr>
            <w:tcW w:w="9036" w:type="dxa"/>
            <w:gridSpan w:val="2"/>
            <w:tcBorders>
              <w:top w:val="single" w:sz="4" w:space="0" w:color="auto"/>
              <w:left w:val="single" w:sz="4" w:space="0" w:color="auto"/>
              <w:bottom w:val="single" w:sz="4" w:space="0" w:color="auto"/>
              <w:right w:val="single" w:sz="4" w:space="0" w:color="auto"/>
            </w:tcBorders>
            <w:shd w:val="clear" w:color="auto" w:fill="95B3D7" w:themeFill="accent1" w:themeFillTint="99"/>
          </w:tcPr>
          <w:p w:rsidR="007C70ED" w:rsidRPr="00CB495A" w:rsidRDefault="00065965" w:rsidP="00065965">
            <w:pPr>
              <w:spacing w:before="120" w:after="120"/>
              <w:rPr>
                <w:b/>
              </w:rPr>
            </w:pPr>
            <w:bookmarkStart w:id="344" w:name="OLE_LINK7"/>
            <w:bookmarkStart w:id="345" w:name="OLE_LINK8"/>
            <w:r>
              <w:rPr>
                <w:b/>
              </w:rPr>
              <w:t xml:space="preserve">                                                  </w:t>
            </w:r>
            <w:r w:rsidR="007C70ED" w:rsidRPr="00CB495A">
              <w:rPr>
                <w:b/>
              </w:rPr>
              <w:t xml:space="preserve"> Stakeholder Expectations</w:t>
            </w:r>
          </w:p>
        </w:tc>
      </w:tr>
      <w:tr w:rsidR="007C70ED" w:rsidRPr="00CB495A" w:rsidTr="00BB596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4361" w:type="dxa"/>
            <w:tcBorders>
              <w:top w:val="single" w:sz="6" w:space="0" w:color="auto"/>
              <w:left w:val="single" w:sz="6" w:space="0" w:color="auto"/>
              <w:bottom w:val="single" w:sz="6" w:space="0" w:color="auto"/>
              <w:right w:val="single" w:sz="6" w:space="0" w:color="auto"/>
            </w:tcBorders>
          </w:tcPr>
          <w:p w:rsidR="007C70ED" w:rsidRPr="00CB495A" w:rsidRDefault="007C70ED" w:rsidP="00BB5962">
            <w:pPr>
              <w:spacing w:before="120" w:after="120"/>
              <w:jc w:val="left"/>
              <w:rPr>
                <w:b/>
              </w:rPr>
            </w:pPr>
            <w:r w:rsidRPr="00CB495A">
              <w:rPr>
                <w:b/>
              </w:rPr>
              <w:t>Residents</w:t>
            </w:r>
          </w:p>
          <w:p w:rsidR="0024611A" w:rsidRPr="0024611A" w:rsidRDefault="007C70ED" w:rsidP="0024611A">
            <w:pPr>
              <w:pStyle w:val="ListParagraph"/>
              <w:numPr>
                <w:ilvl w:val="0"/>
                <w:numId w:val="61"/>
              </w:numPr>
              <w:spacing w:before="120" w:after="120"/>
              <w:jc w:val="left"/>
            </w:pPr>
            <w:r w:rsidRPr="0024611A">
              <w:rPr>
                <w:rFonts w:ascii="Arial" w:hAnsi="Arial" w:cs="Arial"/>
                <w:sz w:val="20"/>
              </w:rPr>
              <w:t>Buildings that are welcoming, clean, well maintained and accessible to</w:t>
            </w:r>
            <w:r w:rsidR="00B12327" w:rsidRPr="0024611A">
              <w:rPr>
                <w:rFonts w:ascii="Arial" w:hAnsi="Arial" w:cs="Arial"/>
                <w:sz w:val="20"/>
              </w:rPr>
              <w:t xml:space="preserve"> all</w:t>
            </w:r>
            <w:r w:rsidRPr="0024611A">
              <w:rPr>
                <w:rFonts w:ascii="Arial" w:hAnsi="Arial" w:cs="Arial"/>
                <w:sz w:val="20"/>
              </w:rPr>
              <w:t xml:space="preserve"> people</w:t>
            </w:r>
          </w:p>
          <w:p w:rsidR="0024611A" w:rsidRPr="0024611A" w:rsidRDefault="007C70ED" w:rsidP="0024611A">
            <w:pPr>
              <w:pStyle w:val="ListParagraph"/>
              <w:numPr>
                <w:ilvl w:val="0"/>
                <w:numId w:val="61"/>
              </w:numPr>
              <w:spacing w:before="120" w:after="120"/>
              <w:jc w:val="left"/>
            </w:pPr>
            <w:r w:rsidRPr="0024611A">
              <w:rPr>
                <w:rFonts w:ascii="Arial" w:hAnsi="Arial" w:cs="Arial"/>
                <w:sz w:val="20"/>
              </w:rPr>
              <w:t>Convenient location with access to public transport and or adequate parking</w:t>
            </w:r>
          </w:p>
          <w:p w:rsidR="0024611A" w:rsidRPr="0024611A" w:rsidRDefault="007C70ED" w:rsidP="0024611A">
            <w:pPr>
              <w:pStyle w:val="ListParagraph"/>
              <w:numPr>
                <w:ilvl w:val="0"/>
                <w:numId w:val="61"/>
              </w:numPr>
              <w:spacing w:before="120" w:after="120"/>
              <w:jc w:val="left"/>
            </w:pPr>
            <w:r w:rsidRPr="0024611A">
              <w:rPr>
                <w:rFonts w:ascii="Arial" w:hAnsi="Arial" w:cs="Arial"/>
                <w:sz w:val="20"/>
              </w:rPr>
              <w:t>Adequate notification when works will be carried out</w:t>
            </w:r>
          </w:p>
          <w:p w:rsidR="0024611A" w:rsidRPr="0024611A" w:rsidRDefault="007C70ED" w:rsidP="0024611A">
            <w:pPr>
              <w:pStyle w:val="ListParagraph"/>
              <w:numPr>
                <w:ilvl w:val="0"/>
                <w:numId w:val="61"/>
              </w:numPr>
              <w:spacing w:before="120" w:after="120"/>
              <w:jc w:val="left"/>
            </w:pPr>
            <w:r w:rsidRPr="0024611A">
              <w:rPr>
                <w:rFonts w:ascii="Arial" w:hAnsi="Arial" w:cs="Arial"/>
                <w:sz w:val="20"/>
              </w:rPr>
              <w:t>Minimal delay to service provision when maintaining building infrastructure</w:t>
            </w:r>
          </w:p>
          <w:p w:rsidR="007C70ED" w:rsidRPr="00CB495A" w:rsidRDefault="007C70ED" w:rsidP="0024611A">
            <w:pPr>
              <w:pStyle w:val="ListParagraph"/>
              <w:numPr>
                <w:ilvl w:val="0"/>
                <w:numId w:val="61"/>
              </w:numPr>
              <w:spacing w:before="120" w:after="120"/>
              <w:jc w:val="left"/>
            </w:pPr>
            <w:r w:rsidRPr="00CB495A">
              <w:rPr>
                <w:rFonts w:ascii="Arial" w:hAnsi="Arial" w:cs="Arial"/>
                <w:sz w:val="20"/>
              </w:rPr>
              <w:t>To be consulted during the planning process for new buildings</w:t>
            </w:r>
          </w:p>
        </w:tc>
        <w:tc>
          <w:tcPr>
            <w:tcW w:w="4675" w:type="dxa"/>
            <w:tcBorders>
              <w:top w:val="single" w:sz="6" w:space="0" w:color="auto"/>
              <w:left w:val="single" w:sz="6" w:space="0" w:color="auto"/>
              <w:bottom w:val="single" w:sz="6" w:space="0" w:color="auto"/>
              <w:right w:val="single" w:sz="6" w:space="0" w:color="auto"/>
            </w:tcBorders>
          </w:tcPr>
          <w:p w:rsidR="007C70ED" w:rsidRPr="00CB495A" w:rsidRDefault="007C70ED" w:rsidP="00BB5962">
            <w:pPr>
              <w:spacing w:before="120" w:after="120"/>
              <w:jc w:val="left"/>
              <w:rPr>
                <w:b/>
              </w:rPr>
            </w:pPr>
            <w:r w:rsidRPr="00CB495A">
              <w:rPr>
                <w:b/>
              </w:rPr>
              <w:t>Visitors/Shoppers</w:t>
            </w:r>
          </w:p>
          <w:p w:rsidR="0024611A" w:rsidRPr="0024611A" w:rsidRDefault="007C70ED" w:rsidP="0024611A">
            <w:pPr>
              <w:pStyle w:val="ListParagraph"/>
              <w:numPr>
                <w:ilvl w:val="0"/>
                <w:numId w:val="61"/>
              </w:numPr>
              <w:spacing w:before="120" w:after="120"/>
              <w:jc w:val="left"/>
            </w:pPr>
            <w:r w:rsidRPr="0024611A">
              <w:rPr>
                <w:rFonts w:ascii="Arial" w:hAnsi="Arial" w:cs="Arial"/>
                <w:sz w:val="20"/>
              </w:rPr>
              <w:t xml:space="preserve">Buildings that are welcoming, clean, well maintained and accessible to </w:t>
            </w:r>
            <w:r w:rsidR="00B12327" w:rsidRPr="0024611A">
              <w:rPr>
                <w:rFonts w:ascii="Arial" w:hAnsi="Arial" w:cs="Arial"/>
                <w:sz w:val="20"/>
              </w:rPr>
              <w:t xml:space="preserve">all </w:t>
            </w:r>
            <w:r w:rsidRPr="0024611A">
              <w:rPr>
                <w:rFonts w:ascii="Arial" w:hAnsi="Arial" w:cs="Arial"/>
                <w:sz w:val="20"/>
              </w:rPr>
              <w:t>people</w:t>
            </w:r>
          </w:p>
          <w:p w:rsidR="0024611A" w:rsidRPr="0024611A" w:rsidRDefault="007C70ED" w:rsidP="0024611A">
            <w:pPr>
              <w:pStyle w:val="ListParagraph"/>
              <w:numPr>
                <w:ilvl w:val="0"/>
                <w:numId w:val="61"/>
              </w:numPr>
              <w:spacing w:before="120" w:after="120"/>
              <w:jc w:val="left"/>
            </w:pPr>
            <w:r w:rsidRPr="0024611A">
              <w:rPr>
                <w:rFonts w:ascii="Arial" w:hAnsi="Arial" w:cs="Arial"/>
                <w:sz w:val="20"/>
              </w:rPr>
              <w:t>Convenient location with access to public transport and or adequate parking</w:t>
            </w:r>
          </w:p>
          <w:p w:rsidR="007C70ED" w:rsidRPr="00CB495A" w:rsidRDefault="007C70ED" w:rsidP="0024611A">
            <w:pPr>
              <w:pStyle w:val="ListParagraph"/>
              <w:numPr>
                <w:ilvl w:val="0"/>
                <w:numId w:val="61"/>
              </w:numPr>
              <w:spacing w:before="120" w:after="120"/>
              <w:jc w:val="left"/>
            </w:pPr>
            <w:r w:rsidRPr="00CB495A">
              <w:rPr>
                <w:rFonts w:ascii="Arial" w:hAnsi="Arial" w:cs="Arial"/>
                <w:sz w:val="20"/>
              </w:rPr>
              <w:t>Access to safe, clean, and well maintained public toilet facilities</w:t>
            </w:r>
          </w:p>
        </w:tc>
      </w:tr>
      <w:tr w:rsidR="007C70ED" w:rsidRPr="00CB495A" w:rsidTr="00BB5962">
        <w:tblPrEx>
          <w:tblBorders>
            <w:left w:val="single" w:sz="4" w:space="0" w:color="auto"/>
          </w:tblBorders>
        </w:tblPrEx>
        <w:trPr>
          <w:cantSplit/>
          <w:jc w:val="center"/>
        </w:trPr>
        <w:tc>
          <w:tcPr>
            <w:tcW w:w="4361" w:type="dxa"/>
          </w:tcPr>
          <w:p w:rsidR="007C70ED" w:rsidRPr="00CB495A" w:rsidRDefault="00CB495A" w:rsidP="00BB5962">
            <w:pPr>
              <w:spacing w:before="120" w:after="120"/>
              <w:jc w:val="left"/>
              <w:rPr>
                <w:b/>
              </w:rPr>
            </w:pPr>
            <w:r>
              <w:rPr>
                <w:b/>
              </w:rPr>
              <w:t>Local Community G</w:t>
            </w:r>
            <w:r w:rsidR="007C70ED" w:rsidRPr="00CB495A">
              <w:rPr>
                <w:b/>
              </w:rPr>
              <w:t>roups</w:t>
            </w:r>
          </w:p>
          <w:p w:rsidR="0024611A" w:rsidRPr="0024611A" w:rsidRDefault="007C70ED" w:rsidP="0024611A">
            <w:pPr>
              <w:pStyle w:val="ListParagraph"/>
              <w:numPr>
                <w:ilvl w:val="0"/>
                <w:numId w:val="61"/>
              </w:numPr>
              <w:spacing w:before="120" w:after="120"/>
              <w:jc w:val="left"/>
            </w:pPr>
            <w:r w:rsidRPr="00CB495A">
              <w:rPr>
                <w:rFonts w:ascii="Arial" w:hAnsi="Arial" w:cs="Arial"/>
                <w:sz w:val="20"/>
              </w:rPr>
              <w:t>Access to meeting rooms that well maintained and accessible to</w:t>
            </w:r>
            <w:r w:rsidR="00B12327" w:rsidRPr="00CB495A">
              <w:rPr>
                <w:rFonts w:ascii="Arial" w:hAnsi="Arial" w:cs="Arial"/>
                <w:sz w:val="20"/>
              </w:rPr>
              <w:t xml:space="preserve"> all</w:t>
            </w:r>
            <w:r w:rsidRPr="00CB495A">
              <w:rPr>
                <w:rFonts w:ascii="Arial" w:hAnsi="Arial" w:cs="Arial"/>
                <w:sz w:val="20"/>
              </w:rPr>
              <w:t xml:space="preserve"> people</w:t>
            </w:r>
          </w:p>
          <w:p w:rsidR="007C70ED" w:rsidRPr="00CB495A" w:rsidRDefault="007C70ED" w:rsidP="0024611A">
            <w:pPr>
              <w:pStyle w:val="ListParagraph"/>
              <w:numPr>
                <w:ilvl w:val="0"/>
                <w:numId w:val="61"/>
              </w:numPr>
              <w:spacing w:before="120" w:after="120"/>
              <w:jc w:val="left"/>
            </w:pPr>
            <w:r w:rsidRPr="00CB495A">
              <w:rPr>
                <w:rFonts w:ascii="Arial" w:hAnsi="Arial" w:cs="Arial"/>
                <w:sz w:val="20"/>
              </w:rPr>
              <w:t xml:space="preserve">Access to buildings that can provide a range of services and are welcoming, well maintained and accessible to </w:t>
            </w:r>
            <w:r w:rsidR="00B12327" w:rsidRPr="00CB495A">
              <w:rPr>
                <w:rFonts w:ascii="Arial" w:hAnsi="Arial" w:cs="Arial"/>
                <w:sz w:val="20"/>
              </w:rPr>
              <w:t xml:space="preserve">all </w:t>
            </w:r>
            <w:r w:rsidRPr="00CB495A">
              <w:rPr>
                <w:rFonts w:ascii="Arial" w:hAnsi="Arial" w:cs="Arial"/>
                <w:sz w:val="20"/>
              </w:rPr>
              <w:t>people</w:t>
            </w:r>
          </w:p>
        </w:tc>
        <w:tc>
          <w:tcPr>
            <w:tcW w:w="4675" w:type="dxa"/>
          </w:tcPr>
          <w:p w:rsidR="007C70ED" w:rsidRPr="00CB495A" w:rsidRDefault="007C70ED" w:rsidP="00BB5962">
            <w:pPr>
              <w:spacing w:before="120" w:after="120"/>
              <w:jc w:val="left"/>
              <w:rPr>
                <w:b/>
              </w:rPr>
            </w:pPr>
            <w:r w:rsidRPr="00CB495A">
              <w:rPr>
                <w:b/>
              </w:rPr>
              <w:t>Within the Organisation</w:t>
            </w:r>
          </w:p>
          <w:p w:rsidR="0024611A" w:rsidRPr="0024611A" w:rsidRDefault="007C70ED" w:rsidP="0024611A">
            <w:pPr>
              <w:pStyle w:val="ListParagraph"/>
              <w:numPr>
                <w:ilvl w:val="0"/>
                <w:numId w:val="61"/>
              </w:numPr>
              <w:spacing w:before="120" w:after="120"/>
              <w:jc w:val="left"/>
            </w:pPr>
            <w:r w:rsidRPr="0024611A">
              <w:rPr>
                <w:rFonts w:ascii="Arial" w:hAnsi="Arial" w:cs="Arial"/>
                <w:sz w:val="20"/>
              </w:rPr>
              <w:t>Buildings that can provide a range of services and are welcoming, clean, well maintained and accessible to</w:t>
            </w:r>
            <w:r w:rsidR="00B12327" w:rsidRPr="0024611A">
              <w:rPr>
                <w:rFonts w:ascii="Arial" w:hAnsi="Arial" w:cs="Arial"/>
                <w:sz w:val="20"/>
              </w:rPr>
              <w:t xml:space="preserve"> all</w:t>
            </w:r>
            <w:r w:rsidRPr="0024611A">
              <w:rPr>
                <w:rFonts w:ascii="Arial" w:hAnsi="Arial" w:cs="Arial"/>
                <w:sz w:val="20"/>
              </w:rPr>
              <w:t xml:space="preserve"> people</w:t>
            </w:r>
          </w:p>
          <w:p w:rsidR="0024611A" w:rsidRPr="0024611A" w:rsidRDefault="007C70ED" w:rsidP="0024611A">
            <w:pPr>
              <w:pStyle w:val="ListParagraph"/>
              <w:numPr>
                <w:ilvl w:val="0"/>
                <w:numId w:val="61"/>
              </w:numPr>
              <w:spacing w:before="120" w:after="120"/>
              <w:jc w:val="left"/>
            </w:pPr>
            <w:r w:rsidRPr="0024611A">
              <w:rPr>
                <w:rFonts w:ascii="Arial" w:hAnsi="Arial" w:cs="Arial"/>
                <w:sz w:val="20"/>
              </w:rPr>
              <w:t>Convenient location with access to public transport and or adequate parking</w:t>
            </w:r>
          </w:p>
          <w:p w:rsidR="0024611A" w:rsidRPr="0024611A" w:rsidRDefault="007C70ED" w:rsidP="0024611A">
            <w:pPr>
              <w:pStyle w:val="ListParagraph"/>
              <w:numPr>
                <w:ilvl w:val="0"/>
                <w:numId w:val="61"/>
              </w:numPr>
              <w:spacing w:before="120" w:after="120"/>
              <w:jc w:val="left"/>
            </w:pPr>
            <w:r w:rsidRPr="0024611A">
              <w:rPr>
                <w:rFonts w:ascii="Arial" w:hAnsi="Arial" w:cs="Arial"/>
                <w:sz w:val="20"/>
              </w:rPr>
              <w:t>Adequate notification when works will be carried out</w:t>
            </w:r>
          </w:p>
          <w:p w:rsidR="007C70ED" w:rsidRPr="00CB495A" w:rsidRDefault="007C70ED" w:rsidP="0024611A">
            <w:pPr>
              <w:pStyle w:val="ListParagraph"/>
              <w:numPr>
                <w:ilvl w:val="0"/>
                <w:numId w:val="61"/>
              </w:numPr>
              <w:spacing w:before="120" w:after="120"/>
              <w:jc w:val="left"/>
            </w:pPr>
            <w:r w:rsidRPr="00CB495A">
              <w:rPr>
                <w:rFonts w:ascii="Arial" w:hAnsi="Arial" w:cs="Arial"/>
                <w:sz w:val="20"/>
              </w:rPr>
              <w:t xml:space="preserve">Access to meeting rooms that well maintained and accessible to </w:t>
            </w:r>
            <w:r w:rsidR="00B12327" w:rsidRPr="00CB495A">
              <w:rPr>
                <w:rFonts w:ascii="Arial" w:hAnsi="Arial" w:cs="Arial"/>
                <w:sz w:val="20"/>
              </w:rPr>
              <w:t xml:space="preserve">all </w:t>
            </w:r>
            <w:r w:rsidRPr="00CB495A">
              <w:rPr>
                <w:rFonts w:ascii="Arial" w:hAnsi="Arial" w:cs="Arial"/>
                <w:sz w:val="20"/>
              </w:rPr>
              <w:t>people</w:t>
            </w:r>
            <w:r w:rsidRPr="00CB495A">
              <w:t xml:space="preserve"> </w:t>
            </w:r>
          </w:p>
        </w:tc>
      </w:tr>
    </w:tbl>
    <w:p w:rsidR="007C70ED" w:rsidRPr="0091425F" w:rsidRDefault="007C70ED" w:rsidP="00AF0787">
      <w:pPr>
        <w:pStyle w:val="Caption"/>
        <w:spacing w:before="240" w:after="240"/>
        <w:ind w:left="0"/>
        <w:jc w:val="center"/>
        <w:rPr>
          <w:rFonts w:ascii="Arial" w:hAnsi="Arial"/>
          <w:i w:val="0"/>
          <w:iCs w:val="0"/>
          <w:sz w:val="20"/>
          <w:lang w:val="en-AU"/>
        </w:rPr>
      </w:pPr>
      <w:bookmarkStart w:id="346" w:name="_Toc346740219"/>
      <w:bookmarkStart w:id="347" w:name="_Toc364945427"/>
      <w:bookmarkEnd w:id="344"/>
      <w:bookmarkEnd w:id="345"/>
      <w:r w:rsidRPr="0091425F">
        <w:rPr>
          <w:rFonts w:ascii="Arial" w:hAnsi="Arial"/>
          <w:i w:val="0"/>
          <w:iCs w:val="0"/>
          <w:sz w:val="20"/>
          <w:lang w:val="en-AU"/>
        </w:rPr>
        <w:t xml:space="preserve">Table </w:t>
      </w:r>
      <w:r w:rsidR="0090414C" w:rsidRPr="0091425F">
        <w:rPr>
          <w:rFonts w:ascii="Arial" w:hAnsi="Arial"/>
          <w:i w:val="0"/>
          <w:iCs w:val="0"/>
          <w:sz w:val="20"/>
          <w:lang w:val="en-AU"/>
        </w:rPr>
        <w:fldChar w:fldCharType="begin"/>
      </w:r>
      <w:r w:rsidR="0012012A" w:rsidRPr="0091425F">
        <w:rPr>
          <w:rFonts w:ascii="Arial" w:hAnsi="Arial"/>
          <w:i w:val="0"/>
          <w:iCs w:val="0"/>
          <w:sz w:val="20"/>
          <w:lang w:val="en-AU"/>
        </w:rPr>
        <w:instrText xml:space="preserve"> SEQ Table \* ARABIC </w:instrText>
      </w:r>
      <w:r w:rsidR="0090414C" w:rsidRPr="0091425F">
        <w:rPr>
          <w:rFonts w:ascii="Arial" w:hAnsi="Arial"/>
          <w:i w:val="0"/>
          <w:iCs w:val="0"/>
          <w:sz w:val="20"/>
          <w:lang w:val="en-AU"/>
        </w:rPr>
        <w:fldChar w:fldCharType="separate"/>
      </w:r>
      <w:r w:rsidR="00751CEC">
        <w:rPr>
          <w:rFonts w:ascii="Arial" w:hAnsi="Arial"/>
          <w:i w:val="0"/>
          <w:iCs w:val="0"/>
          <w:noProof/>
          <w:sz w:val="20"/>
          <w:lang w:val="en-AU"/>
        </w:rPr>
        <w:t>23</w:t>
      </w:r>
      <w:r w:rsidR="0090414C" w:rsidRPr="0091425F">
        <w:rPr>
          <w:rFonts w:ascii="Arial" w:hAnsi="Arial"/>
          <w:i w:val="0"/>
          <w:iCs w:val="0"/>
          <w:sz w:val="20"/>
          <w:lang w:val="en-AU"/>
        </w:rPr>
        <w:fldChar w:fldCharType="end"/>
      </w:r>
      <w:r w:rsidR="00CB495A" w:rsidRPr="0091425F">
        <w:rPr>
          <w:rFonts w:ascii="Arial" w:hAnsi="Arial"/>
          <w:i w:val="0"/>
          <w:iCs w:val="0"/>
          <w:sz w:val="20"/>
          <w:lang w:val="en-AU"/>
        </w:rPr>
        <w:t xml:space="preserve">:  </w:t>
      </w:r>
      <w:r w:rsidRPr="0091425F">
        <w:rPr>
          <w:rFonts w:ascii="Arial" w:hAnsi="Arial"/>
          <w:i w:val="0"/>
          <w:iCs w:val="0"/>
          <w:sz w:val="20"/>
          <w:lang w:val="en-AU"/>
        </w:rPr>
        <w:t>Stakeholder Expectations</w:t>
      </w:r>
      <w:bookmarkEnd w:id="346"/>
      <w:bookmarkEnd w:id="347"/>
    </w:p>
    <w:p w:rsidR="00E96F28" w:rsidRPr="00CF2212" w:rsidRDefault="00E96F28" w:rsidP="00CF2212">
      <w:pPr>
        <w:pStyle w:val="Heading2"/>
      </w:pPr>
      <w:bookmarkStart w:id="348" w:name="_Toc364945261"/>
      <w:r w:rsidRPr="00CF2212">
        <w:t>Legislative Requirements</w:t>
      </w:r>
      <w:bookmarkEnd w:id="348"/>
    </w:p>
    <w:p w:rsidR="007C70ED" w:rsidRDefault="007C70ED" w:rsidP="00BB5962">
      <w:r w:rsidRPr="0073405C">
        <w:t xml:space="preserve">There are many Acts and Regulations which relate specifically to the Building infrastructure: The primary </w:t>
      </w:r>
      <w:r w:rsidR="00E85997" w:rsidRPr="0073405C">
        <w:t xml:space="preserve">legislative </w:t>
      </w:r>
      <w:r w:rsidRPr="0073405C">
        <w:t xml:space="preserve">factors </w:t>
      </w:r>
      <w:r w:rsidR="00E85997" w:rsidRPr="0073405C">
        <w:t>that affect</w:t>
      </w:r>
      <w:r w:rsidRPr="0073405C">
        <w:t xml:space="preserve"> </w:t>
      </w:r>
      <w:r w:rsidR="00E85997" w:rsidRPr="0073405C">
        <w:t>the Buildings and Property Branch relate to</w:t>
      </w:r>
      <w:r w:rsidRPr="0073405C">
        <w:t>:</w:t>
      </w:r>
    </w:p>
    <w:p w:rsidR="00BB5962" w:rsidRPr="0073405C" w:rsidRDefault="00BB5962" w:rsidP="00BB5962"/>
    <w:p w:rsidR="007C70ED" w:rsidRPr="00BB5962" w:rsidRDefault="007C70ED" w:rsidP="008348B5">
      <w:pPr>
        <w:pStyle w:val="ListParagraph"/>
        <w:numPr>
          <w:ilvl w:val="0"/>
          <w:numId w:val="62"/>
        </w:numPr>
        <w:rPr>
          <w:rFonts w:ascii="Arial" w:hAnsi="Arial" w:cs="Arial"/>
          <w:sz w:val="20"/>
          <w:szCs w:val="20"/>
        </w:rPr>
      </w:pPr>
      <w:r w:rsidRPr="00BB5962">
        <w:rPr>
          <w:rFonts w:ascii="Arial" w:hAnsi="Arial" w:cs="Arial"/>
          <w:sz w:val="20"/>
          <w:szCs w:val="20"/>
        </w:rPr>
        <w:t>Removal of asbestos;</w:t>
      </w:r>
    </w:p>
    <w:p w:rsidR="007C70ED" w:rsidRPr="00BB5962" w:rsidRDefault="007C70ED" w:rsidP="008348B5">
      <w:pPr>
        <w:pStyle w:val="ListParagraph"/>
        <w:numPr>
          <w:ilvl w:val="0"/>
          <w:numId w:val="62"/>
        </w:numPr>
        <w:rPr>
          <w:rFonts w:ascii="Arial" w:hAnsi="Arial" w:cs="Arial"/>
          <w:sz w:val="20"/>
          <w:szCs w:val="20"/>
        </w:rPr>
      </w:pPr>
      <w:r w:rsidRPr="00BB5962">
        <w:rPr>
          <w:rFonts w:ascii="Arial" w:hAnsi="Arial" w:cs="Arial"/>
          <w:sz w:val="20"/>
          <w:szCs w:val="20"/>
        </w:rPr>
        <w:t>Managing soil contamination;</w:t>
      </w:r>
    </w:p>
    <w:p w:rsidR="007C70ED" w:rsidRPr="00BB5962" w:rsidRDefault="007C70ED" w:rsidP="008348B5">
      <w:pPr>
        <w:pStyle w:val="ListParagraph"/>
        <w:numPr>
          <w:ilvl w:val="0"/>
          <w:numId w:val="62"/>
        </w:numPr>
        <w:rPr>
          <w:rFonts w:ascii="Arial" w:hAnsi="Arial" w:cs="Arial"/>
          <w:sz w:val="20"/>
          <w:szCs w:val="20"/>
        </w:rPr>
      </w:pPr>
      <w:r w:rsidRPr="00BB5962">
        <w:rPr>
          <w:rFonts w:ascii="Arial" w:hAnsi="Arial" w:cs="Arial"/>
          <w:sz w:val="20"/>
          <w:szCs w:val="20"/>
        </w:rPr>
        <w:t>Disability access;</w:t>
      </w:r>
    </w:p>
    <w:p w:rsidR="007C70ED" w:rsidRPr="00BB5962" w:rsidRDefault="007C70ED" w:rsidP="008348B5">
      <w:pPr>
        <w:pStyle w:val="ListParagraph"/>
        <w:numPr>
          <w:ilvl w:val="0"/>
          <w:numId w:val="62"/>
        </w:numPr>
        <w:rPr>
          <w:rFonts w:ascii="Arial" w:hAnsi="Arial" w:cs="Arial"/>
          <w:sz w:val="20"/>
          <w:szCs w:val="20"/>
        </w:rPr>
      </w:pPr>
      <w:r w:rsidRPr="00BB5962">
        <w:rPr>
          <w:rFonts w:ascii="Arial" w:hAnsi="Arial" w:cs="Arial"/>
          <w:sz w:val="20"/>
          <w:szCs w:val="20"/>
        </w:rPr>
        <w:t>Essential services monitoring; and</w:t>
      </w:r>
    </w:p>
    <w:p w:rsidR="00D50F34" w:rsidRPr="00BB5962" w:rsidRDefault="00E85997" w:rsidP="008348B5">
      <w:pPr>
        <w:pStyle w:val="ListParagraph"/>
        <w:numPr>
          <w:ilvl w:val="0"/>
          <w:numId w:val="62"/>
        </w:numPr>
        <w:rPr>
          <w:rFonts w:ascii="Arial" w:hAnsi="Arial" w:cs="Arial"/>
          <w:sz w:val="20"/>
          <w:szCs w:val="20"/>
        </w:rPr>
      </w:pPr>
      <w:r w:rsidRPr="00BB5962">
        <w:rPr>
          <w:rFonts w:ascii="Arial" w:hAnsi="Arial" w:cs="Arial"/>
          <w:sz w:val="20"/>
          <w:szCs w:val="20"/>
        </w:rPr>
        <w:t>Meeting the requirements of t</w:t>
      </w:r>
      <w:r w:rsidR="007C70ED" w:rsidRPr="00BB5962">
        <w:rPr>
          <w:rFonts w:ascii="Arial" w:hAnsi="Arial" w:cs="Arial"/>
          <w:sz w:val="20"/>
          <w:szCs w:val="20"/>
        </w:rPr>
        <w:t xml:space="preserve">he </w:t>
      </w:r>
      <w:r w:rsidR="00B12327" w:rsidRPr="00BB5962">
        <w:rPr>
          <w:rFonts w:ascii="Arial" w:hAnsi="Arial" w:cs="Arial"/>
          <w:sz w:val="20"/>
          <w:szCs w:val="20"/>
        </w:rPr>
        <w:t>B</w:t>
      </w:r>
      <w:r w:rsidR="007C70ED" w:rsidRPr="00BB5962">
        <w:rPr>
          <w:rFonts w:ascii="Arial" w:hAnsi="Arial" w:cs="Arial"/>
          <w:sz w:val="20"/>
          <w:szCs w:val="20"/>
        </w:rPr>
        <w:t xml:space="preserve">uilding </w:t>
      </w:r>
      <w:r w:rsidR="00B12327" w:rsidRPr="00BB5962">
        <w:rPr>
          <w:rFonts w:ascii="Arial" w:hAnsi="Arial" w:cs="Arial"/>
          <w:sz w:val="20"/>
          <w:szCs w:val="20"/>
        </w:rPr>
        <w:t>C</w:t>
      </w:r>
      <w:r w:rsidR="00D50F34" w:rsidRPr="00BB5962">
        <w:rPr>
          <w:rFonts w:ascii="Arial" w:hAnsi="Arial" w:cs="Arial"/>
          <w:sz w:val="20"/>
          <w:szCs w:val="20"/>
        </w:rPr>
        <w:t>ode of Australia.</w:t>
      </w:r>
    </w:p>
    <w:p w:rsidR="00D50F34" w:rsidRPr="0073405C" w:rsidRDefault="00D50F34" w:rsidP="00BB5962"/>
    <w:p w:rsidR="00D106DA" w:rsidRPr="0073405C" w:rsidRDefault="00D106DA" w:rsidP="00BB5962">
      <w:r w:rsidRPr="0073405C">
        <w:t>The key legislation relating to the management of Council</w:t>
      </w:r>
      <w:r w:rsidR="00FB6D48">
        <w:t>-</w:t>
      </w:r>
      <w:r w:rsidRPr="0073405C">
        <w:t xml:space="preserve">owned </w:t>
      </w:r>
      <w:r w:rsidR="00E85997" w:rsidRPr="0073405C">
        <w:t xml:space="preserve">building </w:t>
      </w:r>
      <w:r w:rsidR="0039469A">
        <w:t>assets is</w:t>
      </w:r>
      <w:r w:rsidRPr="0073405C">
        <w:t xml:space="preserve"> listed below</w:t>
      </w:r>
      <w:r w:rsidR="00E85997" w:rsidRPr="0073405C">
        <w:t xml:space="preserve">. This list is indicative only and is not intended to be comprehensive.  It is presented to illustrate the variety of issues that can arise and impose constraints on the operational maintenance and management of council </w:t>
      </w:r>
      <w:r w:rsidR="0039469A">
        <w:t>buildings</w:t>
      </w:r>
      <w:r w:rsidRPr="0073405C">
        <w:t>:</w:t>
      </w:r>
      <w:r w:rsidR="00E85997" w:rsidRPr="0073405C">
        <w:t xml:space="preserve"> </w:t>
      </w:r>
    </w:p>
    <w:tbl>
      <w:tblPr>
        <w:tblStyle w:val="TableGrid"/>
        <w:tblW w:w="9110" w:type="dxa"/>
        <w:jc w:val="center"/>
        <w:tblLook w:val="04A0" w:firstRow="1" w:lastRow="0" w:firstColumn="1" w:lastColumn="0" w:noHBand="0" w:noVBand="1"/>
      </w:tblPr>
      <w:tblGrid>
        <w:gridCol w:w="2218"/>
        <w:gridCol w:w="6892"/>
      </w:tblGrid>
      <w:tr w:rsidR="00F23B6F" w:rsidRPr="0024611A" w:rsidTr="003E5B9F">
        <w:trPr>
          <w:cantSplit/>
          <w:tblHeader/>
          <w:jc w:val="center"/>
        </w:trPr>
        <w:tc>
          <w:tcPr>
            <w:tcW w:w="0" w:type="auto"/>
            <w:shd w:val="clear" w:color="auto" w:fill="95B3D7" w:themeFill="accent1" w:themeFillTint="99"/>
            <w:vAlign w:val="center"/>
          </w:tcPr>
          <w:p w:rsidR="00F23B6F" w:rsidRPr="0024611A" w:rsidRDefault="00F23B6F" w:rsidP="003E5B9F">
            <w:pPr>
              <w:pStyle w:val="BodyText10"/>
              <w:keepNext/>
              <w:keepLines/>
              <w:tabs>
                <w:tab w:val="clear" w:pos="567"/>
              </w:tabs>
              <w:spacing w:after="60"/>
              <w:ind w:left="0"/>
              <w:jc w:val="left"/>
              <w:rPr>
                <w:b/>
                <w:sz w:val="20"/>
              </w:rPr>
            </w:pPr>
            <w:r w:rsidRPr="0024611A">
              <w:rPr>
                <w:b/>
                <w:sz w:val="20"/>
              </w:rPr>
              <w:t>Legislation</w:t>
            </w:r>
          </w:p>
        </w:tc>
        <w:tc>
          <w:tcPr>
            <w:tcW w:w="0" w:type="auto"/>
            <w:shd w:val="clear" w:color="auto" w:fill="95B3D7" w:themeFill="accent1" w:themeFillTint="99"/>
            <w:vAlign w:val="center"/>
          </w:tcPr>
          <w:p w:rsidR="00F23B6F" w:rsidRPr="0024611A" w:rsidRDefault="00F23B6F" w:rsidP="003E5B9F">
            <w:pPr>
              <w:pStyle w:val="BodyText10"/>
              <w:keepNext/>
              <w:keepLines/>
              <w:tabs>
                <w:tab w:val="clear" w:pos="567"/>
              </w:tabs>
              <w:spacing w:after="60"/>
              <w:ind w:left="33"/>
              <w:jc w:val="left"/>
              <w:rPr>
                <w:b/>
                <w:sz w:val="20"/>
              </w:rPr>
            </w:pPr>
            <w:r w:rsidRPr="0024611A">
              <w:rPr>
                <w:b/>
                <w:sz w:val="20"/>
              </w:rPr>
              <w:t>Requirement</w:t>
            </w:r>
          </w:p>
        </w:tc>
      </w:tr>
      <w:tr w:rsidR="00F23B6F" w:rsidRPr="0024611A" w:rsidTr="003E5B9F">
        <w:trPr>
          <w:cantSplit/>
          <w:jc w:val="center"/>
        </w:trPr>
        <w:tc>
          <w:tcPr>
            <w:tcW w:w="0" w:type="auto"/>
          </w:tcPr>
          <w:p w:rsidR="00F23B6F" w:rsidRPr="0024611A" w:rsidRDefault="00F23B6F" w:rsidP="003E5B9F">
            <w:pPr>
              <w:keepNext/>
              <w:keepLines/>
              <w:jc w:val="left"/>
              <w:rPr>
                <w:rFonts w:cs="Arial"/>
                <w:i/>
                <w:sz w:val="20"/>
              </w:rPr>
            </w:pPr>
            <w:r w:rsidRPr="0024611A">
              <w:rPr>
                <w:rFonts w:cs="Arial"/>
                <w:i/>
                <w:sz w:val="20"/>
              </w:rPr>
              <w:t>Local Government Act 1989, Act No.11/1989</w:t>
            </w:r>
          </w:p>
        </w:tc>
        <w:tc>
          <w:tcPr>
            <w:tcW w:w="0" w:type="auto"/>
          </w:tcPr>
          <w:p w:rsidR="00F23B6F" w:rsidRPr="0024611A" w:rsidRDefault="00F23B6F" w:rsidP="003E5B9F">
            <w:pPr>
              <w:keepNext/>
              <w:keepLines/>
              <w:jc w:val="left"/>
              <w:rPr>
                <w:rFonts w:cs="Arial"/>
                <w:sz w:val="20"/>
              </w:rPr>
            </w:pPr>
            <w:r w:rsidRPr="0024611A">
              <w:rPr>
                <w:rFonts w:cs="Arial"/>
                <w:sz w:val="20"/>
              </w:rPr>
              <w:t>The purpose of this Act is to establish a legislative scheme that supports the system of local government in accordance with Part IIA of the Constitution Act 1975, and a framework that provides for Councils to be accountable to their local communities in the performance of functions and the exercise of powers and the use of resources.</w:t>
            </w:r>
          </w:p>
          <w:p w:rsidR="00F23B6F" w:rsidRPr="0024611A" w:rsidRDefault="00F23B6F" w:rsidP="003E5B9F">
            <w:pPr>
              <w:keepNext/>
              <w:keepLines/>
              <w:jc w:val="left"/>
              <w:rPr>
                <w:rFonts w:cs="Arial"/>
                <w:sz w:val="20"/>
              </w:rPr>
            </w:pPr>
            <w:r w:rsidRPr="0024611A">
              <w:rPr>
                <w:rFonts w:cs="Arial"/>
                <w:sz w:val="20"/>
              </w:rPr>
              <w:t>Purposes of Council are to:</w:t>
            </w:r>
          </w:p>
          <w:p w:rsidR="00F23B6F" w:rsidRPr="0024611A" w:rsidRDefault="00F23B6F" w:rsidP="008348B5">
            <w:pPr>
              <w:pStyle w:val="Bullet"/>
              <w:keepNext/>
              <w:keepLines/>
              <w:numPr>
                <w:ilvl w:val="0"/>
                <w:numId w:val="35"/>
              </w:numPr>
              <w:tabs>
                <w:tab w:val="left" w:pos="426"/>
                <w:tab w:val="left" w:pos="1701"/>
              </w:tabs>
              <w:spacing w:before="60" w:after="60"/>
              <w:ind w:left="426" w:hanging="430"/>
              <w:rPr>
                <w:rFonts w:ascii="Arial" w:hAnsi="Arial" w:cs="Arial"/>
                <w:sz w:val="20"/>
              </w:rPr>
            </w:pPr>
            <w:r w:rsidRPr="0024611A">
              <w:rPr>
                <w:rFonts w:ascii="Arial" w:hAnsi="Arial" w:cs="Arial"/>
                <w:sz w:val="20"/>
              </w:rPr>
              <w:t>Provide for the peace, order and good governmen</w:t>
            </w:r>
            <w:r w:rsidR="00BB5962" w:rsidRPr="0024611A">
              <w:rPr>
                <w:rFonts w:ascii="Arial" w:hAnsi="Arial" w:cs="Arial"/>
                <w:sz w:val="20"/>
              </w:rPr>
              <w:t>t of its municipal district;</w:t>
            </w:r>
          </w:p>
          <w:p w:rsidR="00F23B6F" w:rsidRPr="0024611A" w:rsidRDefault="00F23B6F" w:rsidP="008348B5">
            <w:pPr>
              <w:pStyle w:val="Bullet"/>
              <w:keepNext/>
              <w:keepLines/>
              <w:numPr>
                <w:ilvl w:val="0"/>
                <w:numId w:val="35"/>
              </w:numPr>
              <w:tabs>
                <w:tab w:val="left" w:pos="426"/>
                <w:tab w:val="left" w:pos="1701"/>
              </w:tabs>
              <w:spacing w:before="60" w:after="60"/>
              <w:ind w:left="426" w:hanging="430"/>
              <w:rPr>
                <w:rFonts w:ascii="Arial" w:hAnsi="Arial" w:cs="Arial"/>
                <w:sz w:val="20"/>
              </w:rPr>
            </w:pPr>
            <w:r w:rsidRPr="0024611A">
              <w:rPr>
                <w:rFonts w:ascii="Arial" w:hAnsi="Arial" w:cs="Arial"/>
                <w:sz w:val="20"/>
              </w:rPr>
              <w:t>Facilitate and encourage appropriate development of its municipal district in the best</w:t>
            </w:r>
            <w:r w:rsidR="00BB5962" w:rsidRPr="0024611A">
              <w:rPr>
                <w:rFonts w:ascii="Arial" w:hAnsi="Arial" w:cs="Arial"/>
                <w:sz w:val="20"/>
              </w:rPr>
              <w:t xml:space="preserve"> interests of the community;</w:t>
            </w:r>
          </w:p>
          <w:p w:rsidR="00F23B6F" w:rsidRPr="0024611A" w:rsidRDefault="00F23B6F" w:rsidP="008348B5">
            <w:pPr>
              <w:pStyle w:val="Bullet"/>
              <w:keepNext/>
              <w:keepLines/>
              <w:numPr>
                <w:ilvl w:val="0"/>
                <w:numId w:val="35"/>
              </w:numPr>
              <w:tabs>
                <w:tab w:val="left" w:pos="426"/>
                <w:tab w:val="left" w:pos="1701"/>
              </w:tabs>
              <w:spacing w:before="60" w:after="60"/>
              <w:ind w:left="426" w:hanging="430"/>
              <w:rPr>
                <w:rFonts w:ascii="Arial" w:hAnsi="Arial" w:cs="Arial"/>
                <w:sz w:val="20"/>
              </w:rPr>
            </w:pPr>
            <w:r w:rsidRPr="0024611A">
              <w:rPr>
                <w:rFonts w:ascii="Arial" w:hAnsi="Arial" w:cs="Arial"/>
                <w:sz w:val="20"/>
              </w:rPr>
              <w:t>Provide equitable and appropriate services and facilities for the community and to ensure that those services and facilities are managed efficiently and effectively; and</w:t>
            </w:r>
          </w:p>
          <w:p w:rsidR="00F23B6F" w:rsidRPr="0024611A" w:rsidRDefault="00F23B6F" w:rsidP="008348B5">
            <w:pPr>
              <w:pStyle w:val="Bullet"/>
              <w:keepNext/>
              <w:keepLines/>
              <w:numPr>
                <w:ilvl w:val="0"/>
                <w:numId w:val="35"/>
              </w:numPr>
              <w:tabs>
                <w:tab w:val="left" w:pos="426"/>
                <w:tab w:val="left" w:pos="1701"/>
              </w:tabs>
              <w:spacing w:before="60" w:after="60"/>
              <w:ind w:left="426" w:hanging="430"/>
              <w:rPr>
                <w:rFonts w:ascii="Arial" w:hAnsi="Arial" w:cs="Arial"/>
                <w:sz w:val="20"/>
              </w:rPr>
            </w:pPr>
            <w:r w:rsidRPr="0024611A">
              <w:rPr>
                <w:rFonts w:ascii="Arial" w:hAnsi="Arial" w:cs="Arial"/>
                <w:sz w:val="20"/>
              </w:rPr>
              <w:t>Manage, improve and develop the resources of its district efficiently and effectively.</w:t>
            </w:r>
          </w:p>
          <w:p w:rsidR="00F23B6F" w:rsidRPr="0024611A" w:rsidRDefault="00F23B6F" w:rsidP="003E5B9F">
            <w:pPr>
              <w:keepNext/>
              <w:keepLines/>
              <w:jc w:val="left"/>
              <w:rPr>
                <w:rFonts w:cs="Arial"/>
                <w:sz w:val="20"/>
              </w:rPr>
            </w:pPr>
            <w:r w:rsidRPr="0024611A">
              <w:rPr>
                <w:rFonts w:cs="Arial"/>
                <w:sz w:val="20"/>
              </w:rPr>
              <w:t xml:space="preserve">Section 3E of the Act sets out the functions of Council which include: </w:t>
            </w:r>
          </w:p>
          <w:p w:rsidR="00F23B6F" w:rsidRPr="0024611A" w:rsidRDefault="00F23B6F" w:rsidP="003E5B9F">
            <w:pPr>
              <w:keepNext/>
              <w:keepLines/>
              <w:jc w:val="left"/>
              <w:rPr>
                <w:rFonts w:cs="Arial"/>
                <w:sz w:val="20"/>
              </w:rPr>
            </w:pPr>
            <w:r w:rsidRPr="0024611A">
              <w:rPr>
                <w:rFonts w:cs="Arial"/>
                <w:sz w:val="20"/>
              </w:rPr>
              <w:t>3E(b) planning for and providing services and facilities for the local community;</w:t>
            </w:r>
          </w:p>
          <w:p w:rsidR="00F23B6F" w:rsidRPr="0024611A" w:rsidRDefault="00F23B6F" w:rsidP="003E5B9F">
            <w:pPr>
              <w:keepNext/>
              <w:keepLines/>
              <w:jc w:val="left"/>
              <w:rPr>
                <w:rFonts w:cs="Arial"/>
                <w:sz w:val="20"/>
              </w:rPr>
            </w:pPr>
            <w:r w:rsidRPr="0024611A">
              <w:rPr>
                <w:rFonts w:cs="Arial"/>
                <w:sz w:val="20"/>
              </w:rPr>
              <w:t>3E(c) providing and maintaining community infrastructure in the municipal district;</w:t>
            </w:r>
          </w:p>
        </w:tc>
      </w:tr>
      <w:tr w:rsidR="00F23B6F" w:rsidRPr="0024611A" w:rsidTr="003E5B9F">
        <w:trPr>
          <w:cantSplit/>
          <w:jc w:val="center"/>
        </w:trPr>
        <w:tc>
          <w:tcPr>
            <w:tcW w:w="0" w:type="auto"/>
          </w:tcPr>
          <w:p w:rsidR="00F23B6F" w:rsidRPr="0024611A" w:rsidRDefault="00F23B6F" w:rsidP="003E5B9F">
            <w:pPr>
              <w:keepNext/>
              <w:keepLines/>
              <w:jc w:val="left"/>
              <w:rPr>
                <w:rFonts w:cs="Arial"/>
                <w:i/>
                <w:sz w:val="20"/>
              </w:rPr>
            </w:pPr>
            <w:r w:rsidRPr="0024611A">
              <w:rPr>
                <w:rFonts w:cs="Arial"/>
                <w:i/>
                <w:sz w:val="20"/>
              </w:rPr>
              <w:t>Building Act 1993, Act No. 126/1993</w:t>
            </w:r>
          </w:p>
        </w:tc>
        <w:tc>
          <w:tcPr>
            <w:tcW w:w="0" w:type="auto"/>
          </w:tcPr>
          <w:p w:rsidR="00F23B6F" w:rsidRPr="0024611A" w:rsidRDefault="00F23B6F" w:rsidP="003E5B9F">
            <w:pPr>
              <w:keepNext/>
              <w:keepLines/>
              <w:jc w:val="left"/>
              <w:rPr>
                <w:rFonts w:cs="Arial"/>
                <w:sz w:val="20"/>
              </w:rPr>
            </w:pPr>
            <w:r w:rsidRPr="0024611A">
              <w:rPr>
                <w:rFonts w:cs="Arial"/>
                <w:sz w:val="20"/>
              </w:rPr>
              <w:t>The main purpose of this Act is to provide for the regulation of building work and building standards including issuing building and occupancy permits and administering and enforcing related building and safety matters.</w:t>
            </w:r>
          </w:p>
        </w:tc>
      </w:tr>
      <w:tr w:rsidR="00F23B6F" w:rsidRPr="0024611A" w:rsidTr="003E5B9F">
        <w:trPr>
          <w:cantSplit/>
          <w:jc w:val="center"/>
        </w:trPr>
        <w:tc>
          <w:tcPr>
            <w:tcW w:w="0" w:type="auto"/>
          </w:tcPr>
          <w:p w:rsidR="00F23B6F" w:rsidRPr="0024611A" w:rsidRDefault="00F23B6F" w:rsidP="003E5B9F">
            <w:pPr>
              <w:keepNext/>
              <w:keepLines/>
              <w:jc w:val="left"/>
              <w:rPr>
                <w:rFonts w:cs="Arial"/>
                <w:i/>
                <w:sz w:val="20"/>
              </w:rPr>
            </w:pPr>
            <w:r w:rsidRPr="0024611A">
              <w:rPr>
                <w:rFonts w:cs="Arial"/>
                <w:i/>
                <w:sz w:val="20"/>
              </w:rPr>
              <w:t xml:space="preserve">Building Regulations 2006, S.R. No. 68/2006 </w:t>
            </w:r>
          </w:p>
        </w:tc>
        <w:tc>
          <w:tcPr>
            <w:tcW w:w="0" w:type="auto"/>
          </w:tcPr>
          <w:p w:rsidR="00F23B6F" w:rsidRPr="0024611A" w:rsidRDefault="00F23B6F" w:rsidP="003E5B9F">
            <w:pPr>
              <w:keepNext/>
              <w:keepLines/>
              <w:jc w:val="left"/>
              <w:rPr>
                <w:rFonts w:cs="Arial"/>
                <w:sz w:val="20"/>
              </w:rPr>
            </w:pPr>
            <w:r w:rsidRPr="0024611A">
              <w:rPr>
                <w:rFonts w:cs="Arial"/>
                <w:sz w:val="20"/>
              </w:rPr>
              <w:t>Main objectives of these regulations are:</w:t>
            </w:r>
          </w:p>
          <w:p w:rsidR="00F23B6F" w:rsidRPr="0024611A" w:rsidRDefault="00F23B6F" w:rsidP="008348B5">
            <w:pPr>
              <w:pStyle w:val="Bullet"/>
              <w:keepNext/>
              <w:keepLines/>
              <w:numPr>
                <w:ilvl w:val="0"/>
                <w:numId w:val="35"/>
              </w:numPr>
              <w:tabs>
                <w:tab w:val="left" w:pos="426"/>
                <w:tab w:val="left" w:pos="1701"/>
              </w:tabs>
              <w:spacing w:before="60" w:after="60"/>
              <w:ind w:left="426" w:hanging="430"/>
              <w:rPr>
                <w:rFonts w:ascii="Arial" w:hAnsi="Arial" w:cs="Arial"/>
                <w:sz w:val="20"/>
              </w:rPr>
            </w:pPr>
            <w:r w:rsidRPr="0024611A">
              <w:rPr>
                <w:rFonts w:ascii="Arial" w:hAnsi="Arial" w:cs="Arial"/>
                <w:sz w:val="20"/>
              </w:rPr>
              <w:t xml:space="preserve">to remake with amendments the regulations which control the design, construction and use of buildings and places of public entertainment; </w:t>
            </w:r>
          </w:p>
          <w:p w:rsidR="00F23B6F" w:rsidRPr="0024611A" w:rsidRDefault="00F23B6F" w:rsidP="008348B5">
            <w:pPr>
              <w:pStyle w:val="Bullet"/>
              <w:keepNext/>
              <w:keepLines/>
              <w:numPr>
                <w:ilvl w:val="0"/>
                <w:numId w:val="35"/>
              </w:numPr>
              <w:tabs>
                <w:tab w:val="left" w:pos="426"/>
                <w:tab w:val="left" w:pos="1701"/>
              </w:tabs>
              <w:spacing w:before="60" w:after="60"/>
              <w:ind w:left="426" w:hanging="430"/>
              <w:rPr>
                <w:rFonts w:ascii="Arial" w:hAnsi="Arial" w:cs="Arial"/>
                <w:sz w:val="20"/>
              </w:rPr>
            </w:pPr>
            <w:r w:rsidRPr="0024611A">
              <w:rPr>
                <w:rFonts w:ascii="Arial" w:hAnsi="Arial" w:cs="Arial"/>
                <w:sz w:val="20"/>
              </w:rPr>
              <w:t xml:space="preserve"> to prescribe standards for the construction and demolition of buildings; </w:t>
            </w:r>
          </w:p>
          <w:p w:rsidR="00F23B6F" w:rsidRPr="0024611A" w:rsidRDefault="00F23B6F" w:rsidP="008348B5">
            <w:pPr>
              <w:pStyle w:val="Bullet"/>
              <w:keepNext/>
              <w:keepLines/>
              <w:numPr>
                <w:ilvl w:val="0"/>
                <w:numId w:val="35"/>
              </w:numPr>
              <w:tabs>
                <w:tab w:val="left" w:pos="426"/>
                <w:tab w:val="left" w:pos="1701"/>
              </w:tabs>
              <w:spacing w:before="60" w:after="60"/>
              <w:ind w:left="426" w:hanging="430"/>
              <w:rPr>
                <w:rFonts w:ascii="Arial" w:hAnsi="Arial" w:cs="Arial"/>
                <w:sz w:val="20"/>
              </w:rPr>
            </w:pPr>
            <w:r w:rsidRPr="0024611A">
              <w:rPr>
                <w:rFonts w:ascii="Arial" w:hAnsi="Arial" w:cs="Arial"/>
                <w:sz w:val="20"/>
              </w:rPr>
              <w:t>to prescribe standards of safety for places of public entertainment, including swimming pools and spas;</w:t>
            </w:r>
          </w:p>
          <w:p w:rsidR="00F23B6F" w:rsidRPr="0024611A" w:rsidRDefault="00F23B6F" w:rsidP="008348B5">
            <w:pPr>
              <w:pStyle w:val="Bullet"/>
              <w:keepNext/>
              <w:keepLines/>
              <w:numPr>
                <w:ilvl w:val="0"/>
                <w:numId w:val="35"/>
              </w:numPr>
              <w:tabs>
                <w:tab w:val="left" w:pos="426"/>
                <w:tab w:val="left" w:pos="1701"/>
              </w:tabs>
              <w:spacing w:before="60" w:after="60"/>
              <w:ind w:left="426" w:hanging="430"/>
              <w:rPr>
                <w:rFonts w:ascii="Arial" w:hAnsi="Arial" w:cs="Arial"/>
                <w:sz w:val="20"/>
              </w:rPr>
            </w:pPr>
            <w:r w:rsidRPr="0024611A">
              <w:rPr>
                <w:rFonts w:ascii="Arial" w:hAnsi="Arial" w:cs="Arial"/>
                <w:sz w:val="20"/>
              </w:rPr>
              <w:t xml:space="preserve">to regulate matters relating to the use and maintenance of buildings and places of public entertainment; </w:t>
            </w:r>
            <w:r w:rsidR="00BB5962" w:rsidRPr="0024611A">
              <w:rPr>
                <w:rFonts w:ascii="Arial" w:hAnsi="Arial" w:cs="Arial"/>
                <w:sz w:val="20"/>
              </w:rPr>
              <w:t>and</w:t>
            </w:r>
          </w:p>
          <w:p w:rsidR="00F23B6F" w:rsidRPr="0024611A" w:rsidRDefault="00F23B6F" w:rsidP="008348B5">
            <w:pPr>
              <w:pStyle w:val="Bullet"/>
              <w:keepNext/>
              <w:keepLines/>
              <w:numPr>
                <w:ilvl w:val="0"/>
                <w:numId w:val="35"/>
              </w:numPr>
              <w:tabs>
                <w:tab w:val="left" w:pos="426"/>
                <w:tab w:val="left" w:pos="1701"/>
              </w:tabs>
              <w:spacing w:before="60" w:after="60"/>
              <w:ind w:left="426" w:hanging="430"/>
              <w:rPr>
                <w:rFonts w:ascii="Arial" w:hAnsi="Arial" w:cs="Arial"/>
                <w:sz w:val="20"/>
              </w:rPr>
            </w:pPr>
            <w:r w:rsidRPr="0024611A">
              <w:rPr>
                <w:rFonts w:ascii="Arial" w:hAnsi="Arial" w:cs="Arial"/>
                <w:sz w:val="20"/>
              </w:rPr>
              <w:t>to prescribe standards and matters relating to the maintenance of fire safety and safety measures</w:t>
            </w:r>
            <w:r w:rsidR="00BB5962" w:rsidRPr="0024611A">
              <w:rPr>
                <w:rFonts w:ascii="Arial" w:hAnsi="Arial" w:cs="Arial"/>
                <w:sz w:val="20"/>
              </w:rPr>
              <w:t>.</w:t>
            </w:r>
          </w:p>
        </w:tc>
      </w:tr>
      <w:tr w:rsidR="0018363D" w:rsidRPr="0024611A" w:rsidTr="003E5B9F">
        <w:trPr>
          <w:cantSplit/>
          <w:jc w:val="center"/>
        </w:trPr>
        <w:tc>
          <w:tcPr>
            <w:tcW w:w="0" w:type="auto"/>
          </w:tcPr>
          <w:p w:rsidR="0018363D" w:rsidRPr="0024611A" w:rsidRDefault="0018363D" w:rsidP="003E5B9F">
            <w:pPr>
              <w:jc w:val="left"/>
              <w:rPr>
                <w:rFonts w:cs="Arial"/>
                <w:i/>
                <w:sz w:val="20"/>
              </w:rPr>
            </w:pPr>
            <w:r w:rsidRPr="0024611A">
              <w:rPr>
                <w:rFonts w:cs="Arial"/>
                <w:i/>
                <w:sz w:val="20"/>
              </w:rPr>
              <w:t>Disability Act 2006, Act No.23/2006</w:t>
            </w:r>
          </w:p>
        </w:tc>
        <w:tc>
          <w:tcPr>
            <w:tcW w:w="0" w:type="auto"/>
          </w:tcPr>
          <w:p w:rsidR="0018363D" w:rsidRPr="0024611A" w:rsidRDefault="0018363D" w:rsidP="003E5B9F">
            <w:pPr>
              <w:keepNext/>
              <w:keepLines/>
              <w:jc w:val="left"/>
              <w:rPr>
                <w:rFonts w:cs="Arial"/>
                <w:sz w:val="20"/>
              </w:rPr>
            </w:pPr>
            <w:r w:rsidRPr="0024611A">
              <w:rPr>
                <w:rFonts w:cs="Arial"/>
                <w:sz w:val="20"/>
              </w:rPr>
              <w:t xml:space="preserve">The objectives of </w:t>
            </w:r>
            <w:hyperlink r:id="rId38" w:history="1">
              <w:r w:rsidRPr="0024611A">
                <w:rPr>
                  <w:rFonts w:cs="Arial"/>
                  <w:sz w:val="20"/>
                </w:rPr>
                <w:t>this Act</w:t>
              </w:r>
            </w:hyperlink>
            <w:r w:rsidRPr="0024611A">
              <w:rPr>
                <w:rFonts w:cs="Arial"/>
                <w:sz w:val="20"/>
              </w:rPr>
              <w:t xml:space="preserve"> are to eliminate, as far as possible, discrimination against persons on the ground of disability in the areas of: </w:t>
            </w:r>
          </w:p>
          <w:p w:rsidR="0018363D" w:rsidRPr="0024611A" w:rsidRDefault="0018363D" w:rsidP="008348B5">
            <w:pPr>
              <w:pStyle w:val="Bullet"/>
              <w:keepNext/>
              <w:keepLines/>
              <w:numPr>
                <w:ilvl w:val="0"/>
                <w:numId w:val="35"/>
              </w:numPr>
              <w:tabs>
                <w:tab w:val="left" w:pos="426"/>
                <w:tab w:val="left" w:pos="1701"/>
              </w:tabs>
              <w:spacing w:before="60" w:after="60"/>
              <w:ind w:left="426" w:hanging="430"/>
              <w:rPr>
                <w:rFonts w:ascii="Arial" w:hAnsi="Arial" w:cs="Arial"/>
                <w:sz w:val="20"/>
              </w:rPr>
            </w:pPr>
            <w:r w:rsidRPr="0024611A">
              <w:rPr>
                <w:rFonts w:ascii="Arial" w:hAnsi="Arial" w:cs="Arial"/>
                <w:sz w:val="20"/>
              </w:rPr>
              <w:t xml:space="preserve">work, accommodation, education, access to premises, clubs and sport, </w:t>
            </w:r>
          </w:p>
          <w:p w:rsidR="0018363D" w:rsidRPr="0024611A" w:rsidRDefault="0018363D" w:rsidP="008348B5">
            <w:pPr>
              <w:pStyle w:val="Bullet"/>
              <w:keepNext/>
              <w:keepLines/>
              <w:numPr>
                <w:ilvl w:val="0"/>
                <w:numId w:val="35"/>
              </w:numPr>
              <w:tabs>
                <w:tab w:val="left" w:pos="426"/>
                <w:tab w:val="left" w:pos="1701"/>
              </w:tabs>
              <w:spacing w:before="60" w:after="60"/>
              <w:ind w:left="426" w:hanging="430"/>
              <w:rPr>
                <w:rFonts w:ascii="Arial" w:hAnsi="Arial" w:cs="Arial"/>
                <w:sz w:val="20"/>
              </w:rPr>
            </w:pPr>
            <w:r w:rsidRPr="0024611A">
              <w:rPr>
                <w:rFonts w:ascii="Arial" w:hAnsi="Arial" w:cs="Arial"/>
                <w:sz w:val="20"/>
              </w:rPr>
              <w:t xml:space="preserve">the provision of goods, facilities, services and land, </w:t>
            </w:r>
          </w:p>
          <w:p w:rsidR="0018363D" w:rsidRPr="0024611A" w:rsidRDefault="0018363D" w:rsidP="008348B5">
            <w:pPr>
              <w:pStyle w:val="Bullet"/>
              <w:keepNext/>
              <w:keepLines/>
              <w:numPr>
                <w:ilvl w:val="0"/>
                <w:numId w:val="35"/>
              </w:numPr>
              <w:tabs>
                <w:tab w:val="left" w:pos="426"/>
                <w:tab w:val="left" w:pos="1701"/>
              </w:tabs>
              <w:spacing w:before="60" w:after="60"/>
              <w:ind w:left="426" w:hanging="430"/>
              <w:rPr>
                <w:rFonts w:ascii="Arial" w:hAnsi="Arial" w:cs="Arial"/>
                <w:sz w:val="20"/>
              </w:rPr>
            </w:pPr>
            <w:r w:rsidRPr="0024611A">
              <w:rPr>
                <w:rFonts w:ascii="Arial" w:hAnsi="Arial" w:cs="Arial"/>
                <w:sz w:val="20"/>
              </w:rPr>
              <w:t xml:space="preserve">existing laws, </w:t>
            </w:r>
          </w:p>
          <w:p w:rsidR="0018363D" w:rsidRPr="0024611A" w:rsidRDefault="0018363D" w:rsidP="008348B5">
            <w:pPr>
              <w:pStyle w:val="Bullet"/>
              <w:keepNext/>
              <w:keepLines/>
              <w:numPr>
                <w:ilvl w:val="0"/>
                <w:numId w:val="35"/>
              </w:numPr>
              <w:tabs>
                <w:tab w:val="left" w:pos="426"/>
                <w:tab w:val="left" w:pos="1701"/>
              </w:tabs>
              <w:spacing w:before="60" w:after="60"/>
              <w:ind w:left="426" w:hanging="430"/>
              <w:rPr>
                <w:rFonts w:ascii="Arial" w:hAnsi="Arial" w:cs="Arial"/>
                <w:sz w:val="20"/>
              </w:rPr>
            </w:pPr>
            <w:r w:rsidRPr="0024611A">
              <w:rPr>
                <w:rFonts w:ascii="Arial" w:hAnsi="Arial" w:cs="Arial"/>
                <w:sz w:val="20"/>
              </w:rPr>
              <w:t>the administration of Commonwealth laws and programs; and</w:t>
            </w:r>
          </w:p>
          <w:p w:rsidR="0018363D" w:rsidRPr="0024611A" w:rsidRDefault="0018363D" w:rsidP="008348B5">
            <w:pPr>
              <w:pStyle w:val="Bullet"/>
              <w:keepNext/>
              <w:keepLines/>
              <w:numPr>
                <w:ilvl w:val="0"/>
                <w:numId w:val="35"/>
              </w:numPr>
              <w:tabs>
                <w:tab w:val="left" w:pos="426"/>
                <w:tab w:val="left" w:pos="1701"/>
              </w:tabs>
              <w:spacing w:before="60" w:after="60"/>
              <w:ind w:left="426" w:hanging="430"/>
              <w:rPr>
                <w:rFonts w:ascii="Arial" w:hAnsi="Arial" w:cs="Arial"/>
                <w:sz w:val="20"/>
              </w:rPr>
            </w:pPr>
            <w:r w:rsidRPr="0024611A">
              <w:rPr>
                <w:rFonts w:ascii="Arial" w:hAnsi="Arial" w:cs="Arial"/>
                <w:sz w:val="20"/>
              </w:rPr>
              <w:t xml:space="preserve">to ensure, as far as practicable, that persons with disabilities have the same rights to equality before the law as the rest of the community; and  to promote recognition and acceptance within the community of the principle that persons with disabilities have the same fundamental rights as the rest of the community. </w:t>
            </w:r>
          </w:p>
          <w:p w:rsidR="0018363D" w:rsidRPr="0024611A" w:rsidRDefault="0018363D" w:rsidP="003E5B9F">
            <w:pPr>
              <w:keepNext/>
              <w:keepLines/>
              <w:jc w:val="left"/>
              <w:rPr>
                <w:rFonts w:cs="Arial"/>
                <w:sz w:val="20"/>
              </w:rPr>
            </w:pPr>
            <w:r w:rsidRPr="0024611A">
              <w:rPr>
                <w:rFonts w:cs="Arial"/>
                <w:sz w:val="20"/>
              </w:rPr>
              <w:t>This Act requires Council to ensure that the services it provides do not discriminate against any person or group of persons. Where existing infrastructure does not conform to current standards, then Council may produce an action plan detailing the actions it intends to undertake to ensure that assets comply with universal access provisions and the relevant codes of practice.</w:t>
            </w:r>
          </w:p>
        </w:tc>
      </w:tr>
      <w:tr w:rsidR="0018363D" w:rsidRPr="0024611A" w:rsidTr="003E5B9F">
        <w:trPr>
          <w:cantSplit/>
          <w:jc w:val="center"/>
        </w:trPr>
        <w:tc>
          <w:tcPr>
            <w:tcW w:w="0" w:type="auto"/>
          </w:tcPr>
          <w:p w:rsidR="0018363D" w:rsidRPr="0024611A" w:rsidRDefault="0018363D" w:rsidP="003E5B9F">
            <w:pPr>
              <w:jc w:val="left"/>
              <w:rPr>
                <w:rFonts w:cs="Arial"/>
                <w:i/>
                <w:sz w:val="20"/>
              </w:rPr>
            </w:pPr>
            <w:r w:rsidRPr="0024611A">
              <w:rPr>
                <w:rFonts w:cs="Arial"/>
                <w:i/>
                <w:sz w:val="20"/>
              </w:rPr>
              <w:t>Occupational Health and Safety Act 2004, Act No.107/2004</w:t>
            </w:r>
          </w:p>
        </w:tc>
        <w:tc>
          <w:tcPr>
            <w:tcW w:w="0" w:type="auto"/>
          </w:tcPr>
          <w:p w:rsidR="0018363D" w:rsidRPr="0024611A" w:rsidRDefault="0018363D" w:rsidP="003E5B9F">
            <w:pPr>
              <w:keepNext/>
              <w:keepLines/>
              <w:jc w:val="left"/>
              <w:rPr>
                <w:rFonts w:cs="Arial"/>
                <w:sz w:val="20"/>
              </w:rPr>
            </w:pPr>
            <w:r w:rsidRPr="0024611A">
              <w:rPr>
                <w:rFonts w:cs="Arial"/>
                <w:sz w:val="20"/>
              </w:rPr>
              <w:t xml:space="preserve">The objective of the Act is to: </w:t>
            </w:r>
          </w:p>
          <w:p w:rsidR="0018363D" w:rsidRPr="0024611A" w:rsidRDefault="0018363D" w:rsidP="008348B5">
            <w:pPr>
              <w:pStyle w:val="Bullet"/>
              <w:numPr>
                <w:ilvl w:val="0"/>
                <w:numId w:val="35"/>
              </w:numPr>
              <w:tabs>
                <w:tab w:val="left" w:pos="426"/>
                <w:tab w:val="left" w:pos="1701"/>
              </w:tabs>
              <w:spacing w:before="60" w:after="60"/>
              <w:ind w:left="426" w:hanging="430"/>
              <w:rPr>
                <w:rFonts w:ascii="Arial" w:hAnsi="Arial" w:cs="Arial"/>
                <w:sz w:val="20"/>
              </w:rPr>
            </w:pPr>
            <w:r w:rsidRPr="0024611A">
              <w:rPr>
                <w:rFonts w:ascii="Arial" w:hAnsi="Arial" w:cs="Arial"/>
                <w:sz w:val="20"/>
              </w:rPr>
              <w:t xml:space="preserve">Secure and promote the health, safety and welfare of people at work; </w:t>
            </w:r>
          </w:p>
          <w:p w:rsidR="0018363D" w:rsidRPr="0024611A" w:rsidRDefault="0018363D" w:rsidP="008348B5">
            <w:pPr>
              <w:pStyle w:val="Bullet"/>
              <w:numPr>
                <w:ilvl w:val="0"/>
                <w:numId w:val="35"/>
              </w:numPr>
              <w:tabs>
                <w:tab w:val="left" w:pos="426"/>
                <w:tab w:val="left" w:pos="1701"/>
              </w:tabs>
              <w:spacing w:before="60" w:after="60"/>
              <w:ind w:left="426" w:hanging="430"/>
              <w:rPr>
                <w:rFonts w:ascii="Arial" w:hAnsi="Arial" w:cs="Arial"/>
                <w:sz w:val="20"/>
              </w:rPr>
            </w:pPr>
            <w:r w:rsidRPr="0024611A">
              <w:rPr>
                <w:rFonts w:ascii="Arial" w:hAnsi="Arial" w:cs="Arial"/>
                <w:sz w:val="20"/>
              </w:rPr>
              <w:t>Protect people against workplace health and safety risks;</w:t>
            </w:r>
          </w:p>
          <w:p w:rsidR="0018363D" w:rsidRPr="0024611A" w:rsidRDefault="0018363D" w:rsidP="008348B5">
            <w:pPr>
              <w:pStyle w:val="Bullet"/>
              <w:numPr>
                <w:ilvl w:val="0"/>
                <w:numId w:val="35"/>
              </w:numPr>
              <w:tabs>
                <w:tab w:val="left" w:pos="426"/>
                <w:tab w:val="left" w:pos="1701"/>
              </w:tabs>
              <w:spacing w:before="60" w:after="60"/>
              <w:ind w:left="426" w:hanging="430"/>
              <w:rPr>
                <w:rFonts w:ascii="Arial" w:hAnsi="Arial" w:cs="Arial"/>
                <w:sz w:val="20"/>
              </w:rPr>
            </w:pPr>
            <w:r w:rsidRPr="0024611A">
              <w:rPr>
                <w:rFonts w:ascii="Arial" w:hAnsi="Arial" w:cs="Arial"/>
                <w:sz w:val="20"/>
              </w:rPr>
              <w:t>Provide for consultation and cooperation between employers and workers in achieving the objects of the Act;</w:t>
            </w:r>
          </w:p>
          <w:p w:rsidR="0018363D" w:rsidRPr="0024611A" w:rsidRDefault="0018363D" w:rsidP="008348B5">
            <w:pPr>
              <w:pStyle w:val="Bullet"/>
              <w:numPr>
                <w:ilvl w:val="0"/>
                <w:numId w:val="35"/>
              </w:numPr>
              <w:tabs>
                <w:tab w:val="left" w:pos="426"/>
                <w:tab w:val="left" w:pos="1701"/>
              </w:tabs>
              <w:spacing w:before="60" w:after="60"/>
              <w:ind w:left="426" w:hanging="430"/>
              <w:rPr>
                <w:rFonts w:ascii="Arial" w:hAnsi="Arial" w:cs="Arial"/>
                <w:sz w:val="20"/>
              </w:rPr>
            </w:pPr>
            <w:r w:rsidRPr="0024611A">
              <w:rPr>
                <w:rFonts w:ascii="Arial" w:hAnsi="Arial" w:cs="Arial"/>
                <w:sz w:val="20"/>
              </w:rPr>
              <w:t>Ensure that risks are identified, assessed and eliminated or controlled;</w:t>
            </w:r>
          </w:p>
          <w:p w:rsidR="0018363D" w:rsidRPr="0024611A" w:rsidRDefault="0018363D" w:rsidP="008348B5">
            <w:pPr>
              <w:pStyle w:val="Bullet"/>
              <w:numPr>
                <w:ilvl w:val="0"/>
                <w:numId w:val="35"/>
              </w:numPr>
              <w:tabs>
                <w:tab w:val="left" w:pos="426"/>
                <w:tab w:val="left" w:pos="1701"/>
              </w:tabs>
              <w:spacing w:before="60" w:after="60"/>
              <w:ind w:left="426" w:hanging="430"/>
              <w:rPr>
                <w:rFonts w:ascii="Arial" w:hAnsi="Arial" w:cs="Arial"/>
                <w:sz w:val="20"/>
              </w:rPr>
            </w:pPr>
            <w:r w:rsidRPr="0024611A">
              <w:rPr>
                <w:rFonts w:ascii="Arial" w:hAnsi="Arial" w:cs="Arial"/>
                <w:sz w:val="20"/>
              </w:rPr>
              <w:t>Develop and promote community awareness of occupational health and safety issues;</w:t>
            </w:r>
          </w:p>
          <w:p w:rsidR="0018363D" w:rsidRPr="0024611A" w:rsidRDefault="0018363D" w:rsidP="008348B5">
            <w:pPr>
              <w:pStyle w:val="Bullet"/>
              <w:numPr>
                <w:ilvl w:val="0"/>
                <w:numId w:val="35"/>
              </w:numPr>
              <w:tabs>
                <w:tab w:val="left" w:pos="426"/>
                <w:tab w:val="left" w:pos="1701"/>
              </w:tabs>
              <w:spacing w:before="60" w:after="60"/>
              <w:ind w:left="426" w:hanging="430"/>
              <w:rPr>
                <w:rFonts w:ascii="Arial" w:hAnsi="Arial" w:cs="Arial"/>
                <w:sz w:val="20"/>
              </w:rPr>
            </w:pPr>
            <w:r w:rsidRPr="0024611A">
              <w:rPr>
                <w:rFonts w:ascii="Arial" w:hAnsi="Arial" w:cs="Arial"/>
                <w:sz w:val="20"/>
              </w:rPr>
              <w:t>Provide a legislative framework that allows for progressively higher standards of occupational health and safety to take account of new technologies and work practices; and</w:t>
            </w:r>
          </w:p>
          <w:p w:rsidR="0018363D" w:rsidRPr="0024611A" w:rsidRDefault="0018363D" w:rsidP="008348B5">
            <w:pPr>
              <w:pStyle w:val="Bullet"/>
              <w:numPr>
                <w:ilvl w:val="0"/>
                <w:numId w:val="35"/>
              </w:numPr>
              <w:tabs>
                <w:tab w:val="left" w:pos="426"/>
                <w:tab w:val="left" w:pos="1701"/>
              </w:tabs>
              <w:spacing w:before="60" w:after="60"/>
              <w:ind w:left="426" w:hanging="430"/>
              <w:rPr>
                <w:rFonts w:ascii="Arial" w:hAnsi="Arial" w:cs="Arial"/>
                <w:sz w:val="20"/>
              </w:rPr>
            </w:pPr>
            <w:r w:rsidRPr="0024611A">
              <w:rPr>
                <w:rFonts w:ascii="Arial" w:hAnsi="Arial" w:cs="Arial"/>
                <w:sz w:val="20"/>
              </w:rPr>
              <w:t xml:space="preserve">Protect people against risks arising from the use of plant (i.e. machinery, equipment or appliances). </w:t>
            </w:r>
          </w:p>
        </w:tc>
      </w:tr>
      <w:tr w:rsidR="0018363D" w:rsidRPr="0024611A" w:rsidTr="003E5B9F">
        <w:trPr>
          <w:cantSplit/>
          <w:jc w:val="center"/>
        </w:trPr>
        <w:tc>
          <w:tcPr>
            <w:tcW w:w="0" w:type="auto"/>
          </w:tcPr>
          <w:p w:rsidR="0018363D" w:rsidRPr="0024611A" w:rsidRDefault="0018363D" w:rsidP="003E5B9F">
            <w:pPr>
              <w:jc w:val="left"/>
              <w:rPr>
                <w:rFonts w:cs="Arial"/>
                <w:i/>
                <w:sz w:val="20"/>
              </w:rPr>
            </w:pPr>
            <w:r w:rsidRPr="0024611A">
              <w:rPr>
                <w:rFonts w:cs="Arial"/>
                <w:i/>
                <w:sz w:val="20"/>
              </w:rPr>
              <w:t xml:space="preserve">Occupational Health and Safety Regulations 2007 S.R. No. 54/2007 </w:t>
            </w:r>
          </w:p>
        </w:tc>
        <w:tc>
          <w:tcPr>
            <w:tcW w:w="0" w:type="auto"/>
          </w:tcPr>
          <w:p w:rsidR="0018363D" w:rsidRPr="0024611A" w:rsidRDefault="0018363D" w:rsidP="003E5B9F">
            <w:pPr>
              <w:jc w:val="left"/>
              <w:rPr>
                <w:rFonts w:cs="Arial"/>
                <w:sz w:val="20"/>
              </w:rPr>
            </w:pPr>
            <w:r w:rsidRPr="0024611A">
              <w:rPr>
                <w:rFonts w:cs="Arial"/>
                <w:sz w:val="20"/>
              </w:rPr>
              <w:t>Outlines minimum actions to be taken to comply with OH&amp;S Act and to further the objects of the Dangerous Goods Act 1985.  It explains plant such as Lifts, boilers maintenance, inspection and testing and WorkCover registration requirements.</w:t>
            </w:r>
          </w:p>
        </w:tc>
      </w:tr>
      <w:tr w:rsidR="0018363D" w:rsidRPr="0024611A" w:rsidTr="003E5B9F">
        <w:trPr>
          <w:cantSplit/>
          <w:jc w:val="center"/>
        </w:trPr>
        <w:tc>
          <w:tcPr>
            <w:tcW w:w="0" w:type="auto"/>
          </w:tcPr>
          <w:p w:rsidR="0018363D" w:rsidRPr="0024611A" w:rsidRDefault="0018363D" w:rsidP="003E5B9F">
            <w:pPr>
              <w:jc w:val="left"/>
              <w:rPr>
                <w:rFonts w:cs="Arial"/>
                <w:i/>
                <w:sz w:val="20"/>
              </w:rPr>
            </w:pPr>
            <w:r w:rsidRPr="0024611A">
              <w:rPr>
                <w:rFonts w:cs="Arial"/>
                <w:i/>
                <w:sz w:val="20"/>
              </w:rPr>
              <w:t>Children’s Services Act 1996, Act No. 53/1996</w:t>
            </w:r>
          </w:p>
        </w:tc>
        <w:tc>
          <w:tcPr>
            <w:tcW w:w="0" w:type="auto"/>
          </w:tcPr>
          <w:p w:rsidR="0018363D" w:rsidRPr="0024611A" w:rsidRDefault="0018363D" w:rsidP="003E5B9F">
            <w:pPr>
              <w:jc w:val="left"/>
              <w:rPr>
                <w:rFonts w:cs="Arial"/>
                <w:sz w:val="20"/>
              </w:rPr>
            </w:pPr>
            <w:r w:rsidRPr="0024611A">
              <w:rPr>
                <w:rFonts w:cs="Arial"/>
                <w:sz w:val="20"/>
              </w:rPr>
              <w:t>The main purpose of this Act is to provide for the licensing and regulation of children’s services.</w:t>
            </w:r>
          </w:p>
          <w:p w:rsidR="0018363D" w:rsidRPr="0024611A" w:rsidRDefault="0018363D" w:rsidP="003E5B9F">
            <w:pPr>
              <w:jc w:val="left"/>
              <w:rPr>
                <w:rFonts w:cs="Arial"/>
                <w:sz w:val="20"/>
              </w:rPr>
            </w:pPr>
            <w:r w:rsidRPr="0024611A">
              <w:rPr>
                <w:rFonts w:cs="Arial"/>
                <w:sz w:val="20"/>
              </w:rPr>
              <w:t>Children’s Services Regulations 2009, S.R. No. 53/2009</w:t>
            </w:r>
          </w:p>
          <w:p w:rsidR="0018363D" w:rsidRPr="0024611A" w:rsidRDefault="0018363D" w:rsidP="003E5B9F">
            <w:pPr>
              <w:jc w:val="left"/>
              <w:rPr>
                <w:rFonts w:cs="Arial"/>
                <w:sz w:val="20"/>
              </w:rPr>
            </w:pPr>
            <w:r w:rsidRPr="0024611A">
              <w:rPr>
                <w:rFonts w:cs="Arial"/>
                <w:sz w:val="20"/>
              </w:rPr>
              <w:t>(Version incorporating amendments as at 1 January 2012)</w:t>
            </w:r>
          </w:p>
          <w:p w:rsidR="0018363D" w:rsidRPr="0024611A" w:rsidRDefault="0018363D" w:rsidP="003E5B9F">
            <w:pPr>
              <w:jc w:val="left"/>
              <w:rPr>
                <w:rFonts w:cs="Arial"/>
                <w:sz w:val="20"/>
              </w:rPr>
            </w:pPr>
            <w:r w:rsidRPr="0024611A">
              <w:rPr>
                <w:rFonts w:cs="Arial"/>
                <w:sz w:val="20"/>
              </w:rPr>
              <w:t xml:space="preserve">The objective of these Regulations is to regulate the licensing and operation of children’s services. </w:t>
            </w:r>
          </w:p>
          <w:p w:rsidR="0018363D" w:rsidRPr="0024611A" w:rsidRDefault="0018363D" w:rsidP="003E5B9F">
            <w:pPr>
              <w:jc w:val="left"/>
              <w:rPr>
                <w:rFonts w:cs="Arial"/>
                <w:sz w:val="20"/>
              </w:rPr>
            </w:pPr>
            <w:r w:rsidRPr="0024611A">
              <w:rPr>
                <w:rFonts w:cs="Arial"/>
                <w:sz w:val="20"/>
              </w:rPr>
              <w:t>The Regulations provide specific requirements in relation to applications for use of particular premises or to construct premises for use in operating a standard children’s service.</w:t>
            </w:r>
          </w:p>
        </w:tc>
      </w:tr>
      <w:tr w:rsidR="0018363D" w:rsidRPr="0024611A" w:rsidTr="003E5B9F">
        <w:trPr>
          <w:cantSplit/>
          <w:jc w:val="center"/>
        </w:trPr>
        <w:tc>
          <w:tcPr>
            <w:tcW w:w="0" w:type="auto"/>
          </w:tcPr>
          <w:p w:rsidR="0018363D" w:rsidRPr="0024611A" w:rsidRDefault="0018363D" w:rsidP="003E5B9F">
            <w:pPr>
              <w:jc w:val="left"/>
              <w:rPr>
                <w:rFonts w:cs="Arial"/>
                <w:i/>
                <w:sz w:val="20"/>
              </w:rPr>
            </w:pPr>
            <w:r w:rsidRPr="0024611A">
              <w:rPr>
                <w:rFonts w:cs="Arial"/>
                <w:i/>
                <w:sz w:val="20"/>
              </w:rPr>
              <w:t>Heritage Act 1995, Act No. No. 93/1995</w:t>
            </w:r>
          </w:p>
        </w:tc>
        <w:tc>
          <w:tcPr>
            <w:tcW w:w="0" w:type="auto"/>
          </w:tcPr>
          <w:p w:rsidR="0018363D" w:rsidRPr="0024611A" w:rsidRDefault="0018363D" w:rsidP="003E5B9F">
            <w:pPr>
              <w:jc w:val="left"/>
              <w:rPr>
                <w:rFonts w:cs="Arial"/>
                <w:sz w:val="20"/>
              </w:rPr>
            </w:pPr>
            <w:r w:rsidRPr="0024611A">
              <w:rPr>
                <w:rFonts w:cs="Arial"/>
                <w:sz w:val="20"/>
              </w:rPr>
              <w:t>One of the main purposes of this Act is to:</w:t>
            </w:r>
          </w:p>
          <w:p w:rsidR="0018363D" w:rsidRPr="0024611A" w:rsidRDefault="0018363D" w:rsidP="008348B5">
            <w:pPr>
              <w:pStyle w:val="Bullet"/>
              <w:numPr>
                <w:ilvl w:val="0"/>
                <w:numId w:val="35"/>
              </w:numPr>
              <w:tabs>
                <w:tab w:val="left" w:pos="426"/>
                <w:tab w:val="left" w:pos="1701"/>
              </w:tabs>
              <w:spacing w:before="60" w:after="60"/>
              <w:ind w:left="426" w:hanging="430"/>
              <w:rPr>
                <w:rFonts w:ascii="Arial" w:hAnsi="Arial" w:cs="Arial"/>
                <w:sz w:val="20"/>
              </w:rPr>
            </w:pPr>
            <w:r w:rsidRPr="0024611A">
              <w:rPr>
                <w:rFonts w:ascii="Arial" w:hAnsi="Arial" w:cs="Arial"/>
                <w:sz w:val="20"/>
              </w:rPr>
              <w:t xml:space="preserve">provide for the protection and conservation of places and objects of cultural heritage significance and the registration of such places and objects. </w:t>
            </w:r>
          </w:p>
        </w:tc>
      </w:tr>
      <w:tr w:rsidR="0018363D" w:rsidRPr="0024611A" w:rsidTr="003E5B9F">
        <w:trPr>
          <w:cantSplit/>
          <w:jc w:val="center"/>
        </w:trPr>
        <w:tc>
          <w:tcPr>
            <w:tcW w:w="0" w:type="auto"/>
          </w:tcPr>
          <w:p w:rsidR="0018363D" w:rsidRPr="0024611A" w:rsidRDefault="0018363D" w:rsidP="003E5B9F">
            <w:pPr>
              <w:jc w:val="left"/>
              <w:rPr>
                <w:rFonts w:cs="Arial"/>
                <w:i/>
                <w:sz w:val="20"/>
              </w:rPr>
            </w:pPr>
            <w:r w:rsidRPr="0024611A">
              <w:rPr>
                <w:rFonts w:cs="Arial"/>
                <w:i/>
                <w:sz w:val="20"/>
              </w:rPr>
              <w:t>Heritage (General) Regulations 2005, S.R. No. 18/2005</w:t>
            </w:r>
          </w:p>
        </w:tc>
        <w:tc>
          <w:tcPr>
            <w:tcW w:w="0" w:type="auto"/>
          </w:tcPr>
          <w:p w:rsidR="0018363D" w:rsidRPr="0024611A" w:rsidRDefault="0018363D" w:rsidP="003E5B9F">
            <w:pPr>
              <w:jc w:val="left"/>
              <w:rPr>
                <w:rFonts w:cs="Arial"/>
                <w:sz w:val="20"/>
              </w:rPr>
            </w:pPr>
            <w:r w:rsidRPr="0024611A">
              <w:rPr>
                <w:rFonts w:cs="Arial"/>
                <w:sz w:val="20"/>
              </w:rPr>
              <w:t>Planning and heritage overlays/heritage listing</w:t>
            </w:r>
          </w:p>
          <w:p w:rsidR="0018363D" w:rsidRPr="0024611A" w:rsidRDefault="0018363D" w:rsidP="003E5B9F">
            <w:pPr>
              <w:jc w:val="left"/>
              <w:rPr>
                <w:rFonts w:cs="Arial"/>
                <w:sz w:val="20"/>
              </w:rPr>
            </w:pPr>
            <w:r w:rsidRPr="0024611A">
              <w:rPr>
                <w:rFonts w:cs="Arial"/>
                <w:sz w:val="20"/>
              </w:rPr>
              <w:t xml:space="preserve">It should be noted that regulations can change which will place a requirement on Council to upgrade facilities e.g. changes to the Building Code regarding replacement of glass.  </w:t>
            </w:r>
          </w:p>
        </w:tc>
      </w:tr>
      <w:tr w:rsidR="00E164A3" w:rsidRPr="0024611A" w:rsidTr="003E5B9F">
        <w:trPr>
          <w:cantSplit/>
          <w:jc w:val="center"/>
        </w:trPr>
        <w:tc>
          <w:tcPr>
            <w:tcW w:w="0" w:type="auto"/>
          </w:tcPr>
          <w:p w:rsidR="00E164A3" w:rsidRPr="0024611A" w:rsidRDefault="00E164A3" w:rsidP="003E5B9F">
            <w:pPr>
              <w:jc w:val="left"/>
              <w:rPr>
                <w:rFonts w:cs="Arial"/>
                <w:i/>
                <w:sz w:val="20"/>
              </w:rPr>
            </w:pPr>
            <w:r w:rsidRPr="0024611A">
              <w:rPr>
                <w:rFonts w:cs="Arial"/>
                <w:i/>
                <w:sz w:val="20"/>
              </w:rPr>
              <w:t>Environment Protection Act 1970, Act No. 8056/1970</w:t>
            </w:r>
          </w:p>
        </w:tc>
        <w:tc>
          <w:tcPr>
            <w:tcW w:w="0" w:type="auto"/>
          </w:tcPr>
          <w:p w:rsidR="00E164A3" w:rsidRPr="0024611A" w:rsidRDefault="00E164A3" w:rsidP="003E5B9F">
            <w:pPr>
              <w:jc w:val="left"/>
              <w:rPr>
                <w:sz w:val="20"/>
              </w:rPr>
            </w:pPr>
            <w:r w:rsidRPr="0024611A">
              <w:rPr>
                <w:sz w:val="20"/>
              </w:rPr>
              <w:t>The purpose of this Act is to create a legislative framework for the protection of the environment in Victoria having regard to the principles of environment protection.</w:t>
            </w:r>
          </w:p>
        </w:tc>
      </w:tr>
      <w:tr w:rsidR="00E164A3" w:rsidRPr="0024611A" w:rsidTr="003E5B9F">
        <w:trPr>
          <w:cantSplit/>
          <w:jc w:val="center"/>
        </w:trPr>
        <w:tc>
          <w:tcPr>
            <w:tcW w:w="0" w:type="auto"/>
          </w:tcPr>
          <w:p w:rsidR="00E164A3" w:rsidRPr="0024611A" w:rsidRDefault="00E164A3" w:rsidP="003E5B9F">
            <w:pPr>
              <w:jc w:val="left"/>
              <w:rPr>
                <w:rFonts w:cs="Arial"/>
                <w:i/>
                <w:sz w:val="20"/>
              </w:rPr>
            </w:pPr>
            <w:r w:rsidRPr="0024611A">
              <w:rPr>
                <w:rFonts w:cs="Arial"/>
                <w:i/>
                <w:sz w:val="20"/>
              </w:rPr>
              <w:t>State Environment Protection Policies (SEPPs)</w:t>
            </w:r>
          </w:p>
        </w:tc>
        <w:tc>
          <w:tcPr>
            <w:tcW w:w="0" w:type="auto"/>
            <w:vAlign w:val="center"/>
          </w:tcPr>
          <w:p w:rsidR="00E164A3" w:rsidRPr="0024611A" w:rsidRDefault="00E164A3" w:rsidP="003E5B9F">
            <w:pPr>
              <w:jc w:val="left"/>
              <w:rPr>
                <w:sz w:val="20"/>
              </w:rPr>
            </w:pPr>
            <w:r w:rsidRPr="0024611A">
              <w:rPr>
                <w:sz w:val="20"/>
              </w:rPr>
              <w:t>SEPP is a subordinate legislation made under the provisions of the Environment Protection Act 1970 to provide more detailed requirements and guidance for the application of the Act to Victoria.</w:t>
            </w:r>
          </w:p>
          <w:p w:rsidR="00E164A3" w:rsidRPr="0024611A" w:rsidRDefault="00E164A3" w:rsidP="003E5B9F">
            <w:pPr>
              <w:jc w:val="left"/>
              <w:rPr>
                <w:sz w:val="20"/>
              </w:rPr>
            </w:pPr>
            <w:r w:rsidRPr="0024611A">
              <w:rPr>
                <w:sz w:val="20"/>
              </w:rPr>
              <w:t xml:space="preserve">SEPP aims to safeguard the environmental values and human activities (beneficial uses) that need protection in the State of Victoria from the effect of waste. Such as: </w:t>
            </w:r>
          </w:p>
          <w:p w:rsidR="00E164A3" w:rsidRPr="0024611A" w:rsidRDefault="00E164A3" w:rsidP="008348B5">
            <w:pPr>
              <w:pStyle w:val="Bullet"/>
              <w:numPr>
                <w:ilvl w:val="0"/>
                <w:numId w:val="35"/>
              </w:numPr>
              <w:tabs>
                <w:tab w:val="left" w:pos="426"/>
                <w:tab w:val="left" w:pos="1701"/>
              </w:tabs>
              <w:spacing w:before="60" w:after="60"/>
              <w:ind w:left="426" w:hanging="430"/>
              <w:rPr>
                <w:rFonts w:ascii="Arial" w:hAnsi="Arial" w:cs="Arial"/>
                <w:sz w:val="20"/>
              </w:rPr>
            </w:pPr>
            <w:r w:rsidRPr="0024611A">
              <w:rPr>
                <w:rFonts w:ascii="Arial" w:hAnsi="Arial" w:cs="Arial"/>
                <w:sz w:val="20"/>
              </w:rPr>
              <w:t xml:space="preserve">Human health and well-being; </w:t>
            </w:r>
          </w:p>
          <w:p w:rsidR="00E164A3" w:rsidRPr="0024611A" w:rsidRDefault="00E164A3" w:rsidP="008348B5">
            <w:pPr>
              <w:pStyle w:val="Bullet"/>
              <w:numPr>
                <w:ilvl w:val="0"/>
                <w:numId w:val="35"/>
              </w:numPr>
              <w:tabs>
                <w:tab w:val="left" w:pos="426"/>
                <w:tab w:val="left" w:pos="1701"/>
              </w:tabs>
              <w:spacing w:before="60" w:after="60"/>
              <w:ind w:left="426" w:hanging="430"/>
              <w:rPr>
                <w:rFonts w:ascii="Arial" w:hAnsi="Arial" w:cs="Arial"/>
                <w:sz w:val="20"/>
              </w:rPr>
            </w:pPr>
            <w:r w:rsidRPr="0024611A">
              <w:rPr>
                <w:rFonts w:ascii="Arial" w:hAnsi="Arial" w:cs="Arial"/>
                <w:sz w:val="20"/>
              </w:rPr>
              <w:t xml:space="preserve">Ecosystem protection; </w:t>
            </w:r>
          </w:p>
          <w:p w:rsidR="00E164A3" w:rsidRPr="0024611A" w:rsidRDefault="00E164A3" w:rsidP="008348B5">
            <w:pPr>
              <w:pStyle w:val="Bullet"/>
              <w:numPr>
                <w:ilvl w:val="0"/>
                <w:numId w:val="35"/>
              </w:numPr>
              <w:tabs>
                <w:tab w:val="left" w:pos="426"/>
                <w:tab w:val="left" w:pos="1701"/>
              </w:tabs>
              <w:spacing w:before="60" w:after="60"/>
              <w:ind w:left="426" w:hanging="430"/>
              <w:rPr>
                <w:rFonts w:ascii="Arial" w:hAnsi="Arial" w:cs="Arial"/>
                <w:sz w:val="20"/>
              </w:rPr>
            </w:pPr>
            <w:r w:rsidRPr="0024611A">
              <w:rPr>
                <w:rFonts w:ascii="Arial" w:hAnsi="Arial" w:cs="Arial"/>
                <w:sz w:val="20"/>
              </w:rPr>
              <w:t xml:space="preserve">Visibility; </w:t>
            </w:r>
          </w:p>
          <w:p w:rsidR="00E164A3" w:rsidRPr="0024611A" w:rsidRDefault="00E164A3" w:rsidP="008348B5">
            <w:pPr>
              <w:pStyle w:val="Bullet"/>
              <w:numPr>
                <w:ilvl w:val="0"/>
                <w:numId w:val="35"/>
              </w:numPr>
              <w:tabs>
                <w:tab w:val="left" w:pos="426"/>
                <w:tab w:val="left" w:pos="1701"/>
              </w:tabs>
              <w:spacing w:before="60" w:after="60"/>
              <w:ind w:left="426" w:hanging="430"/>
              <w:rPr>
                <w:rFonts w:ascii="Arial" w:hAnsi="Arial" w:cs="Arial"/>
                <w:sz w:val="20"/>
              </w:rPr>
            </w:pPr>
            <w:r w:rsidRPr="0024611A">
              <w:rPr>
                <w:rFonts w:ascii="Arial" w:hAnsi="Arial" w:cs="Arial"/>
                <w:sz w:val="20"/>
              </w:rPr>
              <w:t xml:space="preserve">Useful life and aesthetic appearance of buildings, structures, property and materials; </w:t>
            </w:r>
          </w:p>
          <w:p w:rsidR="00E164A3" w:rsidRPr="0024611A" w:rsidRDefault="00E164A3" w:rsidP="008348B5">
            <w:pPr>
              <w:pStyle w:val="Bullet"/>
              <w:numPr>
                <w:ilvl w:val="0"/>
                <w:numId w:val="35"/>
              </w:numPr>
              <w:tabs>
                <w:tab w:val="left" w:pos="426"/>
                <w:tab w:val="left" w:pos="1701"/>
              </w:tabs>
              <w:spacing w:before="60" w:after="60"/>
              <w:ind w:left="426" w:hanging="430"/>
              <w:rPr>
                <w:rFonts w:ascii="Arial" w:hAnsi="Arial" w:cs="Arial"/>
                <w:sz w:val="20"/>
              </w:rPr>
            </w:pPr>
            <w:r w:rsidRPr="0024611A">
              <w:rPr>
                <w:rFonts w:ascii="Arial" w:hAnsi="Arial" w:cs="Arial"/>
                <w:sz w:val="20"/>
              </w:rPr>
              <w:t>Aesthetic enjoyment; and</w:t>
            </w:r>
          </w:p>
          <w:p w:rsidR="00E164A3" w:rsidRPr="0024611A" w:rsidRDefault="00E164A3" w:rsidP="008348B5">
            <w:pPr>
              <w:pStyle w:val="Bullet"/>
              <w:numPr>
                <w:ilvl w:val="0"/>
                <w:numId w:val="35"/>
              </w:numPr>
              <w:tabs>
                <w:tab w:val="left" w:pos="426"/>
                <w:tab w:val="left" w:pos="1701"/>
              </w:tabs>
              <w:spacing w:before="60" w:after="60"/>
              <w:ind w:left="426" w:hanging="430"/>
              <w:rPr>
                <w:rFonts w:ascii="Arial" w:hAnsi="Arial" w:cs="Arial"/>
                <w:sz w:val="20"/>
              </w:rPr>
            </w:pPr>
            <w:r w:rsidRPr="0024611A">
              <w:rPr>
                <w:rFonts w:ascii="Arial" w:hAnsi="Arial" w:cs="Arial"/>
                <w:sz w:val="20"/>
              </w:rPr>
              <w:t xml:space="preserve">Local amenity </w:t>
            </w:r>
          </w:p>
        </w:tc>
      </w:tr>
      <w:tr w:rsidR="00E164A3" w:rsidRPr="0024611A" w:rsidTr="003E5B9F">
        <w:trPr>
          <w:cantSplit/>
          <w:jc w:val="center"/>
        </w:trPr>
        <w:tc>
          <w:tcPr>
            <w:tcW w:w="0" w:type="auto"/>
          </w:tcPr>
          <w:p w:rsidR="00E164A3" w:rsidRPr="0024611A" w:rsidRDefault="00E164A3" w:rsidP="003E5B9F">
            <w:pPr>
              <w:jc w:val="left"/>
              <w:rPr>
                <w:rFonts w:cs="Arial"/>
                <w:i/>
                <w:sz w:val="20"/>
              </w:rPr>
            </w:pPr>
            <w:r w:rsidRPr="0024611A">
              <w:rPr>
                <w:rFonts w:cs="Arial"/>
                <w:i/>
                <w:sz w:val="20"/>
              </w:rPr>
              <w:t>Building Code of Australia 2004</w:t>
            </w:r>
          </w:p>
        </w:tc>
        <w:tc>
          <w:tcPr>
            <w:tcW w:w="0" w:type="auto"/>
            <w:vAlign w:val="center"/>
          </w:tcPr>
          <w:p w:rsidR="00E164A3" w:rsidRPr="0024611A" w:rsidRDefault="00E164A3" w:rsidP="003E5B9F">
            <w:pPr>
              <w:jc w:val="left"/>
              <w:rPr>
                <w:sz w:val="20"/>
              </w:rPr>
            </w:pPr>
            <w:r w:rsidRPr="0024611A">
              <w:rPr>
                <w:sz w:val="20"/>
              </w:rPr>
              <w:t>The BCA (Building Code of Australia) is the definitive regulatory resource for the domestic and non-domestic building construction industries, providing a nationally accepted and uniform approach to technical requirements for the building industry. It is routinely called up in legislation and cited in building contracts, making it an important document for ev</w:t>
            </w:r>
            <w:r w:rsidR="00AF0787" w:rsidRPr="0024611A">
              <w:rPr>
                <w:sz w:val="20"/>
              </w:rPr>
              <w:t>eryone in the building industry</w:t>
            </w:r>
          </w:p>
          <w:p w:rsidR="00E164A3" w:rsidRPr="0024611A" w:rsidRDefault="00E164A3" w:rsidP="003E5B9F">
            <w:pPr>
              <w:jc w:val="left"/>
              <w:rPr>
                <w:sz w:val="20"/>
              </w:rPr>
            </w:pPr>
            <w:r w:rsidRPr="0024611A">
              <w:rPr>
                <w:sz w:val="20"/>
              </w:rPr>
              <w:t>Buildings are divided into various categories which affect what the buildings can be used for and have implications on what must be provided in them to meet regulations:</w:t>
            </w:r>
          </w:p>
          <w:p w:rsidR="00E164A3" w:rsidRPr="0024611A" w:rsidRDefault="00E164A3" w:rsidP="003E5B9F">
            <w:pPr>
              <w:tabs>
                <w:tab w:val="left" w:pos="802"/>
              </w:tabs>
              <w:ind w:left="802" w:hanging="802"/>
              <w:jc w:val="left"/>
              <w:rPr>
                <w:sz w:val="20"/>
              </w:rPr>
            </w:pPr>
            <w:r w:rsidRPr="0024611A">
              <w:rPr>
                <w:sz w:val="20"/>
              </w:rPr>
              <w:t xml:space="preserve">Class 1 </w:t>
            </w:r>
            <w:r w:rsidRPr="0024611A">
              <w:rPr>
                <w:sz w:val="20"/>
              </w:rPr>
              <w:tab/>
              <w:t>A detached house, boarding house</w:t>
            </w:r>
          </w:p>
          <w:p w:rsidR="00E164A3" w:rsidRPr="0024611A" w:rsidRDefault="00E164A3" w:rsidP="003E5B9F">
            <w:pPr>
              <w:tabs>
                <w:tab w:val="left" w:pos="802"/>
              </w:tabs>
              <w:ind w:left="802" w:hanging="802"/>
              <w:jc w:val="left"/>
              <w:rPr>
                <w:sz w:val="20"/>
              </w:rPr>
            </w:pPr>
            <w:r w:rsidRPr="0024611A">
              <w:rPr>
                <w:sz w:val="20"/>
              </w:rPr>
              <w:t>Class 2</w:t>
            </w:r>
            <w:r w:rsidRPr="0024611A">
              <w:rPr>
                <w:sz w:val="20"/>
              </w:rPr>
              <w:tab/>
              <w:t>A building containing 2 or more sole occupancy units</w:t>
            </w:r>
          </w:p>
          <w:p w:rsidR="00E164A3" w:rsidRPr="0024611A" w:rsidRDefault="00E164A3" w:rsidP="003E5B9F">
            <w:pPr>
              <w:tabs>
                <w:tab w:val="left" w:pos="802"/>
              </w:tabs>
              <w:ind w:left="802" w:hanging="802"/>
              <w:jc w:val="left"/>
              <w:rPr>
                <w:sz w:val="20"/>
              </w:rPr>
            </w:pPr>
            <w:r w:rsidRPr="0024611A">
              <w:rPr>
                <w:sz w:val="20"/>
              </w:rPr>
              <w:t>Class 3</w:t>
            </w:r>
            <w:r w:rsidRPr="0024611A">
              <w:rPr>
                <w:sz w:val="20"/>
              </w:rPr>
              <w:tab/>
              <w:t>A residential part of another building</w:t>
            </w:r>
          </w:p>
          <w:p w:rsidR="00E164A3" w:rsidRPr="0024611A" w:rsidRDefault="00E164A3" w:rsidP="003E5B9F">
            <w:pPr>
              <w:tabs>
                <w:tab w:val="left" w:pos="802"/>
              </w:tabs>
              <w:ind w:left="802" w:hanging="802"/>
              <w:jc w:val="left"/>
              <w:rPr>
                <w:sz w:val="20"/>
              </w:rPr>
            </w:pPr>
            <w:r w:rsidRPr="0024611A">
              <w:rPr>
                <w:sz w:val="20"/>
              </w:rPr>
              <w:t>Class 4</w:t>
            </w:r>
            <w:r w:rsidRPr="0024611A">
              <w:rPr>
                <w:sz w:val="20"/>
              </w:rPr>
              <w:tab/>
              <w:t>A dwelling</w:t>
            </w:r>
          </w:p>
          <w:p w:rsidR="00E164A3" w:rsidRPr="0024611A" w:rsidRDefault="00E164A3" w:rsidP="003E5B9F">
            <w:pPr>
              <w:tabs>
                <w:tab w:val="left" w:pos="802"/>
              </w:tabs>
              <w:ind w:left="802" w:hanging="802"/>
              <w:jc w:val="left"/>
              <w:rPr>
                <w:sz w:val="20"/>
              </w:rPr>
            </w:pPr>
            <w:r w:rsidRPr="0024611A">
              <w:rPr>
                <w:sz w:val="20"/>
              </w:rPr>
              <w:t>Class 5</w:t>
            </w:r>
            <w:r w:rsidRPr="0024611A">
              <w:rPr>
                <w:sz w:val="20"/>
              </w:rPr>
              <w:tab/>
              <w:t>An office</w:t>
            </w:r>
          </w:p>
          <w:p w:rsidR="00E164A3" w:rsidRPr="0024611A" w:rsidRDefault="00E164A3" w:rsidP="003E5B9F">
            <w:pPr>
              <w:tabs>
                <w:tab w:val="left" w:pos="802"/>
              </w:tabs>
              <w:ind w:left="802" w:hanging="802"/>
              <w:jc w:val="left"/>
              <w:rPr>
                <w:sz w:val="20"/>
              </w:rPr>
            </w:pPr>
            <w:r w:rsidRPr="0024611A">
              <w:rPr>
                <w:sz w:val="20"/>
              </w:rPr>
              <w:t>Class 6</w:t>
            </w:r>
            <w:r w:rsidRPr="0024611A">
              <w:rPr>
                <w:sz w:val="20"/>
              </w:rPr>
              <w:tab/>
              <w:t>A shop</w:t>
            </w:r>
          </w:p>
          <w:p w:rsidR="00E164A3" w:rsidRPr="0024611A" w:rsidRDefault="00E164A3" w:rsidP="003E5B9F">
            <w:pPr>
              <w:tabs>
                <w:tab w:val="left" w:pos="802"/>
              </w:tabs>
              <w:ind w:left="802" w:hanging="802"/>
              <w:jc w:val="left"/>
              <w:rPr>
                <w:sz w:val="20"/>
              </w:rPr>
            </w:pPr>
            <w:r w:rsidRPr="0024611A">
              <w:rPr>
                <w:sz w:val="20"/>
              </w:rPr>
              <w:t>Class 7</w:t>
            </w:r>
            <w:r w:rsidRPr="0024611A">
              <w:rPr>
                <w:sz w:val="20"/>
              </w:rPr>
              <w:tab/>
              <w:t xml:space="preserve">A building which is a </w:t>
            </w:r>
            <w:r w:rsidR="005E5635">
              <w:rPr>
                <w:sz w:val="20"/>
              </w:rPr>
              <w:t>carpark</w:t>
            </w:r>
            <w:r w:rsidRPr="0024611A">
              <w:rPr>
                <w:sz w:val="20"/>
              </w:rPr>
              <w:t xml:space="preserve"> or storage</w:t>
            </w:r>
          </w:p>
          <w:p w:rsidR="00E164A3" w:rsidRPr="0024611A" w:rsidRDefault="00E164A3" w:rsidP="003E5B9F">
            <w:pPr>
              <w:tabs>
                <w:tab w:val="left" w:pos="802"/>
              </w:tabs>
              <w:ind w:left="802" w:hanging="802"/>
              <w:jc w:val="left"/>
              <w:rPr>
                <w:sz w:val="20"/>
              </w:rPr>
            </w:pPr>
            <w:r w:rsidRPr="0024611A">
              <w:rPr>
                <w:sz w:val="20"/>
              </w:rPr>
              <w:t>Class 8</w:t>
            </w:r>
            <w:r w:rsidRPr="0024611A">
              <w:rPr>
                <w:sz w:val="20"/>
              </w:rPr>
              <w:tab/>
              <w:t>A laboratory or production site</w:t>
            </w:r>
          </w:p>
          <w:p w:rsidR="00E164A3" w:rsidRPr="0024611A" w:rsidRDefault="00E164A3" w:rsidP="003E5B9F">
            <w:pPr>
              <w:tabs>
                <w:tab w:val="left" w:pos="802"/>
              </w:tabs>
              <w:ind w:left="802" w:hanging="802"/>
              <w:jc w:val="left"/>
              <w:rPr>
                <w:sz w:val="20"/>
              </w:rPr>
            </w:pPr>
            <w:r w:rsidRPr="0024611A">
              <w:rPr>
                <w:sz w:val="20"/>
              </w:rPr>
              <w:t>Class 9</w:t>
            </w:r>
            <w:r w:rsidRPr="0024611A">
              <w:rPr>
                <w:sz w:val="20"/>
              </w:rPr>
              <w:tab/>
              <w:t>A health care building, an assembly building or aged care building</w:t>
            </w:r>
          </w:p>
          <w:p w:rsidR="00E164A3" w:rsidRPr="0024611A" w:rsidRDefault="00E164A3" w:rsidP="00D90FDE">
            <w:pPr>
              <w:tabs>
                <w:tab w:val="left" w:pos="802"/>
              </w:tabs>
              <w:ind w:left="802" w:hanging="802"/>
              <w:jc w:val="left"/>
              <w:rPr>
                <w:sz w:val="20"/>
              </w:rPr>
            </w:pPr>
            <w:r w:rsidRPr="0024611A">
              <w:rPr>
                <w:sz w:val="20"/>
              </w:rPr>
              <w:t>Class 10</w:t>
            </w:r>
            <w:r w:rsidRPr="0024611A">
              <w:rPr>
                <w:sz w:val="20"/>
              </w:rPr>
              <w:tab/>
              <w:t>A non</w:t>
            </w:r>
            <w:r w:rsidR="00D90FDE">
              <w:rPr>
                <w:sz w:val="20"/>
              </w:rPr>
              <w:t>-</w:t>
            </w:r>
            <w:r w:rsidRPr="0024611A">
              <w:rPr>
                <w:sz w:val="20"/>
              </w:rPr>
              <w:t xml:space="preserve"> habitable building or structure e.g. shed</w:t>
            </w:r>
            <w:r w:rsidR="00D90FDE">
              <w:rPr>
                <w:sz w:val="20"/>
              </w:rPr>
              <w:t xml:space="preserve"> or</w:t>
            </w:r>
            <w:r w:rsidRPr="0024611A">
              <w:rPr>
                <w:sz w:val="20"/>
              </w:rPr>
              <w:t xml:space="preserve"> pool.</w:t>
            </w:r>
          </w:p>
        </w:tc>
      </w:tr>
      <w:tr w:rsidR="00AF0787" w:rsidRPr="0024611A" w:rsidTr="003E5B9F">
        <w:trPr>
          <w:cantSplit/>
          <w:jc w:val="center"/>
        </w:trPr>
        <w:tc>
          <w:tcPr>
            <w:tcW w:w="0" w:type="auto"/>
          </w:tcPr>
          <w:p w:rsidR="00AF0787" w:rsidRPr="0024611A" w:rsidRDefault="00AF0787" w:rsidP="003E5B9F">
            <w:pPr>
              <w:jc w:val="left"/>
              <w:rPr>
                <w:i/>
                <w:sz w:val="20"/>
              </w:rPr>
            </w:pPr>
            <w:r w:rsidRPr="0024611A">
              <w:rPr>
                <w:i/>
                <w:sz w:val="20"/>
              </w:rPr>
              <w:t>Australian Accounting Standards</w:t>
            </w:r>
          </w:p>
        </w:tc>
        <w:tc>
          <w:tcPr>
            <w:tcW w:w="0" w:type="auto"/>
            <w:vAlign w:val="center"/>
          </w:tcPr>
          <w:p w:rsidR="00AF0787" w:rsidRPr="0024611A" w:rsidRDefault="00AF0787" w:rsidP="003E5B9F">
            <w:pPr>
              <w:jc w:val="left"/>
              <w:rPr>
                <w:sz w:val="20"/>
              </w:rPr>
            </w:pPr>
            <w:r w:rsidRPr="0024611A">
              <w:rPr>
                <w:sz w:val="20"/>
              </w:rPr>
              <w:t>Accounting Standards set out the financial reporting standards relating to infrastructure assets. Standards of particular relevance to Infrastructure Assets include:</w:t>
            </w:r>
          </w:p>
          <w:p w:rsidR="00AF0787" w:rsidRPr="0024611A" w:rsidRDefault="00AF0787" w:rsidP="008348B5">
            <w:pPr>
              <w:pStyle w:val="Bullet"/>
              <w:numPr>
                <w:ilvl w:val="0"/>
                <w:numId w:val="35"/>
              </w:numPr>
              <w:tabs>
                <w:tab w:val="left" w:pos="426"/>
                <w:tab w:val="left" w:pos="1701"/>
              </w:tabs>
              <w:spacing w:before="60" w:after="60"/>
              <w:ind w:left="426" w:hanging="430"/>
              <w:rPr>
                <w:rFonts w:ascii="Arial" w:hAnsi="Arial" w:cs="Arial"/>
                <w:sz w:val="20"/>
              </w:rPr>
            </w:pPr>
            <w:r w:rsidRPr="0024611A">
              <w:rPr>
                <w:rFonts w:ascii="Arial" w:hAnsi="Arial" w:cs="Arial"/>
                <w:sz w:val="20"/>
              </w:rPr>
              <w:t>AASB 116 Property, Plant and Equipment – prescribes requirements for recognition and depreciation of property, plant and equipment assets</w:t>
            </w:r>
          </w:p>
          <w:p w:rsidR="00AF0787" w:rsidRPr="0024611A" w:rsidRDefault="00AF0787" w:rsidP="008348B5">
            <w:pPr>
              <w:pStyle w:val="Bullet"/>
              <w:numPr>
                <w:ilvl w:val="0"/>
                <w:numId w:val="35"/>
              </w:numPr>
              <w:tabs>
                <w:tab w:val="left" w:pos="426"/>
                <w:tab w:val="left" w:pos="1701"/>
              </w:tabs>
              <w:spacing w:before="60" w:after="60"/>
              <w:ind w:left="426" w:hanging="430"/>
              <w:rPr>
                <w:rFonts w:ascii="Arial" w:hAnsi="Arial" w:cs="Arial"/>
                <w:sz w:val="20"/>
              </w:rPr>
            </w:pPr>
            <w:r w:rsidRPr="0024611A">
              <w:rPr>
                <w:rFonts w:ascii="Arial" w:hAnsi="Arial" w:cs="Arial"/>
                <w:sz w:val="20"/>
              </w:rPr>
              <w:t>AASB 136 Impairment of Assets – aims to ensure that assets are carried at amounts that are not in excess of their recoverable amounts</w:t>
            </w:r>
          </w:p>
          <w:p w:rsidR="00AF0787" w:rsidRPr="0024611A" w:rsidRDefault="00AF0787" w:rsidP="008348B5">
            <w:pPr>
              <w:pStyle w:val="Bullet"/>
              <w:numPr>
                <w:ilvl w:val="0"/>
                <w:numId w:val="35"/>
              </w:numPr>
              <w:tabs>
                <w:tab w:val="left" w:pos="426"/>
                <w:tab w:val="left" w:pos="1701"/>
              </w:tabs>
              <w:spacing w:before="60" w:after="60"/>
              <w:ind w:left="426" w:hanging="430"/>
              <w:rPr>
                <w:rFonts w:ascii="Arial" w:hAnsi="Arial" w:cs="Arial"/>
                <w:sz w:val="20"/>
              </w:rPr>
            </w:pPr>
            <w:r w:rsidRPr="0024611A">
              <w:rPr>
                <w:rFonts w:ascii="Arial" w:hAnsi="Arial" w:cs="Arial"/>
                <w:sz w:val="20"/>
              </w:rPr>
              <w:t xml:space="preserve">AASB 1021 Depreciation of Non-Current Assets – specifies how depreciation is to be calculated </w:t>
            </w:r>
          </w:p>
          <w:p w:rsidR="00AF0787" w:rsidRPr="0024611A" w:rsidRDefault="00AF0787" w:rsidP="008348B5">
            <w:pPr>
              <w:pStyle w:val="Bullet"/>
              <w:numPr>
                <w:ilvl w:val="0"/>
                <w:numId w:val="35"/>
              </w:numPr>
              <w:tabs>
                <w:tab w:val="left" w:pos="426"/>
                <w:tab w:val="left" w:pos="1701"/>
              </w:tabs>
              <w:spacing w:before="60" w:after="60"/>
              <w:ind w:left="426" w:hanging="430"/>
              <w:rPr>
                <w:rFonts w:ascii="Arial" w:hAnsi="Arial" w:cs="Arial"/>
                <w:sz w:val="20"/>
              </w:rPr>
            </w:pPr>
            <w:r w:rsidRPr="0024611A">
              <w:rPr>
                <w:rFonts w:ascii="Arial" w:hAnsi="Arial" w:cs="Arial"/>
                <w:sz w:val="20"/>
              </w:rPr>
              <w:t xml:space="preserve">AAS 1001 Accounting Policies – specifies the policies that Council is to have for recognition of assets and depreciation </w:t>
            </w:r>
          </w:p>
          <w:p w:rsidR="00AF0787" w:rsidRPr="0024611A" w:rsidRDefault="00AF0787" w:rsidP="008348B5">
            <w:pPr>
              <w:pStyle w:val="Bullet"/>
              <w:numPr>
                <w:ilvl w:val="0"/>
                <w:numId w:val="35"/>
              </w:numPr>
              <w:tabs>
                <w:tab w:val="left" w:pos="426"/>
                <w:tab w:val="left" w:pos="1701"/>
              </w:tabs>
              <w:spacing w:before="60" w:after="60"/>
              <w:ind w:left="426" w:hanging="430"/>
              <w:rPr>
                <w:rFonts w:ascii="Arial" w:hAnsi="Arial" w:cs="Arial"/>
                <w:sz w:val="20"/>
              </w:rPr>
            </w:pPr>
            <w:r w:rsidRPr="0024611A">
              <w:rPr>
                <w:rFonts w:ascii="Arial" w:hAnsi="Arial" w:cs="Arial"/>
                <w:sz w:val="20"/>
              </w:rPr>
              <w:t xml:space="preserve">AASB 1041 Accounting for the reduction of Non-Current Assets – specifies the frequency and basis of calculating depreciation and revaluation basis used for assets </w:t>
            </w:r>
          </w:p>
          <w:p w:rsidR="00AF0787" w:rsidRPr="0024611A" w:rsidRDefault="00AF0787" w:rsidP="008348B5">
            <w:pPr>
              <w:pStyle w:val="Bullet"/>
              <w:numPr>
                <w:ilvl w:val="0"/>
                <w:numId w:val="35"/>
              </w:numPr>
              <w:tabs>
                <w:tab w:val="left" w:pos="426"/>
                <w:tab w:val="left" w:pos="1701"/>
              </w:tabs>
              <w:spacing w:before="60" w:after="60"/>
              <w:ind w:left="426" w:hanging="430"/>
              <w:rPr>
                <w:rFonts w:ascii="Arial" w:hAnsi="Arial" w:cs="Arial"/>
                <w:sz w:val="20"/>
              </w:rPr>
            </w:pPr>
            <w:r w:rsidRPr="0024611A">
              <w:rPr>
                <w:rFonts w:ascii="Arial" w:hAnsi="Arial" w:cs="Arial"/>
                <w:sz w:val="20"/>
              </w:rPr>
              <w:t xml:space="preserve">AAS 1015 Accounting for acquisition of assets – method of allocating the value to new assets on acquisition </w:t>
            </w:r>
          </w:p>
        </w:tc>
      </w:tr>
    </w:tbl>
    <w:p w:rsidR="00477293" w:rsidRPr="0091425F" w:rsidRDefault="00477293" w:rsidP="00AF0787">
      <w:pPr>
        <w:pStyle w:val="Caption"/>
        <w:spacing w:before="240" w:after="240"/>
        <w:ind w:left="0"/>
        <w:jc w:val="center"/>
        <w:rPr>
          <w:rFonts w:ascii="Arial" w:hAnsi="Arial"/>
          <w:i w:val="0"/>
          <w:iCs w:val="0"/>
          <w:sz w:val="20"/>
          <w:lang w:val="en-AU"/>
        </w:rPr>
      </w:pPr>
      <w:bookmarkStart w:id="349" w:name="_Toc364945428"/>
      <w:r w:rsidRPr="0091425F">
        <w:rPr>
          <w:rFonts w:ascii="Arial" w:hAnsi="Arial"/>
          <w:i w:val="0"/>
          <w:iCs w:val="0"/>
          <w:sz w:val="20"/>
          <w:lang w:val="en-AU"/>
        </w:rPr>
        <w:t xml:space="preserve">Table </w:t>
      </w:r>
      <w:r w:rsidR="0090414C" w:rsidRPr="0091425F">
        <w:rPr>
          <w:rFonts w:ascii="Arial" w:hAnsi="Arial"/>
          <w:i w:val="0"/>
          <w:iCs w:val="0"/>
          <w:sz w:val="20"/>
          <w:lang w:val="en-AU"/>
        </w:rPr>
        <w:fldChar w:fldCharType="begin"/>
      </w:r>
      <w:r w:rsidR="0012012A" w:rsidRPr="0091425F">
        <w:rPr>
          <w:rFonts w:ascii="Arial" w:hAnsi="Arial"/>
          <w:i w:val="0"/>
          <w:iCs w:val="0"/>
          <w:sz w:val="20"/>
          <w:lang w:val="en-AU"/>
        </w:rPr>
        <w:instrText xml:space="preserve"> SEQ Table \* ARABIC </w:instrText>
      </w:r>
      <w:r w:rsidR="0090414C" w:rsidRPr="0091425F">
        <w:rPr>
          <w:rFonts w:ascii="Arial" w:hAnsi="Arial"/>
          <w:i w:val="0"/>
          <w:iCs w:val="0"/>
          <w:sz w:val="20"/>
          <w:lang w:val="en-AU"/>
        </w:rPr>
        <w:fldChar w:fldCharType="separate"/>
      </w:r>
      <w:r w:rsidR="00751CEC">
        <w:rPr>
          <w:rFonts w:ascii="Arial" w:hAnsi="Arial"/>
          <w:i w:val="0"/>
          <w:iCs w:val="0"/>
          <w:noProof/>
          <w:sz w:val="20"/>
          <w:lang w:val="en-AU"/>
        </w:rPr>
        <w:t>24</w:t>
      </w:r>
      <w:r w:rsidR="0090414C" w:rsidRPr="0091425F">
        <w:rPr>
          <w:rFonts w:ascii="Arial" w:hAnsi="Arial"/>
          <w:i w:val="0"/>
          <w:iCs w:val="0"/>
          <w:sz w:val="20"/>
          <w:lang w:val="en-AU"/>
        </w:rPr>
        <w:fldChar w:fldCharType="end"/>
      </w:r>
      <w:r w:rsidRPr="0091425F">
        <w:rPr>
          <w:rFonts w:ascii="Arial" w:hAnsi="Arial"/>
          <w:i w:val="0"/>
          <w:iCs w:val="0"/>
          <w:sz w:val="20"/>
          <w:lang w:val="en-AU"/>
        </w:rPr>
        <w:t xml:space="preserve">: </w:t>
      </w:r>
      <w:r w:rsidR="00AF0787" w:rsidRPr="0091425F">
        <w:rPr>
          <w:rFonts w:ascii="Arial" w:hAnsi="Arial"/>
          <w:i w:val="0"/>
          <w:iCs w:val="0"/>
          <w:sz w:val="20"/>
          <w:lang w:val="en-AU"/>
        </w:rPr>
        <w:t xml:space="preserve"> </w:t>
      </w:r>
      <w:r w:rsidRPr="0091425F">
        <w:rPr>
          <w:rFonts w:ascii="Arial" w:hAnsi="Arial"/>
          <w:i w:val="0"/>
          <w:iCs w:val="0"/>
          <w:sz w:val="20"/>
          <w:lang w:val="en-AU"/>
        </w:rPr>
        <w:t>Legislative Requirements</w:t>
      </w:r>
      <w:bookmarkEnd w:id="349"/>
    </w:p>
    <w:p w:rsidR="00E96F28" w:rsidRPr="00CF2212" w:rsidRDefault="00E96F28" w:rsidP="003E5B9F">
      <w:pPr>
        <w:pStyle w:val="Heading2"/>
        <w:keepLines/>
      </w:pPr>
      <w:bookmarkStart w:id="350" w:name="_Toc364945262"/>
      <w:r w:rsidRPr="00CF2212">
        <w:t>Industry Standards and Guidelines</w:t>
      </w:r>
      <w:bookmarkEnd w:id="350"/>
    </w:p>
    <w:p w:rsidR="00105DCC" w:rsidRPr="00CD7D4F" w:rsidRDefault="00105DCC" w:rsidP="003E5B9F">
      <w:pPr>
        <w:keepNext/>
        <w:keepLines/>
      </w:pPr>
      <w:r w:rsidRPr="00CD7D4F">
        <w:t xml:space="preserve">The following table </w:t>
      </w:r>
      <w:r w:rsidR="004C27D1">
        <w:t xml:space="preserve">lists the </w:t>
      </w:r>
      <w:r w:rsidRPr="00CD7D4F">
        <w:t xml:space="preserve">relevant </w:t>
      </w:r>
      <w:r w:rsidR="004C27D1">
        <w:t>Council Policy and Strategies</w:t>
      </w:r>
      <w:r>
        <w:t xml:space="preserve"> as well as </w:t>
      </w:r>
      <w:r w:rsidRPr="00CD7D4F">
        <w:t xml:space="preserve">industry standards and/or guidelines that </w:t>
      </w:r>
      <w:r>
        <w:t xml:space="preserve">may </w:t>
      </w:r>
      <w:r w:rsidRPr="00CD7D4F">
        <w:t>influence service delivery.</w:t>
      </w:r>
    </w:p>
    <w:p w:rsidR="00E85997" w:rsidRPr="005520A3" w:rsidRDefault="00E85997" w:rsidP="003E5B9F">
      <w:pPr>
        <w:keepNext/>
        <w:keepLines/>
      </w:pPr>
    </w:p>
    <w:tbl>
      <w:tblPr>
        <w:tblStyle w:val="TableGrid"/>
        <w:tblW w:w="0" w:type="auto"/>
        <w:jc w:val="center"/>
        <w:tblLook w:val="04A0" w:firstRow="1" w:lastRow="0" w:firstColumn="1" w:lastColumn="0" w:noHBand="0" w:noVBand="1"/>
      </w:tblPr>
      <w:tblGrid>
        <w:gridCol w:w="4705"/>
        <w:gridCol w:w="4419"/>
      </w:tblGrid>
      <w:tr w:rsidR="00E85997" w:rsidRPr="0024611A" w:rsidTr="001E1FD3">
        <w:trPr>
          <w:cantSplit/>
          <w:jc w:val="center"/>
        </w:trPr>
        <w:tc>
          <w:tcPr>
            <w:tcW w:w="9124" w:type="dxa"/>
            <w:gridSpan w:val="2"/>
            <w:shd w:val="clear" w:color="auto" w:fill="95B3D7" w:themeFill="accent1" w:themeFillTint="99"/>
          </w:tcPr>
          <w:p w:rsidR="00E85997" w:rsidRPr="0024611A" w:rsidRDefault="00E85997" w:rsidP="003E5B9F">
            <w:pPr>
              <w:keepNext/>
              <w:keepLines/>
              <w:spacing w:before="120" w:after="120"/>
              <w:jc w:val="left"/>
              <w:rPr>
                <w:b/>
                <w:sz w:val="20"/>
              </w:rPr>
            </w:pPr>
            <w:r w:rsidRPr="0024611A">
              <w:rPr>
                <w:b/>
                <w:sz w:val="20"/>
              </w:rPr>
              <w:t xml:space="preserve">Council Plans </w:t>
            </w:r>
            <w:r w:rsidR="00927AFA">
              <w:rPr>
                <w:b/>
                <w:sz w:val="20"/>
              </w:rPr>
              <w:t>and</w:t>
            </w:r>
            <w:r w:rsidRPr="0024611A">
              <w:rPr>
                <w:b/>
                <w:sz w:val="20"/>
              </w:rPr>
              <w:t xml:space="preserve"> Strategies</w:t>
            </w:r>
          </w:p>
        </w:tc>
      </w:tr>
      <w:tr w:rsidR="00E85997" w:rsidRPr="0024611A" w:rsidTr="001E1FD3">
        <w:trPr>
          <w:cantSplit/>
          <w:jc w:val="center"/>
        </w:trPr>
        <w:tc>
          <w:tcPr>
            <w:tcW w:w="4705" w:type="dxa"/>
            <w:tcBorders>
              <w:bottom w:val="single" w:sz="4" w:space="0" w:color="auto"/>
            </w:tcBorders>
          </w:tcPr>
          <w:p w:rsidR="00E85997" w:rsidRPr="0024611A" w:rsidRDefault="00E85997" w:rsidP="008348B5">
            <w:pPr>
              <w:pStyle w:val="ListParagraph"/>
              <w:keepNext/>
              <w:keepLines/>
              <w:numPr>
                <w:ilvl w:val="0"/>
                <w:numId w:val="63"/>
              </w:numPr>
              <w:spacing w:before="120" w:after="120"/>
              <w:jc w:val="left"/>
              <w:rPr>
                <w:rFonts w:ascii="Arial" w:hAnsi="Arial" w:cs="Arial"/>
                <w:sz w:val="20"/>
                <w:szCs w:val="20"/>
              </w:rPr>
            </w:pPr>
            <w:r w:rsidRPr="0024611A">
              <w:rPr>
                <w:rFonts w:ascii="Arial" w:hAnsi="Arial" w:cs="Arial"/>
                <w:sz w:val="20"/>
                <w:szCs w:val="20"/>
              </w:rPr>
              <w:t>Asset Management Strategy 2012-2022</w:t>
            </w:r>
          </w:p>
          <w:p w:rsidR="00E85997" w:rsidRPr="0024611A" w:rsidRDefault="00E85997" w:rsidP="008348B5">
            <w:pPr>
              <w:pStyle w:val="ListParagraph"/>
              <w:keepNext/>
              <w:keepLines/>
              <w:numPr>
                <w:ilvl w:val="0"/>
                <w:numId w:val="63"/>
              </w:numPr>
              <w:spacing w:before="120" w:after="120"/>
              <w:jc w:val="left"/>
              <w:rPr>
                <w:rFonts w:ascii="Arial" w:hAnsi="Arial" w:cs="Arial"/>
                <w:sz w:val="20"/>
                <w:szCs w:val="20"/>
              </w:rPr>
            </w:pPr>
            <w:r w:rsidRPr="0024611A">
              <w:rPr>
                <w:rFonts w:ascii="Arial" w:hAnsi="Arial" w:cs="Arial"/>
                <w:sz w:val="20"/>
                <w:szCs w:val="20"/>
              </w:rPr>
              <w:t>Council Plan 2009-2013</w:t>
            </w:r>
          </w:p>
          <w:p w:rsidR="00E85997" w:rsidRPr="0024611A" w:rsidRDefault="00E85997" w:rsidP="008348B5">
            <w:pPr>
              <w:pStyle w:val="ListParagraph"/>
              <w:keepNext/>
              <w:keepLines/>
              <w:numPr>
                <w:ilvl w:val="0"/>
                <w:numId w:val="63"/>
              </w:numPr>
              <w:spacing w:before="120" w:after="120"/>
              <w:jc w:val="left"/>
              <w:rPr>
                <w:rFonts w:ascii="Arial" w:hAnsi="Arial" w:cs="Arial"/>
                <w:sz w:val="20"/>
                <w:szCs w:val="20"/>
              </w:rPr>
            </w:pPr>
            <w:r w:rsidRPr="0024611A">
              <w:rPr>
                <w:rFonts w:ascii="Arial" w:hAnsi="Arial" w:cs="Arial"/>
                <w:sz w:val="20"/>
                <w:szCs w:val="20"/>
              </w:rPr>
              <w:t xml:space="preserve">Carbon Neutral Action Plan 2010-2015 </w:t>
            </w:r>
          </w:p>
          <w:p w:rsidR="00E85997" w:rsidRPr="0024611A" w:rsidRDefault="00E85997" w:rsidP="008348B5">
            <w:pPr>
              <w:pStyle w:val="ListParagraph"/>
              <w:keepNext/>
              <w:keepLines/>
              <w:numPr>
                <w:ilvl w:val="0"/>
                <w:numId w:val="63"/>
              </w:numPr>
              <w:spacing w:before="120" w:after="120"/>
              <w:jc w:val="left"/>
              <w:rPr>
                <w:rFonts w:ascii="Arial" w:hAnsi="Arial" w:cs="Arial"/>
                <w:sz w:val="20"/>
                <w:szCs w:val="20"/>
              </w:rPr>
            </w:pPr>
            <w:r w:rsidRPr="0024611A">
              <w:rPr>
                <w:rFonts w:ascii="Arial" w:hAnsi="Arial" w:cs="Arial"/>
                <w:sz w:val="20"/>
                <w:szCs w:val="20"/>
              </w:rPr>
              <w:t>‘Difference is More’ Disability Action Plan 2010-2013</w:t>
            </w:r>
          </w:p>
          <w:p w:rsidR="00E85997" w:rsidRPr="0024611A" w:rsidRDefault="00E85997" w:rsidP="008348B5">
            <w:pPr>
              <w:pStyle w:val="ListParagraph"/>
              <w:keepNext/>
              <w:keepLines/>
              <w:numPr>
                <w:ilvl w:val="0"/>
                <w:numId w:val="63"/>
              </w:numPr>
              <w:spacing w:before="120" w:after="120"/>
              <w:jc w:val="left"/>
              <w:rPr>
                <w:rFonts w:ascii="Arial" w:hAnsi="Arial" w:cs="Arial"/>
                <w:sz w:val="20"/>
                <w:szCs w:val="20"/>
              </w:rPr>
            </w:pPr>
            <w:r w:rsidRPr="0024611A">
              <w:rPr>
                <w:rFonts w:ascii="Arial" w:hAnsi="Arial" w:cs="Arial"/>
                <w:sz w:val="20"/>
                <w:szCs w:val="20"/>
              </w:rPr>
              <w:t>Economic Development Strategy (2009-2014)</w:t>
            </w:r>
          </w:p>
          <w:p w:rsidR="00E85997" w:rsidRPr="0024611A" w:rsidRDefault="00E85997" w:rsidP="008348B5">
            <w:pPr>
              <w:pStyle w:val="ListParagraph"/>
              <w:keepNext/>
              <w:keepLines/>
              <w:numPr>
                <w:ilvl w:val="0"/>
                <w:numId w:val="63"/>
              </w:numPr>
              <w:spacing w:before="120" w:after="120"/>
              <w:jc w:val="left"/>
              <w:rPr>
                <w:rFonts w:ascii="Arial" w:hAnsi="Arial" w:cs="Arial"/>
                <w:sz w:val="20"/>
                <w:szCs w:val="20"/>
              </w:rPr>
            </w:pPr>
            <w:r w:rsidRPr="0024611A">
              <w:rPr>
                <w:rFonts w:ascii="Arial" w:hAnsi="Arial" w:cs="Arial"/>
                <w:sz w:val="20"/>
                <w:szCs w:val="20"/>
              </w:rPr>
              <w:t>Health Plan 2009-2013</w:t>
            </w:r>
          </w:p>
          <w:p w:rsidR="00E85997" w:rsidRPr="0024611A" w:rsidRDefault="00E85997" w:rsidP="008348B5">
            <w:pPr>
              <w:pStyle w:val="ListParagraph"/>
              <w:keepNext/>
              <w:keepLines/>
              <w:numPr>
                <w:ilvl w:val="0"/>
                <w:numId w:val="63"/>
              </w:numPr>
              <w:spacing w:before="120" w:after="120"/>
              <w:jc w:val="left"/>
              <w:rPr>
                <w:rFonts w:ascii="Arial" w:hAnsi="Arial" w:cs="Arial"/>
                <w:sz w:val="20"/>
                <w:szCs w:val="20"/>
              </w:rPr>
            </w:pPr>
            <w:r w:rsidRPr="0024611A">
              <w:rPr>
                <w:rFonts w:ascii="Arial" w:hAnsi="Arial" w:cs="Arial"/>
                <w:sz w:val="20"/>
                <w:szCs w:val="20"/>
              </w:rPr>
              <w:t>Leisure Needs Study 2001</w:t>
            </w:r>
          </w:p>
          <w:p w:rsidR="00E85997" w:rsidRPr="0024611A" w:rsidRDefault="00E85997" w:rsidP="008348B5">
            <w:pPr>
              <w:pStyle w:val="ListParagraph"/>
              <w:keepNext/>
              <w:keepLines/>
              <w:numPr>
                <w:ilvl w:val="0"/>
                <w:numId w:val="63"/>
              </w:numPr>
              <w:spacing w:before="120" w:after="120"/>
              <w:jc w:val="left"/>
              <w:rPr>
                <w:rFonts w:ascii="Arial" w:hAnsi="Arial" w:cs="Arial"/>
                <w:sz w:val="20"/>
                <w:szCs w:val="20"/>
              </w:rPr>
            </w:pPr>
            <w:r w:rsidRPr="0024611A">
              <w:rPr>
                <w:rFonts w:ascii="Arial" w:hAnsi="Arial" w:cs="Arial"/>
                <w:sz w:val="20"/>
                <w:szCs w:val="20"/>
              </w:rPr>
              <w:t xml:space="preserve">Long Term Financial Plan </w:t>
            </w:r>
          </w:p>
          <w:p w:rsidR="00E85997" w:rsidRPr="0024611A" w:rsidRDefault="00E85997" w:rsidP="008348B5">
            <w:pPr>
              <w:pStyle w:val="ListParagraph"/>
              <w:keepNext/>
              <w:keepLines/>
              <w:numPr>
                <w:ilvl w:val="0"/>
                <w:numId w:val="63"/>
              </w:numPr>
              <w:spacing w:before="120" w:after="120"/>
              <w:jc w:val="left"/>
              <w:rPr>
                <w:rFonts w:ascii="Arial" w:hAnsi="Arial" w:cs="Arial"/>
                <w:sz w:val="20"/>
                <w:szCs w:val="20"/>
              </w:rPr>
            </w:pPr>
            <w:r w:rsidRPr="0024611A">
              <w:rPr>
                <w:rFonts w:ascii="Arial" w:hAnsi="Arial" w:cs="Arial"/>
                <w:sz w:val="20"/>
                <w:szCs w:val="20"/>
              </w:rPr>
              <w:t>Municipal Wide Infrastructure Plan 2009-2013</w:t>
            </w:r>
          </w:p>
          <w:p w:rsidR="00E85997" w:rsidRPr="0024611A" w:rsidRDefault="00E85997" w:rsidP="008348B5">
            <w:pPr>
              <w:pStyle w:val="ListParagraph"/>
              <w:keepNext/>
              <w:keepLines/>
              <w:numPr>
                <w:ilvl w:val="0"/>
                <w:numId w:val="63"/>
              </w:numPr>
              <w:spacing w:before="120" w:after="120"/>
              <w:jc w:val="left"/>
              <w:rPr>
                <w:rFonts w:ascii="Arial" w:hAnsi="Arial" w:cs="Arial"/>
                <w:sz w:val="20"/>
                <w:szCs w:val="20"/>
              </w:rPr>
            </w:pPr>
            <w:r w:rsidRPr="0024611A">
              <w:rPr>
                <w:rFonts w:ascii="Arial" w:hAnsi="Arial" w:cs="Arial"/>
                <w:sz w:val="20"/>
                <w:szCs w:val="20"/>
              </w:rPr>
              <w:t>Positive Aging Strategy 2007-2016</w:t>
            </w:r>
          </w:p>
        </w:tc>
        <w:tc>
          <w:tcPr>
            <w:tcW w:w="4419" w:type="dxa"/>
            <w:tcBorders>
              <w:bottom w:val="single" w:sz="4" w:space="0" w:color="auto"/>
            </w:tcBorders>
          </w:tcPr>
          <w:p w:rsidR="00E85997" w:rsidRPr="0024611A" w:rsidRDefault="00E85997" w:rsidP="008348B5">
            <w:pPr>
              <w:pStyle w:val="ListParagraph"/>
              <w:keepNext/>
              <w:keepLines/>
              <w:numPr>
                <w:ilvl w:val="0"/>
                <w:numId w:val="63"/>
              </w:numPr>
              <w:spacing w:before="120" w:after="120"/>
              <w:jc w:val="left"/>
              <w:rPr>
                <w:rFonts w:ascii="Arial" w:hAnsi="Arial" w:cs="Arial"/>
                <w:sz w:val="20"/>
                <w:szCs w:val="20"/>
              </w:rPr>
            </w:pPr>
            <w:r w:rsidRPr="0024611A">
              <w:rPr>
                <w:rFonts w:ascii="Arial" w:hAnsi="Arial" w:cs="Arial"/>
                <w:sz w:val="20"/>
                <w:szCs w:val="20"/>
              </w:rPr>
              <w:t>Public Toilet Strategy 2008</w:t>
            </w:r>
          </w:p>
          <w:p w:rsidR="00E85997" w:rsidRPr="0024611A" w:rsidRDefault="00E85997" w:rsidP="008348B5">
            <w:pPr>
              <w:pStyle w:val="ListParagraph"/>
              <w:keepNext/>
              <w:keepLines/>
              <w:numPr>
                <w:ilvl w:val="0"/>
                <w:numId w:val="63"/>
              </w:numPr>
              <w:spacing w:before="120" w:after="120"/>
              <w:jc w:val="left"/>
              <w:rPr>
                <w:rFonts w:ascii="Arial" w:hAnsi="Arial" w:cs="Arial"/>
                <w:sz w:val="20"/>
                <w:szCs w:val="20"/>
              </w:rPr>
            </w:pPr>
            <w:r w:rsidRPr="0024611A">
              <w:rPr>
                <w:rFonts w:ascii="Arial" w:hAnsi="Arial" w:cs="Arial"/>
                <w:sz w:val="20"/>
                <w:szCs w:val="20"/>
              </w:rPr>
              <w:t>Social Infrastructure Management Plan 2006</w:t>
            </w:r>
          </w:p>
          <w:p w:rsidR="00E85997" w:rsidRPr="0024611A" w:rsidRDefault="00E85997" w:rsidP="008348B5">
            <w:pPr>
              <w:pStyle w:val="ListParagraph"/>
              <w:keepNext/>
              <w:keepLines/>
              <w:numPr>
                <w:ilvl w:val="0"/>
                <w:numId w:val="63"/>
              </w:numPr>
              <w:spacing w:before="120" w:after="120"/>
              <w:jc w:val="left"/>
              <w:rPr>
                <w:rFonts w:ascii="Arial" w:hAnsi="Arial" w:cs="Arial"/>
                <w:sz w:val="20"/>
                <w:szCs w:val="20"/>
              </w:rPr>
            </w:pPr>
            <w:r w:rsidRPr="0024611A">
              <w:rPr>
                <w:rFonts w:ascii="Arial" w:hAnsi="Arial" w:cs="Arial"/>
                <w:sz w:val="20"/>
                <w:szCs w:val="20"/>
              </w:rPr>
              <w:t>Safer Yarra Plan 2011-2014</w:t>
            </w:r>
          </w:p>
          <w:p w:rsidR="00E85997" w:rsidRPr="0024611A" w:rsidRDefault="00E85997" w:rsidP="008348B5">
            <w:pPr>
              <w:pStyle w:val="ListParagraph"/>
              <w:keepNext/>
              <w:keepLines/>
              <w:numPr>
                <w:ilvl w:val="0"/>
                <w:numId w:val="63"/>
              </w:numPr>
              <w:spacing w:before="120" w:after="120"/>
              <w:jc w:val="left"/>
              <w:rPr>
                <w:rFonts w:ascii="Arial" w:hAnsi="Arial" w:cs="Arial"/>
                <w:sz w:val="20"/>
                <w:szCs w:val="20"/>
              </w:rPr>
            </w:pPr>
            <w:r w:rsidRPr="0024611A">
              <w:rPr>
                <w:rFonts w:ascii="Arial" w:hAnsi="Arial" w:cs="Arial"/>
                <w:sz w:val="20"/>
                <w:szCs w:val="20"/>
              </w:rPr>
              <w:t>Sustaining Yarra Principles</w:t>
            </w:r>
          </w:p>
          <w:p w:rsidR="00E85997" w:rsidRPr="0024611A" w:rsidRDefault="00E85997" w:rsidP="008348B5">
            <w:pPr>
              <w:pStyle w:val="ListParagraph"/>
              <w:keepNext/>
              <w:keepLines/>
              <w:numPr>
                <w:ilvl w:val="0"/>
                <w:numId w:val="63"/>
              </w:numPr>
              <w:spacing w:before="120" w:after="120"/>
              <w:jc w:val="left"/>
              <w:rPr>
                <w:rFonts w:ascii="Arial" w:hAnsi="Arial" w:cs="Arial"/>
                <w:sz w:val="20"/>
                <w:szCs w:val="20"/>
              </w:rPr>
            </w:pPr>
            <w:r w:rsidRPr="0024611A">
              <w:rPr>
                <w:rFonts w:ascii="Arial" w:hAnsi="Arial" w:cs="Arial"/>
                <w:sz w:val="20"/>
                <w:szCs w:val="20"/>
              </w:rPr>
              <w:t>Various Precinct Planning (Johnston Street, Smith Street, Victoria Street)</w:t>
            </w:r>
          </w:p>
          <w:p w:rsidR="00E85997" w:rsidRPr="0024611A" w:rsidRDefault="00E85997" w:rsidP="008348B5">
            <w:pPr>
              <w:pStyle w:val="ListParagraph"/>
              <w:keepNext/>
              <w:keepLines/>
              <w:numPr>
                <w:ilvl w:val="0"/>
                <w:numId w:val="63"/>
              </w:numPr>
              <w:spacing w:before="120" w:after="120"/>
              <w:jc w:val="left"/>
              <w:rPr>
                <w:rFonts w:ascii="Arial" w:hAnsi="Arial" w:cs="Arial"/>
                <w:sz w:val="20"/>
                <w:szCs w:val="20"/>
              </w:rPr>
            </w:pPr>
            <w:r w:rsidRPr="0024611A">
              <w:rPr>
                <w:rFonts w:ascii="Arial" w:hAnsi="Arial" w:cs="Arial"/>
                <w:sz w:val="20"/>
                <w:szCs w:val="20"/>
              </w:rPr>
              <w:t>Water Action Plan 2006</w:t>
            </w:r>
          </w:p>
          <w:p w:rsidR="00E85997" w:rsidRPr="0024611A" w:rsidRDefault="00E85997" w:rsidP="008348B5">
            <w:pPr>
              <w:pStyle w:val="ListParagraph"/>
              <w:keepNext/>
              <w:keepLines/>
              <w:numPr>
                <w:ilvl w:val="0"/>
                <w:numId w:val="63"/>
              </w:numPr>
              <w:spacing w:before="120" w:after="120"/>
              <w:jc w:val="left"/>
              <w:rPr>
                <w:rFonts w:ascii="Arial" w:hAnsi="Arial" w:cs="Arial"/>
                <w:sz w:val="20"/>
                <w:szCs w:val="20"/>
              </w:rPr>
            </w:pPr>
            <w:r w:rsidRPr="0024611A">
              <w:rPr>
                <w:rFonts w:ascii="Arial" w:hAnsi="Arial" w:cs="Arial"/>
                <w:sz w:val="20"/>
                <w:szCs w:val="20"/>
              </w:rPr>
              <w:t>Yarra Libraries Strategic Plan 20</w:t>
            </w:r>
            <w:r w:rsidR="00237E04" w:rsidRPr="0024611A">
              <w:rPr>
                <w:rFonts w:ascii="Arial" w:hAnsi="Arial" w:cs="Arial"/>
                <w:sz w:val="20"/>
                <w:szCs w:val="20"/>
              </w:rPr>
              <w:t>13</w:t>
            </w:r>
            <w:r w:rsidRPr="0024611A">
              <w:rPr>
                <w:rFonts w:ascii="Arial" w:hAnsi="Arial" w:cs="Arial"/>
                <w:sz w:val="20"/>
                <w:szCs w:val="20"/>
              </w:rPr>
              <w:t>-201</w:t>
            </w:r>
            <w:r w:rsidR="00237E04" w:rsidRPr="0024611A">
              <w:rPr>
                <w:rFonts w:ascii="Arial" w:hAnsi="Arial" w:cs="Arial"/>
                <w:sz w:val="20"/>
                <w:szCs w:val="20"/>
              </w:rPr>
              <w:t>6</w:t>
            </w:r>
          </w:p>
          <w:p w:rsidR="00E85997" w:rsidRPr="0024611A" w:rsidRDefault="00E85997" w:rsidP="008348B5">
            <w:pPr>
              <w:pStyle w:val="ListParagraph"/>
              <w:keepNext/>
              <w:keepLines/>
              <w:numPr>
                <w:ilvl w:val="0"/>
                <w:numId w:val="63"/>
              </w:numPr>
              <w:spacing w:before="120" w:after="120"/>
              <w:jc w:val="left"/>
              <w:rPr>
                <w:rFonts w:ascii="Arial" w:hAnsi="Arial" w:cs="Arial"/>
                <w:sz w:val="20"/>
                <w:szCs w:val="20"/>
              </w:rPr>
            </w:pPr>
            <w:r w:rsidRPr="0024611A">
              <w:rPr>
                <w:rFonts w:ascii="Arial" w:hAnsi="Arial" w:cs="Arial"/>
                <w:sz w:val="20"/>
                <w:szCs w:val="20"/>
              </w:rPr>
              <w:t>Yarra Open Space Strategy 2006</w:t>
            </w:r>
          </w:p>
          <w:p w:rsidR="00E85997" w:rsidRPr="0024611A" w:rsidRDefault="00E85997" w:rsidP="008348B5">
            <w:pPr>
              <w:pStyle w:val="ListParagraph"/>
              <w:keepNext/>
              <w:keepLines/>
              <w:numPr>
                <w:ilvl w:val="0"/>
                <w:numId w:val="63"/>
              </w:numPr>
              <w:spacing w:before="120" w:after="120"/>
              <w:jc w:val="left"/>
              <w:rPr>
                <w:rFonts w:ascii="Arial" w:hAnsi="Arial" w:cs="Arial"/>
                <w:sz w:val="20"/>
                <w:szCs w:val="20"/>
              </w:rPr>
            </w:pPr>
            <w:r w:rsidRPr="0024611A">
              <w:rPr>
                <w:rFonts w:ascii="Arial" w:hAnsi="Arial" w:cs="Arial"/>
                <w:sz w:val="20"/>
                <w:szCs w:val="20"/>
              </w:rPr>
              <w:t>Yarra Sports Strategy 2008-12</w:t>
            </w:r>
          </w:p>
          <w:p w:rsidR="00E85997" w:rsidRPr="0024611A" w:rsidRDefault="00E85997" w:rsidP="008348B5">
            <w:pPr>
              <w:pStyle w:val="ListParagraph"/>
              <w:keepNext/>
              <w:keepLines/>
              <w:numPr>
                <w:ilvl w:val="0"/>
                <w:numId w:val="63"/>
              </w:numPr>
              <w:spacing w:before="120" w:after="120"/>
              <w:jc w:val="left"/>
              <w:rPr>
                <w:rFonts w:ascii="Arial" w:hAnsi="Arial" w:cs="Arial"/>
                <w:sz w:val="20"/>
                <w:szCs w:val="20"/>
              </w:rPr>
            </w:pPr>
            <w:r w:rsidRPr="0024611A">
              <w:rPr>
                <w:rFonts w:ascii="Arial" w:hAnsi="Arial" w:cs="Arial"/>
                <w:sz w:val="20"/>
                <w:szCs w:val="20"/>
              </w:rPr>
              <w:t>Yarra Environment Strategy 2008-20</w:t>
            </w:r>
          </w:p>
        </w:tc>
      </w:tr>
      <w:tr w:rsidR="00E85997" w:rsidRPr="0024611A" w:rsidTr="001E1FD3">
        <w:trPr>
          <w:cantSplit/>
          <w:jc w:val="center"/>
        </w:trPr>
        <w:tc>
          <w:tcPr>
            <w:tcW w:w="9124" w:type="dxa"/>
            <w:gridSpan w:val="2"/>
            <w:shd w:val="clear" w:color="auto" w:fill="95B3D7" w:themeFill="accent1" w:themeFillTint="99"/>
          </w:tcPr>
          <w:p w:rsidR="00E85997" w:rsidRPr="0024611A" w:rsidRDefault="00E85997" w:rsidP="001E1FD3">
            <w:pPr>
              <w:keepNext/>
              <w:keepLines/>
              <w:spacing w:before="120" w:after="120"/>
              <w:jc w:val="left"/>
              <w:rPr>
                <w:b/>
                <w:sz w:val="20"/>
              </w:rPr>
            </w:pPr>
            <w:r w:rsidRPr="0024611A">
              <w:rPr>
                <w:b/>
                <w:sz w:val="20"/>
              </w:rPr>
              <w:t>Infrastructure Division Policies and Frameworks</w:t>
            </w:r>
          </w:p>
        </w:tc>
      </w:tr>
      <w:tr w:rsidR="00E85997" w:rsidRPr="0024611A" w:rsidTr="001E1FD3">
        <w:trPr>
          <w:cantSplit/>
          <w:jc w:val="center"/>
        </w:trPr>
        <w:tc>
          <w:tcPr>
            <w:tcW w:w="4705" w:type="dxa"/>
            <w:tcBorders>
              <w:bottom w:val="single" w:sz="4" w:space="0" w:color="auto"/>
            </w:tcBorders>
          </w:tcPr>
          <w:p w:rsidR="00E85997" w:rsidRPr="0024611A" w:rsidRDefault="00E85997" w:rsidP="008348B5">
            <w:pPr>
              <w:pStyle w:val="ListParagraph"/>
              <w:keepNext/>
              <w:keepLines/>
              <w:numPr>
                <w:ilvl w:val="0"/>
                <w:numId w:val="63"/>
              </w:numPr>
              <w:spacing w:before="120" w:after="120"/>
              <w:jc w:val="left"/>
              <w:rPr>
                <w:rFonts w:ascii="Arial" w:hAnsi="Arial" w:cs="Arial"/>
                <w:sz w:val="20"/>
                <w:szCs w:val="20"/>
              </w:rPr>
            </w:pPr>
            <w:r w:rsidRPr="0024611A">
              <w:rPr>
                <w:rFonts w:ascii="Arial" w:hAnsi="Arial" w:cs="Arial"/>
                <w:sz w:val="20"/>
                <w:szCs w:val="20"/>
              </w:rPr>
              <w:t>Asset Management Policy 2011</w:t>
            </w:r>
          </w:p>
          <w:p w:rsidR="00E85997" w:rsidRPr="0024611A" w:rsidRDefault="00E85997" w:rsidP="008348B5">
            <w:pPr>
              <w:pStyle w:val="ListParagraph"/>
              <w:keepNext/>
              <w:keepLines/>
              <w:numPr>
                <w:ilvl w:val="0"/>
                <w:numId w:val="63"/>
              </w:numPr>
              <w:spacing w:before="120" w:after="120"/>
              <w:jc w:val="left"/>
              <w:rPr>
                <w:rFonts w:ascii="Arial" w:hAnsi="Arial" w:cs="Arial"/>
                <w:sz w:val="20"/>
                <w:szCs w:val="20"/>
              </w:rPr>
            </w:pPr>
            <w:r w:rsidRPr="0024611A">
              <w:rPr>
                <w:rFonts w:ascii="Arial" w:hAnsi="Arial" w:cs="Arial"/>
                <w:sz w:val="20"/>
                <w:szCs w:val="20"/>
              </w:rPr>
              <w:t>Asset Disposal Policy</w:t>
            </w:r>
          </w:p>
          <w:p w:rsidR="00E85997" w:rsidRPr="0024611A" w:rsidRDefault="00E85997" w:rsidP="008348B5">
            <w:pPr>
              <w:pStyle w:val="ListParagraph"/>
              <w:keepNext/>
              <w:keepLines/>
              <w:numPr>
                <w:ilvl w:val="0"/>
                <w:numId w:val="63"/>
              </w:numPr>
              <w:spacing w:before="120" w:after="120"/>
              <w:jc w:val="left"/>
              <w:rPr>
                <w:rFonts w:ascii="Arial" w:hAnsi="Arial" w:cs="Arial"/>
                <w:sz w:val="20"/>
                <w:szCs w:val="20"/>
              </w:rPr>
            </w:pPr>
            <w:r w:rsidRPr="0024611A">
              <w:rPr>
                <w:rFonts w:ascii="Arial" w:hAnsi="Arial" w:cs="Arial"/>
                <w:sz w:val="20"/>
                <w:szCs w:val="20"/>
              </w:rPr>
              <w:t>Asset Disposal Procedure</w:t>
            </w:r>
          </w:p>
          <w:p w:rsidR="00E85997" w:rsidRPr="0024611A" w:rsidRDefault="00E85997" w:rsidP="008348B5">
            <w:pPr>
              <w:pStyle w:val="ListParagraph"/>
              <w:keepNext/>
              <w:keepLines/>
              <w:numPr>
                <w:ilvl w:val="0"/>
                <w:numId w:val="63"/>
              </w:numPr>
              <w:spacing w:before="120" w:after="120"/>
              <w:jc w:val="left"/>
              <w:rPr>
                <w:rFonts w:ascii="Arial" w:hAnsi="Arial" w:cs="Arial"/>
                <w:sz w:val="20"/>
                <w:szCs w:val="20"/>
              </w:rPr>
            </w:pPr>
            <w:r w:rsidRPr="0024611A">
              <w:rPr>
                <w:rFonts w:ascii="Arial" w:hAnsi="Arial" w:cs="Arial"/>
                <w:sz w:val="20"/>
                <w:szCs w:val="20"/>
              </w:rPr>
              <w:t>Capital Works Programme Policy Capital Works Council Facilities Policy</w:t>
            </w:r>
          </w:p>
          <w:p w:rsidR="00E85997" w:rsidRPr="0024611A" w:rsidRDefault="00E85997" w:rsidP="008348B5">
            <w:pPr>
              <w:pStyle w:val="ListParagraph"/>
              <w:keepNext/>
              <w:keepLines/>
              <w:numPr>
                <w:ilvl w:val="0"/>
                <w:numId w:val="63"/>
              </w:numPr>
              <w:spacing w:before="120" w:after="120"/>
              <w:jc w:val="left"/>
              <w:rPr>
                <w:rFonts w:ascii="Arial" w:hAnsi="Arial" w:cs="Arial"/>
                <w:sz w:val="20"/>
                <w:szCs w:val="20"/>
              </w:rPr>
            </w:pPr>
            <w:r w:rsidRPr="0024611A">
              <w:rPr>
                <w:rFonts w:ascii="Arial" w:hAnsi="Arial" w:cs="Arial"/>
                <w:sz w:val="20"/>
                <w:szCs w:val="20"/>
              </w:rPr>
              <w:t>Communication Consultation and Engagement Policy 2008</w:t>
            </w:r>
          </w:p>
          <w:p w:rsidR="00E85997" w:rsidRPr="0024611A" w:rsidRDefault="00E85997" w:rsidP="008348B5">
            <w:pPr>
              <w:pStyle w:val="ListParagraph"/>
              <w:keepNext/>
              <w:keepLines/>
              <w:numPr>
                <w:ilvl w:val="0"/>
                <w:numId w:val="63"/>
              </w:numPr>
              <w:spacing w:before="120" w:after="120"/>
              <w:jc w:val="left"/>
              <w:rPr>
                <w:rFonts w:ascii="Arial" w:hAnsi="Arial" w:cs="Arial"/>
                <w:sz w:val="20"/>
                <w:szCs w:val="20"/>
              </w:rPr>
            </w:pPr>
            <w:r w:rsidRPr="0024611A">
              <w:rPr>
                <w:rFonts w:ascii="Arial" w:hAnsi="Arial" w:cs="Arial"/>
                <w:sz w:val="20"/>
                <w:szCs w:val="20"/>
              </w:rPr>
              <w:t xml:space="preserve">Environmentally Sustainable Design Policy for Council Buildings </w:t>
            </w:r>
          </w:p>
        </w:tc>
        <w:tc>
          <w:tcPr>
            <w:tcW w:w="4419" w:type="dxa"/>
            <w:tcBorders>
              <w:bottom w:val="single" w:sz="4" w:space="0" w:color="auto"/>
            </w:tcBorders>
          </w:tcPr>
          <w:p w:rsidR="00E85997" w:rsidRPr="0024611A" w:rsidRDefault="00E85997" w:rsidP="008348B5">
            <w:pPr>
              <w:pStyle w:val="ListParagraph"/>
              <w:keepNext/>
              <w:keepLines/>
              <w:numPr>
                <w:ilvl w:val="0"/>
                <w:numId w:val="63"/>
              </w:numPr>
              <w:spacing w:before="120" w:after="120"/>
              <w:jc w:val="left"/>
              <w:rPr>
                <w:rFonts w:ascii="Arial" w:hAnsi="Arial" w:cs="Arial"/>
                <w:sz w:val="20"/>
                <w:szCs w:val="20"/>
              </w:rPr>
            </w:pPr>
            <w:r w:rsidRPr="0024611A">
              <w:rPr>
                <w:rFonts w:ascii="Arial" w:hAnsi="Arial" w:cs="Arial"/>
                <w:sz w:val="20"/>
                <w:szCs w:val="20"/>
              </w:rPr>
              <w:t>Depreciation of Assets Policy</w:t>
            </w:r>
          </w:p>
          <w:p w:rsidR="00E85997" w:rsidRPr="0024611A" w:rsidRDefault="00E85997" w:rsidP="008348B5">
            <w:pPr>
              <w:pStyle w:val="ListParagraph"/>
              <w:keepNext/>
              <w:keepLines/>
              <w:numPr>
                <w:ilvl w:val="0"/>
                <w:numId w:val="63"/>
              </w:numPr>
              <w:spacing w:before="120" w:after="120"/>
              <w:jc w:val="left"/>
              <w:rPr>
                <w:rFonts w:ascii="Arial" w:hAnsi="Arial" w:cs="Arial"/>
                <w:sz w:val="20"/>
                <w:szCs w:val="20"/>
              </w:rPr>
            </w:pPr>
            <w:r w:rsidRPr="0024611A">
              <w:rPr>
                <w:rFonts w:ascii="Arial" w:hAnsi="Arial" w:cs="Arial"/>
                <w:sz w:val="20"/>
                <w:szCs w:val="20"/>
              </w:rPr>
              <w:t>Levels of Service development framework</w:t>
            </w:r>
          </w:p>
          <w:p w:rsidR="00E85997" w:rsidRPr="0024611A" w:rsidRDefault="00E85997" w:rsidP="008348B5">
            <w:pPr>
              <w:pStyle w:val="ListParagraph"/>
              <w:keepNext/>
              <w:keepLines/>
              <w:numPr>
                <w:ilvl w:val="0"/>
                <w:numId w:val="63"/>
              </w:numPr>
              <w:spacing w:before="120" w:after="120"/>
              <w:jc w:val="left"/>
              <w:rPr>
                <w:rFonts w:ascii="Arial" w:hAnsi="Arial" w:cs="Arial"/>
                <w:sz w:val="20"/>
                <w:szCs w:val="20"/>
              </w:rPr>
            </w:pPr>
            <w:r w:rsidRPr="0024611A">
              <w:rPr>
                <w:rFonts w:ascii="Arial" w:hAnsi="Arial" w:cs="Arial"/>
                <w:sz w:val="20"/>
                <w:szCs w:val="20"/>
              </w:rPr>
              <w:t xml:space="preserve">Maintenance Management Framework </w:t>
            </w:r>
          </w:p>
          <w:p w:rsidR="00E85997" w:rsidRPr="0024611A" w:rsidRDefault="00E85997" w:rsidP="008348B5">
            <w:pPr>
              <w:pStyle w:val="ListParagraph"/>
              <w:keepNext/>
              <w:keepLines/>
              <w:numPr>
                <w:ilvl w:val="0"/>
                <w:numId w:val="63"/>
              </w:numPr>
              <w:spacing w:before="120" w:after="120"/>
              <w:jc w:val="left"/>
              <w:rPr>
                <w:rFonts w:ascii="Arial" w:hAnsi="Arial" w:cs="Arial"/>
                <w:sz w:val="20"/>
                <w:szCs w:val="20"/>
              </w:rPr>
            </w:pPr>
            <w:r w:rsidRPr="0024611A">
              <w:rPr>
                <w:rFonts w:ascii="Arial" w:hAnsi="Arial" w:cs="Arial"/>
                <w:sz w:val="20"/>
                <w:szCs w:val="20"/>
              </w:rPr>
              <w:t xml:space="preserve">Program Development Framework </w:t>
            </w:r>
          </w:p>
          <w:p w:rsidR="00E85997" w:rsidRPr="0024611A" w:rsidRDefault="00E85997" w:rsidP="008348B5">
            <w:pPr>
              <w:pStyle w:val="ListParagraph"/>
              <w:keepNext/>
              <w:keepLines/>
              <w:numPr>
                <w:ilvl w:val="0"/>
                <w:numId w:val="63"/>
              </w:numPr>
              <w:spacing w:before="120" w:after="120"/>
              <w:jc w:val="left"/>
              <w:rPr>
                <w:rFonts w:ascii="Arial" w:hAnsi="Arial" w:cs="Arial"/>
                <w:sz w:val="20"/>
                <w:szCs w:val="20"/>
              </w:rPr>
            </w:pPr>
            <w:r w:rsidRPr="0024611A">
              <w:rPr>
                <w:rFonts w:ascii="Arial" w:hAnsi="Arial" w:cs="Arial"/>
                <w:sz w:val="20"/>
                <w:szCs w:val="20"/>
              </w:rPr>
              <w:t>Procurement Policy</w:t>
            </w:r>
          </w:p>
          <w:p w:rsidR="00E85997" w:rsidRPr="0024611A" w:rsidRDefault="00E85997" w:rsidP="008348B5">
            <w:pPr>
              <w:pStyle w:val="ListParagraph"/>
              <w:keepNext/>
              <w:keepLines/>
              <w:numPr>
                <w:ilvl w:val="0"/>
                <w:numId w:val="63"/>
              </w:numPr>
              <w:spacing w:before="120" w:after="120"/>
              <w:jc w:val="left"/>
              <w:rPr>
                <w:rFonts w:ascii="Arial" w:hAnsi="Arial" w:cs="Arial"/>
                <w:sz w:val="20"/>
                <w:szCs w:val="20"/>
              </w:rPr>
            </w:pPr>
            <w:r w:rsidRPr="0024611A">
              <w:rPr>
                <w:rFonts w:ascii="Arial" w:hAnsi="Arial" w:cs="Arial"/>
                <w:sz w:val="20"/>
                <w:szCs w:val="20"/>
              </w:rPr>
              <w:t>Risk Management Framework</w:t>
            </w:r>
          </w:p>
          <w:p w:rsidR="00E85997" w:rsidRPr="0024611A" w:rsidRDefault="00E85997" w:rsidP="008348B5">
            <w:pPr>
              <w:pStyle w:val="ListParagraph"/>
              <w:keepNext/>
              <w:keepLines/>
              <w:numPr>
                <w:ilvl w:val="0"/>
                <w:numId w:val="63"/>
              </w:numPr>
              <w:spacing w:before="120" w:after="120"/>
              <w:jc w:val="left"/>
              <w:rPr>
                <w:rFonts w:ascii="Arial" w:hAnsi="Arial" w:cs="Arial"/>
                <w:sz w:val="20"/>
                <w:szCs w:val="20"/>
              </w:rPr>
            </w:pPr>
            <w:r w:rsidRPr="0024611A">
              <w:rPr>
                <w:rFonts w:ascii="Arial" w:hAnsi="Arial" w:cs="Arial"/>
                <w:sz w:val="20"/>
                <w:szCs w:val="20"/>
              </w:rPr>
              <w:t xml:space="preserve">Sporting Pavilion Standards </w:t>
            </w:r>
          </w:p>
          <w:p w:rsidR="00E85997" w:rsidRPr="0024611A" w:rsidRDefault="00E85997" w:rsidP="008348B5">
            <w:pPr>
              <w:pStyle w:val="ListParagraph"/>
              <w:keepNext/>
              <w:keepLines/>
              <w:numPr>
                <w:ilvl w:val="0"/>
                <w:numId w:val="63"/>
              </w:numPr>
              <w:spacing w:before="120" w:after="120"/>
              <w:jc w:val="left"/>
              <w:rPr>
                <w:rFonts w:ascii="Arial" w:hAnsi="Arial" w:cs="Arial"/>
                <w:sz w:val="20"/>
                <w:szCs w:val="20"/>
              </w:rPr>
            </w:pPr>
            <w:r w:rsidRPr="0024611A">
              <w:rPr>
                <w:rFonts w:ascii="Arial" w:hAnsi="Arial" w:cs="Arial"/>
                <w:sz w:val="20"/>
                <w:szCs w:val="20"/>
              </w:rPr>
              <w:t>Staff accommodation reviews</w:t>
            </w:r>
          </w:p>
        </w:tc>
      </w:tr>
      <w:tr w:rsidR="00E85997" w:rsidRPr="0024611A" w:rsidTr="001E1FD3">
        <w:trPr>
          <w:cantSplit/>
          <w:jc w:val="center"/>
        </w:trPr>
        <w:tc>
          <w:tcPr>
            <w:tcW w:w="9124" w:type="dxa"/>
            <w:gridSpan w:val="2"/>
            <w:shd w:val="clear" w:color="auto" w:fill="95B3D7" w:themeFill="accent1" w:themeFillTint="99"/>
          </w:tcPr>
          <w:p w:rsidR="00E85997" w:rsidRPr="0024611A" w:rsidRDefault="00E85997" w:rsidP="001E1FD3">
            <w:pPr>
              <w:spacing w:before="120" w:after="120"/>
              <w:jc w:val="left"/>
              <w:rPr>
                <w:b/>
                <w:sz w:val="20"/>
              </w:rPr>
            </w:pPr>
            <w:r w:rsidRPr="0024611A">
              <w:rPr>
                <w:b/>
                <w:sz w:val="20"/>
              </w:rPr>
              <w:t>State and Federal Government Publications and Industry Standards and Guidelines</w:t>
            </w:r>
          </w:p>
        </w:tc>
      </w:tr>
      <w:tr w:rsidR="00E85997" w:rsidRPr="0024611A" w:rsidTr="001E1FD3">
        <w:trPr>
          <w:cantSplit/>
          <w:jc w:val="center"/>
        </w:trPr>
        <w:tc>
          <w:tcPr>
            <w:tcW w:w="4705" w:type="dxa"/>
          </w:tcPr>
          <w:p w:rsidR="00E85997" w:rsidRPr="0024611A" w:rsidRDefault="00E85997" w:rsidP="008348B5">
            <w:pPr>
              <w:pStyle w:val="ListParagraph"/>
              <w:numPr>
                <w:ilvl w:val="0"/>
                <w:numId w:val="63"/>
              </w:numPr>
              <w:spacing w:before="120" w:after="120"/>
              <w:jc w:val="left"/>
              <w:rPr>
                <w:rFonts w:ascii="Arial" w:hAnsi="Arial" w:cs="Arial"/>
                <w:sz w:val="20"/>
                <w:szCs w:val="20"/>
              </w:rPr>
            </w:pPr>
            <w:r w:rsidRPr="0024611A">
              <w:rPr>
                <w:rFonts w:ascii="Arial" w:hAnsi="Arial" w:cs="Arial"/>
                <w:sz w:val="20"/>
                <w:szCs w:val="20"/>
              </w:rPr>
              <w:t>Inner Melbourne Action Plan (IMAP) 2005</w:t>
            </w:r>
          </w:p>
          <w:p w:rsidR="00E85997" w:rsidRPr="0024611A" w:rsidRDefault="00E85997" w:rsidP="008348B5">
            <w:pPr>
              <w:pStyle w:val="ListParagraph"/>
              <w:numPr>
                <w:ilvl w:val="0"/>
                <w:numId w:val="63"/>
              </w:numPr>
              <w:spacing w:before="120" w:after="120"/>
              <w:jc w:val="left"/>
              <w:rPr>
                <w:rFonts w:ascii="Arial" w:hAnsi="Arial" w:cs="Arial"/>
                <w:sz w:val="20"/>
                <w:szCs w:val="20"/>
              </w:rPr>
            </w:pPr>
            <w:r w:rsidRPr="0024611A">
              <w:rPr>
                <w:rFonts w:ascii="Arial" w:hAnsi="Arial" w:cs="Arial"/>
                <w:sz w:val="20"/>
                <w:szCs w:val="20"/>
              </w:rPr>
              <w:t>Financial Management and Asset Management Framework for Local Government 2009</w:t>
            </w:r>
          </w:p>
        </w:tc>
        <w:tc>
          <w:tcPr>
            <w:tcW w:w="4419" w:type="dxa"/>
          </w:tcPr>
          <w:p w:rsidR="00E85997" w:rsidRPr="0024611A" w:rsidRDefault="00E85997" w:rsidP="008348B5">
            <w:pPr>
              <w:pStyle w:val="ListParagraph"/>
              <w:numPr>
                <w:ilvl w:val="0"/>
                <w:numId w:val="63"/>
              </w:numPr>
              <w:spacing w:before="120" w:after="120"/>
              <w:jc w:val="left"/>
              <w:rPr>
                <w:rFonts w:ascii="Arial" w:hAnsi="Arial" w:cs="Arial"/>
                <w:sz w:val="20"/>
                <w:szCs w:val="20"/>
              </w:rPr>
            </w:pPr>
            <w:r w:rsidRPr="0024611A">
              <w:rPr>
                <w:rFonts w:ascii="Arial" w:hAnsi="Arial" w:cs="Arial"/>
                <w:sz w:val="20"/>
                <w:szCs w:val="20"/>
              </w:rPr>
              <w:t>International Infrastructure Management Manual 2011</w:t>
            </w:r>
          </w:p>
          <w:p w:rsidR="00E85997" w:rsidRPr="0024611A" w:rsidRDefault="00E85997" w:rsidP="008348B5">
            <w:pPr>
              <w:pStyle w:val="ListParagraph"/>
              <w:numPr>
                <w:ilvl w:val="0"/>
                <w:numId w:val="63"/>
              </w:numPr>
              <w:spacing w:before="120" w:after="120"/>
              <w:jc w:val="left"/>
              <w:rPr>
                <w:rFonts w:ascii="Arial" w:hAnsi="Arial" w:cs="Arial"/>
                <w:sz w:val="20"/>
                <w:szCs w:val="20"/>
              </w:rPr>
            </w:pPr>
            <w:r w:rsidRPr="0024611A">
              <w:rPr>
                <w:rFonts w:ascii="Arial" w:hAnsi="Arial" w:cs="Arial"/>
                <w:sz w:val="20"/>
                <w:szCs w:val="20"/>
              </w:rPr>
              <w:t>Developing Levels of Service and Performance Measures 2007</w:t>
            </w:r>
          </w:p>
        </w:tc>
      </w:tr>
    </w:tbl>
    <w:p w:rsidR="0066712F" w:rsidRPr="0091425F" w:rsidRDefault="0066712F" w:rsidP="001E1FD3">
      <w:pPr>
        <w:pStyle w:val="Caption"/>
        <w:spacing w:before="240" w:after="240"/>
        <w:ind w:left="0"/>
        <w:jc w:val="center"/>
        <w:rPr>
          <w:rFonts w:ascii="Arial" w:hAnsi="Arial"/>
          <w:i w:val="0"/>
          <w:iCs w:val="0"/>
          <w:sz w:val="20"/>
          <w:lang w:val="en-AU"/>
        </w:rPr>
      </w:pPr>
      <w:bookmarkStart w:id="351" w:name="_Toc364945429"/>
      <w:r w:rsidRPr="0091425F">
        <w:rPr>
          <w:rFonts w:ascii="Arial" w:hAnsi="Arial"/>
          <w:i w:val="0"/>
          <w:iCs w:val="0"/>
          <w:sz w:val="20"/>
          <w:lang w:val="en-AU"/>
        </w:rPr>
        <w:t xml:space="preserve">Table </w:t>
      </w:r>
      <w:r w:rsidR="0090414C" w:rsidRPr="0091425F">
        <w:rPr>
          <w:rFonts w:ascii="Arial" w:hAnsi="Arial"/>
          <w:i w:val="0"/>
          <w:iCs w:val="0"/>
          <w:sz w:val="20"/>
          <w:lang w:val="en-AU"/>
        </w:rPr>
        <w:fldChar w:fldCharType="begin"/>
      </w:r>
      <w:r w:rsidR="0012012A" w:rsidRPr="0091425F">
        <w:rPr>
          <w:rFonts w:ascii="Arial" w:hAnsi="Arial"/>
          <w:i w:val="0"/>
          <w:iCs w:val="0"/>
          <w:sz w:val="20"/>
          <w:lang w:val="en-AU"/>
        </w:rPr>
        <w:instrText xml:space="preserve"> SEQ Table \* ARABIC </w:instrText>
      </w:r>
      <w:r w:rsidR="0090414C" w:rsidRPr="0091425F">
        <w:rPr>
          <w:rFonts w:ascii="Arial" w:hAnsi="Arial"/>
          <w:i w:val="0"/>
          <w:iCs w:val="0"/>
          <w:sz w:val="20"/>
          <w:lang w:val="en-AU"/>
        </w:rPr>
        <w:fldChar w:fldCharType="separate"/>
      </w:r>
      <w:r w:rsidR="00751CEC">
        <w:rPr>
          <w:rFonts w:ascii="Arial" w:hAnsi="Arial"/>
          <w:i w:val="0"/>
          <w:iCs w:val="0"/>
          <w:noProof/>
          <w:sz w:val="20"/>
          <w:lang w:val="en-AU"/>
        </w:rPr>
        <w:t>25</w:t>
      </w:r>
      <w:r w:rsidR="0090414C" w:rsidRPr="0091425F">
        <w:rPr>
          <w:rFonts w:ascii="Arial" w:hAnsi="Arial"/>
          <w:i w:val="0"/>
          <w:iCs w:val="0"/>
          <w:sz w:val="20"/>
          <w:lang w:val="en-AU"/>
        </w:rPr>
        <w:fldChar w:fldCharType="end"/>
      </w:r>
      <w:r w:rsidRPr="0091425F">
        <w:rPr>
          <w:rFonts w:ascii="Arial" w:hAnsi="Arial"/>
          <w:i w:val="0"/>
          <w:iCs w:val="0"/>
          <w:sz w:val="20"/>
          <w:lang w:val="en-AU"/>
        </w:rPr>
        <w:t xml:space="preserve">: </w:t>
      </w:r>
      <w:r w:rsidR="001E1FD3" w:rsidRPr="0091425F">
        <w:rPr>
          <w:rFonts w:ascii="Arial" w:hAnsi="Arial"/>
          <w:i w:val="0"/>
          <w:iCs w:val="0"/>
          <w:sz w:val="20"/>
          <w:lang w:val="en-AU"/>
        </w:rPr>
        <w:t xml:space="preserve"> </w:t>
      </w:r>
      <w:r w:rsidRPr="0091425F">
        <w:rPr>
          <w:rFonts w:ascii="Arial" w:hAnsi="Arial"/>
          <w:i w:val="0"/>
          <w:iCs w:val="0"/>
          <w:sz w:val="20"/>
          <w:lang w:val="en-AU"/>
        </w:rPr>
        <w:t>In</w:t>
      </w:r>
      <w:r w:rsidR="00105DCC" w:rsidRPr="0091425F">
        <w:rPr>
          <w:rFonts w:ascii="Arial" w:hAnsi="Arial"/>
          <w:i w:val="0"/>
          <w:iCs w:val="0"/>
          <w:sz w:val="20"/>
          <w:lang w:val="en-AU"/>
        </w:rPr>
        <w:t>dustry Standards and Guidelines</w:t>
      </w:r>
      <w:bookmarkEnd w:id="351"/>
    </w:p>
    <w:p w:rsidR="004C27D1" w:rsidRPr="00CF2212" w:rsidRDefault="004C27D1" w:rsidP="00CF2212">
      <w:pPr>
        <w:pStyle w:val="Heading2"/>
      </w:pPr>
      <w:bookmarkStart w:id="352" w:name="_Toc346740138"/>
      <w:bookmarkStart w:id="353" w:name="_Toc364945263"/>
      <w:r w:rsidRPr="00CF2212">
        <w:t>Impact of Regulatory Changes</w:t>
      </w:r>
      <w:bookmarkEnd w:id="352"/>
      <w:bookmarkEnd w:id="353"/>
    </w:p>
    <w:p w:rsidR="004C27D1" w:rsidRPr="0073405C" w:rsidRDefault="004C27D1" w:rsidP="002F775C">
      <w:r w:rsidRPr="0073405C">
        <w:t xml:space="preserve">Regulatory change has and will continue to have the most impact on demand for service from building assets from a financial perspective. </w:t>
      </w:r>
      <w:r w:rsidR="008845EA">
        <w:t>Many of Council</w:t>
      </w:r>
      <w:r w:rsidR="002D4917">
        <w:t>’</w:t>
      </w:r>
      <w:r w:rsidR="008845EA">
        <w:t xml:space="preserve">s buildings were built 50 or more years ago, whilst they remain structurally sound they do not meet current BCA and DDA legislative requirements. When renewal work is carried out on these buildings additional funding will be required </w:t>
      </w:r>
      <w:r w:rsidRPr="0073405C">
        <w:t>to meet existing or new legislative standards.</w:t>
      </w:r>
    </w:p>
    <w:p w:rsidR="00E96F28" w:rsidRPr="00CF2212" w:rsidRDefault="00DF1ACE" w:rsidP="0024611A">
      <w:pPr>
        <w:pStyle w:val="Heading2"/>
        <w:keepLines/>
      </w:pPr>
      <w:bookmarkStart w:id="354" w:name="_Toc364945264"/>
      <w:r w:rsidRPr="00CF2212">
        <w:t>Customer</w:t>
      </w:r>
      <w:r w:rsidR="00E96F28" w:rsidRPr="00CF2212">
        <w:t xml:space="preserve"> </w:t>
      </w:r>
      <w:r w:rsidR="003444C8" w:rsidRPr="00CF2212">
        <w:t>Research and Expectations</w:t>
      </w:r>
      <w:bookmarkEnd w:id="354"/>
    </w:p>
    <w:p w:rsidR="007C70ED" w:rsidRDefault="007C70ED" w:rsidP="0024611A">
      <w:pPr>
        <w:keepNext/>
        <w:keepLines/>
      </w:pPr>
      <w:r w:rsidRPr="000B5F97">
        <w:t>Yarra City Council’s knowledge of customer/stakeholders expectations is based on the following:</w:t>
      </w:r>
    </w:p>
    <w:p w:rsidR="001E1FD3" w:rsidRPr="000B5F97" w:rsidRDefault="001E1FD3" w:rsidP="0024611A">
      <w:pPr>
        <w:keepNext/>
        <w:keepLines/>
      </w:pPr>
    </w:p>
    <w:p w:rsidR="007C70ED" w:rsidRPr="001E1FD3" w:rsidRDefault="007C70ED" w:rsidP="0024611A">
      <w:pPr>
        <w:pStyle w:val="ListParagraph"/>
        <w:keepNext/>
        <w:keepLines/>
        <w:numPr>
          <w:ilvl w:val="0"/>
          <w:numId w:val="64"/>
        </w:numPr>
        <w:rPr>
          <w:rFonts w:ascii="Arial" w:hAnsi="Arial" w:cs="Arial"/>
          <w:sz w:val="20"/>
        </w:rPr>
      </w:pPr>
      <w:r w:rsidRPr="001E1FD3">
        <w:rPr>
          <w:rFonts w:ascii="Arial" w:hAnsi="Arial" w:cs="Arial"/>
          <w:sz w:val="20"/>
        </w:rPr>
        <w:t>Analysis of customer service requests and complaints (Merit requests and MCR);</w:t>
      </w:r>
    </w:p>
    <w:p w:rsidR="007C70ED" w:rsidRPr="001E1FD3" w:rsidRDefault="007C70ED" w:rsidP="0024611A">
      <w:pPr>
        <w:pStyle w:val="ListParagraph"/>
        <w:keepNext/>
        <w:keepLines/>
        <w:numPr>
          <w:ilvl w:val="0"/>
          <w:numId w:val="64"/>
        </w:numPr>
        <w:rPr>
          <w:rFonts w:ascii="Arial" w:hAnsi="Arial" w:cs="Arial"/>
          <w:sz w:val="20"/>
        </w:rPr>
      </w:pPr>
      <w:r w:rsidRPr="001E1FD3">
        <w:rPr>
          <w:rFonts w:ascii="Arial" w:hAnsi="Arial" w:cs="Arial"/>
          <w:sz w:val="20"/>
        </w:rPr>
        <w:t>Consultation for specific capital works projects;</w:t>
      </w:r>
    </w:p>
    <w:p w:rsidR="007C70ED" w:rsidRPr="001E1FD3" w:rsidRDefault="007C70ED" w:rsidP="0024611A">
      <w:pPr>
        <w:pStyle w:val="ListParagraph"/>
        <w:keepNext/>
        <w:keepLines/>
        <w:numPr>
          <w:ilvl w:val="0"/>
          <w:numId w:val="64"/>
        </w:numPr>
        <w:rPr>
          <w:rFonts w:ascii="Arial" w:hAnsi="Arial" w:cs="Arial"/>
          <w:sz w:val="20"/>
        </w:rPr>
      </w:pPr>
      <w:r w:rsidRPr="001E1FD3">
        <w:rPr>
          <w:rFonts w:ascii="Arial" w:hAnsi="Arial" w:cs="Arial"/>
          <w:sz w:val="20"/>
        </w:rPr>
        <w:t xml:space="preserve">The annual </w:t>
      </w:r>
      <w:r w:rsidR="000B5F97" w:rsidRPr="001E1FD3">
        <w:rPr>
          <w:rFonts w:ascii="Arial" w:hAnsi="Arial" w:cs="Arial"/>
          <w:sz w:val="20"/>
        </w:rPr>
        <w:t>service plan and budget process;</w:t>
      </w:r>
    </w:p>
    <w:p w:rsidR="000B5F97" w:rsidRPr="001E1FD3" w:rsidRDefault="000B5F97" w:rsidP="0024611A">
      <w:pPr>
        <w:pStyle w:val="ListParagraph"/>
        <w:keepNext/>
        <w:keepLines/>
        <w:numPr>
          <w:ilvl w:val="0"/>
          <w:numId w:val="64"/>
        </w:numPr>
        <w:rPr>
          <w:rFonts w:ascii="Arial" w:hAnsi="Arial" w:cs="Arial"/>
          <w:sz w:val="20"/>
        </w:rPr>
      </w:pPr>
      <w:r w:rsidRPr="001E1FD3">
        <w:rPr>
          <w:rFonts w:ascii="Arial" w:hAnsi="Arial" w:cs="Arial"/>
          <w:sz w:val="20"/>
        </w:rPr>
        <w:t>One on One interviews with Service Managers in relation to Fit for Purpose; and</w:t>
      </w:r>
    </w:p>
    <w:p w:rsidR="007C70ED" w:rsidRPr="001E1FD3" w:rsidRDefault="007C70ED" w:rsidP="0024611A">
      <w:pPr>
        <w:pStyle w:val="ListParagraph"/>
        <w:keepNext/>
        <w:keepLines/>
        <w:numPr>
          <w:ilvl w:val="0"/>
          <w:numId w:val="64"/>
        </w:numPr>
        <w:rPr>
          <w:rFonts w:ascii="Arial" w:hAnsi="Arial" w:cs="Arial"/>
          <w:sz w:val="20"/>
        </w:rPr>
      </w:pPr>
      <w:r w:rsidRPr="001E1FD3">
        <w:rPr>
          <w:rFonts w:ascii="Arial" w:hAnsi="Arial" w:cs="Arial"/>
          <w:sz w:val="20"/>
        </w:rPr>
        <w:t>Staff knowledge of their customers’ expectations.</w:t>
      </w:r>
    </w:p>
    <w:p w:rsidR="00A87921" w:rsidRDefault="00A87921" w:rsidP="001E1FD3"/>
    <w:p w:rsidR="007C70ED" w:rsidRPr="000B5F97" w:rsidRDefault="000B5F97" w:rsidP="001E1FD3">
      <w:r w:rsidRPr="000B5F97">
        <w:t>There has been no</w:t>
      </w:r>
      <w:r w:rsidR="007C70ED" w:rsidRPr="000B5F97">
        <w:t xml:space="preserve"> direct community consultation with respect to the buildings and properties portfolio.  Facilities provisions are, however, inherently part of Council’s community service delivery and as such contribute to the community satisfaction with those services. </w:t>
      </w:r>
      <w:r w:rsidRPr="000B5F97">
        <w:t>Services are</w:t>
      </w:r>
      <w:r w:rsidR="007C70ED" w:rsidRPr="000B5F97">
        <w:t xml:space="preserve"> continuously being monitored through the annual community satisfaction survey conducted in conjunction with the Department of Planning and Community Development (DPCD) and Local Government and, more recently, Yarra City Council’s Annual Customer Satisfaction Survey.</w:t>
      </w:r>
    </w:p>
    <w:p w:rsidR="0034013D" w:rsidRDefault="0034013D" w:rsidP="001E1FD3"/>
    <w:p w:rsidR="00EF6696" w:rsidRPr="00A87921" w:rsidRDefault="00EF6696" w:rsidP="00A87921">
      <w:pPr>
        <w:rPr>
          <w:rFonts w:cs="Arial"/>
        </w:rPr>
      </w:pPr>
      <w:r>
        <w:t>One on one i</w:t>
      </w:r>
      <w:r w:rsidRPr="00EF6696">
        <w:t>nterviews</w:t>
      </w:r>
      <w:r w:rsidR="0034013D" w:rsidRPr="00EF6696">
        <w:t xml:space="preserve"> </w:t>
      </w:r>
      <w:r>
        <w:t xml:space="preserve">to determine the </w:t>
      </w:r>
      <w:r w:rsidR="0034013D" w:rsidRPr="00EF6696">
        <w:t>fit</w:t>
      </w:r>
      <w:r>
        <w:t>ness</w:t>
      </w:r>
      <w:r w:rsidR="0034013D" w:rsidRPr="00EF6696">
        <w:t xml:space="preserve"> for purpose</w:t>
      </w:r>
      <w:r>
        <w:t xml:space="preserve"> of Council’s building </w:t>
      </w:r>
      <w:r w:rsidR="00A87921">
        <w:t xml:space="preserve">assets has been the key driver </w:t>
      </w:r>
      <w:r>
        <w:t>during the consultation phase</w:t>
      </w:r>
      <w:r w:rsidR="0034013D" w:rsidRPr="00EF6696">
        <w:rPr>
          <w:b/>
        </w:rPr>
        <w:t>.</w:t>
      </w:r>
      <w:r w:rsidRPr="00EE1696">
        <w:t xml:space="preserve"> The information used to inform the assessment was </w:t>
      </w:r>
      <w:r w:rsidRPr="00A87921">
        <w:rPr>
          <w:rFonts w:cs="Arial"/>
        </w:rPr>
        <w:t>gathered directly from service managers and building occupants through a survey that asked questions under four headings:</w:t>
      </w:r>
    </w:p>
    <w:p w:rsidR="00A87921" w:rsidRPr="00A87921" w:rsidRDefault="00A87921" w:rsidP="00A87921">
      <w:pPr>
        <w:rPr>
          <w:rFonts w:cs="Arial"/>
        </w:rPr>
      </w:pPr>
    </w:p>
    <w:p w:rsidR="00EF6696" w:rsidRPr="00A87921" w:rsidRDefault="00EF6696" w:rsidP="008348B5">
      <w:pPr>
        <w:pStyle w:val="ListParagraph"/>
        <w:numPr>
          <w:ilvl w:val="0"/>
          <w:numId w:val="64"/>
        </w:numPr>
        <w:rPr>
          <w:rFonts w:ascii="Arial" w:hAnsi="Arial" w:cs="Arial"/>
          <w:sz w:val="20"/>
        </w:rPr>
      </w:pPr>
      <w:r w:rsidRPr="00A87921">
        <w:rPr>
          <w:rFonts w:ascii="Arial" w:hAnsi="Arial" w:cs="Arial"/>
          <w:sz w:val="20"/>
        </w:rPr>
        <w:t>Location (proximity to customers, staff and to transport connections)</w:t>
      </w:r>
      <w:r w:rsidR="00A87921">
        <w:rPr>
          <w:rFonts w:ascii="Arial" w:hAnsi="Arial" w:cs="Arial"/>
          <w:sz w:val="20"/>
        </w:rPr>
        <w:t>;</w:t>
      </w:r>
    </w:p>
    <w:p w:rsidR="00EF6696" w:rsidRPr="00A87921" w:rsidRDefault="00EF6696" w:rsidP="008348B5">
      <w:pPr>
        <w:pStyle w:val="ListParagraph"/>
        <w:numPr>
          <w:ilvl w:val="0"/>
          <w:numId w:val="64"/>
        </w:numPr>
        <w:rPr>
          <w:rFonts w:ascii="Arial" w:hAnsi="Arial" w:cs="Arial"/>
          <w:sz w:val="20"/>
        </w:rPr>
      </w:pPr>
      <w:r w:rsidRPr="00A87921">
        <w:rPr>
          <w:rFonts w:ascii="Arial" w:hAnsi="Arial" w:cs="Arial"/>
          <w:sz w:val="20"/>
        </w:rPr>
        <w:t>Capacity (size of internal spaces)</w:t>
      </w:r>
      <w:r w:rsidR="00A87921">
        <w:rPr>
          <w:rFonts w:ascii="Arial" w:hAnsi="Arial" w:cs="Arial"/>
          <w:sz w:val="20"/>
        </w:rPr>
        <w:t>;</w:t>
      </w:r>
    </w:p>
    <w:p w:rsidR="00EF6696" w:rsidRPr="00A87921" w:rsidRDefault="00EF6696" w:rsidP="008348B5">
      <w:pPr>
        <w:pStyle w:val="ListParagraph"/>
        <w:numPr>
          <w:ilvl w:val="0"/>
          <w:numId w:val="64"/>
        </w:numPr>
        <w:rPr>
          <w:rFonts w:ascii="Arial" w:hAnsi="Arial" w:cs="Arial"/>
          <w:sz w:val="20"/>
        </w:rPr>
      </w:pPr>
      <w:r w:rsidRPr="00A87921">
        <w:rPr>
          <w:rFonts w:ascii="Arial" w:hAnsi="Arial" w:cs="Arial"/>
          <w:sz w:val="20"/>
        </w:rPr>
        <w:t>Configuration (internal layout, usability and types of space)</w:t>
      </w:r>
      <w:r w:rsidR="00A87921">
        <w:rPr>
          <w:rFonts w:ascii="Arial" w:hAnsi="Arial" w:cs="Arial"/>
          <w:sz w:val="20"/>
        </w:rPr>
        <w:t>; and</w:t>
      </w:r>
    </w:p>
    <w:p w:rsidR="00EF6696" w:rsidRPr="00A87921" w:rsidRDefault="00EF6696" w:rsidP="008348B5">
      <w:pPr>
        <w:pStyle w:val="ListParagraph"/>
        <w:numPr>
          <w:ilvl w:val="0"/>
          <w:numId w:val="64"/>
        </w:numPr>
        <w:rPr>
          <w:rFonts w:ascii="Arial" w:hAnsi="Arial" w:cs="Arial"/>
          <w:sz w:val="20"/>
        </w:rPr>
      </w:pPr>
      <w:r w:rsidRPr="00A87921">
        <w:rPr>
          <w:rFonts w:ascii="Arial" w:hAnsi="Arial" w:cs="Arial"/>
          <w:sz w:val="20"/>
        </w:rPr>
        <w:t>Features (services, fixtures and fittings)</w:t>
      </w:r>
      <w:r w:rsidR="00A87921">
        <w:rPr>
          <w:rFonts w:ascii="Arial" w:hAnsi="Arial" w:cs="Arial"/>
          <w:sz w:val="20"/>
        </w:rPr>
        <w:t>.</w:t>
      </w:r>
    </w:p>
    <w:p w:rsidR="00A87921" w:rsidRDefault="00A87921" w:rsidP="001E1FD3"/>
    <w:p w:rsidR="0034013D" w:rsidRPr="00D60852" w:rsidRDefault="00EF6696" w:rsidP="001E1FD3">
      <w:r w:rsidRPr="00EE1696">
        <w:t>For each question service managers gave a building a rating, identified key asset management issues and provided comments on the how effectively that building meets their current service needs and those in 5 years</w:t>
      </w:r>
      <w:r w:rsidR="00A87921">
        <w:t>’</w:t>
      </w:r>
      <w:r w:rsidRPr="00EE1696">
        <w:t xml:space="preserve"> time.</w:t>
      </w:r>
      <w:r>
        <w:t xml:space="preserve"> This data </w:t>
      </w:r>
      <w:r w:rsidR="00FB26DC">
        <w:t>is</w:t>
      </w:r>
      <w:r>
        <w:t xml:space="preserve"> discussed further in </w:t>
      </w:r>
      <w:r w:rsidR="00F85FED" w:rsidRPr="00F85FED">
        <w:t>S</w:t>
      </w:r>
      <w:r w:rsidRPr="00F85FED">
        <w:t xml:space="preserve">ection </w:t>
      </w:r>
      <w:r w:rsidR="00EF3253" w:rsidRPr="00F85FED">
        <w:t>5.4.2.</w:t>
      </w:r>
    </w:p>
    <w:p w:rsidR="00EF6BA6" w:rsidRPr="00CF2212" w:rsidRDefault="00EF6BA6" w:rsidP="00CF2212">
      <w:pPr>
        <w:pStyle w:val="Heading2"/>
      </w:pPr>
      <w:bookmarkStart w:id="355" w:name="_Toc364945265"/>
      <w:r w:rsidRPr="00CF2212">
        <w:t xml:space="preserve">Strategic </w:t>
      </w:r>
      <w:r w:rsidR="0034013D" w:rsidRPr="00CF2212">
        <w:t xml:space="preserve">Objectives </w:t>
      </w:r>
      <w:r w:rsidRPr="00CF2212">
        <w:t xml:space="preserve">and </w:t>
      </w:r>
      <w:r w:rsidR="003E5B9F">
        <w:t>P</w:t>
      </w:r>
      <w:r w:rsidRPr="00CF2212">
        <w:t>riorities</w:t>
      </w:r>
      <w:bookmarkEnd w:id="355"/>
    </w:p>
    <w:p w:rsidR="009161AA" w:rsidRDefault="009161AA" w:rsidP="003E5B9F">
      <w:pPr>
        <w:pStyle w:val="StyleHeading3Heading3Char10ptBefore6pt"/>
      </w:pPr>
      <w:bookmarkStart w:id="356" w:name="_Toc364945266"/>
      <w:r>
        <w:t>Linkage to Council Plan, Goals and Objectives</w:t>
      </w:r>
      <w:bookmarkEnd w:id="356"/>
    </w:p>
    <w:p w:rsidR="0014050D" w:rsidRDefault="0014050D" w:rsidP="00A87921">
      <w:pPr>
        <w:ind w:left="720"/>
      </w:pPr>
      <w:r w:rsidRPr="00701BC2">
        <w:t>A Council Plan provides guidance to councillors, staff, community, State and Federal governments, and local service providers on how Council aims to respond to the opportunities and challenges facing the municipality over the next four years.</w:t>
      </w:r>
    </w:p>
    <w:p w:rsidR="003E5B9F" w:rsidRDefault="003E5B9F" w:rsidP="00A87921">
      <w:pPr>
        <w:ind w:left="720"/>
      </w:pPr>
    </w:p>
    <w:p w:rsidR="0014050D" w:rsidRDefault="003E5B9F" w:rsidP="00A87921">
      <w:pPr>
        <w:ind w:left="720"/>
      </w:pPr>
      <w:r>
        <w:t>The t</w:t>
      </w:r>
      <w:r w:rsidR="0014050D">
        <w:t>able below outlines the linkage betwee</w:t>
      </w:r>
      <w:r>
        <w:t>n strategic objectives and BAMP:</w:t>
      </w:r>
    </w:p>
    <w:p w:rsidR="0014050D" w:rsidRDefault="0014050D" w:rsidP="00A87921">
      <w:pPr>
        <w:ind w:left="720"/>
      </w:pPr>
    </w:p>
    <w:tbl>
      <w:tblP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19"/>
        <w:gridCol w:w="5350"/>
      </w:tblGrid>
      <w:tr w:rsidR="0014050D" w:rsidRPr="00A87921" w:rsidTr="003E5B9F">
        <w:trPr>
          <w:cantSplit/>
          <w:tblHeader/>
          <w:jc w:val="right"/>
        </w:trPr>
        <w:tc>
          <w:tcPr>
            <w:tcW w:w="3119" w:type="dxa"/>
            <w:shd w:val="clear" w:color="auto" w:fill="95B3D7" w:themeFill="accent1" w:themeFillTint="99"/>
          </w:tcPr>
          <w:p w:rsidR="0014050D" w:rsidRPr="00A87921" w:rsidRDefault="0014050D" w:rsidP="00A87921">
            <w:pPr>
              <w:spacing w:before="120" w:after="120"/>
              <w:jc w:val="left"/>
              <w:rPr>
                <w:b/>
              </w:rPr>
            </w:pPr>
            <w:r w:rsidRPr="00A87921">
              <w:rPr>
                <w:b/>
              </w:rPr>
              <w:t>Strategic Objectives</w:t>
            </w:r>
          </w:p>
        </w:tc>
        <w:tc>
          <w:tcPr>
            <w:tcW w:w="5350" w:type="dxa"/>
            <w:shd w:val="clear" w:color="auto" w:fill="95B3D7" w:themeFill="accent1" w:themeFillTint="99"/>
          </w:tcPr>
          <w:p w:rsidR="0014050D" w:rsidRPr="00A87921" w:rsidRDefault="0014050D" w:rsidP="00A87921">
            <w:pPr>
              <w:spacing w:before="120" w:after="120"/>
              <w:rPr>
                <w:b/>
              </w:rPr>
            </w:pPr>
            <w:r w:rsidRPr="00A87921">
              <w:rPr>
                <w:b/>
              </w:rPr>
              <w:t>BAMP Goals</w:t>
            </w:r>
          </w:p>
        </w:tc>
      </w:tr>
      <w:tr w:rsidR="0014050D" w:rsidRPr="00426FC4" w:rsidTr="00A87921">
        <w:trPr>
          <w:cantSplit/>
          <w:jc w:val="right"/>
        </w:trPr>
        <w:tc>
          <w:tcPr>
            <w:tcW w:w="3119" w:type="dxa"/>
          </w:tcPr>
          <w:p w:rsidR="0014050D" w:rsidRPr="00426FC4" w:rsidRDefault="0014050D" w:rsidP="00A87921">
            <w:pPr>
              <w:spacing w:before="120" w:after="120"/>
              <w:jc w:val="left"/>
            </w:pPr>
            <w:r w:rsidRPr="00A87921">
              <w:rPr>
                <w:u w:val="single"/>
              </w:rPr>
              <w:t>Objective 1:</w:t>
            </w:r>
            <w:r w:rsidR="00A87921">
              <w:br/>
            </w:r>
            <w:r>
              <w:t>Celebrating Yarra’s Uniqueness</w:t>
            </w:r>
          </w:p>
        </w:tc>
        <w:tc>
          <w:tcPr>
            <w:tcW w:w="5350" w:type="dxa"/>
          </w:tcPr>
          <w:p w:rsidR="0014050D" w:rsidRPr="00EF6696" w:rsidRDefault="00E27317" w:rsidP="00A87921">
            <w:pPr>
              <w:spacing w:before="120" w:after="120"/>
              <w:jc w:val="left"/>
            </w:pPr>
            <w:r w:rsidRPr="00EF6696">
              <w:t xml:space="preserve">Providing </w:t>
            </w:r>
            <w:r w:rsidR="0006389C" w:rsidRPr="00EF6696">
              <w:t>f</w:t>
            </w:r>
            <w:r w:rsidR="0014050D" w:rsidRPr="00EF6696">
              <w:t>acilities that</w:t>
            </w:r>
            <w:r w:rsidR="0006389C" w:rsidRPr="00EF6696">
              <w:t xml:space="preserve"> </w:t>
            </w:r>
            <w:r w:rsidR="0014050D" w:rsidRPr="00EF6696">
              <w:t xml:space="preserve">are </w:t>
            </w:r>
            <w:r w:rsidR="0006389C" w:rsidRPr="00EF6696">
              <w:t>flexible in d</w:t>
            </w:r>
            <w:r w:rsidR="0014050D" w:rsidRPr="00EF6696">
              <w:t xml:space="preserve">esign to cater for </w:t>
            </w:r>
            <w:r w:rsidR="0006389C" w:rsidRPr="00EF6696">
              <w:t>m</w:t>
            </w:r>
            <w:r w:rsidR="0014050D" w:rsidRPr="00EF6696">
              <w:t xml:space="preserve">ultipurpose use for our </w:t>
            </w:r>
            <w:r w:rsidR="0006389C" w:rsidRPr="00EF6696">
              <w:t>d</w:t>
            </w:r>
            <w:r w:rsidR="0014050D" w:rsidRPr="00EF6696">
              <w:t xml:space="preserve">iverse and </w:t>
            </w:r>
            <w:r w:rsidR="0006389C" w:rsidRPr="00EF6696">
              <w:t>d</w:t>
            </w:r>
            <w:r w:rsidR="0014050D" w:rsidRPr="00EF6696">
              <w:t xml:space="preserve">ynamic </w:t>
            </w:r>
            <w:r w:rsidR="0006389C" w:rsidRPr="00EF6696">
              <w:t>c</w:t>
            </w:r>
            <w:r w:rsidR="0014050D" w:rsidRPr="00EF6696">
              <w:t>ommunity.</w:t>
            </w:r>
          </w:p>
          <w:p w:rsidR="0014050D" w:rsidRPr="00EF6696" w:rsidRDefault="00EF6696" w:rsidP="00A87921">
            <w:pPr>
              <w:spacing w:before="120" w:after="120"/>
              <w:jc w:val="left"/>
            </w:pPr>
            <w:r w:rsidRPr="00EF6696">
              <w:t>Ensuring</w:t>
            </w:r>
            <w:r w:rsidR="0014050D" w:rsidRPr="00EF6696">
              <w:t xml:space="preserve"> Council’s assets are managed, planned for, acquired, used, maintained, renewed and replaced to meet the needs of current and future generations.</w:t>
            </w:r>
          </w:p>
          <w:p w:rsidR="0014050D" w:rsidRPr="00EF6696" w:rsidRDefault="00EF6696" w:rsidP="00A87921">
            <w:pPr>
              <w:spacing w:before="120" w:after="120"/>
              <w:jc w:val="left"/>
            </w:pPr>
            <w:r w:rsidRPr="00EF6696">
              <w:t>Increasing</w:t>
            </w:r>
            <w:r w:rsidR="0014050D" w:rsidRPr="00EF6696">
              <w:t xml:space="preserve"> opportunities to access recreational facilities and spaces.</w:t>
            </w:r>
          </w:p>
          <w:p w:rsidR="0014050D" w:rsidRPr="00EF6696" w:rsidRDefault="00EF6696" w:rsidP="00A87921">
            <w:pPr>
              <w:spacing w:before="120" w:after="120"/>
              <w:jc w:val="left"/>
            </w:pPr>
            <w:r w:rsidRPr="00EF6696">
              <w:t>Enhancing</w:t>
            </w:r>
            <w:r w:rsidR="0014050D" w:rsidRPr="00EF6696">
              <w:t xml:space="preserve"> access and inclusion to all aspects of community life for people of all abilities.</w:t>
            </w:r>
          </w:p>
          <w:p w:rsidR="0014050D" w:rsidRPr="00EF6696" w:rsidRDefault="00EF6696" w:rsidP="00A87921">
            <w:pPr>
              <w:spacing w:before="120" w:after="120"/>
              <w:jc w:val="left"/>
            </w:pPr>
            <w:r w:rsidRPr="00EF6696">
              <w:t>Improving</w:t>
            </w:r>
            <w:r w:rsidR="0014050D" w:rsidRPr="00EF6696">
              <w:t xml:space="preserve"> community facilities to support local services and community activity</w:t>
            </w:r>
            <w:r w:rsidR="00FB26DC">
              <w:t>.</w:t>
            </w:r>
          </w:p>
        </w:tc>
      </w:tr>
      <w:tr w:rsidR="0014050D" w:rsidRPr="00426FC4" w:rsidTr="00A87921">
        <w:trPr>
          <w:cantSplit/>
          <w:jc w:val="right"/>
        </w:trPr>
        <w:tc>
          <w:tcPr>
            <w:tcW w:w="3119" w:type="dxa"/>
          </w:tcPr>
          <w:p w:rsidR="0014050D" w:rsidRPr="00426FC4" w:rsidRDefault="0014050D" w:rsidP="00A87921">
            <w:pPr>
              <w:spacing w:before="120" w:after="120"/>
              <w:jc w:val="left"/>
            </w:pPr>
            <w:r w:rsidRPr="00A87921">
              <w:rPr>
                <w:u w:val="single"/>
              </w:rPr>
              <w:t>Objective 2:</w:t>
            </w:r>
            <w:r w:rsidR="00A87921" w:rsidRPr="00A87921">
              <w:rPr>
                <w:u w:val="single"/>
              </w:rPr>
              <w:br/>
            </w:r>
            <w:r>
              <w:t>Supporting</w:t>
            </w:r>
            <w:r w:rsidRPr="00426FC4">
              <w:t xml:space="preserve"> Yarra's Community</w:t>
            </w:r>
          </w:p>
        </w:tc>
        <w:tc>
          <w:tcPr>
            <w:tcW w:w="5350" w:type="dxa"/>
          </w:tcPr>
          <w:p w:rsidR="0014050D" w:rsidRPr="00EF6696" w:rsidRDefault="00EF6696" w:rsidP="00A87921">
            <w:pPr>
              <w:spacing w:before="120" w:after="120"/>
              <w:jc w:val="left"/>
            </w:pPr>
            <w:r w:rsidRPr="00EF6696">
              <w:t>Providing</w:t>
            </w:r>
            <w:r w:rsidR="0014050D" w:rsidRPr="00EF6696">
              <w:t xml:space="preserve"> </w:t>
            </w:r>
            <w:r w:rsidR="0006389C" w:rsidRPr="00EF6696">
              <w:t>s</w:t>
            </w:r>
            <w:r w:rsidR="0014050D" w:rsidRPr="00EF6696">
              <w:t xml:space="preserve">afe and </w:t>
            </w:r>
            <w:r w:rsidR="0006389C" w:rsidRPr="00EF6696">
              <w:t>accessible facilities for our c</w:t>
            </w:r>
            <w:r w:rsidR="0014050D" w:rsidRPr="00EF6696">
              <w:t xml:space="preserve">ommunity through </w:t>
            </w:r>
            <w:r w:rsidR="0006389C" w:rsidRPr="00EF6696">
              <w:t>c</w:t>
            </w:r>
            <w:r w:rsidR="0014050D" w:rsidRPr="00EF6696">
              <w:t xml:space="preserve">ompliance with </w:t>
            </w:r>
            <w:r w:rsidR="0006389C" w:rsidRPr="00EF6696">
              <w:t>l</w:t>
            </w:r>
            <w:r w:rsidR="0014050D" w:rsidRPr="00EF6696">
              <w:t>egislation.</w:t>
            </w:r>
          </w:p>
          <w:p w:rsidR="0014050D" w:rsidRPr="00EF6696" w:rsidRDefault="00EF6696" w:rsidP="00A87921">
            <w:pPr>
              <w:spacing w:before="120" w:after="120"/>
              <w:jc w:val="left"/>
            </w:pPr>
            <w:r w:rsidRPr="00EF6696">
              <w:t>Managing</w:t>
            </w:r>
            <w:r w:rsidR="0014050D" w:rsidRPr="00EF6696">
              <w:t xml:space="preserve"> our </w:t>
            </w:r>
            <w:r w:rsidR="0006389C" w:rsidRPr="00EF6696">
              <w:t>facilities using w</w:t>
            </w:r>
            <w:r w:rsidR="0014050D" w:rsidRPr="00EF6696">
              <w:t xml:space="preserve">hole of </w:t>
            </w:r>
            <w:r w:rsidR="0006389C" w:rsidRPr="00EF6696">
              <w:t>l</w:t>
            </w:r>
            <w:r w:rsidR="0014050D" w:rsidRPr="00EF6696">
              <w:t>ife approaches.</w:t>
            </w:r>
          </w:p>
          <w:p w:rsidR="0014050D" w:rsidRPr="00EF6696" w:rsidRDefault="00EF6696" w:rsidP="00A87921">
            <w:pPr>
              <w:spacing w:before="120" w:after="120"/>
              <w:jc w:val="left"/>
            </w:pPr>
            <w:r w:rsidRPr="00EF6696">
              <w:t>A</w:t>
            </w:r>
            <w:r w:rsidR="0006389C" w:rsidRPr="00EF6696">
              <w:t>pply</w:t>
            </w:r>
            <w:r w:rsidRPr="00EF6696">
              <w:t>ing</w:t>
            </w:r>
            <w:r w:rsidR="0006389C" w:rsidRPr="00EF6696">
              <w:t xml:space="preserve"> s</w:t>
            </w:r>
            <w:r w:rsidR="0014050D" w:rsidRPr="00EF6696">
              <w:t xml:space="preserve">mart </w:t>
            </w:r>
            <w:r w:rsidR="0006389C" w:rsidRPr="00EF6696">
              <w:t>m</w:t>
            </w:r>
            <w:r w:rsidR="0014050D" w:rsidRPr="00EF6696">
              <w:t xml:space="preserve">anagement </w:t>
            </w:r>
            <w:r w:rsidR="0006389C" w:rsidRPr="00EF6696">
              <w:t>techniques that provide capacity within our b</w:t>
            </w:r>
            <w:r w:rsidR="0014050D" w:rsidRPr="00EF6696">
              <w:t xml:space="preserve">uilding </w:t>
            </w:r>
            <w:r w:rsidR="0006389C" w:rsidRPr="00EF6696">
              <w:t>portfolio and caters for d</w:t>
            </w:r>
            <w:r w:rsidR="0014050D" w:rsidRPr="00EF6696">
              <w:t xml:space="preserve">emand in </w:t>
            </w:r>
            <w:r w:rsidR="0006389C" w:rsidRPr="00EF6696">
              <w:t>s</w:t>
            </w:r>
            <w:r w:rsidR="0014050D" w:rsidRPr="00EF6696">
              <w:t>ervices.</w:t>
            </w:r>
          </w:p>
        </w:tc>
      </w:tr>
      <w:tr w:rsidR="0014050D" w:rsidRPr="00426FC4" w:rsidTr="00A87921">
        <w:trPr>
          <w:cantSplit/>
          <w:jc w:val="right"/>
        </w:trPr>
        <w:tc>
          <w:tcPr>
            <w:tcW w:w="3119" w:type="dxa"/>
          </w:tcPr>
          <w:p w:rsidR="0014050D" w:rsidRPr="00426FC4" w:rsidRDefault="00A87921" w:rsidP="00A87921">
            <w:pPr>
              <w:spacing w:before="120" w:after="120"/>
              <w:jc w:val="left"/>
            </w:pPr>
            <w:r w:rsidRPr="00A87921">
              <w:rPr>
                <w:u w:val="single"/>
              </w:rPr>
              <w:t>Objective 3</w:t>
            </w:r>
            <w:r>
              <w:t>:</w:t>
            </w:r>
            <w:r>
              <w:br/>
            </w:r>
            <w:r w:rsidR="0014050D" w:rsidRPr="00426FC4">
              <w:t xml:space="preserve">Making Yarra more liveable </w:t>
            </w:r>
          </w:p>
        </w:tc>
        <w:tc>
          <w:tcPr>
            <w:tcW w:w="5350" w:type="dxa"/>
          </w:tcPr>
          <w:p w:rsidR="0014050D" w:rsidRPr="00EF6696" w:rsidRDefault="00EF6696" w:rsidP="00A87921">
            <w:pPr>
              <w:spacing w:before="120" w:after="120"/>
              <w:jc w:val="left"/>
            </w:pPr>
            <w:r w:rsidRPr="00EF6696">
              <w:t>Improving</w:t>
            </w:r>
            <w:r w:rsidR="0006389C" w:rsidRPr="00EF6696">
              <w:t xml:space="preserve"> the amenity and a</w:t>
            </w:r>
            <w:r w:rsidR="0014050D" w:rsidRPr="00EF6696">
              <w:t xml:space="preserve">mbience of our </w:t>
            </w:r>
            <w:r w:rsidR="0006389C" w:rsidRPr="00EF6696">
              <w:t>f</w:t>
            </w:r>
            <w:r w:rsidR="0014050D" w:rsidRPr="00EF6696">
              <w:t xml:space="preserve">acilities in keeping with our </w:t>
            </w:r>
            <w:r w:rsidR="0006389C" w:rsidRPr="00EF6696">
              <w:t>h</w:t>
            </w:r>
            <w:r w:rsidR="0014050D" w:rsidRPr="00EF6696">
              <w:t>eritage and ‘Inner City’ lifestyle.</w:t>
            </w:r>
          </w:p>
          <w:p w:rsidR="0014050D" w:rsidRPr="00EF6696" w:rsidRDefault="00EF6696" w:rsidP="00A87921">
            <w:pPr>
              <w:spacing w:before="120" w:after="120"/>
              <w:jc w:val="left"/>
            </w:pPr>
            <w:r w:rsidRPr="00EF6696">
              <w:t>Creating</w:t>
            </w:r>
            <w:r w:rsidR="0014050D" w:rsidRPr="00EF6696">
              <w:t xml:space="preserve"> community hubs including children’s services and facilities for parents and children.</w:t>
            </w:r>
          </w:p>
          <w:p w:rsidR="0014050D" w:rsidRPr="00EF6696" w:rsidRDefault="00EF6696" w:rsidP="00A87921">
            <w:pPr>
              <w:spacing w:before="120" w:after="120"/>
              <w:jc w:val="left"/>
            </w:pPr>
            <w:r w:rsidRPr="00EF6696">
              <w:t>Ensuring</w:t>
            </w:r>
            <w:r w:rsidR="0014050D" w:rsidRPr="00EF6696">
              <w:t xml:space="preserve"> that where possible future development of new or current facilities promotes multipurpose use.</w:t>
            </w:r>
          </w:p>
        </w:tc>
      </w:tr>
      <w:tr w:rsidR="0014050D" w:rsidRPr="00426FC4" w:rsidTr="00A87921">
        <w:trPr>
          <w:cantSplit/>
          <w:jc w:val="right"/>
        </w:trPr>
        <w:tc>
          <w:tcPr>
            <w:tcW w:w="3119" w:type="dxa"/>
          </w:tcPr>
          <w:p w:rsidR="0014050D" w:rsidRPr="00426FC4" w:rsidRDefault="00A87921" w:rsidP="00A87921">
            <w:pPr>
              <w:spacing w:before="120" w:after="120"/>
              <w:jc w:val="left"/>
            </w:pPr>
            <w:r w:rsidRPr="00A87921">
              <w:rPr>
                <w:u w:val="single"/>
              </w:rPr>
              <w:t>Objective 4:</w:t>
            </w:r>
            <w:r>
              <w:br/>
            </w:r>
            <w:r w:rsidR="0014050D" w:rsidRPr="00426FC4">
              <w:t>Ensuring a Sustainable Yarra</w:t>
            </w:r>
          </w:p>
        </w:tc>
        <w:tc>
          <w:tcPr>
            <w:tcW w:w="5350" w:type="dxa"/>
          </w:tcPr>
          <w:p w:rsidR="0014050D" w:rsidRDefault="0014050D" w:rsidP="00A87921">
            <w:pPr>
              <w:spacing w:before="120" w:after="120"/>
              <w:jc w:val="left"/>
            </w:pPr>
            <w:r w:rsidRPr="00426FC4">
              <w:t>Reducing our</w:t>
            </w:r>
            <w:r w:rsidR="00BC74AF">
              <w:t xml:space="preserve"> carbon f</w:t>
            </w:r>
            <w:r w:rsidRPr="00426FC4">
              <w:t xml:space="preserve">ootprint through the use of </w:t>
            </w:r>
            <w:r w:rsidR="00BC74AF">
              <w:t>i</w:t>
            </w:r>
            <w:r w:rsidRPr="00426FC4">
              <w:t xml:space="preserve">nnovative </w:t>
            </w:r>
            <w:r w:rsidR="00BC74AF">
              <w:t>t</w:t>
            </w:r>
            <w:r w:rsidRPr="00426FC4">
              <w:t xml:space="preserve">echnologies and application of </w:t>
            </w:r>
            <w:r w:rsidR="00BC74AF">
              <w:t>e</w:t>
            </w:r>
            <w:r w:rsidRPr="00426FC4">
              <w:t xml:space="preserve">fficient </w:t>
            </w:r>
            <w:r w:rsidR="00BC74AF">
              <w:t>t</w:t>
            </w:r>
            <w:r w:rsidRPr="00426FC4">
              <w:t>echniques.</w:t>
            </w:r>
          </w:p>
          <w:p w:rsidR="0014050D" w:rsidRPr="003F4F7F" w:rsidRDefault="00EF6696" w:rsidP="00A87921">
            <w:pPr>
              <w:spacing w:before="120" w:after="120"/>
              <w:jc w:val="left"/>
            </w:pPr>
            <w:r>
              <w:t>Promoting</w:t>
            </w:r>
            <w:r w:rsidR="0014050D" w:rsidRPr="003F4F7F">
              <w:t xml:space="preserve"> Yarra as a leader in environmental programs includin</w:t>
            </w:r>
            <w:r w:rsidR="0014050D">
              <w:t>g responding to climate change.</w:t>
            </w:r>
          </w:p>
          <w:p w:rsidR="0014050D" w:rsidRPr="00426FC4" w:rsidRDefault="00EF6696" w:rsidP="00A87921">
            <w:pPr>
              <w:spacing w:before="120" w:after="120"/>
              <w:jc w:val="left"/>
            </w:pPr>
            <w:r>
              <w:t>Reducing</w:t>
            </w:r>
            <w:r w:rsidR="0014050D" w:rsidRPr="003F4F7F">
              <w:t xml:space="preserve"> Yarra’s negative environmental impacts, with a focus o</w:t>
            </w:r>
            <w:r w:rsidR="0014050D">
              <w:t>n maximising early improvements.</w:t>
            </w:r>
          </w:p>
        </w:tc>
      </w:tr>
      <w:tr w:rsidR="00DB6173" w:rsidRPr="007C0D43" w:rsidTr="00A87921">
        <w:trPr>
          <w:cantSplit/>
          <w:jc w:val="right"/>
        </w:trPr>
        <w:tc>
          <w:tcPr>
            <w:tcW w:w="3119" w:type="dxa"/>
            <w:tcBorders>
              <w:bottom w:val="single" w:sz="4" w:space="0" w:color="auto"/>
            </w:tcBorders>
          </w:tcPr>
          <w:p w:rsidR="00DB6173" w:rsidRPr="00DB6173" w:rsidRDefault="00A87921" w:rsidP="00A87921">
            <w:pPr>
              <w:spacing w:before="120" w:after="120"/>
              <w:jc w:val="left"/>
            </w:pPr>
            <w:r w:rsidRPr="00A87921">
              <w:rPr>
                <w:u w:val="single"/>
              </w:rPr>
              <w:t>Objective 5</w:t>
            </w:r>
            <w:r>
              <w:t>:</w:t>
            </w:r>
            <w:r>
              <w:br/>
            </w:r>
            <w:r w:rsidR="00DB6173" w:rsidRPr="00DB6173">
              <w:t>Leading local government</w:t>
            </w:r>
          </w:p>
        </w:tc>
        <w:tc>
          <w:tcPr>
            <w:tcW w:w="5350" w:type="dxa"/>
            <w:tcBorders>
              <w:bottom w:val="single" w:sz="4" w:space="0" w:color="auto"/>
            </w:tcBorders>
          </w:tcPr>
          <w:p w:rsidR="00DB6173" w:rsidRPr="00DB6173" w:rsidRDefault="00DB6173" w:rsidP="00A87921">
            <w:pPr>
              <w:spacing w:before="120" w:after="120"/>
            </w:pPr>
            <w:r>
              <w:t>A</w:t>
            </w:r>
            <w:r w:rsidRPr="00DB6173">
              <w:t>pply</w:t>
            </w:r>
            <w:r>
              <w:t>ing</w:t>
            </w:r>
            <w:r w:rsidRPr="00DB6173">
              <w:t xml:space="preserve"> management techniques that provides capacity within our building portfolio and caters for demand in services.</w:t>
            </w:r>
          </w:p>
          <w:p w:rsidR="00DB6173" w:rsidRPr="00DB6173" w:rsidRDefault="00DB6173" w:rsidP="00A87921">
            <w:pPr>
              <w:spacing w:before="120" w:after="120"/>
            </w:pPr>
            <w:r>
              <w:t>Managing</w:t>
            </w:r>
            <w:r w:rsidRPr="00DB6173">
              <w:t xml:space="preserve"> our buildings using whole of life approaches.</w:t>
            </w:r>
          </w:p>
        </w:tc>
      </w:tr>
    </w:tbl>
    <w:p w:rsidR="003E5B9F" w:rsidRPr="0024611A" w:rsidRDefault="003E5B9F" w:rsidP="00FB2B94">
      <w:pPr>
        <w:pStyle w:val="Caption"/>
        <w:spacing w:before="240" w:after="240"/>
        <w:ind w:left="720"/>
        <w:jc w:val="center"/>
        <w:rPr>
          <w:rFonts w:ascii="Arial" w:hAnsi="Arial"/>
          <w:i w:val="0"/>
          <w:iCs w:val="0"/>
          <w:sz w:val="20"/>
          <w:lang w:val="en-AU"/>
        </w:rPr>
      </w:pPr>
      <w:bookmarkStart w:id="357" w:name="_Toc364945430"/>
      <w:r w:rsidRPr="0024611A">
        <w:rPr>
          <w:rFonts w:ascii="Arial" w:hAnsi="Arial"/>
          <w:i w:val="0"/>
          <w:iCs w:val="0"/>
          <w:sz w:val="20"/>
          <w:lang w:val="en-AU"/>
        </w:rPr>
        <w:t xml:space="preserve">Table </w:t>
      </w:r>
      <w:r w:rsidR="0090414C" w:rsidRPr="0024611A">
        <w:rPr>
          <w:rFonts w:ascii="Arial" w:hAnsi="Arial"/>
          <w:i w:val="0"/>
          <w:iCs w:val="0"/>
          <w:sz w:val="20"/>
          <w:lang w:val="en-AU"/>
        </w:rPr>
        <w:fldChar w:fldCharType="begin"/>
      </w:r>
      <w:r w:rsidRPr="0024611A">
        <w:rPr>
          <w:rFonts w:ascii="Arial" w:hAnsi="Arial"/>
          <w:i w:val="0"/>
          <w:iCs w:val="0"/>
          <w:sz w:val="20"/>
          <w:lang w:val="en-AU"/>
        </w:rPr>
        <w:instrText xml:space="preserve"> SEQ Table \* ARABIC </w:instrText>
      </w:r>
      <w:r w:rsidR="0090414C" w:rsidRPr="0024611A">
        <w:rPr>
          <w:rFonts w:ascii="Arial" w:hAnsi="Arial"/>
          <w:i w:val="0"/>
          <w:iCs w:val="0"/>
          <w:sz w:val="20"/>
          <w:lang w:val="en-AU"/>
        </w:rPr>
        <w:fldChar w:fldCharType="separate"/>
      </w:r>
      <w:r w:rsidR="00751CEC">
        <w:rPr>
          <w:rFonts w:ascii="Arial" w:hAnsi="Arial"/>
          <w:i w:val="0"/>
          <w:iCs w:val="0"/>
          <w:noProof/>
          <w:sz w:val="20"/>
          <w:lang w:val="en-AU"/>
        </w:rPr>
        <w:t>26</w:t>
      </w:r>
      <w:r w:rsidR="0090414C" w:rsidRPr="0024611A">
        <w:rPr>
          <w:rFonts w:ascii="Arial" w:hAnsi="Arial"/>
          <w:i w:val="0"/>
          <w:iCs w:val="0"/>
          <w:sz w:val="20"/>
          <w:lang w:val="en-AU"/>
        </w:rPr>
        <w:fldChar w:fldCharType="end"/>
      </w:r>
      <w:r w:rsidRPr="0024611A">
        <w:rPr>
          <w:rFonts w:ascii="Arial" w:hAnsi="Arial"/>
          <w:i w:val="0"/>
          <w:iCs w:val="0"/>
          <w:sz w:val="20"/>
          <w:lang w:val="en-AU"/>
        </w:rPr>
        <w:t>:  Link between Strategic Objectives and Building Assets Management Plan</w:t>
      </w:r>
      <w:bookmarkEnd w:id="357"/>
    </w:p>
    <w:p w:rsidR="009161AA" w:rsidRDefault="009161AA" w:rsidP="0086416F">
      <w:pPr>
        <w:ind w:left="720"/>
      </w:pPr>
      <w:r w:rsidRPr="00DE2A09">
        <w:t>This BAMP has been developed in accordance with adopted Council Policies, Strategies and master plans. It has also been influenced by other corporate strategies and goals, operational and strategic reviews, legislative requirements and agreed levels of service. During the development of the BAMP staff have considered:</w:t>
      </w:r>
      <w:r w:rsidR="0086416F">
        <w:t>’</w:t>
      </w:r>
    </w:p>
    <w:p w:rsidR="0086416F" w:rsidRPr="00DE2A09" w:rsidRDefault="0086416F" w:rsidP="0086416F">
      <w:pPr>
        <w:ind w:left="720"/>
      </w:pPr>
    </w:p>
    <w:p w:rsidR="009161AA" w:rsidRPr="0086416F" w:rsidRDefault="009161AA" w:rsidP="008348B5">
      <w:pPr>
        <w:pStyle w:val="ListParagraph"/>
        <w:numPr>
          <w:ilvl w:val="0"/>
          <w:numId w:val="65"/>
        </w:numPr>
        <w:rPr>
          <w:rFonts w:ascii="Arial" w:hAnsi="Arial" w:cs="Arial"/>
          <w:sz w:val="20"/>
        </w:rPr>
      </w:pPr>
      <w:r w:rsidRPr="0086416F">
        <w:rPr>
          <w:rFonts w:ascii="Arial" w:hAnsi="Arial" w:cs="Arial"/>
          <w:sz w:val="20"/>
        </w:rPr>
        <w:t>Current available financial knowledge, including Council’s 10 year financial plan;</w:t>
      </w:r>
    </w:p>
    <w:p w:rsidR="009161AA" w:rsidRPr="0086416F" w:rsidRDefault="009161AA" w:rsidP="008348B5">
      <w:pPr>
        <w:pStyle w:val="ListParagraph"/>
        <w:numPr>
          <w:ilvl w:val="0"/>
          <w:numId w:val="65"/>
        </w:numPr>
        <w:rPr>
          <w:rFonts w:ascii="Arial" w:hAnsi="Arial" w:cs="Arial"/>
          <w:sz w:val="20"/>
        </w:rPr>
      </w:pPr>
      <w:r w:rsidRPr="0086416F">
        <w:rPr>
          <w:rFonts w:ascii="Arial" w:hAnsi="Arial" w:cs="Arial"/>
          <w:sz w:val="20"/>
        </w:rPr>
        <w:t>Inspection reports of the building assets and results of condition assessments conducted by Council Buildings and Property Branch staff and external contractors;</w:t>
      </w:r>
    </w:p>
    <w:p w:rsidR="009161AA" w:rsidRPr="0086416F" w:rsidRDefault="009161AA" w:rsidP="008348B5">
      <w:pPr>
        <w:pStyle w:val="ListParagraph"/>
        <w:numPr>
          <w:ilvl w:val="0"/>
          <w:numId w:val="65"/>
        </w:numPr>
        <w:rPr>
          <w:rFonts w:ascii="Arial" w:hAnsi="Arial" w:cs="Arial"/>
          <w:sz w:val="20"/>
        </w:rPr>
      </w:pPr>
      <w:r w:rsidRPr="0086416F">
        <w:rPr>
          <w:rFonts w:ascii="Arial" w:hAnsi="Arial" w:cs="Arial"/>
          <w:sz w:val="20"/>
        </w:rPr>
        <w:t>Results of independent specialist audit reports specific to structural integrity, disability access (DDA), essential services BCA, and asbestos;</w:t>
      </w:r>
    </w:p>
    <w:p w:rsidR="009161AA" w:rsidRPr="0086416F" w:rsidRDefault="009161AA" w:rsidP="008348B5">
      <w:pPr>
        <w:pStyle w:val="ListParagraph"/>
        <w:numPr>
          <w:ilvl w:val="0"/>
          <w:numId w:val="65"/>
        </w:numPr>
        <w:rPr>
          <w:rFonts w:ascii="Arial" w:hAnsi="Arial" w:cs="Arial"/>
          <w:sz w:val="20"/>
        </w:rPr>
      </w:pPr>
      <w:r w:rsidRPr="0086416F">
        <w:rPr>
          <w:rFonts w:ascii="Arial" w:hAnsi="Arial" w:cs="Arial"/>
          <w:sz w:val="20"/>
        </w:rPr>
        <w:t>Requirements of external bodies such as Department Of Human Services; and</w:t>
      </w:r>
    </w:p>
    <w:p w:rsidR="009161AA" w:rsidRPr="0086416F" w:rsidRDefault="009161AA" w:rsidP="008348B5">
      <w:pPr>
        <w:pStyle w:val="ListParagraph"/>
        <w:numPr>
          <w:ilvl w:val="0"/>
          <w:numId w:val="65"/>
        </w:numPr>
        <w:rPr>
          <w:rFonts w:ascii="Arial" w:hAnsi="Arial" w:cs="Arial"/>
          <w:sz w:val="20"/>
        </w:rPr>
      </w:pPr>
      <w:r w:rsidRPr="0086416F">
        <w:rPr>
          <w:rFonts w:ascii="Arial" w:hAnsi="Arial" w:cs="Arial"/>
          <w:sz w:val="20"/>
        </w:rPr>
        <w:t>Results of the development of levels of service and requests by service managers; and</w:t>
      </w:r>
    </w:p>
    <w:p w:rsidR="009161AA" w:rsidRPr="0086416F" w:rsidRDefault="009161AA" w:rsidP="008348B5">
      <w:pPr>
        <w:pStyle w:val="ListParagraph"/>
        <w:numPr>
          <w:ilvl w:val="0"/>
          <w:numId w:val="65"/>
        </w:numPr>
        <w:rPr>
          <w:rFonts w:ascii="Arial" w:hAnsi="Arial" w:cs="Arial"/>
          <w:sz w:val="20"/>
        </w:rPr>
      </w:pPr>
      <w:r w:rsidRPr="0086416F">
        <w:rPr>
          <w:rFonts w:ascii="Arial" w:hAnsi="Arial" w:cs="Arial"/>
          <w:sz w:val="20"/>
        </w:rPr>
        <w:t>Current community survey results and the Council Plan.</w:t>
      </w:r>
    </w:p>
    <w:p w:rsidR="0086416F" w:rsidRDefault="0086416F" w:rsidP="0086416F">
      <w:pPr>
        <w:ind w:left="720"/>
      </w:pPr>
    </w:p>
    <w:p w:rsidR="009161AA" w:rsidRPr="00DE2A09" w:rsidRDefault="009161AA" w:rsidP="0086416F">
      <w:pPr>
        <w:ind w:left="720"/>
      </w:pPr>
      <w:r w:rsidRPr="00DE2A09">
        <w:t>The BAMP also considers the outcomes and recommendations of previous and current master plans and studies that may have impacts on building asset management. Council policies, strategies and frameworks, State and Federal Government publications and industry standards also have a direct impact on this BAMP. Building works are undertaken with regards to all plans, strategi</w:t>
      </w:r>
      <w:r w:rsidR="00E27317">
        <w:t>es, legislation, regulations and codes.</w:t>
      </w:r>
    </w:p>
    <w:p w:rsidR="009161AA" w:rsidRDefault="009161AA" w:rsidP="003E5B9F">
      <w:pPr>
        <w:pStyle w:val="StyleHeading3Heading3Char10ptBefore6pt"/>
      </w:pPr>
      <w:bookmarkStart w:id="358" w:name="_Toc346740114"/>
      <w:bookmarkStart w:id="359" w:name="_Toc364945267"/>
      <w:r>
        <w:t>Municipal Wide Infrastructure Plan 2009-2013</w:t>
      </w:r>
      <w:bookmarkEnd w:id="358"/>
      <w:bookmarkEnd w:id="359"/>
    </w:p>
    <w:p w:rsidR="009161AA" w:rsidRDefault="009161AA" w:rsidP="0086416F">
      <w:pPr>
        <w:ind w:left="720"/>
      </w:pPr>
      <w:r w:rsidRPr="00DE2A09">
        <w:t>The Municipal Wide Infrastructure Plan 2009 – 2013 outlines the types of services available to families and children in Yarra, including maternal and child health, child care and kindergarten programs and any pressures these services are experiencing, or will experience in the future because of demographic changes and population growth and changes being experienced as a result of State and Federal Government reforms.</w:t>
      </w:r>
    </w:p>
    <w:p w:rsidR="0086416F" w:rsidRPr="00DE2A09" w:rsidRDefault="0086416F" w:rsidP="0086416F">
      <w:pPr>
        <w:ind w:left="720"/>
      </w:pPr>
    </w:p>
    <w:p w:rsidR="009161AA" w:rsidRPr="00DE2A09" w:rsidRDefault="009161AA" w:rsidP="0086416F">
      <w:pPr>
        <w:ind w:left="720"/>
      </w:pPr>
      <w:r w:rsidRPr="00DE2A09">
        <w:t>The Plan looks into the viabilities and capacity of the services and the facilities providing those services and identifies the need to develop high quality services and service models in contemporary purpose designed buildings which incorporate principles of environmental sustainability in new buildings and upgrades. </w:t>
      </w:r>
    </w:p>
    <w:p w:rsidR="009161AA" w:rsidRPr="00522071" w:rsidRDefault="009161AA" w:rsidP="003E5B9F">
      <w:pPr>
        <w:pStyle w:val="StyleHeading3Heading3Char10ptBefore6pt"/>
      </w:pPr>
      <w:bookmarkStart w:id="360" w:name="_Toc346740115"/>
      <w:bookmarkStart w:id="361" w:name="_Toc364945268"/>
      <w:r w:rsidRPr="00522071">
        <w:t>Yar</w:t>
      </w:r>
      <w:r w:rsidR="00237E04" w:rsidRPr="00522071">
        <w:t>ra Libraries Strategic Plan 2013</w:t>
      </w:r>
      <w:r w:rsidRPr="00522071">
        <w:t>-2016</w:t>
      </w:r>
      <w:bookmarkEnd w:id="360"/>
      <w:bookmarkEnd w:id="361"/>
    </w:p>
    <w:p w:rsidR="009161AA" w:rsidRDefault="009161AA" w:rsidP="0086416F">
      <w:pPr>
        <w:ind w:left="720"/>
      </w:pPr>
      <w:r w:rsidRPr="00DE2A09">
        <w:t>The Yarra Libraries Plan 2013-2016 gives context and direction to the development and implementation of Council’s public library services.  The Plan will guide services, collections and programs of Yarra Libraries over the next four year period. Each year, through Council’s annual service planning process, an action plan will be developed to ensure Yarra Libraries aspires to lead, investigate, inspire and meet the needs of the community now and into the future.</w:t>
      </w:r>
    </w:p>
    <w:p w:rsidR="0086416F" w:rsidRPr="00DE2A09" w:rsidRDefault="0086416F" w:rsidP="0086416F">
      <w:pPr>
        <w:ind w:left="720"/>
      </w:pPr>
    </w:p>
    <w:p w:rsidR="009161AA" w:rsidRPr="000963BF" w:rsidRDefault="009161AA" w:rsidP="0086416F">
      <w:pPr>
        <w:ind w:left="720"/>
      </w:pPr>
      <w:r w:rsidRPr="00DE2A09">
        <w:t>One of the goals in the Plan is to create inviting spaces through the provision of well designed, welcoming and comfortable branch libraries, with spaces that adapt to a range of group and quiet activities. Meeting this goal objective will have significant implication on capital budget allocation and the management of the library facilities</w:t>
      </w:r>
      <w:r w:rsidRPr="000963BF">
        <w:t>. </w:t>
      </w:r>
    </w:p>
    <w:p w:rsidR="009161AA" w:rsidRPr="00522071" w:rsidRDefault="009161AA" w:rsidP="003E5B9F">
      <w:pPr>
        <w:pStyle w:val="StyleHeading3Heading3Char10ptBefore6pt"/>
      </w:pPr>
      <w:bookmarkStart w:id="362" w:name="_Toc346740116"/>
      <w:bookmarkStart w:id="363" w:name="_Toc364945269"/>
      <w:r w:rsidRPr="00522071">
        <w:t>Yarra Sports Strategy 2008-2012</w:t>
      </w:r>
      <w:bookmarkEnd w:id="362"/>
      <w:bookmarkEnd w:id="363"/>
    </w:p>
    <w:p w:rsidR="009161AA" w:rsidRDefault="009161AA" w:rsidP="0086416F">
      <w:pPr>
        <w:ind w:left="720"/>
      </w:pPr>
      <w:r w:rsidRPr="00DE2A09">
        <w:t xml:space="preserve">Council wants more people in Yarra to enjoy getting active and participating in sport and exercise. To achieve this there needs to be appropriate facilities, programs and services available for all sections of the community. </w:t>
      </w:r>
    </w:p>
    <w:p w:rsidR="0086416F" w:rsidRPr="00DE2A09" w:rsidRDefault="0086416F" w:rsidP="0086416F">
      <w:pPr>
        <w:ind w:left="720"/>
      </w:pPr>
    </w:p>
    <w:p w:rsidR="009161AA" w:rsidRDefault="009161AA" w:rsidP="0086416F">
      <w:pPr>
        <w:ind w:left="720"/>
      </w:pPr>
      <w:r w:rsidRPr="00DE2A09">
        <w:t>The Yarra Sports Strategy seeks to identify existing demand for sport in Yarra and current gaps and surpluses in the provision of sporting facilities and opportunities. The Strategy addresses issues such as equity and accessibility to local sporting facilities and activities.</w:t>
      </w:r>
    </w:p>
    <w:p w:rsidR="0086416F" w:rsidRPr="00DE2A09" w:rsidRDefault="0086416F" w:rsidP="0086416F">
      <w:pPr>
        <w:ind w:left="720"/>
      </w:pPr>
    </w:p>
    <w:p w:rsidR="009161AA" w:rsidRPr="00DE2A09" w:rsidRDefault="009161AA" w:rsidP="0086416F">
      <w:pPr>
        <w:ind w:left="720"/>
      </w:pPr>
      <w:r w:rsidRPr="00DE2A09">
        <w:t>The Strategy incorporates a ten year capital plan for the improvement of Council’s sports facilities, grounds and related infrastructure based on the assessment of their condition, functionality and the</w:t>
      </w:r>
      <w:r w:rsidR="00DE2A09">
        <w:t xml:space="preserve"> accessibilities to the public.</w:t>
      </w:r>
    </w:p>
    <w:p w:rsidR="009161AA" w:rsidRPr="00522071" w:rsidRDefault="007612EB" w:rsidP="003E5B9F">
      <w:pPr>
        <w:pStyle w:val="StyleHeading3Heading3Char10ptBefore6pt"/>
      </w:pPr>
      <w:bookmarkStart w:id="364" w:name="_Toc346740117"/>
      <w:bookmarkStart w:id="365" w:name="_Toc364945270"/>
      <w:r w:rsidRPr="00522071">
        <w:t>“</w:t>
      </w:r>
      <w:r w:rsidR="009161AA" w:rsidRPr="00522071">
        <w:t>Difference is Mor</w:t>
      </w:r>
      <w:r w:rsidRPr="00522071">
        <w:t>e”</w:t>
      </w:r>
      <w:r w:rsidR="009161AA" w:rsidRPr="00522071">
        <w:t xml:space="preserve"> Disability Action Plan 2010-2013</w:t>
      </w:r>
      <w:bookmarkEnd w:id="364"/>
      <w:bookmarkEnd w:id="365"/>
    </w:p>
    <w:p w:rsidR="009161AA" w:rsidRDefault="009161AA" w:rsidP="0086416F">
      <w:pPr>
        <w:ind w:left="720"/>
      </w:pPr>
      <w:r w:rsidRPr="00DE2A09">
        <w:t>Council aims to achieve greater participation and inclusion of all people with disabilities in all aspects of life and promote respect and dignity to people with a disability by creating a fair and equitable society where the experience of social and political inclusion is a reality.</w:t>
      </w:r>
    </w:p>
    <w:p w:rsidR="00430953" w:rsidRPr="00DE2A09" w:rsidRDefault="00430953" w:rsidP="0086416F">
      <w:pPr>
        <w:ind w:left="720"/>
      </w:pPr>
    </w:p>
    <w:p w:rsidR="00852378" w:rsidRDefault="009161AA" w:rsidP="0086416F">
      <w:pPr>
        <w:ind w:left="720"/>
      </w:pPr>
      <w:r w:rsidRPr="00DE2A09">
        <w:t>One of the key result areas in the Disability Action Plan requires improvement in physical a</w:t>
      </w:r>
      <w:r w:rsidR="00A851E1">
        <w:t>ccess to the built environment - public</w:t>
      </w:r>
      <w:r w:rsidRPr="00DE2A09">
        <w:t xml:space="preserve"> buildings</w:t>
      </w:r>
      <w:r w:rsidR="00A851E1">
        <w:t xml:space="preserve"> (</w:t>
      </w:r>
      <w:r w:rsidRPr="00DE2A09">
        <w:t xml:space="preserve"> and where possible private), parks, open spaces, signage, roads and footpaths.</w:t>
      </w:r>
    </w:p>
    <w:p w:rsidR="009161AA" w:rsidRPr="00DE2A09" w:rsidRDefault="009161AA" w:rsidP="0086416F">
      <w:pPr>
        <w:ind w:left="720"/>
      </w:pPr>
      <w:r w:rsidRPr="00DE2A09">
        <w:t xml:space="preserve"> </w:t>
      </w:r>
    </w:p>
    <w:p w:rsidR="009161AA" w:rsidRPr="00DE2A09" w:rsidRDefault="00E27317" w:rsidP="0086416F">
      <w:pPr>
        <w:ind w:left="720"/>
      </w:pPr>
      <w:r>
        <w:t>“</w:t>
      </w:r>
      <w:r w:rsidR="009161AA" w:rsidRPr="00DE2A09">
        <w:t>All ne</w:t>
      </w:r>
      <w:r w:rsidR="00A851E1">
        <w:t>w Capital Works projects for up</w:t>
      </w:r>
      <w:r>
        <w:t xml:space="preserve">grades and new works, </w:t>
      </w:r>
      <w:r w:rsidR="009161AA" w:rsidRPr="00DE2A09">
        <w:t>including buildings</w:t>
      </w:r>
      <w:r>
        <w:t>, are</w:t>
      </w:r>
      <w:r w:rsidR="009161AA" w:rsidRPr="00DE2A09">
        <w:t xml:space="preserve"> to include work elements that will lead to impro</w:t>
      </w:r>
      <w:r>
        <w:t>ved accessibility”</w:t>
      </w:r>
      <w:r w:rsidR="00DE2A09">
        <w:t>.</w:t>
      </w:r>
    </w:p>
    <w:p w:rsidR="009161AA" w:rsidRPr="00522071" w:rsidRDefault="009161AA" w:rsidP="003E5B9F">
      <w:pPr>
        <w:pStyle w:val="StyleHeading3Heading3Char10ptBefore6pt"/>
      </w:pPr>
      <w:bookmarkStart w:id="366" w:name="_Toc346740118"/>
      <w:bookmarkStart w:id="367" w:name="_Toc364945271"/>
      <w:r w:rsidRPr="00522071">
        <w:t>Carbon Neutral Action Plan 2010-2015</w:t>
      </w:r>
      <w:bookmarkEnd w:id="366"/>
      <w:bookmarkEnd w:id="367"/>
    </w:p>
    <w:p w:rsidR="009161AA" w:rsidRDefault="009161AA" w:rsidP="0086416F">
      <w:pPr>
        <w:ind w:left="720"/>
      </w:pPr>
      <w:r w:rsidRPr="00DE2A09">
        <w:t>Council has a strong commitment to environmental sustainability and to reducing greenhouse gas emissions and has set the goal to become a Carbon Neutral Municipality by 2020. This Carbon Neutral Action Plan provides a strategic approach whilst also setting the key actions and implementation strategy for Council to achieve the above objective.</w:t>
      </w:r>
    </w:p>
    <w:p w:rsidR="00430953" w:rsidRPr="00DE2A09" w:rsidRDefault="00430953" w:rsidP="0086416F">
      <w:pPr>
        <w:ind w:left="720"/>
      </w:pPr>
    </w:p>
    <w:p w:rsidR="009161AA" w:rsidRDefault="009161AA" w:rsidP="0086416F">
      <w:pPr>
        <w:ind w:left="720"/>
      </w:pPr>
      <w:r w:rsidRPr="00DE2A09">
        <w:t>A strategy that relates to building management focus on the adaptive assets program to retrofit Council building assets; introduce addi</w:t>
      </w:r>
      <w:r w:rsidR="0086416F">
        <w:t>tional sustainability component</w:t>
      </w:r>
      <w:r w:rsidRPr="00DE2A09">
        <w:t xml:space="preserve">s of new council buildings; and investment in the </w:t>
      </w:r>
      <w:r w:rsidR="0086416F">
        <w:t>generation of renewable energy.</w:t>
      </w:r>
    </w:p>
    <w:p w:rsidR="0086416F" w:rsidRPr="00DE2A09" w:rsidRDefault="0086416F" w:rsidP="0086416F">
      <w:pPr>
        <w:ind w:left="720"/>
      </w:pPr>
    </w:p>
    <w:p w:rsidR="00EF6BA6" w:rsidRPr="0086416F" w:rsidRDefault="00EF6BA6" w:rsidP="008348B5">
      <w:pPr>
        <w:pStyle w:val="ListParagraph"/>
        <w:numPr>
          <w:ilvl w:val="0"/>
          <w:numId w:val="66"/>
        </w:numPr>
        <w:ind w:left="1080"/>
        <w:rPr>
          <w:rFonts w:ascii="Arial" w:hAnsi="Arial" w:cs="Arial"/>
          <w:sz w:val="20"/>
        </w:rPr>
      </w:pPr>
      <w:r w:rsidRPr="0086416F">
        <w:rPr>
          <w:rFonts w:ascii="Arial" w:hAnsi="Arial" w:cs="Arial"/>
          <w:sz w:val="20"/>
        </w:rPr>
        <w:t>Identify relevant goals established in the council</w:t>
      </w:r>
      <w:r w:rsidR="002D4917">
        <w:rPr>
          <w:rFonts w:ascii="Arial" w:hAnsi="Arial" w:cs="Arial"/>
          <w:sz w:val="20"/>
        </w:rPr>
        <w:t>’</w:t>
      </w:r>
      <w:r w:rsidRPr="0086416F">
        <w:rPr>
          <w:rFonts w:ascii="Arial" w:hAnsi="Arial" w:cs="Arial"/>
          <w:sz w:val="20"/>
        </w:rPr>
        <w:t>s and department’s business plan relevant to this plan.</w:t>
      </w:r>
    </w:p>
    <w:p w:rsidR="00E96F28" w:rsidRPr="0086416F" w:rsidRDefault="00EF6BA6" w:rsidP="008348B5">
      <w:pPr>
        <w:pStyle w:val="ListParagraph"/>
        <w:numPr>
          <w:ilvl w:val="0"/>
          <w:numId w:val="66"/>
        </w:numPr>
        <w:ind w:left="1080"/>
        <w:rPr>
          <w:rFonts w:ascii="Arial" w:hAnsi="Arial" w:cs="Arial"/>
          <w:sz w:val="20"/>
        </w:rPr>
      </w:pPr>
      <w:r w:rsidRPr="0086416F">
        <w:rPr>
          <w:rFonts w:ascii="Arial" w:hAnsi="Arial" w:cs="Arial"/>
          <w:sz w:val="20"/>
        </w:rPr>
        <w:t>Identify asset related actions that will be undertaken to achieve these goals</w:t>
      </w:r>
    </w:p>
    <w:p w:rsidR="00EF6BA6" w:rsidRPr="0086416F" w:rsidRDefault="00EF6BA6" w:rsidP="008348B5">
      <w:pPr>
        <w:pStyle w:val="ListParagraph"/>
        <w:numPr>
          <w:ilvl w:val="0"/>
          <w:numId w:val="66"/>
        </w:numPr>
        <w:ind w:left="1080"/>
        <w:rPr>
          <w:rFonts w:ascii="Arial" w:hAnsi="Arial" w:cs="Arial"/>
          <w:sz w:val="20"/>
        </w:rPr>
      </w:pPr>
      <w:r w:rsidRPr="0086416F">
        <w:rPr>
          <w:rFonts w:ascii="Arial" w:hAnsi="Arial" w:cs="Arial"/>
          <w:sz w:val="20"/>
        </w:rPr>
        <w:t>Identify how key performance indicators have been developed and linked to Council Plan outcomes and the service provided.</w:t>
      </w:r>
    </w:p>
    <w:p w:rsidR="00E96F28" w:rsidRPr="00CF2212" w:rsidRDefault="002073E0" w:rsidP="009A7487">
      <w:pPr>
        <w:pStyle w:val="Heading2"/>
        <w:keepLines/>
      </w:pPr>
      <w:bookmarkStart w:id="368" w:name="_Toc287273296"/>
      <w:bookmarkStart w:id="369" w:name="_Toc287273393"/>
      <w:bookmarkStart w:id="370" w:name="_Toc287273490"/>
      <w:bookmarkStart w:id="371" w:name="_Toc287273297"/>
      <w:bookmarkStart w:id="372" w:name="_Toc287273394"/>
      <w:bookmarkStart w:id="373" w:name="_Toc287273491"/>
      <w:bookmarkStart w:id="374" w:name="_Toc287273298"/>
      <w:bookmarkStart w:id="375" w:name="_Toc287273395"/>
      <w:bookmarkStart w:id="376" w:name="_Toc287273492"/>
      <w:bookmarkStart w:id="377" w:name="_Toc287273299"/>
      <w:bookmarkStart w:id="378" w:name="_Toc287273396"/>
      <w:bookmarkStart w:id="379" w:name="_Toc287273493"/>
      <w:bookmarkStart w:id="380" w:name="_Toc287273300"/>
      <w:bookmarkStart w:id="381" w:name="_Toc287273397"/>
      <w:bookmarkStart w:id="382" w:name="_Toc287273494"/>
      <w:bookmarkStart w:id="383" w:name="_Toc287273301"/>
      <w:bookmarkStart w:id="384" w:name="_Toc287273398"/>
      <w:bookmarkStart w:id="385" w:name="_Toc287273495"/>
      <w:bookmarkStart w:id="386" w:name="_Toc287273302"/>
      <w:bookmarkStart w:id="387" w:name="_Toc287273399"/>
      <w:bookmarkStart w:id="388" w:name="_Toc287273496"/>
      <w:bookmarkStart w:id="389" w:name="_Toc287273303"/>
      <w:bookmarkStart w:id="390" w:name="_Toc287273400"/>
      <w:bookmarkStart w:id="391" w:name="_Toc287273497"/>
      <w:bookmarkStart w:id="392" w:name="_Toc287273304"/>
      <w:bookmarkStart w:id="393" w:name="_Toc287273401"/>
      <w:bookmarkStart w:id="394" w:name="_Toc287273498"/>
      <w:bookmarkStart w:id="395" w:name="_Toc287273305"/>
      <w:bookmarkStart w:id="396" w:name="_Toc287273402"/>
      <w:bookmarkStart w:id="397" w:name="_Toc287273499"/>
      <w:bookmarkStart w:id="398" w:name="_Toc364945272"/>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r w:rsidRPr="00CF2212">
        <w:t>Levels of Service</w:t>
      </w:r>
      <w:bookmarkEnd w:id="398"/>
    </w:p>
    <w:p w:rsidR="00487E62" w:rsidRDefault="00487E62" w:rsidP="009A7487">
      <w:pPr>
        <w:keepNext/>
        <w:keepLines/>
      </w:pPr>
      <w:r>
        <w:t xml:space="preserve">The Council Plan identifies 5 Strategic Objectives all of which have a direct impact on Council’s buildings and the services provided from within those buildings.  The following is a snap shot of the objectives and key </w:t>
      </w:r>
      <w:r w:rsidR="00E31FCD">
        <w:t xml:space="preserve">sub-objectives </w:t>
      </w:r>
      <w:r>
        <w:t>areas impacting on Council buildings.</w:t>
      </w:r>
    </w:p>
    <w:p w:rsidR="00487E62" w:rsidRDefault="00487E62" w:rsidP="009A7487">
      <w:pPr>
        <w:keepNext/>
        <w:keepLines/>
      </w:pPr>
    </w:p>
    <w:p w:rsidR="00487E62" w:rsidRPr="0086416F" w:rsidRDefault="00487E62" w:rsidP="009A7487">
      <w:pPr>
        <w:pStyle w:val="ListParagraph"/>
        <w:keepNext/>
        <w:keepLines/>
        <w:numPr>
          <w:ilvl w:val="0"/>
          <w:numId w:val="67"/>
        </w:numPr>
        <w:rPr>
          <w:rFonts w:ascii="Arial" w:hAnsi="Arial" w:cs="Arial"/>
          <w:sz w:val="20"/>
        </w:rPr>
      </w:pPr>
      <w:r w:rsidRPr="0086416F">
        <w:rPr>
          <w:rFonts w:ascii="Arial" w:hAnsi="Arial" w:cs="Arial"/>
          <w:sz w:val="20"/>
        </w:rPr>
        <w:t>Celebrating Yarra’s uniqueness;</w:t>
      </w:r>
    </w:p>
    <w:p w:rsidR="00487E62" w:rsidRDefault="00487E62" w:rsidP="009A7487">
      <w:pPr>
        <w:pStyle w:val="ListParagraph"/>
        <w:keepNext/>
        <w:keepLines/>
        <w:numPr>
          <w:ilvl w:val="0"/>
          <w:numId w:val="117"/>
        </w:numPr>
        <w:rPr>
          <w:rFonts w:ascii="Arial" w:hAnsi="Arial" w:cs="Arial"/>
          <w:sz w:val="20"/>
        </w:rPr>
      </w:pPr>
      <w:r w:rsidRPr="0086416F">
        <w:rPr>
          <w:rFonts w:ascii="Arial" w:hAnsi="Arial" w:cs="Arial"/>
          <w:sz w:val="20"/>
        </w:rPr>
        <w:t>Heritage protection</w:t>
      </w:r>
      <w:r w:rsidR="00E31FCD" w:rsidRPr="0086416F">
        <w:rPr>
          <w:rFonts w:ascii="Arial" w:hAnsi="Arial" w:cs="Arial"/>
          <w:sz w:val="20"/>
        </w:rPr>
        <w:t xml:space="preserve"> and</w:t>
      </w:r>
      <w:r w:rsidR="00A377F1">
        <w:rPr>
          <w:rFonts w:ascii="Arial" w:hAnsi="Arial" w:cs="Arial"/>
          <w:sz w:val="20"/>
        </w:rPr>
        <w:t xml:space="preserve"> ensuring appropriate condition</w:t>
      </w:r>
      <w:r w:rsidRPr="0086416F">
        <w:rPr>
          <w:rFonts w:ascii="Arial" w:hAnsi="Arial" w:cs="Arial"/>
          <w:sz w:val="20"/>
        </w:rPr>
        <w:t>; eg refurbishment Collingwood Town Hall.</w:t>
      </w:r>
    </w:p>
    <w:p w:rsidR="00FB26DC" w:rsidRPr="0086416F" w:rsidRDefault="00FB26DC" w:rsidP="00FB26DC">
      <w:pPr>
        <w:pStyle w:val="ListParagraph"/>
        <w:ind w:left="1080"/>
        <w:rPr>
          <w:rFonts w:ascii="Arial" w:hAnsi="Arial" w:cs="Arial"/>
          <w:sz w:val="20"/>
        </w:rPr>
      </w:pPr>
    </w:p>
    <w:p w:rsidR="00487E62" w:rsidRPr="0086416F" w:rsidRDefault="00487E62" w:rsidP="008348B5">
      <w:pPr>
        <w:pStyle w:val="ListParagraph"/>
        <w:numPr>
          <w:ilvl w:val="0"/>
          <w:numId w:val="67"/>
        </w:numPr>
        <w:rPr>
          <w:rFonts w:ascii="Arial" w:hAnsi="Arial" w:cs="Arial"/>
          <w:sz w:val="20"/>
        </w:rPr>
      </w:pPr>
      <w:r w:rsidRPr="0086416F">
        <w:rPr>
          <w:rFonts w:ascii="Arial" w:hAnsi="Arial" w:cs="Arial"/>
          <w:sz w:val="20"/>
        </w:rPr>
        <w:t>Supporting Yarra community;</w:t>
      </w:r>
    </w:p>
    <w:p w:rsidR="00E31FCD" w:rsidRDefault="00E31FCD" w:rsidP="00D60852">
      <w:pPr>
        <w:pStyle w:val="ListParagraph"/>
        <w:numPr>
          <w:ilvl w:val="0"/>
          <w:numId w:val="117"/>
        </w:numPr>
        <w:rPr>
          <w:rFonts w:ascii="Arial" w:hAnsi="Arial" w:cs="Arial"/>
          <w:sz w:val="20"/>
        </w:rPr>
      </w:pPr>
      <w:r w:rsidRPr="0086416F">
        <w:rPr>
          <w:rFonts w:ascii="Arial" w:hAnsi="Arial" w:cs="Arial"/>
          <w:sz w:val="20"/>
        </w:rPr>
        <w:t>Providing adequate facilities (buildings) to meet service needs “fit for purpose”.</w:t>
      </w:r>
    </w:p>
    <w:p w:rsidR="00FB26DC" w:rsidRPr="0086416F" w:rsidRDefault="00FB26DC" w:rsidP="00FB26DC">
      <w:pPr>
        <w:pStyle w:val="ListParagraph"/>
        <w:ind w:left="1080"/>
        <w:rPr>
          <w:rFonts w:ascii="Arial" w:hAnsi="Arial" w:cs="Arial"/>
          <w:sz w:val="20"/>
        </w:rPr>
      </w:pPr>
    </w:p>
    <w:p w:rsidR="00E31FCD" w:rsidRPr="0086416F" w:rsidRDefault="00E31FCD" w:rsidP="008348B5">
      <w:pPr>
        <w:pStyle w:val="ListParagraph"/>
        <w:numPr>
          <w:ilvl w:val="0"/>
          <w:numId w:val="67"/>
        </w:numPr>
        <w:rPr>
          <w:rFonts w:ascii="Arial" w:hAnsi="Arial" w:cs="Arial"/>
          <w:sz w:val="20"/>
        </w:rPr>
      </w:pPr>
      <w:r w:rsidRPr="0086416F">
        <w:rPr>
          <w:rFonts w:ascii="Arial" w:hAnsi="Arial" w:cs="Arial"/>
          <w:sz w:val="20"/>
        </w:rPr>
        <w:t>Making Yarra more liveable.</w:t>
      </w:r>
    </w:p>
    <w:p w:rsidR="00E31FCD" w:rsidRDefault="00E31FCD" w:rsidP="00D60852">
      <w:pPr>
        <w:pStyle w:val="ListParagraph"/>
        <w:numPr>
          <w:ilvl w:val="0"/>
          <w:numId w:val="117"/>
        </w:numPr>
        <w:rPr>
          <w:rFonts w:ascii="Arial" w:hAnsi="Arial" w:cs="Arial"/>
          <w:sz w:val="20"/>
        </w:rPr>
      </w:pPr>
      <w:r w:rsidRPr="0086416F">
        <w:rPr>
          <w:rFonts w:ascii="Arial" w:hAnsi="Arial" w:cs="Arial"/>
          <w:sz w:val="20"/>
        </w:rPr>
        <w:t xml:space="preserve">Accessibility to Council buildings. </w:t>
      </w:r>
    </w:p>
    <w:p w:rsidR="00FB26DC" w:rsidRPr="0086416F" w:rsidRDefault="00FB26DC" w:rsidP="00FB26DC">
      <w:pPr>
        <w:pStyle w:val="ListParagraph"/>
        <w:ind w:left="1080"/>
        <w:rPr>
          <w:rFonts w:ascii="Arial" w:hAnsi="Arial" w:cs="Arial"/>
          <w:sz w:val="20"/>
        </w:rPr>
      </w:pPr>
    </w:p>
    <w:p w:rsidR="00E31FCD" w:rsidRPr="0086416F" w:rsidRDefault="00487E62" w:rsidP="008348B5">
      <w:pPr>
        <w:pStyle w:val="ListParagraph"/>
        <w:numPr>
          <w:ilvl w:val="0"/>
          <w:numId w:val="67"/>
        </w:numPr>
        <w:rPr>
          <w:rFonts w:ascii="Arial" w:hAnsi="Arial" w:cs="Arial"/>
          <w:sz w:val="20"/>
        </w:rPr>
      </w:pPr>
      <w:r w:rsidRPr="0086416F">
        <w:rPr>
          <w:rFonts w:ascii="Arial" w:hAnsi="Arial" w:cs="Arial"/>
          <w:sz w:val="20"/>
        </w:rPr>
        <w:t>Ensuring a Sustainable Yarra;</w:t>
      </w:r>
    </w:p>
    <w:p w:rsidR="00487E62" w:rsidRDefault="00E31FCD" w:rsidP="00D60852">
      <w:pPr>
        <w:pStyle w:val="ListParagraph"/>
        <w:numPr>
          <w:ilvl w:val="0"/>
          <w:numId w:val="117"/>
        </w:numPr>
        <w:rPr>
          <w:rFonts w:ascii="Arial" w:hAnsi="Arial" w:cs="Arial"/>
          <w:sz w:val="20"/>
        </w:rPr>
      </w:pPr>
      <w:r w:rsidRPr="0086416F">
        <w:rPr>
          <w:rFonts w:ascii="Arial" w:hAnsi="Arial" w:cs="Arial"/>
          <w:sz w:val="20"/>
        </w:rPr>
        <w:t xml:space="preserve">Reducing greenhouse gases, potable water, waste. </w:t>
      </w:r>
    </w:p>
    <w:p w:rsidR="00FB26DC" w:rsidRPr="0086416F" w:rsidRDefault="00FB26DC" w:rsidP="00FB26DC">
      <w:pPr>
        <w:pStyle w:val="ListParagraph"/>
        <w:ind w:left="1080"/>
        <w:rPr>
          <w:rFonts w:ascii="Arial" w:hAnsi="Arial" w:cs="Arial"/>
          <w:sz w:val="20"/>
        </w:rPr>
      </w:pPr>
    </w:p>
    <w:p w:rsidR="00E31FCD" w:rsidRPr="0086416F" w:rsidRDefault="00E31FCD" w:rsidP="008348B5">
      <w:pPr>
        <w:pStyle w:val="ListParagraph"/>
        <w:numPr>
          <w:ilvl w:val="0"/>
          <w:numId w:val="67"/>
        </w:numPr>
        <w:rPr>
          <w:rFonts w:ascii="Arial" w:hAnsi="Arial" w:cs="Arial"/>
          <w:sz w:val="20"/>
        </w:rPr>
      </w:pPr>
      <w:r w:rsidRPr="0086416F">
        <w:rPr>
          <w:rFonts w:ascii="Arial" w:hAnsi="Arial" w:cs="Arial"/>
          <w:sz w:val="20"/>
        </w:rPr>
        <w:t>Leading Local Government</w:t>
      </w:r>
    </w:p>
    <w:p w:rsidR="00E31FCD" w:rsidRPr="0086416F" w:rsidRDefault="00E31FCD" w:rsidP="00D60852">
      <w:pPr>
        <w:pStyle w:val="ListParagraph"/>
        <w:numPr>
          <w:ilvl w:val="0"/>
          <w:numId w:val="117"/>
        </w:numPr>
        <w:rPr>
          <w:rFonts w:ascii="Arial" w:hAnsi="Arial" w:cs="Arial"/>
          <w:sz w:val="20"/>
        </w:rPr>
      </w:pPr>
      <w:r w:rsidRPr="0086416F">
        <w:rPr>
          <w:rFonts w:ascii="Arial" w:hAnsi="Arial" w:cs="Arial"/>
          <w:sz w:val="20"/>
        </w:rPr>
        <w:t>Financial management;</w:t>
      </w:r>
    </w:p>
    <w:p w:rsidR="00DE5F00" w:rsidRDefault="00E31FCD" w:rsidP="00D60852">
      <w:pPr>
        <w:pStyle w:val="ListParagraph"/>
        <w:numPr>
          <w:ilvl w:val="0"/>
          <w:numId w:val="117"/>
        </w:numPr>
        <w:rPr>
          <w:rFonts w:ascii="Arial" w:hAnsi="Arial" w:cs="Arial"/>
          <w:sz w:val="20"/>
        </w:rPr>
      </w:pPr>
      <w:r w:rsidRPr="0086416F">
        <w:rPr>
          <w:rFonts w:ascii="Arial" w:hAnsi="Arial" w:cs="Arial"/>
          <w:sz w:val="20"/>
        </w:rPr>
        <w:t>Efficient and effective and consistency in service delivery (project management, maintenance and operations)</w:t>
      </w:r>
    </w:p>
    <w:p w:rsidR="00DE5F00" w:rsidRDefault="00DE5F00">
      <w:pPr>
        <w:jc w:val="left"/>
        <w:rPr>
          <w:rFonts w:cs="Arial"/>
          <w:iCs/>
          <w:szCs w:val="24"/>
        </w:rPr>
      </w:pPr>
    </w:p>
    <w:p w:rsidR="00E31FCD" w:rsidRPr="00281732" w:rsidRDefault="00E31FCD" w:rsidP="003E5B9F">
      <w:pPr>
        <w:pStyle w:val="StyleHeading3Heading3Char10ptBefore6pt"/>
      </w:pPr>
      <w:bookmarkStart w:id="399" w:name="_Toc353452421"/>
      <w:bookmarkStart w:id="400" w:name="_Toc364945273"/>
      <w:r w:rsidRPr="00281732">
        <w:t>Background to Levels of Service</w:t>
      </w:r>
      <w:bookmarkEnd w:id="399"/>
      <w:bookmarkEnd w:id="400"/>
    </w:p>
    <w:p w:rsidR="00E31FCD" w:rsidRDefault="00E31FCD" w:rsidP="009151B3">
      <w:pPr>
        <w:ind w:left="720"/>
      </w:pPr>
      <w:r w:rsidRPr="002B10A6">
        <w:t>The International Infrastructure Management Manual describes Levels of Service (LOS) as ‘defined service quality for an activity or service area against which service performance may be measured’.</w:t>
      </w:r>
    </w:p>
    <w:p w:rsidR="009151B3" w:rsidRPr="002B10A6" w:rsidRDefault="009151B3" w:rsidP="009151B3">
      <w:pPr>
        <w:ind w:left="720"/>
      </w:pPr>
    </w:p>
    <w:p w:rsidR="00E31FCD" w:rsidRDefault="00E31FCD" w:rsidP="009151B3">
      <w:pPr>
        <w:keepNext/>
        <w:keepLines/>
        <w:ind w:left="720"/>
      </w:pPr>
      <w:r w:rsidRPr="002B10A6">
        <w:t>What do we mean by “Levels of Service”?</w:t>
      </w:r>
    </w:p>
    <w:p w:rsidR="009151B3" w:rsidRPr="002B10A6" w:rsidRDefault="009151B3" w:rsidP="009151B3">
      <w:pPr>
        <w:keepNext/>
        <w:keepLines/>
        <w:ind w:left="720"/>
      </w:pPr>
    </w:p>
    <w:p w:rsidR="00E31FCD" w:rsidRPr="002B10A6" w:rsidRDefault="009151B3" w:rsidP="009151B3">
      <w:pPr>
        <w:pStyle w:val="CTAMPBody"/>
        <w:keepNext/>
        <w:keepLines/>
        <w:ind w:left="720"/>
        <w:jc w:val="center"/>
        <w:rPr>
          <w:rFonts w:ascii="Arial" w:hAnsi="Arial" w:cs="Arial"/>
        </w:rPr>
      </w:pPr>
      <w:r w:rsidRPr="002B10A6">
        <w:rPr>
          <w:rFonts w:ascii="Arial" w:hAnsi="Arial" w:cs="Arial"/>
        </w:rPr>
        <w:object w:dxaOrig="9126" w:dyaOrig="5441">
          <v:shape id="_x0000_i1030" type="#_x0000_t75" style="width:327.75pt;height:194.25pt" o:ole="">
            <v:imagedata r:id="rId39" o:title=""/>
          </v:shape>
          <o:OLEObject Type="Embed" ProgID="Visio.Drawing.11" ShapeID="_x0000_i1030" DrawAspect="Content" ObjectID="_1607929760" r:id="rId40"/>
        </w:object>
      </w:r>
    </w:p>
    <w:p w:rsidR="00E31FCD" w:rsidRPr="0024611A" w:rsidRDefault="00E31FCD" w:rsidP="00D17B90">
      <w:pPr>
        <w:pStyle w:val="Caption"/>
        <w:spacing w:before="240" w:after="240"/>
        <w:ind w:left="720"/>
        <w:jc w:val="center"/>
        <w:rPr>
          <w:rFonts w:ascii="Arial" w:hAnsi="Arial"/>
          <w:i w:val="0"/>
          <w:iCs w:val="0"/>
          <w:sz w:val="20"/>
          <w:lang w:val="en-AU"/>
        </w:rPr>
      </w:pPr>
      <w:bookmarkStart w:id="401" w:name="_Toc353454507"/>
      <w:bookmarkStart w:id="402" w:name="_Toc364945382"/>
      <w:r w:rsidRPr="0024611A">
        <w:rPr>
          <w:rFonts w:ascii="Arial" w:hAnsi="Arial"/>
          <w:i w:val="0"/>
          <w:iCs w:val="0"/>
          <w:sz w:val="20"/>
          <w:lang w:val="en-AU"/>
        </w:rPr>
        <w:t xml:space="preserve">Figure </w:t>
      </w:r>
      <w:r w:rsidR="0090414C" w:rsidRPr="0024611A">
        <w:rPr>
          <w:rFonts w:ascii="Arial" w:hAnsi="Arial"/>
          <w:i w:val="0"/>
          <w:iCs w:val="0"/>
          <w:sz w:val="20"/>
          <w:lang w:val="en-AU"/>
        </w:rPr>
        <w:fldChar w:fldCharType="begin"/>
      </w:r>
      <w:r w:rsidR="00CC614F" w:rsidRPr="0024611A">
        <w:rPr>
          <w:rFonts w:ascii="Arial" w:hAnsi="Arial"/>
          <w:i w:val="0"/>
          <w:iCs w:val="0"/>
          <w:sz w:val="20"/>
          <w:lang w:val="en-AU"/>
        </w:rPr>
        <w:instrText xml:space="preserve"> SEQ Figure \* ARABIC </w:instrText>
      </w:r>
      <w:r w:rsidR="0090414C" w:rsidRPr="0024611A">
        <w:rPr>
          <w:rFonts w:ascii="Arial" w:hAnsi="Arial"/>
          <w:i w:val="0"/>
          <w:iCs w:val="0"/>
          <w:sz w:val="20"/>
          <w:lang w:val="en-AU"/>
        </w:rPr>
        <w:fldChar w:fldCharType="separate"/>
      </w:r>
      <w:r w:rsidR="00751CEC">
        <w:rPr>
          <w:rFonts w:ascii="Arial" w:hAnsi="Arial"/>
          <w:i w:val="0"/>
          <w:iCs w:val="0"/>
          <w:noProof/>
          <w:sz w:val="20"/>
          <w:lang w:val="en-AU"/>
        </w:rPr>
        <w:t>18</w:t>
      </w:r>
      <w:r w:rsidR="0090414C" w:rsidRPr="0024611A">
        <w:rPr>
          <w:rFonts w:ascii="Arial" w:hAnsi="Arial"/>
          <w:i w:val="0"/>
          <w:iCs w:val="0"/>
          <w:sz w:val="20"/>
          <w:lang w:val="en-AU"/>
        </w:rPr>
        <w:fldChar w:fldCharType="end"/>
      </w:r>
      <w:r w:rsidRPr="0024611A">
        <w:rPr>
          <w:rFonts w:ascii="Arial" w:hAnsi="Arial"/>
          <w:i w:val="0"/>
          <w:iCs w:val="0"/>
          <w:sz w:val="20"/>
          <w:lang w:val="en-AU"/>
        </w:rPr>
        <w:t xml:space="preserve">: </w:t>
      </w:r>
      <w:r w:rsidR="00701C84" w:rsidRPr="0024611A">
        <w:rPr>
          <w:rFonts w:ascii="Arial" w:hAnsi="Arial"/>
          <w:i w:val="0"/>
          <w:iCs w:val="0"/>
          <w:sz w:val="20"/>
          <w:lang w:val="en-AU"/>
        </w:rPr>
        <w:t xml:space="preserve"> </w:t>
      </w:r>
      <w:r w:rsidRPr="0024611A">
        <w:rPr>
          <w:rFonts w:ascii="Arial" w:hAnsi="Arial"/>
          <w:i w:val="0"/>
          <w:iCs w:val="0"/>
          <w:sz w:val="20"/>
          <w:lang w:val="en-AU"/>
        </w:rPr>
        <w:t>Level of Service Concept</w:t>
      </w:r>
      <w:bookmarkEnd w:id="401"/>
      <w:bookmarkEnd w:id="402"/>
    </w:p>
    <w:p w:rsidR="00E31FCD" w:rsidRDefault="00E31FCD" w:rsidP="009151B3">
      <w:pPr>
        <w:ind w:left="720"/>
      </w:pPr>
      <w:r w:rsidRPr="002B10A6">
        <w:t>Level</w:t>
      </w:r>
      <w:r w:rsidR="00DE5F00">
        <w:t xml:space="preserve">s </w:t>
      </w:r>
      <w:r w:rsidRPr="002B10A6">
        <w:t>of Service</w:t>
      </w:r>
      <w:r w:rsidR="00D90FDE">
        <w:t xml:space="preserve"> </w:t>
      </w:r>
      <w:r w:rsidRPr="002B10A6">
        <w:t xml:space="preserve">(LOS) </w:t>
      </w:r>
      <w:r w:rsidR="00D90FDE">
        <w:t>are</w:t>
      </w:r>
      <w:r w:rsidRPr="002B10A6">
        <w:t xml:space="preserve"> the defined quality of service of an asset.  Understanding the required level of service is vital for lifecycle management, as this largely determines an asset’s development, operation, maintenance, replacement and ultimate disposal.</w:t>
      </w:r>
    </w:p>
    <w:p w:rsidR="009151B3" w:rsidRPr="002B10A6" w:rsidRDefault="009151B3" w:rsidP="009151B3">
      <w:pPr>
        <w:ind w:left="720"/>
      </w:pPr>
    </w:p>
    <w:p w:rsidR="00E31FCD" w:rsidRDefault="00E31FCD" w:rsidP="009151B3">
      <w:pPr>
        <w:ind w:left="720"/>
      </w:pPr>
      <w:r w:rsidRPr="002B10A6">
        <w:t>Levels of service are pivotal in asset management as they have a direct financial impact due to their importance in both operational and risk-based prioritisation.</w:t>
      </w:r>
    </w:p>
    <w:p w:rsidR="009151B3" w:rsidRPr="002B10A6" w:rsidRDefault="009151B3" w:rsidP="009151B3">
      <w:pPr>
        <w:ind w:left="720"/>
      </w:pPr>
    </w:p>
    <w:p w:rsidR="00E31FCD" w:rsidRDefault="00E31FCD" w:rsidP="009151B3">
      <w:pPr>
        <w:ind w:left="720"/>
      </w:pPr>
      <w:r w:rsidRPr="002B10A6">
        <w:t>An objective of asset management planning is to match the level of service provided by an asset with the expectations of its customers.  Asset management Planning will enable a relationship between level of service and cost of service to be determined.  This relationship can then be evaluated in consultation with customers to determine the optimum level of service customers are willing to pay for.</w:t>
      </w:r>
    </w:p>
    <w:p w:rsidR="009151B3" w:rsidRPr="002B10A6" w:rsidRDefault="009151B3" w:rsidP="009151B3">
      <w:pPr>
        <w:ind w:left="720"/>
      </w:pPr>
    </w:p>
    <w:p w:rsidR="00E31FCD" w:rsidRDefault="00E31FCD" w:rsidP="00A03CCD">
      <w:pPr>
        <w:keepNext/>
        <w:keepLines/>
        <w:ind w:left="720"/>
      </w:pPr>
      <w:r w:rsidRPr="00D363CC">
        <w:t>Levels of service can be broken down into three basic aspects:</w:t>
      </w:r>
    </w:p>
    <w:p w:rsidR="00712056" w:rsidRPr="00D363CC" w:rsidRDefault="00712056" w:rsidP="00A03CCD">
      <w:pPr>
        <w:keepNext/>
        <w:keepLines/>
        <w:ind w:left="720"/>
      </w:pPr>
    </w:p>
    <w:p w:rsidR="00E31FCD" w:rsidRPr="009151B3" w:rsidRDefault="00E31FCD" w:rsidP="00A03CCD">
      <w:pPr>
        <w:pStyle w:val="ListParagraph"/>
        <w:keepNext/>
        <w:keepLines/>
        <w:numPr>
          <w:ilvl w:val="0"/>
          <w:numId w:val="68"/>
        </w:numPr>
        <w:rPr>
          <w:rFonts w:ascii="Arial" w:hAnsi="Arial" w:cs="Arial"/>
          <w:sz w:val="20"/>
        </w:rPr>
      </w:pPr>
      <w:r w:rsidRPr="009151B3">
        <w:rPr>
          <w:rFonts w:ascii="Arial" w:hAnsi="Arial" w:cs="Arial"/>
          <w:b/>
          <w:sz w:val="20"/>
          <w:szCs w:val="20"/>
        </w:rPr>
        <w:t>Function</w:t>
      </w:r>
      <w:r w:rsidRPr="009151B3">
        <w:rPr>
          <w:rFonts w:ascii="Arial" w:hAnsi="Arial" w:cs="Arial"/>
          <w:sz w:val="20"/>
        </w:rPr>
        <w:t xml:space="preserve"> – its purpose for the community</w:t>
      </w:r>
    </w:p>
    <w:p w:rsidR="00E31FCD" w:rsidRPr="009151B3" w:rsidRDefault="00E31FCD" w:rsidP="00A03CCD">
      <w:pPr>
        <w:pStyle w:val="ListParagraph"/>
        <w:keepNext/>
        <w:keepLines/>
        <w:numPr>
          <w:ilvl w:val="0"/>
          <w:numId w:val="68"/>
        </w:numPr>
        <w:rPr>
          <w:rFonts w:ascii="Arial" w:hAnsi="Arial" w:cs="Arial"/>
          <w:sz w:val="20"/>
        </w:rPr>
      </w:pPr>
      <w:r w:rsidRPr="009151B3">
        <w:rPr>
          <w:rFonts w:ascii="Arial" w:hAnsi="Arial" w:cs="Arial"/>
          <w:b/>
          <w:sz w:val="20"/>
          <w:szCs w:val="20"/>
        </w:rPr>
        <w:t>Design Parameters</w:t>
      </w:r>
      <w:r w:rsidRPr="009151B3">
        <w:rPr>
          <w:rFonts w:ascii="Arial" w:hAnsi="Arial" w:cs="Arial"/>
          <w:sz w:val="20"/>
        </w:rPr>
        <w:t xml:space="preserve"> – what is required of and from the asset itself</w:t>
      </w:r>
    </w:p>
    <w:p w:rsidR="00E31FCD" w:rsidRPr="009151B3" w:rsidRDefault="00E31FCD" w:rsidP="00A03CCD">
      <w:pPr>
        <w:pStyle w:val="ListParagraph"/>
        <w:keepNext/>
        <w:keepLines/>
        <w:numPr>
          <w:ilvl w:val="0"/>
          <w:numId w:val="68"/>
        </w:numPr>
        <w:rPr>
          <w:rFonts w:ascii="Arial" w:hAnsi="Arial" w:cs="Arial"/>
          <w:sz w:val="20"/>
        </w:rPr>
      </w:pPr>
      <w:r w:rsidRPr="009151B3">
        <w:rPr>
          <w:rFonts w:ascii="Arial" w:hAnsi="Arial" w:cs="Arial"/>
          <w:b/>
          <w:sz w:val="20"/>
          <w:szCs w:val="20"/>
        </w:rPr>
        <w:t xml:space="preserve">Performance </w:t>
      </w:r>
      <w:r w:rsidR="00927AFA">
        <w:rPr>
          <w:rFonts w:ascii="Arial" w:hAnsi="Arial" w:cs="Arial"/>
          <w:b/>
          <w:sz w:val="20"/>
          <w:szCs w:val="20"/>
        </w:rPr>
        <w:t>and</w:t>
      </w:r>
      <w:r w:rsidRPr="009151B3">
        <w:rPr>
          <w:rFonts w:ascii="Arial" w:hAnsi="Arial" w:cs="Arial"/>
          <w:b/>
          <w:sz w:val="20"/>
          <w:szCs w:val="20"/>
        </w:rPr>
        <w:t xml:space="preserve"> Presentation</w:t>
      </w:r>
      <w:r w:rsidRPr="009151B3">
        <w:rPr>
          <w:rFonts w:ascii="Arial" w:hAnsi="Arial" w:cs="Arial"/>
          <w:sz w:val="20"/>
        </w:rPr>
        <w:t xml:space="preserve"> - the effectiveness of delivery of the service</w:t>
      </w:r>
    </w:p>
    <w:p w:rsidR="00E31FCD" w:rsidRPr="00D363CC" w:rsidRDefault="00E31FCD" w:rsidP="00EA250C">
      <w:pPr>
        <w:ind w:left="720"/>
      </w:pPr>
    </w:p>
    <w:p w:rsidR="00E31FCD" w:rsidRDefault="00E31FCD" w:rsidP="00EA250C">
      <w:pPr>
        <w:ind w:left="720"/>
      </w:pPr>
      <w:r w:rsidRPr="00D363CC">
        <w:t>Levels of Service are determined from the public consultation process and customer satisfaction surveys.  They reflect the strategic objectives of Council and are based on:</w:t>
      </w:r>
    </w:p>
    <w:p w:rsidR="00712056" w:rsidRPr="00D363CC" w:rsidRDefault="00712056" w:rsidP="00EA250C">
      <w:pPr>
        <w:ind w:left="720"/>
      </w:pPr>
    </w:p>
    <w:p w:rsidR="00E31FCD" w:rsidRPr="00EA250C" w:rsidRDefault="00E31FCD" w:rsidP="008348B5">
      <w:pPr>
        <w:pStyle w:val="ListParagraph"/>
        <w:numPr>
          <w:ilvl w:val="0"/>
          <w:numId w:val="69"/>
        </w:numPr>
        <w:rPr>
          <w:rFonts w:ascii="Arial" w:hAnsi="Arial" w:cs="Arial"/>
          <w:sz w:val="20"/>
        </w:rPr>
      </w:pPr>
      <w:r w:rsidRPr="00EA250C">
        <w:rPr>
          <w:rFonts w:ascii="Arial" w:hAnsi="Arial" w:cs="Arial"/>
          <w:sz w:val="20"/>
        </w:rPr>
        <w:t>Customer expectations for quality of service and willingness to pay</w:t>
      </w:r>
    </w:p>
    <w:p w:rsidR="00E31FCD" w:rsidRPr="00EA250C" w:rsidRDefault="00E31FCD" w:rsidP="008348B5">
      <w:pPr>
        <w:pStyle w:val="ListParagraph"/>
        <w:numPr>
          <w:ilvl w:val="0"/>
          <w:numId w:val="69"/>
        </w:numPr>
        <w:rPr>
          <w:rFonts w:ascii="Arial" w:hAnsi="Arial" w:cs="Arial"/>
          <w:sz w:val="20"/>
        </w:rPr>
      </w:pPr>
      <w:r w:rsidRPr="00EA250C">
        <w:rPr>
          <w:rFonts w:ascii="Arial" w:hAnsi="Arial" w:cs="Arial"/>
          <w:sz w:val="20"/>
        </w:rPr>
        <w:t>Legislative requirements; environmental standards, regulations and legislation that impacts the way assets are managed</w:t>
      </w:r>
    </w:p>
    <w:p w:rsidR="00E31FCD" w:rsidRPr="00EA250C" w:rsidRDefault="00E31FCD" w:rsidP="008348B5">
      <w:pPr>
        <w:pStyle w:val="ListParagraph"/>
        <w:numPr>
          <w:ilvl w:val="0"/>
          <w:numId w:val="69"/>
        </w:numPr>
        <w:rPr>
          <w:rFonts w:ascii="Arial" w:hAnsi="Arial" w:cs="Arial"/>
          <w:sz w:val="20"/>
        </w:rPr>
      </w:pPr>
      <w:r w:rsidRPr="00EA250C">
        <w:rPr>
          <w:rFonts w:ascii="Arial" w:hAnsi="Arial" w:cs="Arial"/>
          <w:sz w:val="20"/>
        </w:rPr>
        <w:t>Council’s mission and objectives as stated in the Council Plan</w:t>
      </w:r>
    </w:p>
    <w:p w:rsidR="00E31FCD" w:rsidRPr="00EA250C" w:rsidRDefault="00E31FCD" w:rsidP="008348B5">
      <w:pPr>
        <w:pStyle w:val="ListParagraph"/>
        <w:numPr>
          <w:ilvl w:val="0"/>
          <w:numId w:val="69"/>
        </w:numPr>
        <w:rPr>
          <w:rFonts w:ascii="Arial" w:hAnsi="Arial" w:cs="Arial"/>
          <w:sz w:val="20"/>
        </w:rPr>
      </w:pPr>
      <w:r w:rsidRPr="00EA250C">
        <w:rPr>
          <w:rFonts w:ascii="Arial" w:hAnsi="Arial" w:cs="Arial"/>
          <w:sz w:val="20"/>
        </w:rPr>
        <w:t>Available resources, particularly financial constraints</w:t>
      </w:r>
    </w:p>
    <w:p w:rsidR="00E31FCD" w:rsidRPr="00EA250C" w:rsidRDefault="00E31FCD" w:rsidP="008348B5">
      <w:pPr>
        <w:pStyle w:val="ListParagraph"/>
        <w:numPr>
          <w:ilvl w:val="0"/>
          <w:numId w:val="69"/>
        </w:numPr>
        <w:rPr>
          <w:rFonts w:ascii="Arial" w:hAnsi="Arial" w:cs="Arial"/>
          <w:sz w:val="20"/>
        </w:rPr>
      </w:pPr>
      <w:r w:rsidRPr="00EA250C">
        <w:rPr>
          <w:rFonts w:ascii="Arial" w:hAnsi="Arial" w:cs="Arial"/>
          <w:sz w:val="20"/>
        </w:rPr>
        <w:t>Organisational delivery mechanisms</w:t>
      </w:r>
    </w:p>
    <w:p w:rsidR="00E31FCD" w:rsidRPr="00EA250C" w:rsidRDefault="00E31FCD" w:rsidP="008348B5">
      <w:pPr>
        <w:pStyle w:val="ListParagraph"/>
        <w:numPr>
          <w:ilvl w:val="0"/>
          <w:numId w:val="69"/>
        </w:numPr>
        <w:rPr>
          <w:rFonts w:ascii="Arial" w:hAnsi="Arial" w:cs="Arial"/>
          <w:sz w:val="20"/>
        </w:rPr>
      </w:pPr>
      <w:r w:rsidRPr="00EA250C">
        <w:rPr>
          <w:rFonts w:ascii="Arial" w:hAnsi="Arial" w:cs="Arial"/>
          <w:sz w:val="20"/>
        </w:rPr>
        <w:t>Design Standards and Codes of Practice</w:t>
      </w:r>
    </w:p>
    <w:p w:rsidR="00712056" w:rsidRPr="00D363CC" w:rsidRDefault="00712056" w:rsidP="00EA250C">
      <w:pPr>
        <w:ind w:left="720"/>
      </w:pPr>
    </w:p>
    <w:p w:rsidR="00E31FCD" w:rsidRPr="002B10A6" w:rsidRDefault="00E31FCD" w:rsidP="00EA250C">
      <w:pPr>
        <w:ind w:left="720"/>
        <w:rPr>
          <w:rFonts w:cs="Arial"/>
        </w:rPr>
      </w:pPr>
      <w:r w:rsidRPr="002B10A6">
        <w:rPr>
          <w:rFonts w:cs="Arial"/>
        </w:rPr>
        <w:t>Defined levels of service can then be used to:</w:t>
      </w:r>
    </w:p>
    <w:p w:rsidR="00712056" w:rsidRPr="002B10A6" w:rsidRDefault="00712056" w:rsidP="00EA250C">
      <w:pPr>
        <w:ind w:left="720"/>
        <w:rPr>
          <w:rFonts w:cs="Arial"/>
        </w:rPr>
      </w:pPr>
    </w:p>
    <w:p w:rsidR="00E31FCD" w:rsidRPr="00EA250C" w:rsidRDefault="00E31FCD" w:rsidP="008348B5">
      <w:pPr>
        <w:pStyle w:val="ListParagraph"/>
        <w:numPr>
          <w:ilvl w:val="0"/>
          <w:numId w:val="70"/>
        </w:numPr>
        <w:rPr>
          <w:rFonts w:ascii="Arial" w:hAnsi="Arial" w:cs="Arial"/>
          <w:sz w:val="20"/>
        </w:rPr>
      </w:pPr>
      <w:r w:rsidRPr="00EA250C">
        <w:rPr>
          <w:rFonts w:ascii="Arial" w:hAnsi="Arial" w:cs="Arial"/>
          <w:sz w:val="20"/>
        </w:rPr>
        <w:t>Inform customers of the proposed level of service to be offered</w:t>
      </w:r>
    </w:p>
    <w:p w:rsidR="00E31FCD" w:rsidRPr="00EA250C" w:rsidRDefault="00E31FCD" w:rsidP="008348B5">
      <w:pPr>
        <w:pStyle w:val="ListParagraph"/>
        <w:numPr>
          <w:ilvl w:val="0"/>
          <w:numId w:val="70"/>
        </w:numPr>
        <w:rPr>
          <w:rFonts w:ascii="Arial" w:hAnsi="Arial" w:cs="Arial"/>
          <w:sz w:val="20"/>
        </w:rPr>
      </w:pPr>
      <w:r w:rsidRPr="00EA250C">
        <w:rPr>
          <w:rFonts w:ascii="Arial" w:hAnsi="Arial" w:cs="Arial"/>
          <w:sz w:val="20"/>
        </w:rPr>
        <w:t>Develop A</w:t>
      </w:r>
      <w:r w:rsidR="005419D7">
        <w:rPr>
          <w:rFonts w:ascii="Arial" w:hAnsi="Arial" w:cs="Arial"/>
          <w:sz w:val="20"/>
        </w:rPr>
        <w:t>sset Management</w:t>
      </w:r>
      <w:r w:rsidRPr="00EA250C">
        <w:rPr>
          <w:rFonts w:ascii="Arial" w:hAnsi="Arial" w:cs="Arial"/>
          <w:sz w:val="20"/>
        </w:rPr>
        <w:t xml:space="preserve"> strategies to deliver the required level of service</w:t>
      </w:r>
    </w:p>
    <w:p w:rsidR="00E31FCD" w:rsidRPr="00EA250C" w:rsidRDefault="00E31FCD" w:rsidP="008348B5">
      <w:pPr>
        <w:pStyle w:val="ListParagraph"/>
        <w:numPr>
          <w:ilvl w:val="0"/>
          <w:numId w:val="70"/>
        </w:numPr>
        <w:rPr>
          <w:rFonts w:ascii="Arial" w:hAnsi="Arial" w:cs="Arial"/>
          <w:sz w:val="20"/>
        </w:rPr>
      </w:pPr>
      <w:r w:rsidRPr="00EA250C">
        <w:rPr>
          <w:rFonts w:ascii="Arial" w:hAnsi="Arial" w:cs="Arial"/>
          <w:sz w:val="20"/>
        </w:rPr>
        <w:t>Measure performance against those defined levels of service</w:t>
      </w:r>
    </w:p>
    <w:p w:rsidR="00E31FCD" w:rsidRPr="00EA250C" w:rsidRDefault="00E31FCD" w:rsidP="008348B5">
      <w:pPr>
        <w:pStyle w:val="ListParagraph"/>
        <w:numPr>
          <w:ilvl w:val="0"/>
          <w:numId w:val="70"/>
        </w:numPr>
        <w:rPr>
          <w:rFonts w:ascii="Arial" w:hAnsi="Arial" w:cs="Arial"/>
          <w:sz w:val="20"/>
        </w:rPr>
      </w:pPr>
      <w:r w:rsidRPr="00EA250C">
        <w:rPr>
          <w:rFonts w:ascii="Arial" w:hAnsi="Arial" w:cs="Arial"/>
          <w:sz w:val="20"/>
        </w:rPr>
        <w:t>Identify the costs and benefits of the services offered</w:t>
      </w:r>
    </w:p>
    <w:p w:rsidR="00E31FCD" w:rsidRPr="00EA250C" w:rsidRDefault="00E31FCD" w:rsidP="008348B5">
      <w:pPr>
        <w:pStyle w:val="ListParagraph"/>
        <w:numPr>
          <w:ilvl w:val="0"/>
          <w:numId w:val="70"/>
        </w:numPr>
        <w:rPr>
          <w:rFonts w:ascii="Arial" w:hAnsi="Arial" w:cs="Arial"/>
          <w:sz w:val="20"/>
        </w:rPr>
      </w:pPr>
      <w:r w:rsidRPr="00EA250C">
        <w:rPr>
          <w:rFonts w:ascii="Arial" w:hAnsi="Arial" w:cs="Arial"/>
          <w:sz w:val="20"/>
        </w:rPr>
        <w:t>Enable customers to assess suitability, affordability and equity of the services offered.</w:t>
      </w:r>
    </w:p>
    <w:p w:rsidR="00E31FCD" w:rsidRPr="00D363CC" w:rsidRDefault="00E31FCD" w:rsidP="00A03CCD">
      <w:pPr>
        <w:ind w:left="720"/>
      </w:pPr>
    </w:p>
    <w:p w:rsidR="00E31FCD" w:rsidRDefault="00E31FCD" w:rsidP="00A03CCD">
      <w:pPr>
        <w:ind w:left="720"/>
      </w:pPr>
      <w:r w:rsidRPr="00D363CC">
        <w:t xml:space="preserve">Levels of service standards provide the basis for the lifecycle management strategies and works programs identified within the Asset Management </w:t>
      </w:r>
      <w:r w:rsidR="006E4331">
        <w:t>Plan.  A</w:t>
      </w:r>
      <w:r w:rsidRPr="00D363CC">
        <w:t xml:space="preserve"> clear understanding of the community’s needs, expectations and preferences is required</w:t>
      </w:r>
      <w:r w:rsidR="006E4331">
        <w:t xml:space="preserve"> t</w:t>
      </w:r>
      <w:r w:rsidR="006E4331" w:rsidRPr="00D363CC">
        <w:t>o determine the levels of service</w:t>
      </w:r>
      <w:r w:rsidR="006E4331">
        <w:t>.</w:t>
      </w:r>
    </w:p>
    <w:p w:rsidR="006E4331" w:rsidRPr="00D363CC" w:rsidRDefault="006E4331" w:rsidP="00A03CCD">
      <w:pPr>
        <w:ind w:left="720"/>
      </w:pPr>
    </w:p>
    <w:p w:rsidR="00E31FCD" w:rsidRDefault="00E31FCD" w:rsidP="00EA250C">
      <w:pPr>
        <w:ind w:left="720"/>
      </w:pPr>
      <w:r w:rsidRPr="00D363CC">
        <w:rPr>
          <w:b/>
          <w:i/>
        </w:rPr>
        <w:t>Community Levels of Service</w:t>
      </w:r>
      <w:r w:rsidRPr="00D363CC">
        <w:t xml:space="preserve"> relate to the community’s expectation of what the service will deliver and then performance </w:t>
      </w:r>
      <w:r w:rsidR="006E4331">
        <w:t>and</w:t>
      </w:r>
      <w:r w:rsidRPr="00D363CC">
        <w:t xml:space="preserve"> presentation of delivery of that service.</w:t>
      </w:r>
    </w:p>
    <w:p w:rsidR="00EA250C" w:rsidRPr="00D363CC" w:rsidRDefault="00EA250C" w:rsidP="00EA250C">
      <w:pPr>
        <w:ind w:left="720"/>
      </w:pPr>
    </w:p>
    <w:p w:rsidR="00E31FCD" w:rsidRPr="00D363CC" w:rsidRDefault="00E31FCD" w:rsidP="00EA250C">
      <w:pPr>
        <w:ind w:left="720"/>
      </w:pPr>
      <w:r w:rsidRPr="00D363CC">
        <w:rPr>
          <w:b/>
          <w:i/>
        </w:rPr>
        <w:t>Technical Levels of Service</w:t>
      </w:r>
      <w:r w:rsidRPr="00D363CC">
        <w:t xml:space="preserve"> include the parameters to meet the required function covering technical aspects (e</w:t>
      </w:r>
      <w:r w:rsidR="006E4331">
        <w:t>.</w:t>
      </w:r>
      <w:r w:rsidRPr="00D363CC">
        <w:t>g</w:t>
      </w:r>
      <w:r w:rsidR="006E4331">
        <w:t>.</w:t>
      </w:r>
      <w:r w:rsidRPr="00D363CC">
        <w:t xml:space="preserve"> legislative compliance, design standards, safety, maintainability, reliability and performance, capacity, environmental impacts and cost/affordability) as well as community requirements (e</w:t>
      </w:r>
      <w:r w:rsidR="006E4331">
        <w:t>.</w:t>
      </w:r>
      <w:r w:rsidRPr="00D363CC">
        <w:t>g</w:t>
      </w:r>
      <w:r w:rsidR="006E4331">
        <w:t>.</w:t>
      </w:r>
      <w:r w:rsidRPr="00D363CC">
        <w:t xml:space="preserve"> location </w:t>
      </w:r>
      <w:r w:rsidR="006E4331">
        <w:t>and</w:t>
      </w:r>
      <w:r w:rsidRPr="00D363CC">
        <w:t xml:space="preserve"> aesthetics), then performance to achieve these ends.</w:t>
      </w:r>
    </w:p>
    <w:p w:rsidR="00FB77AA" w:rsidRPr="00CD7D4F" w:rsidRDefault="00FB77AA" w:rsidP="003E5B9F">
      <w:pPr>
        <w:pStyle w:val="StyleHeading3Heading3Char10ptBefore6pt"/>
      </w:pPr>
      <w:bookmarkStart w:id="403" w:name="_Toc364945274"/>
      <w:r>
        <w:t>Cu</w:t>
      </w:r>
      <w:r w:rsidR="00164162">
        <w:t>stomer</w:t>
      </w:r>
      <w:r>
        <w:t xml:space="preserve"> Levels of Service</w:t>
      </w:r>
      <w:bookmarkEnd w:id="403"/>
    </w:p>
    <w:p w:rsidR="00154088" w:rsidRDefault="00154088" w:rsidP="00EA250C">
      <w:pPr>
        <w:ind w:left="720"/>
      </w:pPr>
      <w:r w:rsidRPr="00355797">
        <w:t xml:space="preserve">The following </w:t>
      </w:r>
      <w:r w:rsidR="00355797" w:rsidRPr="00355797">
        <w:t>table identifies the key community service areas and the community’s expectations in terms of those service areas. In addition the table identifies the service standards, performance measures and service targets to meet the community expectations.</w:t>
      </w:r>
    </w:p>
    <w:p w:rsidR="00164162" w:rsidRDefault="00164162" w:rsidP="00EA250C">
      <w:pPr>
        <w:ind w:left="720"/>
      </w:pP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59"/>
        <w:gridCol w:w="1276"/>
        <w:gridCol w:w="1418"/>
        <w:gridCol w:w="1559"/>
        <w:gridCol w:w="1276"/>
        <w:gridCol w:w="1381"/>
      </w:tblGrid>
      <w:tr w:rsidR="00EC2B9C" w:rsidRPr="00435EC7" w:rsidTr="00DE5F00">
        <w:trPr>
          <w:cantSplit/>
          <w:tblHeader/>
          <w:jc w:val="right"/>
        </w:trPr>
        <w:tc>
          <w:tcPr>
            <w:tcW w:w="1559" w:type="dxa"/>
            <w:shd w:val="clear" w:color="auto" w:fill="95B3D7" w:themeFill="accent1" w:themeFillTint="99"/>
            <w:vAlign w:val="bottom"/>
          </w:tcPr>
          <w:p w:rsidR="00AC1764" w:rsidRPr="00435EC7" w:rsidRDefault="00AC1764" w:rsidP="00693594">
            <w:pPr>
              <w:spacing w:before="120" w:after="120"/>
              <w:jc w:val="center"/>
              <w:rPr>
                <w:rFonts w:cs="Arial"/>
                <w:b/>
                <w:sz w:val="16"/>
                <w:szCs w:val="16"/>
              </w:rPr>
            </w:pPr>
            <w:r w:rsidRPr="00435EC7">
              <w:rPr>
                <w:rFonts w:cs="Arial"/>
                <w:b/>
                <w:sz w:val="16"/>
                <w:szCs w:val="16"/>
              </w:rPr>
              <w:t>Key Service Area</w:t>
            </w:r>
          </w:p>
        </w:tc>
        <w:tc>
          <w:tcPr>
            <w:tcW w:w="1276" w:type="dxa"/>
            <w:shd w:val="clear" w:color="auto" w:fill="95B3D7" w:themeFill="accent1" w:themeFillTint="99"/>
            <w:vAlign w:val="bottom"/>
          </w:tcPr>
          <w:p w:rsidR="00AC1764" w:rsidRPr="00435EC7" w:rsidRDefault="00AC1764" w:rsidP="00EC2B9C">
            <w:pPr>
              <w:spacing w:before="120" w:after="120"/>
              <w:jc w:val="center"/>
              <w:rPr>
                <w:rFonts w:cs="Arial"/>
                <w:b/>
                <w:sz w:val="16"/>
                <w:szCs w:val="16"/>
              </w:rPr>
            </w:pPr>
            <w:r w:rsidRPr="00435EC7">
              <w:rPr>
                <w:rFonts w:cs="Arial"/>
                <w:b/>
                <w:sz w:val="16"/>
                <w:szCs w:val="16"/>
              </w:rPr>
              <w:t>Level of Service (Service Statement)</w:t>
            </w:r>
          </w:p>
        </w:tc>
        <w:tc>
          <w:tcPr>
            <w:tcW w:w="1418" w:type="dxa"/>
            <w:shd w:val="clear" w:color="auto" w:fill="95B3D7" w:themeFill="accent1" w:themeFillTint="99"/>
            <w:vAlign w:val="bottom"/>
          </w:tcPr>
          <w:p w:rsidR="00AC1764" w:rsidRPr="00435EC7" w:rsidRDefault="00EC2B9C" w:rsidP="00EC2B9C">
            <w:pPr>
              <w:spacing w:before="120" w:after="120"/>
              <w:jc w:val="center"/>
              <w:rPr>
                <w:rFonts w:cs="Arial"/>
                <w:b/>
                <w:sz w:val="16"/>
                <w:szCs w:val="16"/>
              </w:rPr>
            </w:pPr>
            <w:r w:rsidRPr="00435EC7">
              <w:rPr>
                <w:rFonts w:cs="Arial"/>
                <w:b/>
                <w:sz w:val="16"/>
                <w:szCs w:val="16"/>
              </w:rPr>
              <w:t>Service S</w:t>
            </w:r>
            <w:r w:rsidR="00AC1764" w:rsidRPr="00435EC7">
              <w:rPr>
                <w:rFonts w:cs="Arial"/>
                <w:b/>
                <w:sz w:val="16"/>
                <w:szCs w:val="16"/>
              </w:rPr>
              <w:t>tandard</w:t>
            </w:r>
          </w:p>
        </w:tc>
        <w:tc>
          <w:tcPr>
            <w:tcW w:w="1559" w:type="dxa"/>
            <w:shd w:val="clear" w:color="auto" w:fill="95B3D7" w:themeFill="accent1" w:themeFillTint="99"/>
            <w:vAlign w:val="bottom"/>
          </w:tcPr>
          <w:p w:rsidR="00AC1764" w:rsidRPr="00435EC7" w:rsidRDefault="00AC1764" w:rsidP="00EC2B9C">
            <w:pPr>
              <w:spacing w:before="120" w:after="120"/>
              <w:jc w:val="center"/>
              <w:rPr>
                <w:rFonts w:cs="Arial"/>
                <w:b/>
                <w:sz w:val="16"/>
                <w:szCs w:val="16"/>
              </w:rPr>
            </w:pPr>
            <w:r w:rsidRPr="00435EC7">
              <w:rPr>
                <w:rFonts w:cs="Arial"/>
                <w:b/>
                <w:sz w:val="16"/>
                <w:szCs w:val="16"/>
              </w:rPr>
              <w:t>Performance Measure</w:t>
            </w:r>
          </w:p>
        </w:tc>
        <w:tc>
          <w:tcPr>
            <w:tcW w:w="1276" w:type="dxa"/>
            <w:shd w:val="clear" w:color="auto" w:fill="95B3D7" w:themeFill="accent1" w:themeFillTint="99"/>
            <w:vAlign w:val="bottom"/>
          </w:tcPr>
          <w:p w:rsidR="00AC1764" w:rsidRPr="00435EC7" w:rsidRDefault="00AC1764" w:rsidP="00EC2B9C">
            <w:pPr>
              <w:spacing w:before="120" w:after="120"/>
              <w:jc w:val="center"/>
              <w:rPr>
                <w:rFonts w:cs="Arial"/>
                <w:b/>
                <w:sz w:val="16"/>
                <w:szCs w:val="16"/>
              </w:rPr>
            </w:pPr>
            <w:r w:rsidRPr="00435EC7">
              <w:rPr>
                <w:rFonts w:cs="Arial"/>
                <w:b/>
                <w:sz w:val="16"/>
                <w:szCs w:val="16"/>
              </w:rPr>
              <w:t>Target</w:t>
            </w:r>
          </w:p>
        </w:tc>
        <w:tc>
          <w:tcPr>
            <w:tcW w:w="1381" w:type="dxa"/>
            <w:shd w:val="clear" w:color="auto" w:fill="95B3D7" w:themeFill="accent1" w:themeFillTint="99"/>
            <w:vAlign w:val="bottom"/>
          </w:tcPr>
          <w:p w:rsidR="00AC1764" w:rsidRPr="00435EC7" w:rsidRDefault="00AC1764" w:rsidP="00EC2B9C">
            <w:pPr>
              <w:spacing w:before="120" w:after="120"/>
              <w:jc w:val="center"/>
              <w:rPr>
                <w:rFonts w:cs="Arial"/>
                <w:b/>
                <w:sz w:val="16"/>
                <w:szCs w:val="16"/>
              </w:rPr>
            </w:pPr>
            <w:r w:rsidRPr="00435EC7">
              <w:rPr>
                <w:rFonts w:cs="Arial"/>
                <w:b/>
                <w:sz w:val="16"/>
                <w:szCs w:val="16"/>
              </w:rPr>
              <w:t>Reporting</w:t>
            </w:r>
          </w:p>
        </w:tc>
      </w:tr>
      <w:tr w:rsidR="007419B2" w:rsidRPr="00435EC7" w:rsidTr="00DE5F00">
        <w:trPr>
          <w:cantSplit/>
          <w:jc w:val="right"/>
        </w:trPr>
        <w:tc>
          <w:tcPr>
            <w:tcW w:w="1559" w:type="dxa"/>
            <w:shd w:val="clear" w:color="auto" w:fill="auto"/>
          </w:tcPr>
          <w:p w:rsidR="00AC1764" w:rsidRPr="00693594" w:rsidRDefault="00AC1764" w:rsidP="00693594">
            <w:pPr>
              <w:spacing w:before="120" w:after="120"/>
              <w:jc w:val="center"/>
              <w:rPr>
                <w:rFonts w:cs="Arial"/>
                <w:b/>
                <w:sz w:val="16"/>
                <w:szCs w:val="16"/>
              </w:rPr>
            </w:pPr>
            <w:r w:rsidRPr="00693594">
              <w:rPr>
                <w:rFonts w:cs="Arial"/>
                <w:b/>
                <w:sz w:val="16"/>
                <w:szCs w:val="16"/>
              </w:rPr>
              <w:t>Availability</w:t>
            </w:r>
          </w:p>
        </w:tc>
        <w:tc>
          <w:tcPr>
            <w:tcW w:w="1276" w:type="dxa"/>
          </w:tcPr>
          <w:p w:rsidR="00AC1764" w:rsidRPr="00435EC7" w:rsidRDefault="00AC1764" w:rsidP="00EC2B9C">
            <w:pPr>
              <w:spacing w:before="120" w:after="120"/>
              <w:jc w:val="left"/>
              <w:rPr>
                <w:rFonts w:cs="Arial"/>
                <w:sz w:val="16"/>
                <w:szCs w:val="16"/>
              </w:rPr>
            </w:pPr>
            <w:r w:rsidRPr="00435EC7">
              <w:rPr>
                <w:rFonts w:cs="Arial"/>
                <w:sz w:val="16"/>
                <w:szCs w:val="16"/>
              </w:rPr>
              <w:t xml:space="preserve">Buildings are available for operational use and service delivery </w:t>
            </w:r>
          </w:p>
        </w:tc>
        <w:tc>
          <w:tcPr>
            <w:tcW w:w="1418" w:type="dxa"/>
          </w:tcPr>
          <w:p w:rsidR="00AC1764" w:rsidRPr="00435EC7" w:rsidRDefault="00AC1764" w:rsidP="00EC2B9C">
            <w:pPr>
              <w:spacing w:before="120" w:after="120"/>
              <w:jc w:val="left"/>
              <w:rPr>
                <w:rFonts w:cs="Arial"/>
                <w:sz w:val="16"/>
                <w:szCs w:val="16"/>
              </w:rPr>
            </w:pPr>
            <w:r w:rsidRPr="00435EC7">
              <w:rPr>
                <w:rFonts w:cs="Arial"/>
                <w:sz w:val="16"/>
                <w:szCs w:val="16"/>
              </w:rPr>
              <w:t>Works are planned to provide minimal impact on service delivery</w:t>
            </w:r>
          </w:p>
        </w:tc>
        <w:tc>
          <w:tcPr>
            <w:tcW w:w="1559" w:type="dxa"/>
          </w:tcPr>
          <w:p w:rsidR="00AC1764" w:rsidRPr="00435EC7" w:rsidRDefault="00AC1764" w:rsidP="00EC2B9C">
            <w:pPr>
              <w:spacing w:before="120" w:after="120"/>
              <w:jc w:val="left"/>
              <w:rPr>
                <w:rFonts w:cs="Arial"/>
                <w:sz w:val="16"/>
                <w:szCs w:val="16"/>
              </w:rPr>
            </w:pPr>
            <w:r w:rsidRPr="00435EC7">
              <w:rPr>
                <w:rFonts w:cs="Arial"/>
                <w:sz w:val="16"/>
                <w:szCs w:val="16"/>
              </w:rPr>
              <w:t>Number of unplanned building closures due to building faults or degraded asset condition.</w:t>
            </w:r>
          </w:p>
        </w:tc>
        <w:tc>
          <w:tcPr>
            <w:tcW w:w="1276" w:type="dxa"/>
          </w:tcPr>
          <w:p w:rsidR="00AC1764" w:rsidRPr="00435EC7" w:rsidRDefault="00AC1764" w:rsidP="00EC2B9C">
            <w:pPr>
              <w:spacing w:before="120" w:after="120"/>
              <w:jc w:val="left"/>
              <w:rPr>
                <w:rFonts w:cs="Arial"/>
                <w:sz w:val="16"/>
                <w:szCs w:val="16"/>
              </w:rPr>
            </w:pPr>
            <w:r w:rsidRPr="00435EC7">
              <w:rPr>
                <w:rFonts w:cs="Arial"/>
                <w:sz w:val="16"/>
                <w:szCs w:val="16"/>
              </w:rPr>
              <w:t>No more than two unplanned closures per annum per building.</w:t>
            </w:r>
          </w:p>
        </w:tc>
        <w:tc>
          <w:tcPr>
            <w:tcW w:w="1381" w:type="dxa"/>
          </w:tcPr>
          <w:p w:rsidR="00AC1764" w:rsidRPr="00435EC7" w:rsidRDefault="00AC1764" w:rsidP="00EC2B9C">
            <w:pPr>
              <w:spacing w:before="120" w:after="120"/>
              <w:jc w:val="left"/>
              <w:rPr>
                <w:rFonts w:cs="Arial"/>
                <w:sz w:val="16"/>
                <w:szCs w:val="16"/>
              </w:rPr>
            </w:pPr>
            <w:r w:rsidRPr="00435EC7">
              <w:rPr>
                <w:rFonts w:cs="Arial"/>
                <w:sz w:val="16"/>
                <w:szCs w:val="16"/>
              </w:rPr>
              <w:t xml:space="preserve">Annual report </w:t>
            </w:r>
            <w:r w:rsidR="00897C2D">
              <w:rPr>
                <w:rFonts w:cs="Arial"/>
                <w:sz w:val="16"/>
                <w:szCs w:val="16"/>
              </w:rPr>
              <w:t>TechnologyOne</w:t>
            </w:r>
          </w:p>
        </w:tc>
      </w:tr>
      <w:tr w:rsidR="007419B2" w:rsidRPr="00435EC7" w:rsidTr="00DE5F00">
        <w:trPr>
          <w:cantSplit/>
          <w:jc w:val="right"/>
        </w:trPr>
        <w:tc>
          <w:tcPr>
            <w:tcW w:w="1559" w:type="dxa"/>
            <w:shd w:val="clear" w:color="auto" w:fill="auto"/>
          </w:tcPr>
          <w:p w:rsidR="00AC1764" w:rsidRPr="00693594" w:rsidRDefault="00E87A57" w:rsidP="00693594">
            <w:pPr>
              <w:spacing w:before="120" w:after="120"/>
              <w:jc w:val="center"/>
              <w:rPr>
                <w:rFonts w:cs="Arial"/>
                <w:b/>
                <w:sz w:val="16"/>
                <w:szCs w:val="16"/>
              </w:rPr>
            </w:pPr>
            <w:r w:rsidRPr="00693594">
              <w:rPr>
                <w:rFonts w:cs="Arial"/>
                <w:b/>
                <w:sz w:val="16"/>
                <w:szCs w:val="16"/>
              </w:rPr>
              <w:t>Quality</w:t>
            </w:r>
            <w:r w:rsidR="00EC2B9C" w:rsidRPr="00693594">
              <w:rPr>
                <w:rFonts w:cs="Arial"/>
                <w:b/>
                <w:sz w:val="16"/>
                <w:szCs w:val="16"/>
              </w:rPr>
              <w:t xml:space="preserve">, </w:t>
            </w:r>
            <w:r w:rsidR="00AC1764" w:rsidRPr="00693594">
              <w:rPr>
                <w:rFonts w:cs="Arial"/>
                <w:b/>
                <w:sz w:val="16"/>
                <w:szCs w:val="16"/>
              </w:rPr>
              <w:t>Presentation and Cleanliness</w:t>
            </w:r>
          </w:p>
        </w:tc>
        <w:tc>
          <w:tcPr>
            <w:tcW w:w="1276" w:type="dxa"/>
          </w:tcPr>
          <w:p w:rsidR="00AC1764" w:rsidRPr="00435EC7" w:rsidRDefault="00AC1764" w:rsidP="00EC2B9C">
            <w:pPr>
              <w:spacing w:before="120" w:after="120"/>
              <w:jc w:val="left"/>
              <w:rPr>
                <w:rFonts w:cs="Arial"/>
                <w:sz w:val="16"/>
                <w:szCs w:val="16"/>
              </w:rPr>
            </w:pPr>
            <w:r w:rsidRPr="00435EC7">
              <w:rPr>
                <w:rFonts w:cs="Arial"/>
                <w:sz w:val="16"/>
                <w:szCs w:val="16"/>
              </w:rPr>
              <w:t>Buildings are well presented clean and fit for use.</w:t>
            </w:r>
          </w:p>
        </w:tc>
        <w:tc>
          <w:tcPr>
            <w:tcW w:w="1418" w:type="dxa"/>
          </w:tcPr>
          <w:p w:rsidR="00AC1764" w:rsidRPr="00435EC7" w:rsidRDefault="00AC1764" w:rsidP="00EC2B9C">
            <w:pPr>
              <w:spacing w:before="120" w:after="120"/>
              <w:jc w:val="left"/>
              <w:rPr>
                <w:rFonts w:cs="Arial"/>
                <w:sz w:val="16"/>
                <w:szCs w:val="16"/>
              </w:rPr>
            </w:pPr>
            <w:r w:rsidRPr="00435EC7">
              <w:rPr>
                <w:rFonts w:cs="Arial"/>
                <w:sz w:val="16"/>
                <w:szCs w:val="16"/>
              </w:rPr>
              <w:t>Cleaning and maintenance program meets service needs</w:t>
            </w:r>
          </w:p>
        </w:tc>
        <w:tc>
          <w:tcPr>
            <w:tcW w:w="1559" w:type="dxa"/>
          </w:tcPr>
          <w:p w:rsidR="00AC1764" w:rsidRPr="00435EC7" w:rsidRDefault="00AC1764" w:rsidP="00EC2B9C">
            <w:pPr>
              <w:spacing w:before="120" w:after="120"/>
              <w:jc w:val="left"/>
              <w:rPr>
                <w:rFonts w:cs="Arial"/>
                <w:sz w:val="16"/>
                <w:szCs w:val="16"/>
              </w:rPr>
            </w:pPr>
            <w:r w:rsidRPr="00435EC7">
              <w:rPr>
                <w:rFonts w:cs="Arial"/>
                <w:sz w:val="16"/>
                <w:szCs w:val="16"/>
              </w:rPr>
              <w:t>Number of customer service requests received annually</w:t>
            </w:r>
            <w:r w:rsidR="0088591C" w:rsidRPr="00435EC7">
              <w:rPr>
                <w:rFonts w:cs="Arial"/>
                <w:sz w:val="16"/>
                <w:szCs w:val="16"/>
              </w:rPr>
              <w:t>.</w:t>
            </w:r>
          </w:p>
        </w:tc>
        <w:tc>
          <w:tcPr>
            <w:tcW w:w="1276" w:type="dxa"/>
          </w:tcPr>
          <w:p w:rsidR="00AC1764" w:rsidRPr="00435EC7" w:rsidRDefault="00AC1764" w:rsidP="00EC2B9C">
            <w:pPr>
              <w:spacing w:before="120" w:after="120"/>
              <w:jc w:val="left"/>
              <w:rPr>
                <w:rFonts w:cs="Arial"/>
                <w:sz w:val="16"/>
                <w:szCs w:val="16"/>
              </w:rPr>
            </w:pPr>
            <w:r w:rsidRPr="00435EC7">
              <w:rPr>
                <w:rFonts w:cs="Arial"/>
                <w:sz w:val="16"/>
                <w:szCs w:val="16"/>
              </w:rPr>
              <w:t>10% reduction in customer complaints per annum from base year 2011-12</w:t>
            </w:r>
          </w:p>
        </w:tc>
        <w:tc>
          <w:tcPr>
            <w:tcW w:w="1381" w:type="dxa"/>
          </w:tcPr>
          <w:p w:rsidR="00AC1764" w:rsidRPr="00435EC7" w:rsidRDefault="00AC1764" w:rsidP="00EC2B9C">
            <w:pPr>
              <w:spacing w:before="120" w:after="120"/>
              <w:jc w:val="left"/>
              <w:rPr>
                <w:rFonts w:cs="Arial"/>
                <w:sz w:val="16"/>
                <w:szCs w:val="16"/>
              </w:rPr>
            </w:pPr>
            <w:r w:rsidRPr="00435EC7">
              <w:rPr>
                <w:rFonts w:cs="Arial"/>
                <w:sz w:val="16"/>
                <w:szCs w:val="16"/>
              </w:rPr>
              <w:t xml:space="preserve">Annual report </w:t>
            </w:r>
            <w:r w:rsidR="00897C2D">
              <w:rPr>
                <w:rFonts w:cs="Arial"/>
                <w:sz w:val="16"/>
                <w:szCs w:val="16"/>
              </w:rPr>
              <w:t>TechnologyOne</w:t>
            </w:r>
          </w:p>
        </w:tc>
      </w:tr>
      <w:tr w:rsidR="007419B2" w:rsidRPr="00435EC7" w:rsidTr="00DE5F00">
        <w:trPr>
          <w:cantSplit/>
          <w:jc w:val="right"/>
        </w:trPr>
        <w:tc>
          <w:tcPr>
            <w:tcW w:w="1559" w:type="dxa"/>
            <w:shd w:val="clear" w:color="auto" w:fill="auto"/>
          </w:tcPr>
          <w:p w:rsidR="00E87A57" w:rsidRPr="00693594" w:rsidRDefault="00E87A57" w:rsidP="00693594">
            <w:pPr>
              <w:spacing w:before="120" w:after="120"/>
              <w:jc w:val="center"/>
              <w:rPr>
                <w:rFonts w:cs="Arial"/>
                <w:b/>
                <w:sz w:val="16"/>
                <w:szCs w:val="16"/>
              </w:rPr>
            </w:pPr>
            <w:r w:rsidRPr="00693594">
              <w:rPr>
                <w:rFonts w:cs="Arial"/>
                <w:b/>
                <w:sz w:val="16"/>
                <w:szCs w:val="16"/>
              </w:rPr>
              <w:t>Quality</w:t>
            </w:r>
          </w:p>
          <w:p w:rsidR="00E87A57" w:rsidRPr="00693594" w:rsidRDefault="00EC2B9C" w:rsidP="00693594">
            <w:pPr>
              <w:spacing w:before="120" w:after="120"/>
              <w:jc w:val="center"/>
              <w:rPr>
                <w:rFonts w:cs="Arial"/>
                <w:b/>
                <w:sz w:val="16"/>
                <w:szCs w:val="16"/>
              </w:rPr>
            </w:pPr>
            <w:r w:rsidRPr="00693594">
              <w:rPr>
                <w:rFonts w:cs="Arial"/>
                <w:b/>
                <w:sz w:val="16"/>
                <w:szCs w:val="16"/>
              </w:rPr>
              <w:t>Building C</w:t>
            </w:r>
            <w:r w:rsidR="00E87A57" w:rsidRPr="00693594">
              <w:rPr>
                <w:rFonts w:cs="Arial"/>
                <w:b/>
                <w:sz w:val="16"/>
                <w:szCs w:val="16"/>
              </w:rPr>
              <w:t>ondition</w:t>
            </w:r>
          </w:p>
        </w:tc>
        <w:tc>
          <w:tcPr>
            <w:tcW w:w="1276" w:type="dxa"/>
          </w:tcPr>
          <w:p w:rsidR="00E87A57" w:rsidRPr="00435EC7" w:rsidRDefault="00E87A57" w:rsidP="00EC2B9C">
            <w:pPr>
              <w:spacing w:before="120" w:after="120"/>
              <w:jc w:val="left"/>
              <w:rPr>
                <w:rFonts w:cs="Arial"/>
                <w:sz w:val="16"/>
                <w:szCs w:val="16"/>
              </w:rPr>
            </w:pPr>
            <w:r w:rsidRPr="00435EC7">
              <w:rPr>
                <w:rFonts w:cs="Arial"/>
                <w:sz w:val="16"/>
                <w:szCs w:val="16"/>
              </w:rPr>
              <w:t xml:space="preserve">All </w:t>
            </w:r>
            <w:r w:rsidR="00A07062" w:rsidRPr="00435EC7">
              <w:rPr>
                <w:rFonts w:cs="Arial"/>
                <w:sz w:val="16"/>
                <w:szCs w:val="16"/>
              </w:rPr>
              <w:t>Council</w:t>
            </w:r>
            <w:r w:rsidRPr="00435EC7">
              <w:rPr>
                <w:rFonts w:cs="Arial"/>
                <w:sz w:val="16"/>
                <w:szCs w:val="16"/>
              </w:rPr>
              <w:t xml:space="preserve"> buildings and </w:t>
            </w:r>
            <w:r w:rsidR="00A07062" w:rsidRPr="00435EC7">
              <w:rPr>
                <w:rFonts w:cs="Arial"/>
                <w:sz w:val="16"/>
                <w:szCs w:val="16"/>
              </w:rPr>
              <w:t>associated</w:t>
            </w:r>
            <w:r w:rsidRPr="00435EC7">
              <w:rPr>
                <w:rFonts w:cs="Arial"/>
                <w:sz w:val="16"/>
                <w:szCs w:val="16"/>
              </w:rPr>
              <w:t xml:space="preserve"> </w:t>
            </w:r>
            <w:r w:rsidR="00A07062" w:rsidRPr="00435EC7">
              <w:rPr>
                <w:rFonts w:cs="Arial"/>
                <w:sz w:val="16"/>
                <w:szCs w:val="16"/>
              </w:rPr>
              <w:t xml:space="preserve">components are maintained </w:t>
            </w:r>
            <w:r w:rsidRPr="00435EC7">
              <w:rPr>
                <w:rFonts w:cs="Arial"/>
                <w:sz w:val="16"/>
                <w:szCs w:val="16"/>
              </w:rPr>
              <w:t>in an</w:t>
            </w:r>
            <w:r w:rsidR="00A07062" w:rsidRPr="00435EC7">
              <w:rPr>
                <w:rFonts w:cs="Arial"/>
                <w:sz w:val="16"/>
                <w:szCs w:val="16"/>
              </w:rPr>
              <w:t xml:space="preserve"> </w:t>
            </w:r>
            <w:r w:rsidRPr="00435EC7">
              <w:rPr>
                <w:rFonts w:cs="Arial"/>
                <w:sz w:val="16"/>
                <w:szCs w:val="16"/>
              </w:rPr>
              <w:t>appropriate condition</w:t>
            </w:r>
            <w:r w:rsidR="006E4331" w:rsidRPr="00435EC7">
              <w:rPr>
                <w:rFonts w:cs="Arial"/>
                <w:sz w:val="16"/>
                <w:szCs w:val="16"/>
              </w:rPr>
              <w:t>.</w:t>
            </w:r>
          </w:p>
        </w:tc>
        <w:tc>
          <w:tcPr>
            <w:tcW w:w="1418" w:type="dxa"/>
          </w:tcPr>
          <w:p w:rsidR="00E87A57" w:rsidRPr="00435EC7" w:rsidRDefault="00A07062" w:rsidP="00EC2B9C">
            <w:pPr>
              <w:spacing w:before="120" w:after="120"/>
              <w:jc w:val="left"/>
              <w:rPr>
                <w:rFonts w:cs="Arial"/>
                <w:sz w:val="16"/>
                <w:szCs w:val="16"/>
              </w:rPr>
            </w:pPr>
            <w:r w:rsidRPr="00435EC7">
              <w:rPr>
                <w:rFonts w:cs="Arial"/>
                <w:sz w:val="16"/>
                <w:szCs w:val="16"/>
              </w:rPr>
              <w:t>Buildings are available</w:t>
            </w:r>
            <w:r w:rsidR="006E4331" w:rsidRPr="00435EC7">
              <w:rPr>
                <w:rFonts w:cs="Arial"/>
                <w:sz w:val="16"/>
                <w:szCs w:val="16"/>
              </w:rPr>
              <w:t>,</w:t>
            </w:r>
            <w:r w:rsidRPr="00435EC7">
              <w:rPr>
                <w:rFonts w:cs="Arial"/>
                <w:sz w:val="16"/>
                <w:szCs w:val="16"/>
              </w:rPr>
              <w:t xml:space="preserve"> serviceable and maintained in good condition.</w:t>
            </w:r>
          </w:p>
        </w:tc>
        <w:tc>
          <w:tcPr>
            <w:tcW w:w="1559" w:type="dxa"/>
          </w:tcPr>
          <w:p w:rsidR="00E87A57" w:rsidRPr="00435EC7" w:rsidRDefault="00E87A57" w:rsidP="00EC2B9C">
            <w:pPr>
              <w:spacing w:before="120" w:after="120"/>
              <w:jc w:val="left"/>
              <w:rPr>
                <w:rFonts w:cs="Arial"/>
                <w:sz w:val="16"/>
                <w:szCs w:val="16"/>
              </w:rPr>
            </w:pPr>
            <w:r w:rsidRPr="00435EC7">
              <w:rPr>
                <w:rFonts w:cs="Arial"/>
                <w:sz w:val="16"/>
                <w:szCs w:val="16"/>
              </w:rPr>
              <w:t>Condition of complex buildings (Town Halls) is maintained to a condition grade of 8 or better.</w:t>
            </w:r>
          </w:p>
          <w:p w:rsidR="00E87A57" w:rsidRPr="00435EC7" w:rsidRDefault="00E87A57" w:rsidP="00EC2B9C">
            <w:pPr>
              <w:spacing w:before="120" w:after="120"/>
              <w:jc w:val="left"/>
              <w:rPr>
                <w:rFonts w:cs="Arial"/>
                <w:sz w:val="16"/>
                <w:szCs w:val="16"/>
              </w:rPr>
            </w:pPr>
            <w:r w:rsidRPr="00435EC7">
              <w:rPr>
                <w:rFonts w:cs="Arial"/>
                <w:sz w:val="16"/>
                <w:szCs w:val="16"/>
              </w:rPr>
              <w:t xml:space="preserve">Condition of long life </w:t>
            </w:r>
            <w:r w:rsidR="00A07062" w:rsidRPr="00435EC7">
              <w:rPr>
                <w:rFonts w:cs="Arial"/>
                <w:sz w:val="16"/>
                <w:szCs w:val="16"/>
              </w:rPr>
              <w:t xml:space="preserve">other </w:t>
            </w:r>
            <w:r w:rsidRPr="00435EC7">
              <w:rPr>
                <w:rFonts w:cs="Arial"/>
                <w:sz w:val="16"/>
                <w:szCs w:val="16"/>
              </w:rPr>
              <w:t xml:space="preserve">buildings (Pavilions, </w:t>
            </w:r>
            <w:r w:rsidR="006E4331" w:rsidRPr="00435EC7">
              <w:rPr>
                <w:rFonts w:cs="Arial"/>
                <w:sz w:val="16"/>
                <w:szCs w:val="16"/>
              </w:rPr>
              <w:t>C</w:t>
            </w:r>
            <w:r w:rsidRPr="00435EC7">
              <w:rPr>
                <w:rFonts w:cs="Arial"/>
                <w:sz w:val="16"/>
                <w:szCs w:val="16"/>
              </w:rPr>
              <w:t>hild care</w:t>
            </w:r>
            <w:r w:rsidR="006E4331" w:rsidRPr="00435EC7">
              <w:rPr>
                <w:rFonts w:cs="Arial"/>
                <w:sz w:val="16"/>
                <w:szCs w:val="16"/>
              </w:rPr>
              <w:t xml:space="preserve"> Centres</w:t>
            </w:r>
            <w:r w:rsidRPr="00435EC7">
              <w:rPr>
                <w:rFonts w:cs="Arial"/>
                <w:sz w:val="16"/>
                <w:szCs w:val="16"/>
              </w:rPr>
              <w:t>) are maintained to a condition grade of 8 or better.</w:t>
            </w:r>
          </w:p>
          <w:p w:rsidR="00E87A57" w:rsidRPr="00435EC7" w:rsidRDefault="00E87A57" w:rsidP="00EC2B9C">
            <w:pPr>
              <w:spacing w:before="120" w:after="120"/>
              <w:jc w:val="left"/>
              <w:rPr>
                <w:rFonts w:cs="Arial"/>
                <w:sz w:val="16"/>
                <w:szCs w:val="16"/>
              </w:rPr>
            </w:pPr>
            <w:r w:rsidRPr="00435EC7">
              <w:rPr>
                <w:rFonts w:cs="Arial"/>
                <w:sz w:val="16"/>
                <w:szCs w:val="16"/>
              </w:rPr>
              <w:t>Condition of short life buildings (sheds) are maintained to a condition grade of 8 or better.</w:t>
            </w:r>
          </w:p>
        </w:tc>
        <w:tc>
          <w:tcPr>
            <w:tcW w:w="1276" w:type="dxa"/>
          </w:tcPr>
          <w:p w:rsidR="00E87A57" w:rsidRPr="00435EC7" w:rsidRDefault="00A07062" w:rsidP="00EC2B9C">
            <w:pPr>
              <w:spacing w:before="120" w:after="120"/>
              <w:jc w:val="left"/>
              <w:rPr>
                <w:rFonts w:cs="Arial"/>
                <w:sz w:val="16"/>
                <w:szCs w:val="16"/>
              </w:rPr>
            </w:pPr>
            <w:r w:rsidRPr="00435EC7">
              <w:rPr>
                <w:rFonts w:cs="Arial"/>
                <w:sz w:val="16"/>
                <w:szCs w:val="16"/>
              </w:rPr>
              <w:t>No more than 1% of total replacement cost of complex buildings greater than condition 7</w:t>
            </w:r>
          </w:p>
          <w:p w:rsidR="00A07062" w:rsidRPr="00435EC7" w:rsidRDefault="00A07062" w:rsidP="00EC2B9C">
            <w:pPr>
              <w:spacing w:before="120" w:after="120"/>
              <w:jc w:val="left"/>
              <w:rPr>
                <w:rFonts w:cs="Arial"/>
                <w:sz w:val="16"/>
                <w:szCs w:val="16"/>
              </w:rPr>
            </w:pPr>
            <w:r w:rsidRPr="00435EC7">
              <w:rPr>
                <w:rFonts w:cs="Arial"/>
                <w:sz w:val="16"/>
                <w:szCs w:val="16"/>
              </w:rPr>
              <w:t>No more than 3% of total replacement cost of long life other  buildings greater than condition 7</w:t>
            </w:r>
          </w:p>
          <w:p w:rsidR="00A07062" w:rsidRPr="00435EC7" w:rsidRDefault="00A07062" w:rsidP="00EC2B9C">
            <w:pPr>
              <w:spacing w:before="120" w:after="120"/>
              <w:jc w:val="left"/>
              <w:rPr>
                <w:rFonts w:cs="Arial"/>
                <w:sz w:val="16"/>
                <w:szCs w:val="16"/>
              </w:rPr>
            </w:pPr>
            <w:r w:rsidRPr="00435EC7">
              <w:rPr>
                <w:rFonts w:cs="Arial"/>
                <w:sz w:val="16"/>
                <w:szCs w:val="16"/>
              </w:rPr>
              <w:t>No more than 5% of total replacement cost of short life buildings greater than condition 7</w:t>
            </w:r>
          </w:p>
        </w:tc>
        <w:tc>
          <w:tcPr>
            <w:tcW w:w="1381" w:type="dxa"/>
          </w:tcPr>
          <w:p w:rsidR="00E87A57" w:rsidRPr="00435EC7" w:rsidRDefault="00A07062" w:rsidP="00EC2B9C">
            <w:pPr>
              <w:spacing w:before="120" w:after="120"/>
              <w:jc w:val="left"/>
              <w:rPr>
                <w:rFonts w:cs="Arial"/>
                <w:sz w:val="16"/>
                <w:szCs w:val="16"/>
              </w:rPr>
            </w:pPr>
            <w:r w:rsidRPr="00435EC7">
              <w:rPr>
                <w:rFonts w:cs="Arial"/>
                <w:sz w:val="16"/>
                <w:szCs w:val="16"/>
              </w:rPr>
              <w:t>Four yea</w:t>
            </w:r>
            <w:r w:rsidR="006E4331" w:rsidRPr="00435EC7">
              <w:rPr>
                <w:rFonts w:cs="Arial"/>
                <w:sz w:val="16"/>
                <w:szCs w:val="16"/>
              </w:rPr>
              <w:t>rly condition assessment report.</w:t>
            </w:r>
          </w:p>
        </w:tc>
      </w:tr>
      <w:tr w:rsidR="007419B2" w:rsidRPr="00435EC7" w:rsidTr="00DE5F00">
        <w:trPr>
          <w:cantSplit/>
          <w:jc w:val="right"/>
        </w:trPr>
        <w:tc>
          <w:tcPr>
            <w:tcW w:w="1559" w:type="dxa"/>
            <w:shd w:val="clear" w:color="auto" w:fill="auto"/>
          </w:tcPr>
          <w:p w:rsidR="00AC1764" w:rsidRPr="00693594" w:rsidRDefault="00AC1764" w:rsidP="00693594">
            <w:pPr>
              <w:spacing w:before="120" w:after="120"/>
              <w:jc w:val="center"/>
              <w:rPr>
                <w:rFonts w:cs="Arial"/>
                <w:b/>
                <w:sz w:val="16"/>
                <w:szCs w:val="16"/>
              </w:rPr>
            </w:pPr>
            <w:r w:rsidRPr="00693594">
              <w:rPr>
                <w:rFonts w:cs="Arial"/>
                <w:b/>
                <w:sz w:val="16"/>
                <w:szCs w:val="16"/>
              </w:rPr>
              <w:t>Safety</w:t>
            </w:r>
          </w:p>
        </w:tc>
        <w:tc>
          <w:tcPr>
            <w:tcW w:w="1276" w:type="dxa"/>
          </w:tcPr>
          <w:p w:rsidR="00AC1764" w:rsidRPr="00435EC7" w:rsidRDefault="00AC1764" w:rsidP="00EC2B9C">
            <w:pPr>
              <w:spacing w:before="120" w:after="120"/>
              <w:jc w:val="left"/>
              <w:rPr>
                <w:rFonts w:cs="Arial"/>
                <w:sz w:val="16"/>
                <w:szCs w:val="16"/>
              </w:rPr>
            </w:pPr>
            <w:r w:rsidRPr="00435EC7">
              <w:rPr>
                <w:rFonts w:cs="Arial"/>
                <w:sz w:val="16"/>
                <w:szCs w:val="16"/>
              </w:rPr>
              <w:t>Buildings are safe and free of hazards</w:t>
            </w:r>
            <w:r w:rsidR="00DE5F00">
              <w:rPr>
                <w:rFonts w:cs="Arial"/>
                <w:sz w:val="16"/>
                <w:szCs w:val="16"/>
              </w:rPr>
              <w:t>.</w:t>
            </w:r>
          </w:p>
        </w:tc>
        <w:tc>
          <w:tcPr>
            <w:tcW w:w="1418" w:type="dxa"/>
          </w:tcPr>
          <w:p w:rsidR="00AC1764" w:rsidRPr="00435EC7" w:rsidRDefault="00AC1764" w:rsidP="00EC2B9C">
            <w:pPr>
              <w:spacing w:before="120" w:after="120"/>
              <w:jc w:val="left"/>
              <w:rPr>
                <w:rFonts w:cs="Arial"/>
                <w:sz w:val="16"/>
                <w:szCs w:val="16"/>
              </w:rPr>
            </w:pPr>
            <w:r w:rsidRPr="00435EC7">
              <w:rPr>
                <w:rFonts w:cs="Arial"/>
                <w:sz w:val="16"/>
                <w:szCs w:val="16"/>
              </w:rPr>
              <w:t>Buildings are regularly inspected and works programmed base on risk assessment.</w:t>
            </w:r>
          </w:p>
        </w:tc>
        <w:tc>
          <w:tcPr>
            <w:tcW w:w="1559" w:type="dxa"/>
          </w:tcPr>
          <w:p w:rsidR="00AC1764" w:rsidRPr="00435EC7" w:rsidRDefault="00AC1764" w:rsidP="00EC2B9C">
            <w:pPr>
              <w:spacing w:before="120" w:after="120"/>
              <w:jc w:val="left"/>
              <w:rPr>
                <w:rFonts w:cs="Arial"/>
                <w:sz w:val="16"/>
                <w:szCs w:val="16"/>
              </w:rPr>
            </w:pPr>
            <w:r w:rsidRPr="00435EC7">
              <w:rPr>
                <w:rFonts w:cs="Arial"/>
                <w:sz w:val="16"/>
                <w:szCs w:val="16"/>
              </w:rPr>
              <w:t>Number of incidents reported annually.</w:t>
            </w:r>
          </w:p>
        </w:tc>
        <w:tc>
          <w:tcPr>
            <w:tcW w:w="1276" w:type="dxa"/>
          </w:tcPr>
          <w:p w:rsidR="00AC1764" w:rsidRPr="00435EC7" w:rsidRDefault="00AC1764" w:rsidP="00EC2B9C">
            <w:pPr>
              <w:spacing w:before="120" w:after="120"/>
              <w:jc w:val="left"/>
              <w:rPr>
                <w:rFonts w:cs="Arial"/>
                <w:sz w:val="16"/>
                <w:szCs w:val="16"/>
              </w:rPr>
            </w:pPr>
            <w:r w:rsidRPr="00435EC7">
              <w:rPr>
                <w:rFonts w:cs="Arial"/>
                <w:sz w:val="16"/>
                <w:szCs w:val="16"/>
              </w:rPr>
              <w:t>Reduction 1% of incidents reported annually to OH&amp;S Co-ordinator from base year 2011-12</w:t>
            </w:r>
          </w:p>
        </w:tc>
        <w:tc>
          <w:tcPr>
            <w:tcW w:w="1381" w:type="dxa"/>
          </w:tcPr>
          <w:p w:rsidR="00AC1764" w:rsidRPr="00435EC7" w:rsidRDefault="00AC1764" w:rsidP="00EC2B9C">
            <w:pPr>
              <w:spacing w:before="120" w:after="120"/>
              <w:jc w:val="left"/>
              <w:rPr>
                <w:rFonts w:cs="Arial"/>
                <w:sz w:val="16"/>
                <w:szCs w:val="16"/>
              </w:rPr>
            </w:pPr>
            <w:r w:rsidRPr="00435EC7">
              <w:rPr>
                <w:rFonts w:cs="Arial"/>
                <w:sz w:val="16"/>
                <w:szCs w:val="16"/>
              </w:rPr>
              <w:t>OH&amp;S annual report</w:t>
            </w:r>
          </w:p>
        </w:tc>
      </w:tr>
      <w:tr w:rsidR="007419B2" w:rsidRPr="00435EC7" w:rsidTr="00DE5F00">
        <w:trPr>
          <w:cantSplit/>
          <w:jc w:val="right"/>
        </w:trPr>
        <w:tc>
          <w:tcPr>
            <w:tcW w:w="1559" w:type="dxa"/>
            <w:shd w:val="clear" w:color="auto" w:fill="auto"/>
          </w:tcPr>
          <w:p w:rsidR="00E450AD" w:rsidRPr="00693594" w:rsidRDefault="00E450AD" w:rsidP="00693594">
            <w:pPr>
              <w:spacing w:before="120" w:after="120"/>
              <w:jc w:val="center"/>
              <w:rPr>
                <w:rFonts w:cs="Arial"/>
                <w:b/>
                <w:sz w:val="16"/>
                <w:szCs w:val="16"/>
              </w:rPr>
            </w:pPr>
            <w:r w:rsidRPr="00693594">
              <w:rPr>
                <w:rFonts w:cs="Arial"/>
                <w:b/>
                <w:sz w:val="16"/>
                <w:szCs w:val="16"/>
              </w:rPr>
              <w:t>Safety</w:t>
            </w:r>
          </w:p>
        </w:tc>
        <w:tc>
          <w:tcPr>
            <w:tcW w:w="1276" w:type="dxa"/>
          </w:tcPr>
          <w:p w:rsidR="00E450AD" w:rsidRPr="00435EC7" w:rsidRDefault="00E450AD" w:rsidP="00EC2B9C">
            <w:pPr>
              <w:spacing w:before="120" w:after="120"/>
              <w:jc w:val="left"/>
              <w:rPr>
                <w:rFonts w:cs="Arial"/>
                <w:sz w:val="16"/>
                <w:szCs w:val="16"/>
              </w:rPr>
            </w:pPr>
            <w:r w:rsidRPr="00435EC7">
              <w:rPr>
                <w:rFonts w:cs="Arial"/>
                <w:sz w:val="16"/>
                <w:szCs w:val="16"/>
              </w:rPr>
              <w:t xml:space="preserve">All hazards and defect identified and either fixed or placed on a defined program for completion. </w:t>
            </w:r>
          </w:p>
        </w:tc>
        <w:tc>
          <w:tcPr>
            <w:tcW w:w="1418" w:type="dxa"/>
          </w:tcPr>
          <w:p w:rsidR="00E450AD" w:rsidRPr="00435EC7" w:rsidRDefault="00E450AD" w:rsidP="00EC2B9C">
            <w:pPr>
              <w:spacing w:before="120" w:after="120"/>
              <w:jc w:val="left"/>
              <w:rPr>
                <w:rFonts w:cs="Arial"/>
                <w:sz w:val="16"/>
                <w:szCs w:val="16"/>
              </w:rPr>
            </w:pPr>
            <w:r w:rsidRPr="00435EC7">
              <w:rPr>
                <w:rFonts w:cs="Arial"/>
                <w:sz w:val="16"/>
                <w:szCs w:val="16"/>
              </w:rPr>
              <w:t xml:space="preserve">All buildings will be inspected on at least an annual basis via a programmed approach. </w:t>
            </w:r>
          </w:p>
        </w:tc>
        <w:tc>
          <w:tcPr>
            <w:tcW w:w="1559" w:type="dxa"/>
          </w:tcPr>
          <w:p w:rsidR="00E450AD" w:rsidRPr="00435EC7" w:rsidRDefault="00E450AD" w:rsidP="00EC2B9C">
            <w:pPr>
              <w:spacing w:before="120" w:after="120"/>
              <w:jc w:val="left"/>
              <w:rPr>
                <w:rFonts w:cs="Arial"/>
                <w:sz w:val="16"/>
                <w:szCs w:val="16"/>
              </w:rPr>
            </w:pPr>
            <w:r w:rsidRPr="00435EC7">
              <w:rPr>
                <w:rFonts w:cs="Arial"/>
                <w:sz w:val="16"/>
                <w:szCs w:val="16"/>
              </w:rPr>
              <w:t xml:space="preserve">Number of inspections </w:t>
            </w:r>
          </w:p>
          <w:p w:rsidR="00E450AD" w:rsidRPr="00435EC7" w:rsidRDefault="00E450AD" w:rsidP="00EC2B9C">
            <w:pPr>
              <w:spacing w:before="120" w:after="120"/>
              <w:jc w:val="left"/>
              <w:rPr>
                <w:rFonts w:cs="Arial"/>
                <w:sz w:val="16"/>
                <w:szCs w:val="16"/>
              </w:rPr>
            </w:pPr>
            <w:r w:rsidRPr="00435EC7">
              <w:rPr>
                <w:rFonts w:cs="Arial"/>
                <w:sz w:val="16"/>
                <w:szCs w:val="16"/>
              </w:rPr>
              <w:t xml:space="preserve">Level of compliance to inspection program. </w:t>
            </w:r>
          </w:p>
        </w:tc>
        <w:tc>
          <w:tcPr>
            <w:tcW w:w="1276" w:type="dxa"/>
          </w:tcPr>
          <w:p w:rsidR="00E450AD" w:rsidRPr="00435EC7" w:rsidRDefault="00E450AD" w:rsidP="00EC2B9C">
            <w:pPr>
              <w:spacing w:before="120" w:after="120"/>
              <w:jc w:val="left"/>
              <w:rPr>
                <w:rFonts w:cs="Arial"/>
                <w:sz w:val="16"/>
                <w:szCs w:val="16"/>
              </w:rPr>
            </w:pPr>
            <w:r w:rsidRPr="00435EC7">
              <w:rPr>
                <w:rFonts w:cs="Arial"/>
                <w:sz w:val="16"/>
                <w:szCs w:val="16"/>
              </w:rPr>
              <w:t>100% compli</w:t>
            </w:r>
            <w:r w:rsidR="006E4331" w:rsidRPr="00435EC7">
              <w:rPr>
                <w:rFonts w:cs="Arial"/>
                <w:sz w:val="16"/>
                <w:szCs w:val="16"/>
              </w:rPr>
              <w:t>a</w:t>
            </w:r>
            <w:r w:rsidRPr="00435EC7">
              <w:rPr>
                <w:rFonts w:cs="Arial"/>
                <w:sz w:val="16"/>
                <w:szCs w:val="16"/>
              </w:rPr>
              <w:t>nt</w:t>
            </w:r>
          </w:p>
          <w:p w:rsidR="00E450AD" w:rsidRPr="00435EC7" w:rsidRDefault="00E450AD" w:rsidP="00EC2B9C">
            <w:pPr>
              <w:spacing w:before="120" w:after="120"/>
              <w:jc w:val="left"/>
              <w:rPr>
                <w:rFonts w:cs="Arial"/>
                <w:sz w:val="16"/>
                <w:szCs w:val="16"/>
              </w:rPr>
            </w:pPr>
            <w:r w:rsidRPr="00435EC7">
              <w:rPr>
                <w:rFonts w:cs="Arial"/>
                <w:sz w:val="16"/>
                <w:szCs w:val="16"/>
              </w:rPr>
              <w:t>95% compliant</w:t>
            </w:r>
          </w:p>
        </w:tc>
        <w:tc>
          <w:tcPr>
            <w:tcW w:w="1381" w:type="dxa"/>
          </w:tcPr>
          <w:p w:rsidR="00E450AD" w:rsidRPr="00435EC7" w:rsidRDefault="00E450AD" w:rsidP="00EC2B9C">
            <w:pPr>
              <w:spacing w:before="120" w:after="120"/>
              <w:jc w:val="left"/>
              <w:rPr>
                <w:rFonts w:cs="Arial"/>
                <w:sz w:val="16"/>
                <w:szCs w:val="16"/>
              </w:rPr>
            </w:pPr>
            <w:r w:rsidRPr="00435EC7">
              <w:rPr>
                <w:rFonts w:cs="Arial"/>
                <w:sz w:val="16"/>
                <w:szCs w:val="16"/>
              </w:rPr>
              <w:t xml:space="preserve">Monthly Merit </w:t>
            </w:r>
            <w:r w:rsidR="00897C2D">
              <w:rPr>
                <w:rFonts w:cs="Arial"/>
                <w:sz w:val="16"/>
                <w:szCs w:val="16"/>
              </w:rPr>
              <w:t>TechnologyOne</w:t>
            </w:r>
            <w:r w:rsidRPr="00435EC7">
              <w:rPr>
                <w:rFonts w:cs="Arial"/>
                <w:sz w:val="16"/>
                <w:szCs w:val="16"/>
              </w:rPr>
              <w:t xml:space="preserve"> report</w:t>
            </w:r>
          </w:p>
        </w:tc>
      </w:tr>
      <w:tr w:rsidR="007419B2" w:rsidRPr="00435EC7" w:rsidTr="00DE5F00">
        <w:trPr>
          <w:cantSplit/>
          <w:jc w:val="right"/>
        </w:trPr>
        <w:tc>
          <w:tcPr>
            <w:tcW w:w="1559" w:type="dxa"/>
            <w:shd w:val="clear" w:color="auto" w:fill="auto"/>
          </w:tcPr>
          <w:p w:rsidR="00AC1764" w:rsidRPr="00693594" w:rsidRDefault="00AC1764" w:rsidP="00693594">
            <w:pPr>
              <w:spacing w:before="120" w:after="120"/>
              <w:jc w:val="center"/>
              <w:rPr>
                <w:rFonts w:cs="Arial"/>
                <w:b/>
                <w:sz w:val="16"/>
                <w:szCs w:val="16"/>
              </w:rPr>
            </w:pPr>
            <w:r w:rsidRPr="00693594">
              <w:rPr>
                <w:rFonts w:cs="Arial"/>
                <w:b/>
                <w:sz w:val="16"/>
                <w:szCs w:val="16"/>
              </w:rPr>
              <w:t>Responsiveness</w:t>
            </w:r>
          </w:p>
        </w:tc>
        <w:tc>
          <w:tcPr>
            <w:tcW w:w="1276" w:type="dxa"/>
          </w:tcPr>
          <w:p w:rsidR="00AC1764" w:rsidRPr="00435EC7" w:rsidRDefault="00AC1764" w:rsidP="00EC2B9C">
            <w:pPr>
              <w:spacing w:before="120" w:after="120"/>
              <w:jc w:val="left"/>
              <w:rPr>
                <w:rFonts w:cs="Arial"/>
                <w:sz w:val="16"/>
                <w:szCs w:val="16"/>
              </w:rPr>
            </w:pPr>
            <w:r w:rsidRPr="00435EC7">
              <w:rPr>
                <w:rFonts w:cs="Arial"/>
                <w:sz w:val="16"/>
                <w:szCs w:val="16"/>
              </w:rPr>
              <w:t>Customer service requests will be responded to in a timely manner and rectified within agreed timelines.</w:t>
            </w:r>
          </w:p>
        </w:tc>
        <w:tc>
          <w:tcPr>
            <w:tcW w:w="1418" w:type="dxa"/>
          </w:tcPr>
          <w:p w:rsidR="00AC1764" w:rsidRPr="00435EC7" w:rsidRDefault="00AC1764" w:rsidP="00EC2B9C">
            <w:pPr>
              <w:spacing w:before="120" w:after="120"/>
              <w:jc w:val="left"/>
              <w:rPr>
                <w:rFonts w:cs="Arial"/>
                <w:sz w:val="16"/>
                <w:szCs w:val="16"/>
              </w:rPr>
            </w:pPr>
            <w:r w:rsidRPr="00435EC7">
              <w:rPr>
                <w:rFonts w:cs="Arial"/>
                <w:sz w:val="16"/>
                <w:szCs w:val="16"/>
              </w:rPr>
              <w:t>Response targets based on risk assessment:</w:t>
            </w:r>
          </w:p>
          <w:p w:rsidR="00AC1764" w:rsidRPr="00435EC7" w:rsidRDefault="00AC1764" w:rsidP="00EC2B9C">
            <w:pPr>
              <w:spacing w:before="120" w:after="120"/>
              <w:jc w:val="left"/>
              <w:rPr>
                <w:rFonts w:cs="Arial"/>
                <w:sz w:val="16"/>
                <w:szCs w:val="16"/>
              </w:rPr>
            </w:pPr>
            <w:r w:rsidRPr="00435EC7">
              <w:rPr>
                <w:rFonts w:cs="Arial"/>
                <w:sz w:val="16"/>
                <w:szCs w:val="16"/>
              </w:rPr>
              <w:t>Extreme: immediate response</w:t>
            </w:r>
          </w:p>
          <w:p w:rsidR="00AC1764" w:rsidRPr="00435EC7" w:rsidRDefault="00AC1764" w:rsidP="00EC2B9C">
            <w:pPr>
              <w:spacing w:before="120" w:after="120"/>
              <w:jc w:val="left"/>
              <w:rPr>
                <w:rFonts w:cs="Arial"/>
                <w:sz w:val="16"/>
                <w:szCs w:val="16"/>
              </w:rPr>
            </w:pPr>
            <w:r w:rsidRPr="00435EC7">
              <w:rPr>
                <w:rFonts w:cs="Arial"/>
                <w:sz w:val="16"/>
                <w:szCs w:val="16"/>
              </w:rPr>
              <w:t>High: within 24 hours</w:t>
            </w:r>
          </w:p>
          <w:p w:rsidR="00AC1764" w:rsidRPr="00435EC7" w:rsidRDefault="00AC1764" w:rsidP="00EC2B9C">
            <w:pPr>
              <w:spacing w:before="120" w:after="120"/>
              <w:jc w:val="left"/>
              <w:rPr>
                <w:rFonts w:cs="Arial"/>
                <w:sz w:val="16"/>
                <w:szCs w:val="16"/>
              </w:rPr>
            </w:pPr>
            <w:r w:rsidRPr="00435EC7">
              <w:rPr>
                <w:rFonts w:cs="Arial"/>
                <w:sz w:val="16"/>
                <w:szCs w:val="16"/>
              </w:rPr>
              <w:t>Medium: within 5 working days</w:t>
            </w:r>
          </w:p>
          <w:p w:rsidR="00AC1764" w:rsidRPr="00435EC7" w:rsidRDefault="00AC1764" w:rsidP="00EC2B9C">
            <w:pPr>
              <w:spacing w:before="120" w:after="120"/>
              <w:jc w:val="left"/>
              <w:rPr>
                <w:rFonts w:cs="Arial"/>
                <w:sz w:val="16"/>
                <w:szCs w:val="16"/>
              </w:rPr>
            </w:pPr>
            <w:r w:rsidRPr="00435EC7">
              <w:rPr>
                <w:rFonts w:cs="Arial"/>
                <w:sz w:val="16"/>
                <w:szCs w:val="16"/>
              </w:rPr>
              <w:t xml:space="preserve">Low: within routine procedures and timeframes </w:t>
            </w:r>
          </w:p>
        </w:tc>
        <w:tc>
          <w:tcPr>
            <w:tcW w:w="1559" w:type="dxa"/>
          </w:tcPr>
          <w:p w:rsidR="00AC1764" w:rsidRPr="00435EC7" w:rsidRDefault="00AC1764" w:rsidP="00EC2B9C">
            <w:pPr>
              <w:spacing w:before="120" w:after="120"/>
              <w:jc w:val="left"/>
              <w:rPr>
                <w:rFonts w:cs="Arial"/>
                <w:sz w:val="16"/>
                <w:szCs w:val="16"/>
              </w:rPr>
            </w:pPr>
            <w:r w:rsidRPr="00435EC7">
              <w:rPr>
                <w:rFonts w:cs="Arial"/>
                <w:sz w:val="16"/>
                <w:szCs w:val="16"/>
              </w:rPr>
              <w:t>Compliance with target response times</w:t>
            </w:r>
          </w:p>
        </w:tc>
        <w:tc>
          <w:tcPr>
            <w:tcW w:w="1276" w:type="dxa"/>
          </w:tcPr>
          <w:p w:rsidR="00AC1764" w:rsidRPr="00435EC7" w:rsidRDefault="00AC1764" w:rsidP="00435EC7">
            <w:pPr>
              <w:spacing w:before="120" w:after="120"/>
              <w:jc w:val="left"/>
              <w:rPr>
                <w:rFonts w:cs="Arial"/>
                <w:sz w:val="16"/>
                <w:szCs w:val="16"/>
              </w:rPr>
            </w:pPr>
            <w:r w:rsidRPr="00435EC7">
              <w:rPr>
                <w:rFonts w:cs="Arial"/>
                <w:sz w:val="16"/>
                <w:szCs w:val="16"/>
              </w:rPr>
              <w:t>90% of defect notifications dealt within target response times.</w:t>
            </w:r>
          </w:p>
        </w:tc>
        <w:tc>
          <w:tcPr>
            <w:tcW w:w="1381" w:type="dxa"/>
          </w:tcPr>
          <w:p w:rsidR="00AC1764" w:rsidRPr="00435EC7" w:rsidRDefault="00AC1764" w:rsidP="00EC2B9C">
            <w:pPr>
              <w:spacing w:before="120" w:after="120"/>
              <w:jc w:val="left"/>
              <w:rPr>
                <w:rFonts w:cs="Arial"/>
                <w:sz w:val="16"/>
                <w:szCs w:val="16"/>
              </w:rPr>
            </w:pPr>
            <w:r w:rsidRPr="00435EC7">
              <w:rPr>
                <w:rFonts w:cs="Arial"/>
                <w:sz w:val="16"/>
                <w:szCs w:val="16"/>
              </w:rPr>
              <w:t xml:space="preserve">Monthly merit </w:t>
            </w:r>
            <w:r w:rsidR="00927AFA">
              <w:rPr>
                <w:rFonts w:cs="Arial"/>
                <w:sz w:val="16"/>
                <w:szCs w:val="16"/>
              </w:rPr>
              <w:t>and</w:t>
            </w:r>
            <w:r w:rsidRPr="00435EC7">
              <w:rPr>
                <w:rFonts w:cs="Arial"/>
                <w:sz w:val="16"/>
                <w:szCs w:val="16"/>
              </w:rPr>
              <w:t xml:space="preserve"> </w:t>
            </w:r>
            <w:r w:rsidR="00897C2D">
              <w:rPr>
                <w:rFonts w:cs="Arial"/>
                <w:sz w:val="16"/>
                <w:szCs w:val="16"/>
              </w:rPr>
              <w:t>TechnologyOne</w:t>
            </w:r>
            <w:r w:rsidRPr="00435EC7">
              <w:rPr>
                <w:rFonts w:cs="Arial"/>
                <w:sz w:val="16"/>
                <w:szCs w:val="16"/>
              </w:rPr>
              <w:t xml:space="preserve"> report.</w:t>
            </w:r>
          </w:p>
        </w:tc>
      </w:tr>
      <w:tr w:rsidR="007419B2" w:rsidRPr="00435EC7" w:rsidTr="00DE5F00">
        <w:trPr>
          <w:cantSplit/>
          <w:jc w:val="right"/>
        </w:trPr>
        <w:tc>
          <w:tcPr>
            <w:tcW w:w="1559" w:type="dxa"/>
            <w:shd w:val="clear" w:color="auto" w:fill="auto"/>
          </w:tcPr>
          <w:p w:rsidR="00AC1764" w:rsidRPr="00693594" w:rsidRDefault="00AC1764" w:rsidP="00693594">
            <w:pPr>
              <w:spacing w:before="120" w:after="120"/>
              <w:jc w:val="center"/>
              <w:rPr>
                <w:rFonts w:cs="Arial"/>
                <w:b/>
                <w:sz w:val="16"/>
                <w:szCs w:val="16"/>
              </w:rPr>
            </w:pPr>
            <w:r w:rsidRPr="00693594">
              <w:rPr>
                <w:rFonts w:cs="Arial"/>
                <w:b/>
                <w:sz w:val="16"/>
                <w:szCs w:val="16"/>
              </w:rPr>
              <w:t>Environmental Sustainability</w:t>
            </w:r>
          </w:p>
        </w:tc>
        <w:tc>
          <w:tcPr>
            <w:tcW w:w="1276" w:type="dxa"/>
          </w:tcPr>
          <w:p w:rsidR="00AC1764" w:rsidRPr="00435EC7" w:rsidRDefault="00AC1764" w:rsidP="00EC2B9C">
            <w:pPr>
              <w:spacing w:before="120" w:after="120"/>
              <w:jc w:val="left"/>
              <w:rPr>
                <w:rFonts w:cs="Arial"/>
                <w:sz w:val="16"/>
                <w:szCs w:val="16"/>
              </w:rPr>
            </w:pPr>
            <w:r w:rsidRPr="00435EC7">
              <w:rPr>
                <w:rFonts w:cs="Arial"/>
                <w:sz w:val="16"/>
                <w:szCs w:val="16"/>
              </w:rPr>
              <w:t>Council’s buildings are managed and maintained to minimise their impact on the environment.</w:t>
            </w:r>
          </w:p>
        </w:tc>
        <w:tc>
          <w:tcPr>
            <w:tcW w:w="1418" w:type="dxa"/>
          </w:tcPr>
          <w:p w:rsidR="00AC1764" w:rsidRPr="00435EC7" w:rsidRDefault="00AC1764" w:rsidP="00EC2B9C">
            <w:pPr>
              <w:spacing w:before="120" w:after="120"/>
              <w:jc w:val="left"/>
              <w:rPr>
                <w:rFonts w:cs="Arial"/>
                <w:sz w:val="16"/>
                <w:szCs w:val="16"/>
              </w:rPr>
            </w:pPr>
            <w:r w:rsidRPr="00435EC7">
              <w:rPr>
                <w:rFonts w:cs="Arial"/>
                <w:sz w:val="16"/>
                <w:szCs w:val="16"/>
              </w:rPr>
              <w:t>100% of all new buildings to be designed to minimise environmental impacts</w:t>
            </w:r>
          </w:p>
          <w:p w:rsidR="00AC1764" w:rsidRPr="00435EC7" w:rsidRDefault="00AC1764" w:rsidP="00EC2B9C">
            <w:pPr>
              <w:spacing w:before="120" w:after="120"/>
              <w:jc w:val="left"/>
              <w:rPr>
                <w:rFonts w:cs="Arial"/>
                <w:sz w:val="16"/>
                <w:szCs w:val="16"/>
              </w:rPr>
            </w:pPr>
            <w:r w:rsidRPr="00435EC7">
              <w:rPr>
                <w:rFonts w:cs="Arial"/>
                <w:sz w:val="16"/>
                <w:szCs w:val="16"/>
              </w:rPr>
              <w:t>Water energy consumption decreased and waste is minimised.</w:t>
            </w:r>
          </w:p>
        </w:tc>
        <w:tc>
          <w:tcPr>
            <w:tcW w:w="1559" w:type="dxa"/>
          </w:tcPr>
          <w:p w:rsidR="00AC1764" w:rsidRPr="00435EC7" w:rsidRDefault="00AC1764" w:rsidP="00EC2B9C">
            <w:pPr>
              <w:spacing w:before="120" w:after="120"/>
              <w:jc w:val="left"/>
              <w:rPr>
                <w:rFonts w:cs="Arial"/>
                <w:sz w:val="16"/>
                <w:szCs w:val="16"/>
              </w:rPr>
            </w:pPr>
            <w:r w:rsidRPr="00435EC7">
              <w:rPr>
                <w:rFonts w:cs="Arial"/>
                <w:sz w:val="16"/>
                <w:szCs w:val="16"/>
              </w:rPr>
              <w:t>Environmental impact assessment for all new facilities.</w:t>
            </w:r>
          </w:p>
          <w:p w:rsidR="00AC1764" w:rsidRPr="00435EC7" w:rsidRDefault="00AC1764" w:rsidP="00EC2B9C">
            <w:pPr>
              <w:spacing w:before="120" w:after="120"/>
              <w:jc w:val="left"/>
              <w:rPr>
                <w:rFonts w:cs="Arial"/>
                <w:sz w:val="16"/>
                <w:szCs w:val="16"/>
              </w:rPr>
            </w:pPr>
            <w:r w:rsidRPr="00435EC7">
              <w:rPr>
                <w:rFonts w:cs="Arial"/>
                <w:sz w:val="16"/>
                <w:szCs w:val="16"/>
              </w:rPr>
              <w:t>Reduced energy consumption</w:t>
            </w:r>
          </w:p>
          <w:p w:rsidR="00AC1764" w:rsidRPr="00435EC7" w:rsidRDefault="00AC1764" w:rsidP="00EC2B9C">
            <w:pPr>
              <w:spacing w:before="120" w:after="120"/>
              <w:jc w:val="left"/>
              <w:rPr>
                <w:rFonts w:cs="Arial"/>
                <w:sz w:val="16"/>
                <w:szCs w:val="16"/>
              </w:rPr>
            </w:pPr>
            <w:r w:rsidRPr="00435EC7">
              <w:rPr>
                <w:rFonts w:cs="Arial"/>
                <w:sz w:val="16"/>
                <w:szCs w:val="16"/>
              </w:rPr>
              <w:t>Compliance with ESD policy.</w:t>
            </w:r>
          </w:p>
        </w:tc>
        <w:tc>
          <w:tcPr>
            <w:tcW w:w="1276" w:type="dxa"/>
          </w:tcPr>
          <w:p w:rsidR="00AC1764" w:rsidRPr="00435EC7" w:rsidRDefault="00AC1764" w:rsidP="00EC2B9C">
            <w:pPr>
              <w:spacing w:before="120" w:after="120"/>
              <w:jc w:val="left"/>
              <w:rPr>
                <w:rFonts w:cs="Arial"/>
                <w:sz w:val="16"/>
                <w:szCs w:val="16"/>
              </w:rPr>
            </w:pPr>
            <w:r w:rsidRPr="00435EC7">
              <w:rPr>
                <w:rFonts w:cs="Arial"/>
                <w:sz w:val="16"/>
                <w:szCs w:val="16"/>
              </w:rPr>
              <w:t>Council</w:t>
            </w:r>
            <w:r w:rsidR="002D4917">
              <w:rPr>
                <w:rFonts w:cs="Arial"/>
                <w:sz w:val="16"/>
                <w:szCs w:val="16"/>
              </w:rPr>
              <w:t>’</w:t>
            </w:r>
            <w:r w:rsidRPr="00435EC7">
              <w:rPr>
                <w:rFonts w:cs="Arial"/>
                <w:sz w:val="16"/>
                <w:szCs w:val="16"/>
              </w:rPr>
              <w:t>s environmental targets are achieved</w:t>
            </w:r>
          </w:p>
        </w:tc>
        <w:tc>
          <w:tcPr>
            <w:tcW w:w="1381" w:type="dxa"/>
          </w:tcPr>
          <w:p w:rsidR="00AC1764" w:rsidRPr="00435EC7" w:rsidRDefault="00AC1764" w:rsidP="00EC2B9C">
            <w:pPr>
              <w:spacing w:before="120" w:after="120"/>
              <w:jc w:val="left"/>
              <w:rPr>
                <w:rFonts w:cs="Arial"/>
                <w:sz w:val="16"/>
                <w:szCs w:val="16"/>
              </w:rPr>
            </w:pPr>
            <w:r w:rsidRPr="00435EC7">
              <w:rPr>
                <w:rFonts w:cs="Arial"/>
                <w:sz w:val="16"/>
                <w:szCs w:val="16"/>
              </w:rPr>
              <w:t>Annual environmental footprint report.</w:t>
            </w:r>
          </w:p>
        </w:tc>
      </w:tr>
      <w:tr w:rsidR="007419B2" w:rsidRPr="00435EC7" w:rsidTr="00DE5F00">
        <w:trPr>
          <w:cantSplit/>
          <w:jc w:val="right"/>
        </w:trPr>
        <w:tc>
          <w:tcPr>
            <w:tcW w:w="1559" w:type="dxa"/>
            <w:shd w:val="clear" w:color="auto" w:fill="auto"/>
          </w:tcPr>
          <w:p w:rsidR="00AC1764" w:rsidRPr="00693594" w:rsidRDefault="00AC1764" w:rsidP="00693594">
            <w:pPr>
              <w:spacing w:before="120" w:after="120"/>
              <w:jc w:val="center"/>
              <w:rPr>
                <w:rFonts w:cs="Arial"/>
                <w:b/>
                <w:sz w:val="16"/>
                <w:szCs w:val="16"/>
              </w:rPr>
            </w:pPr>
            <w:r w:rsidRPr="00693594">
              <w:rPr>
                <w:rFonts w:cs="Arial"/>
                <w:b/>
                <w:sz w:val="16"/>
                <w:szCs w:val="16"/>
              </w:rPr>
              <w:t>Legislative compliance</w:t>
            </w:r>
          </w:p>
        </w:tc>
        <w:tc>
          <w:tcPr>
            <w:tcW w:w="1276" w:type="dxa"/>
          </w:tcPr>
          <w:p w:rsidR="00AC1764" w:rsidRPr="00435EC7" w:rsidRDefault="00AC1764" w:rsidP="00EC2B9C">
            <w:pPr>
              <w:spacing w:before="120" w:after="120"/>
              <w:jc w:val="left"/>
              <w:rPr>
                <w:rFonts w:cs="Arial"/>
                <w:sz w:val="16"/>
                <w:szCs w:val="16"/>
              </w:rPr>
            </w:pPr>
            <w:r w:rsidRPr="00435EC7">
              <w:rPr>
                <w:rFonts w:cs="Arial"/>
                <w:sz w:val="16"/>
                <w:szCs w:val="16"/>
              </w:rPr>
              <w:t>Buildings are compliant with all legislation regulations and standards.</w:t>
            </w:r>
          </w:p>
        </w:tc>
        <w:tc>
          <w:tcPr>
            <w:tcW w:w="1418" w:type="dxa"/>
          </w:tcPr>
          <w:p w:rsidR="00AC1764" w:rsidRPr="00435EC7" w:rsidRDefault="00AC1764" w:rsidP="00EC2B9C">
            <w:pPr>
              <w:spacing w:before="120" w:after="120"/>
              <w:jc w:val="left"/>
              <w:rPr>
                <w:rFonts w:cs="Arial"/>
                <w:sz w:val="16"/>
                <w:szCs w:val="16"/>
              </w:rPr>
            </w:pPr>
            <w:r w:rsidRPr="00435EC7">
              <w:rPr>
                <w:rFonts w:cs="Arial"/>
                <w:sz w:val="16"/>
                <w:szCs w:val="16"/>
              </w:rPr>
              <w:t>Buildings are regularly inspected and assessed for compliance with current legislative requirements and standards.</w:t>
            </w:r>
          </w:p>
          <w:p w:rsidR="00AC1764" w:rsidRPr="00435EC7" w:rsidRDefault="00AC1764" w:rsidP="00EC2B9C">
            <w:pPr>
              <w:spacing w:before="120" w:after="120"/>
              <w:jc w:val="left"/>
              <w:rPr>
                <w:rFonts w:cs="Arial"/>
                <w:sz w:val="16"/>
                <w:szCs w:val="16"/>
              </w:rPr>
            </w:pPr>
            <w:r w:rsidRPr="00435EC7">
              <w:rPr>
                <w:rFonts w:cs="Arial"/>
                <w:sz w:val="16"/>
                <w:szCs w:val="16"/>
              </w:rPr>
              <w:t>When major building work is carried out the building will be made compliant with current legislative requirements.</w:t>
            </w:r>
          </w:p>
        </w:tc>
        <w:tc>
          <w:tcPr>
            <w:tcW w:w="1559" w:type="dxa"/>
          </w:tcPr>
          <w:p w:rsidR="00AC1764" w:rsidRPr="00435EC7" w:rsidRDefault="00AC1764" w:rsidP="00EC2B9C">
            <w:pPr>
              <w:spacing w:before="120" w:after="120"/>
              <w:jc w:val="left"/>
              <w:rPr>
                <w:rFonts w:cs="Arial"/>
                <w:sz w:val="16"/>
                <w:szCs w:val="16"/>
              </w:rPr>
            </w:pPr>
            <w:r w:rsidRPr="00435EC7">
              <w:rPr>
                <w:rFonts w:cs="Arial"/>
                <w:sz w:val="16"/>
                <w:szCs w:val="16"/>
              </w:rPr>
              <w:t>All buildings occupied and available</w:t>
            </w:r>
            <w:r w:rsidR="001C0B66" w:rsidRPr="00435EC7">
              <w:rPr>
                <w:rFonts w:cs="Arial"/>
                <w:sz w:val="16"/>
                <w:szCs w:val="16"/>
              </w:rPr>
              <w:t xml:space="preserve"> where physically possible</w:t>
            </w:r>
            <w:r w:rsidRPr="00435EC7">
              <w:rPr>
                <w:rFonts w:cs="Arial"/>
                <w:sz w:val="16"/>
                <w:szCs w:val="16"/>
              </w:rPr>
              <w:t xml:space="preserve"> for service delivery are compliant.</w:t>
            </w:r>
          </w:p>
          <w:p w:rsidR="00AC1764" w:rsidRPr="00435EC7" w:rsidRDefault="00AC1764" w:rsidP="00435EC7">
            <w:pPr>
              <w:spacing w:before="120" w:after="120"/>
              <w:jc w:val="left"/>
              <w:rPr>
                <w:rFonts w:cs="Arial"/>
                <w:sz w:val="16"/>
                <w:szCs w:val="16"/>
              </w:rPr>
            </w:pPr>
            <w:r w:rsidRPr="00435EC7">
              <w:rPr>
                <w:rFonts w:cs="Arial"/>
                <w:sz w:val="16"/>
                <w:szCs w:val="16"/>
              </w:rPr>
              <w:t>All buildings are inspected annually for compliance.</w:t>
            </w:r>
          </w:p>
        </w:tc>
        <w:tc>
          <w:tcPr>
            <w:tcW w:w="1276" w:type="dxa"/>
          </w:tcPr>
          <w:p w:rsidR="00AC1764" w:rsidRPr="00435EC7" w:rsidRDefault="001C0B66" w:rsidP="00EC2B9C">
            <w:pPr>
              <w:spacing w:before="120" w:after="120"/>
              <w:jc w:val="left"/>
              <w:rPr>
                <w:rFonts w:cs="Arial"/>
                <w:sz w:val="16"/>
                <w:szCs w:val="16"/>
              </w:rPr>
            </w:pPr>
            <w:r w:rsidRPr="00435EC7">
              <w:rPr>
                <w:rFonts w:cs="Arial"/>
                <w:sz w:val="16"/>
                <w:szCs w:val="16"/>
              </w:rPr>
              <w:t>8</w:t>
            </w:r>
            <w:r w:rsidR="00AC1764" w:rsidRPr="00435EC7">
              <w:rPr>
                <w:rFonts w:cs="Arial"/>
                <w:sz w:val="16"/>
                <w:szCs w:val="16"/>
              </w:rPr>
              <w:t xml:space="preserve">0% </w:t>
            </w:r>
            <w:r w:rsidRPr="00435EC7">
              <w:rPr>
                <w:rFonts w:cs="Arial"/>
                <w:sz w:val="16"/>
                <w:szCs w:val="16"/>
              </w:rPr>
              <w:t>BCA, and DDA compliant.</w:t>
            </w:r>
          </w:p>
          <w:p w:rsidR="001C0B66" w:rsidRPr="00435EC7" w:rsidRDefault="001C0B66" w:rsidP="00EC2B9C">
            <w:pPr>
              <w:spacing w:before="120" w:after="120"/>
              <w:jc w:val="left"/>
              <w:rPr>
                <w:rFonts w:cs="Arial"/>
                <w:sz w:val="16"/>
                <w:szCs w:val="16"/>
              </w:rPr>
            </w:pPr>
            <w:r w:rsidRPr="00435EC7">
              <w:rPr>
                <w:rFonts w:cs="Arial"/>
                <w:sz w:val="16"/>
                <w:szCs w:val="16"/>
              </w:rPr>
              <w:t>!00% Essential Services Maintenance (Safe exiting from buildings)</w:t>
            </w:r>
          </w:p>
        </w:tc>
        <w:tc>
          <w:tcPr>
            <w:tcW w:w="1381" w:type="dxa"/>
          </w:tcPr>
          <w:p w:rsidR="00AC1764" w:rsidRPr="00435EC7" w:rsidRDefault="008473C2" w:rsidP="00EC2B9C">
            <w:pPr>
              <w:spacing w:before="120" w:after="120"/>
              <w:jc w:val="left"/>
              <w:rPr>
                <w:rFonts w:cs="Arial"/>
                <w:sz w:val="16"/>
                <w:szCs w:val="16"/>
              </w:rPr>
            </w:pPr>
            <w:r>
              <w:rPr>
                <w:rFonts w:cs="Arial"/>
                <w:sz w:val="16"/>
                <w:szCs w:val="16"/>
              </w:rPr>
              <w:t>Monthly/</w:t>
            </w:r>
            <w:r w:rsidR="001C0B66" w:rsidRPr="00435EC7">
              <w:rPr>
                <w:rFonts w:cs="Arial"/>
                <w:sz w:val="16"/>
                <w:szCs w:val="16"/>
              </w:rPr>
              <w:t xml:space="preserve">Annual report </w:t>
            </w:r>
            <w:r w:rsidR="00897C2D">
              <w:rPr>
                <w:rFonts w:cs="Arial"/>
                <w:sz w:val="16"/>
                <w:szCs w:val="16"/>
              </w:rPr>
              <w:t>TechnologyOne</w:t>
            </w:r>
          </w:p>
        </w:tc>
      </w:tr>
      <w:tr w:rsidR="007419B2" w:rsidRPr="00435EC7" w:rsidTr="00DE5F00">
        <w:trPr>
          <w:cantSplit/>
          <w:jc w:val="right"/>
        </w:trPr>
        <w:tc>
          <w:tcPr>
            <w:tcW w:w="1559" w:type="dxa"/>
            <w:shd w:val="clear" w:color="auto" w:fill="auto"/>
          </w:tcPr>
          <w:p w:rsidR="00AC1764" w:rsidRPr="00693594" w:rsidRDefault="00AC1764" w:rsidP="00693594">
            <w:pPr>
              <w:spacing w:before="120" w:after="120"/>
              <w:jc w:val="center"/>
              <w:rPr>
                <w:rFonts w:cs="Arial"/>
                <w:b/>
                <w:sz w:val="16"/>
                <w:szCs w:val="16"/>
              </w:rPr>
            </w:pPr>
            <w:r w:rsidRPr="00693594">
              <w:rPr>
                <w:rFonts w:cs="Arial"/>
                <w:b/>
                <w:sz w:val="16"/>
                <w:szCs w:val="16"/>
              </w:rPr>
              <w:t>Heritage Preservation</w:t>
            </w:r>
          </w:p>
        </w:tc>
        <w:tc>
          <w:tcPr>
            <w:tcW w:w="1276" w:type="dxa"/>
          </w:tcPr>
          <w:p w:rsidR="00AC1764" w:rsidRPr="00435EC7" w:rsidRDefault="00AC1764" w:rsidP="00EC2B9C">
            <w:pPr>
              <w:spacing w:before="120" w:after="120"/>
              <w:jc w:val="left"/>
              <w:rPr>
                <w:rFonts w:cs="Arial"/>
                <w:sz w:val="16"/>
                <w:szCs w:val="16"/>
              </w:rPr>
            </w:pPr>
            <w:r w:rsidRPr="00435EC7">
              <w:rPr>
                <w:rFonts w:cs="Arial"/>
                <w:sz w:val="16"/>
                <w:szCs w:val="16"/>
              </w:rPr>
              <w:t>Heritage buildings are maintained and preserved.</w:t>
            </w:r>
          </w:p>
        </w:tc>
        <w:tc>
          <w:tcPr>
            <w:tcW w:w="1418" w:type="dxa"/>
          </w:tcPr>
          <w:p w:rsidR="00AC1764" w:rsidRPr="00435EC7" w:rsidRDefault="00AC1764" w:rsidP="00EC2B9C">
            <w:pPr>
              <w:spacing w:before="120" w:after="120"/>
              <w:jc w:val="left"/>
              <w:rPr>
                <w:rFonts w:cs="Arial"/>
                <w:sz w:val="16"/>
                <w:szCs w:val="16"/>
              </w:rPr>
            </w:pPr>
            <w:r w:rsidRPr="00435EC7">
              <w:rPr>
                <w:rFonts w:cs="Arial"/>
                <w:sz w:val="16"/>
                <w:szCs w:val="16"/>
              </w:rPr>
              <w:t>Buildings that ar</w:t>
            </w:r>
            <w:r w:rsidR="006E4331" w:rsidRPr="00435EC7">
              <w:rPr>
                <w:rFonts w:cs="Arial"/>
                <w:sz w:val="16"/>
                <w:szCs w:val="16"/>
              </w:rPr>
              <w:t>e listed on Victorian Heritage R</w:t>
            </w:r>
            <w:r w:rsidRPr="00435EC7">
              <w:rPr>
                <w:rFonts w:cs="Arial"/>
                <w:sz w:val="16"/>
                <w:szCs w:val="16"/>
              </w:rPr>
              <w:t>egister are maintained and preserved.</w:t>
            </w:r>
          </w:p>
        </w:tc>
        <w:tc>
          <w:tcPr>
            <w:tcW w:w="1559" w:type="dxa"/>
          </w:tcPr>
          <w:p w:rsidR="00AC1764" w:rsidRPr="00435EC7" w:rsidRDefault="00AC1764" w:rsidP="00EC2B9C">
            <w:pPr>
              <w:spacing w:before="120" w:after="120"/>
              <w:jc w:val="left"/>
              <w:rPr>
                <w:rFonts w:cs="Arial"/>
                <w:sz w:val="16"/>
                <w:szCs w:val="16"/>
              </w:rPr>
            </w:pPr>
            <w:r w:rsidRPr="00435EC7">
              <w:rPr>
                <w:rFonts w:cs="Arial"/>
                <w:sz w:val="16"/>
                <w:szCs w:val="16"/>
              </w:rPr>
              <w:t>Heritage buildings are preserved permits are obtained prior to work being undertaken.</w:t>
            </w:r>
          </w:p>
        </w:tc>
        <w:tc>
          <w:tcPr>
            <w:tcW w:w="1276" w:type="dxa"/>
          </w:tcPr>
          <w:p w:rsidR="00AC1764" w:rsidRPr="00435EC7" w:rsidRDefault="00AC1764" w:rsidP="00EC2B9C">
            <w:pPr>
              <w:spacing w:before="120" w:after="120"/>
              <w:jc w:val="left"/>
              <w:rPr>
                <w:rFonts w:cs="Arial"/>
                <w:sz w:val="16"/>
                <w:szCs w:val="16"/>
              </w:rPr>
            </w:pPr>
            <w:r w:rsidRPr="00435EC7">
              <w:rPr>
                <w:rFonts w:cs="Arial"/>
                <w:sz w:val="16"/>
                <w:szCs w:val="16"/>
              </w:rPr>
              <w:t>100% compliant</w:t>
            </w:r>
          </w:p>
        </w:tc>
        <w:tc>
          <w:tcPr>
            <w:tcW w:w="1381" w:type="dxa"/>
          </w:tcPr>
          <w:p w:rsidR="00AC1764" w:rsidRPr="00435EC7" w:rsidRDefault="008473C2" w:rsidP="00EC2B9C">
            <w:pPr>
              <w:spacing w:before="120" w:after="120"/>
              <w:jc w:val="left"/>
              <w:rPr>
                <w:rFonts w:cs="Arial"/>
                <w:sz w:val="16"/>
                <w:szCs w:val="16"/>
              </w:rPr>
            </w:pPr>
            <w:r>
              <w:rPr>
                <w:rFonts w:cs="Arial"/>
                <w:sz w:val="16"/>
                <w:szCs w:val="16"/>
              </w:rPr>
              <w:t>Monthly/Annual report Merit</w:t>
            </w:r>
            <w:r w:rsidR="001C0B66" w:rsidRPr="00435EC7">
              <w:rPr>
                <w:rFonts w:cs="Arial"/>
                <w:sz w:val="16"/>
                <w:szCs w:val="16"/>
              </w:rPr>
              <w:t xml:space="preserve">/ </w:t>
            </w:r>
            <w:r w:rsidR="00897C2D">
              <w:rPr>
                <w:rFonts w:cs="Arial"/>
                <w:sz w:val="16"/>
                <w:szCs w:val="16"/>
              </w:rPr>
              <w:t>TechnologyOne</w:t>
            </w:r>
          </w:p>
        </w:tc>
      </w:tr>
      <w:tr w:rsidR="007419B2" w:rsidRPr="00435EC7" w:rsidTr="00DE5F00">
        <w:trPr>
          <w:cantSplit/>
          <w:jc w:val="right"/>
        </w:trPr>
        <w:tc>
          <w:tcPr>
            <w:tcW w:w="1559" w:type="dxa"/>
            <w:shd w:val="clear" w:color="auto" w:fill="auto"/>
          </w:tcPr>
          <w:p w:rsidR="00E263CA" w:rsidRPr="00693594" w:rsidRDefault="00E263CA" w:rsidP="00693594">
            <w:pPr>
              <w:spacing w:before="120" w:after="120"/>
              <w:jc w:val="center"/>
              <w:rPr>
                <w:rFonts w:cs="Arial"/>
                <w:b/>
                <w:sz w:val="16"/>
                <w:szCs w:val="16"/>
              </w:rPr>
            </w:pPr>
            <w:r w:rsidRPr="00693594">
              <w:rPr>
                <w:rFonts w:cs="Arial"/>
                <w:b/>
                <w:sz w:val="16"/>
                <w:szCs w:val="16"/>
              </w:rPr>
              <w:t>Affordability</w:t>
            </w:r>
          </w:p>
          <w:p w:rsidR="00E263CA" w:rsidRPr="00693594" w:rsidRDefault="00E263CA" w:rsidP="00693594">
            <w:pPr>
              <w:spacing w:before="120" w:after="120"/>
              <w:jc w:val="center"/>
              <w:rPr>
                <w:rFonts w:cs="Arial"/>
                <w:b/>
                <w:sz w:val="16"/>
                <w:szCs w:val="16"/>
              </w:rPr>
            </w:pPr>
            <w:r w:rsidRPr="00693594">
              <w:rPr>
                <w:rFonts w:cs="Arial"/>
                <w:b/>
                <w:sz w:val="16"/>
                <w:szCs w:val="16"/>
              </w:rPr>
              <w:t>Financial Sustainability</w:t>
            </w:r>
          </w:p>
        </w:tc>
        <w:tc>
          <w:tcPr>
            <w:tcW w:w="1276" w:type="dxa"/>
          </w:tcPr>
          <w:p w:rsidR="00E263CA" w:rsidRPr="00435EC7" w:rsidRDefault="00E263CA" w:rsidP="00EC2B9C">
            <w:pPr>
              <w:spacing w:before="120" w:after="120"/>
              <w:jc w:val="left"/>
              <w:rPr>
                <w:rFonts w:cs="Arial"/>
                <w:sz w:val="16"/>
                <w:szCs w:val="16"/>
              </w:rPr>
            </w:pPr>
            <w:r w:rsidRPr="00435EC7">
              <w:rPr>
                <w:rFonts w:cs="Arial"/>
                <w:sz w:val="16"/>
                <w:szCs w:val="16"/>
              </w:rPr>
              <w:t>To ensure target level of service is met.</w:t>
            </w:r>
          </w:p>
        </w:tc>
        <w:tc>
          <w:tcPr>
            <w:tcW w:w="1418" w:type="dxa"/>
          </w:tcPr>
          <w:p w:rsidR="00E263CA" w:rsidRPr="00435EC7" w:rsidRDefault="00E263CA" w:rsidP="00EC2B9C">
            <w:pPr>
              <w:spacing w:before="120" w:after="120"/>
              <w:jc w:val="left"/>
              <w:rPr>
                <w:rFonts w:cs="Arial"/>
                <w:sz w:val="16"/>
                <w:szCs w:val="16"/>
              </w:rPr>
            </w:pPr>
            <w:r w:rsidRPr="00435EC7">
              <w:rPr>
                <w:rFonts w:cs="Arial"/>
                <w:sz w:val="16"/>
                <w:szCs w:val="16"/>
              </w:rPr>
              <w:t>All services and goods delivered by internal or external resources that provide best value for money service</w:t>
            </w:r>
            <w:r w:rsidR="0088591C" w:rsidRPr="00435EC7">
              <w:rPr>
                <w:rFonts w:cs="Arial"/>
                <w:sz w:val="16"/>
                <w:szCs w:val="16"/>
              </w:rPr>
              <w:t>.</w:t>
            </w:r>
          </w:p>
        </w:tc>
        <w:tc>
          <w:tcPr>
            <w:tcW w:w="1559" w:type="dxa"/>
          </w:tcPr>
          <w:p w:rsidR="00E263CA" w:rsidRPr="00435EC7" w:rsidRDefault="00E263CA" w:rsidP="008473C2">
            <w:pPr>
              <w:spacing w:before="120" w:after="120"/>
              <w:jc w:val="left"/>
              <w:rPr>
                <w:rFonts w:cs="Arial"/>
                <w:sz w:val="16"/>
                <w:szCs w:val="16"/>
              </w:rPr>
            </w:pPr>
            <w:r w:rsidRPr="00435EC7">
              <w:rPr>
                <w:rFonts w:cs="Arial"/>
                <w:sz w:val="16"/>
                <w:szCs w:val="16"/>
              </w:rPr>
              <w:t>% of m</w:t>
            </w:r>
            <w:r w:rsidR="008473C2">
              <w:rPr>
                <w:rFonts w:cs="Arial"/>
                <w:sz w:val="16"/>
                <w:szCs w:val="16"/>
              </w:rPr>
              <w:t>aintenance and renewal services</w:t>
            </w:r>
            <w:r w:rsidRPr="00435EC7">
              <w:rPr>
                <w:rFonts w:cs="Arial"/>
                <w:sz w:val="16"/>
                <w:szCs w:val="16"/>
              </w:rPr>
              <w:t>/projects achieved on time, on budget and to appropriate standards</w:t>
            </w:r>
          </w:p>
        </w:tc>
        <w:tc>
          <w:tcPr>
            <w:tcW w:w="1276" w:type="dxa"/>
          </w:tcPr>
          <w:p w:rsidR="00E263CA" w:rsidRPr="00435EC7" w:rsidRDefault="00E263CA" w:rsidP="00EC2B9C">
            <w:pPr>
              <w:spacing w:before="120" w:after="120"/>
              <w:jc w:val="left"/>
              <w:rPr>
                <w:rFonts w:cs="Arial"/>
                <w:sz w:val="16"/>
                <w:szCs w:val="16"/>
              </w:rPr>
            </w:pPr>
            <w:r w:rsidRPr="00435EC7">
              <w:rPr>
                <w:rFonts w:cs="Arial"/>
                <w:sz w:val="16"/>
                <w:szCs w:val="16"/>
              </w:rPr>
              <w:t xml:space="preserve">90% of </w:t>
            </w:r>
            <w:r w:rsidR="00FD43CD" w:rsidRPr="00435EC7">
              <w:rPr>
                <w:rFonts w:cs="Arial"/>
                <w:sz w:val="16"/>
                <w:szCs w:val="16"/>
              </w:rPr>
              <w:t>work completed on time and within budget and standards.</w:t>
            </w:r>
          </w:p>
        </w:tc>
        <w:tc>
          <w:tcPr>
            <w:tcW w:w="1381" w:type="dxa"/>
          </w:tcPr>
          <w:p w:rsidR="00E263CA" w:rsidRPr="00435EC7" w:rsidRDefault="00E263CA" w:rsidP="00EC2B9C">
            <w:pPr>
              <w:spacing w:before="120" w:after="120"/>
              <w:jc w:val="left"/>
              <w:rPr>
                <w:rFonts w:cs="Arial"/>
                <w:sz w:val="16"/>
                <w:szCs w:val="16"/>
              </w:rPr>
            </w:pPr>
            <w:r w:rsidRPr="00435EC7">
              <w:rPr>
                <w:rFonts w:cs="Arial"/>
                <w:sz w:val="16"/>
                <w:szCs w:val="16"/>
              </w:rPr>
              <w:t>Annual report</w:t>
            </w:r>
          </w:p>
        </w:tc>
      </w:tr>
    </w:tbl>
    <w:p w:rsidR="00164162" w:rsidRPr="0024611A" w:rsidRDefault="00FB2B94" w:rsidP="00FB2B94">
      <w:pPr>
        <w:pStyle w:val="Caption"/>
        <w:spacing w:before="240" w:after="240"/>
        <w:ind w:left="720"/>
        <w:jc w:val="center"/>
        <w:rPr>
          <w:rFonts w:ascii="Arial" w:hAnsi="Arial"/>
          <w:i w:val="0"/>
          <w:iCs w:val="0"/>
          <w:sz w:val="20"/>
          <w:lang w:val="en-AU"/>
        </w:rPr>
      </w:pPr>
      <w:bookmarkStart w:id="404" w:name="_Toc364945431"/>
      <w:r w:rsidRPr="0024611A">
        <w:rPr>
          <w:rFonts w:ascii="Arial" w:hAnsi="Arial"/>
          <w:i w:val="0"/>
          <w:iCs w:val="0"/>
          <w:sz w:val="20"/>
          <w:lang w:val="en-AU"/>
        </w:rPr>
        <w:t xml:space="preserve">Table </w:t>
      </w:r>
      <w:r w:rsidR="0090414C" w:rsidRPr="0024611A">
        <w:rPr>
          <w:rFonts w:ascii="Arial" w:hAnsi="Arial"/>
          <w:i w:val="0"/>
          <w:iCs w:val="0"/>
          <w:sz w:val="20"/>
          <w:lang w:val="en-AU"/>
        </w:rPr>
        <w:fldChar w:fldCharType="begin"/>
      </w:r>
      <w:r w:rsidRPr="0024611A">
        <w:rPr>
          <w:rFonts w:ascii="Arial" w:hAnsi="Arial"/>
          <w:i w:val="0"/>
          <w:iCs w:val="0"/>
          <w:sz w:val="20"/>
          <w:lang w:val="en-AU"/>
        </w:rPr>
        <w:instrText xml:space="preserve"> SEQ Table \* ARABIC </w:instrText>
      </w:r>
      <w:r w:rsidR="0090414C" w:rsidRPr="0024611A">
        <w:rPr>
          <w:rFonts w:ascii="Arial" w:hAnsi="Arial"/>
          <w:i w:val="0"/>
          <w:iCs w:val="0"/>
          <w:sz w:val="20"/>
          <w:lang w:val="en-AU"/>
        </w:rPr>
        <w:fldChar w:fldCharType="separate"/>
      </w:r>
      <w:r w:rsidR="00751CEC">
        <w:rPr>
          <w:rFonts w:ascii="Arial" w:hAnsi="Arial"/>
          <w:i w:val="0"/>
          <w:iCs w:val="0"/>
          <w:noProof/>
          <w:sz w:val="20"/>
          <w:lang w:val="en-AU"/>
        </w:rPr>
        <w:t>27</w:t>
      </w:r>
      <w:r w:rsidR="0090414C" w:rsidRPr="0024611A">
        <w:rPr>
          <w:rFonts w:ascii="Arial" w:hAnsi="Arial"/>
          <w:i w:val="0"/>
          <w:iCs w:val="0"/>
          <w:sz w:val="20"/>
          <w:lang w:val="en-AU"/>
        </w:rPr>
        <w:fldChar w:fldCharType="end"/>
      </w:r>
      <w:r w:rsidRPr="0024611A">
        <w:rPr>
          <w:rFonts w:ascii="Arial" w:hAnsi="Arial"/>
          <w:i w:val="0"/>
          <w:iCs w:val="0"/>
          <w:sz w:val="20"/>
          <w:lang w:val="en-AU"/>
        </w:rPr>
        <w:t>:  Levels of Service and Performance Measures</w:t>
      </w:r>
      <w:bookmarkEnd w:id="404"/>
    </w:p>
    <w:p w:rsidR="00DF1D3F" w:rsidRDefault="00DF1D3F" w:rsidP="00435EC7">
      <w:pPr>
        <w:ind w:left="720"/>
      </w:pPr>
    </w:p>
    <w:p w:rsidR="00DF1D3F" w:rsidRDefault="00DF1D3F" w:rsidP="00435EC7">
      <w:pPr>
        <w:ind w:left="720"/>
      </w:pPr>
    </w:p>
    <w:p w:rsidR="00DF1D3F" w:rsidRDefault="00DF1D3F" w:rsidP="00435EC7">
      <w:pPr>
        <w:ind w:left="720"/>
        <w:sectPr w:rsidR="00DF1D3F" w:rsidSect="00FB2B94">
          <w:type w:val="oddPage"/>
          <w:pgSz w:w="11906" w:h="16838" w:code="9"/>
          <w:pgMar w:top="1418" w:right="1418" w:bottom="851" w:left="1418" w:header="284" w:footer="312" w:gutter="0"/>
          <w:cols w:space="720"/>
          <w:docGrid w:linePitch="360"/>
        </w:sectPr>
      </w:pPr>
    </w:p>
    <w:p w:rsidR="00E96F28" w:rsidRPr="00E062A4" w:rsidRDefault="00E96F28" w:rsidP="002F775C">
      <w:pPr>
        <w:pStyle w:val="Heading1"/>
      </w:pPr>
      <w:bookmarkStart w:id="405" w:name="_Toc364945275"/>
      <w:r w:rsidRPr="00E062A4">
        <w:t>G</w:t>
      </w:r>
      <w:r w:rsidR="00011098">
        <w:t>rowth and Demand</w:t>
      </w:r>
      <w:bookmarkEnd w:id="405"/>
    </w:p>
    <w:p w:rsidR="00647506" w:rsidRPr="006F599F" w:rsidRDefault="00647506" w:rsidP="00647506">
      <w:pPr>
        <w:rPr>
          <w:sz w:val="8"/>
        </w:rPr>
      </w:pPr>
    </w:p>
    <w:p w:rsidR="0043479C" w:rsidRDefault="0043479C" w:rsidP="002F775C">
      <w:r w:rsidRPr="004A5546">
        <w:t xml:space="preserve">In this section commentary on demand and the likely impact that of the changing demographics have been taken form a Post Gentrification discussion paper prepared by the Community </w:t>
      </w:r>
      <w:r w:rsidR="00F85FED">
        <w:t>and</w:t>
      </w:r>
      <w:r w:rsidR="004C27D1">
        <w:t xml:space="preserve"> Corporate Planning </w:t>
      </w:r>
      <w:r w:rsidRPr="004A5546">
        <w:t>Branch. Comments and assumptions are made from research by the branch, and analysis of community survey data and census data.</w:t>
      </w:r>
    </w:p>
    <w:p w:rsidR="00656F4D" w:rsidRPr="004A5546" w:rsidRDefault="00656F4D" w:rsidP="002F775C"/>
    <w:p w:rsidR="00AA4F16" w:rsidRDefault="008D6EB9" w:rsidP="004B0D5B">
      <w:pPr>
        <w:pStyle w:val="BodyText"/>
        <w:ind w:left="0"/>
        <w:jc w:val="center"/>
        <w:rPr>
          <w:lang w:val="en-NZ"/>
        </w:rPr>
      </w:pPr>
      <w:r w:rsidRPr="008D6EB9">
        <w:rPr>
          <w:noProof/>
          <w:lang w:val="en-AU" w:eastAsia="en-AU"/>
        </w:rPr>
        <w:drawing>
          <wp:inline distT="0" distB="0" distL="0" distR="0" wp14:anchorId="40CEF445" wp14:editId="5E7DBFED">
            <wp:extent cx="4867275" cy="3810000"/>
            <wp:effectExtent l="19050" t="0" r="9525" b="0"/>
            <wp:docPr id="21" name="Picture 21" descr="ward-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ward-map"/>
                    <pic:cNvPicPr>
                      <a:picLocks noChangeAspect="1" noChangeArrowheads="1"/>
                    </pic:cNvPicPr>
                  </pic:nvPicPr>
                  <pic:blipFill>
                    <a:blip r:embed="rId41" cstate="print"/>
                    <a:srcRect/>
                    <a:stretch>
                      <a:fillRect/>
                    </a:stretch>
                  </pic:blipFill>
                  <pic:spPr bwMode="auto">
                    <a:xfrm>
                      <a:off x="0" y="0"/>
                      <a:ext cx="4867275" cy="3810000"/>
                    </a:xfrm>
                    <a:prstGeom prst="rect">
                      <a:avLst/>
                    </a:prstGeom>
                    <a:noFill/>
                    <a:ln w="9525">
                      <a:noFill/>
                      <a:miter lim="800000"/>
                      <a:headEnd/>
                      <a:tailEnd/>
                    </a:ln>
                  </pic:spPr>
                </pic:pic>
              </a:graphicData>
            </a:graphic>
          </wp:inline>
        </w:drawing>
      </w:r>
    </w:p>
    <w:p w:rsidR="00656F4D" w:rsidRPr="0024611A" w:rsidRDefault="00FB2B94" w:rsidP="00FB2B94">
      <w:pPr>
        <w:pStyle w:val="Caption"/>
        <w:spacing w:before="240" w:after="240"/>
        <w:ind w:left="720"/>
        <w:jc w:val="center"/>
        <w:rPr>
          <w:rFonts w:ascii="Arial" w:hAnsi="Arial"/>
          <w:i w:val="0"/>
          <w:iCs w:val="0"/>
          <w:sz w:val="20"/>
          <w:lang w:val="en-AU"/>
        </w:rPr>
      </w:pPr>
      <w:bookmarkStart w:id="406" w:name="_Toc364945383"/>
      <w:r w:rsidRPr="0024611A">
        <w:rPr>
          <w:rFonts w:ascii="Arial" w:hAnsi="Arial"/>
          <w:i w:val="0"/>
          <w:iCs w:val="0"/>
          <w:sz w:val="20"/>
          <w:lang w:val="en-AU"/>
        </w:rPr>
        <w:t xml:space="preserve">Figure </w:t>
      </w:r>
      <w:r w:rsidR="0090414C" w:rsidRPr="0024611A">
        <w:rPr>
          <w:rFonts w:ascii="Arial" w:hAnsi="Arial"/>
          <w:i w:val="0"/>
          <w:iCs w:val="0"/>
          <w:sz w:val="20"/>
          <w:lang w:val="en-AU"/>
        </w:rPr>
        <w:fldChar w:fldCharType="begin"/>
      </w:r>
      <w:r w:rsidRPr="0024611A">
        <w:rPr>
          <w:rFonts w:ascii="Arial" w:hAnsi="Arial"/>
          <w:i w:val="0"/>
          <w:iCs w:val="0"/>
          <w:sz w:val="20"/>
          <w:lang w:val="en-AU"/>
        </w:rPr>
        <w:instrText xml:space="preserve"> SEQ Figure \* ARABIC </w:instrText>
      </w:r>
      <w:r w:rsidR="0090414C" w:rsidRPr="0024611A">
        <w:rPr>
          <w:rFonts w:ascii="Arial" w:hAnsi="Arial"/>
          <w:i w:val="0"/>
          <w:iCs w:val="0"/>
          <w:sz w:val="20"/>
          <w:lang w:val="en-AU"/>
        </w:rPr>
        <w:fldChar w:fldCharType="separate"/>
      </w:r>
      <w:r w:rsidR="00751CEC">
        <w:rPr>
          <w:rFonts w:ascii="Arial" w:hAnsi="Arial"/>
          <w:i w:val="0"/>
          <w:iCs w:val="0"/>
          <w:noProof/>
          <w:sz w:val="20"/>
          <w:lang w:val="en-AU"/>
        </w:rPr>
        <w:t>19</w:t>
      </w:r>
      <w:r w:rsidR="0090414C" w:rsidRPr="0024611A">
        <w:rPr>
          <w:rFonts w:ascii="Arial" w:hAnsi="Arial"/>
          <w:i w:val="0"/>
          <w:iCs w:val="0"/>
          <w:sz w:val="20"/>
          <w:lang w:val="en-AU"/>
        </w:rPr>
        <w:fldChar w:fldCharType="end"/>
      </w:r>
      <w:r w:rsidRPr="0024611A">
        <w:rPr>
          <w:rFonts w:ascii="Arial" w:hAnsi="Arial"/>
          <w:i w:val="0"/>
          <w:iCs w:val="0"/>
          <w:sz w:val="20"/>
          <w:lang w:val="en-AU"/>
        </w:rPr>
        <w:t>:  Ward Map of Yarra City Council</w:t>
      </w:r>
      <w:bookmarkEnd w:id="406"/>
    </w:p>
    <w:p w:rsidR="00E96F28" w:rsidRPr="00CF2212" w:rsidRDefault="00E96F28" w:rsidP="00CF2212">
      <w:pPr>
        <w:pStyle w:val="Heading2"/>
      </w:pPr>
      <w:bookmarkStart w:id="407" w:name="_Toc364945276"/>
      <w:r w:rsidRPr="00CF2212">
        <w:t>Overview</w:t>
      </w:r>
      <w:bookmarkEnd w:id="407"/>
    </w:p>
    <w:p w:rsidR="0043479C" w:rsidRDefault="00F85FED" w:rsidP="002F775C">
      <w:r>
        <w:t>M</w:t>
      </w:r>
      <w:r w:rsidR="0043479C" w:rsidRPr="004A5546">
        <w:t xml:space="preserve">ost of Yarra </w:t>
      </w:r>
      <w:r w:rsidR="00B66298">
        <w:t>C</w:t>
      </w:r>
      <w:r>
        <w:t xml:space="preserve">ity </w:t>
      </w:r>
      <w:r w:rsidR="0043479C" w:rsidRPr="004A5546">
        <w:t>can be characterised as having been working class suburbs since colonisation, replete with factories, abattoirs, tanneries and heavy industry alongside crowded, high density housing in poor condition. Surprisingly, Yarra’s population was significantly higher than it is now, with the three Cities of Collingwood, Fitzroy and Richmond home to over 100,000 residents.</w:t>
      </w:r>
    </w:p>
    <w:p w:rsidR="00656F4D" w:rsidRPr="004A5546" w:rsidRDefault="00656F4D" w:rsidP="002F775C"/>
    <w:p w:rsidR="0043479C" w:rsidRPr="004A5546" w:rsidRDefault="0043479C" w:rsidP="002F775C">
      <w:r w:rsidRPr="004A5546">
        <w:t xml:space="preserve">The City of Yarra is currently experiencing </w:t>
      </w:r>
      <w:r w:rsidR="00E67A8D">
        <w:t>“gentrification”</w:t>
      </w:r>
      <w:r w:rsidRPr="004A5546">
        <w:t xml:space="preserve">, a phenomenon across the developed world whereby the relatively low land and house prices of inner, working-class suburbs become attractive to young, educated, professionals wanting to be close to </w:t>
      </w:r>
      <w:r w:rsidR="00E67A8D">
        <w:t xml:space="preserve">employment in the </w:t>
      </w:r>
      <w:r w:rsidRPr="004A5546">
        <w:t xml:space="preserve">Central Business District </w:t>
      </w:r>
      <w:r w:rsidR="00E67A8D">
        <w:t>and</w:t>
      </w:r>
      <w:r w:rsidR="00A46317">
        <w:t xml:space="preserve"> as the main social</w:t>
      </w:r>
      <w:r w:rsidRPr="004A5546">
        <w:t>/cultural hub. The existing residents often feel threatened by this change once they realise they can no longer compete for housing and as the neighbourhoods begin to change to cater for the newer, wealthier residents.</w:t>
      </w:r>
    </w:p>
    <w:p w:rsidR="00656F4D" w:rsidRDefault="00656F4D" w:rsidP="002F775C"/>
    <w:p w:rsidR="0043479C" w:rsidRPr="004A5546" w:rsidRDefault="0043479C" w:rsidP="002F775C">
      <w:r w:rsidRPr="004A5546">
        <w:t>Residents now moving in to Yarra are not colonising working-class suburbs capitalising on cheap housing, rather they are spending significant amounts of their income to live</w:t>
      </w:r>
      <w:r w:rsidR="008473C2">
        <w:t xml:space="preserve"> close to work and the social/</w:t>
      </w:r>
      <w:r w:rsidRPr="004A5546">
        <w:t>cultural lifestyle they want – restaurants, cafes, bars, pubs, frequent and quick public transport, eclectic activity centres, the Yarra River are examples.</w:t>
      </w:r>
    </w:p>
    <w:p w:rsidR="00127CDE" w:rsidRPr="00CF2212" w:rsidRDefault="00127CDE" w:rsidP="00CF2212">
      <w:pPr>
        <w:pStyle w:val="Heading2"/>
      </w:pPr>
      <w:bookmarkStart w:id="408" w:name="_Toc364945277"/>
      <w:r w:rsidRPr="00CF2212">
        <w:t>Key Demand Drivers</w:t>
      </w:r>
      <w:bookmarkEnd w:id="408"/>
    </w:p>
    <w:p w:rsidR="0043479C" w:rsidRDefault="0043479C" w:rsidP="00656F4D">
      <w:r w:rsidRPr="004A5546">
        <w:t>Key factors impacting on building asset demand include, but not limited to:</w:t>
      </w:r>
    </w:p>
    <w:p w:rsidR="00656F4D" w:rsidRPr="004A5546" w:rsidRDefault="00656F4D" w:rsidP="00656F4D"/>
    <w:p w:rsidR="0043479C" w:rsidRPr="00656F4D" w:rsidRDefault="0043479C" w:rsidP="008348B5">
      <w:pPr>
        <w:pStyle w:val="ListParagraph"/>
        <w:numPr>
          <w:ilvl w:val="0"/>
          <w:numId w:val="71"/>
        </w:numPr>
        <w:rPr>
          <w:rFonts w:ascii="Arial" w:hAnsi="Arial" w:cs="Arial"/>
          <w:sz w:val="20"/>
        </w:rPr>
      </w:pPr>
      <w:r w:rsidRPr="00656F4D">
        <w:rPr>
          <w:rFonts w:ascii="Arial" w:hAnsi="Arial" w:cs="Arial"/>
          <w:sz w:val="20"/>
        </w:rPr>
        <w:t>Population and demographic growth trends;</w:t>
      </w:r>
    </w:p>
    <w:p w:rsidR="0043479C" w:rsidRPr="00656F4D" w:rsidRDefault="0043479C" w:rsidP="008348B5">
      <w:pPr>
        <w:pStyle w:val="ListParagraph"/>
        <w:numPr>
          <w:ilvl w:val="0"/>
          <w:numId w:val="71"/>
        </w:numPr>
        <w:rPr>
          <w:rFonts w:ascii="Arial" w:hAnsi="Arial" w:cs="Arial"/>
          <w:sz w:val="20"/>
        </w:rPr>
      </w:pPr>
      <w:r w:rsidRPr="00656F4D">
        <w:rPr>
          <w:rFonts w:ascii="Arial" w:hAnsi="Arial" w:cs="Arial"/>
          <w:sz w:val="20"/>
        </w:rPr>
        <w:t>Changes in service expectations and technologies; and</w:t>
      </w:r>
    </w:p>
    <w:p w:rsidR="0043479C" w:rsidRPr="00656F4D" w:rsidRDefault="0043479C" w:rsidP="008348B5">
      <w:pPr>
        <w:pStyle w:val="ListParagraph"/>
        <w:numPr>
          <w:ilvl w:val="0"/>
          <w:numId w:val="71"/>
        </w:numPr>
        <w:rPr>
          <w:rFonts w:ascii="Arial" w:hAnsi="Arial" w:cs="Arial"/>
          <w:sz w:val="20"/>
        </w:rPr>
      </w:pPr>
      <w:r w:rsidRPr="00656F4D">
        <w:rPr>
          <w:rFonts w:ascii="Arial" w:hAnsi="Arial" w:cs="Arial"/>
          <w:sz w:val="20"/>
        </w:rPr>
        <w:t>Regulatory changes.</w:t>
      </w:r>
    </w:p>
    <w:p w:rsidR="0043479C" w:rsidRPr="004A5546" w:rsidRDefault="0043479C" w:rsidP="00656F4D">
      <w:r w:rsidRPr="004A5546">
        <w:t xml:space="preserve">This Plan currently provides a high level overview of the above factors impacting on </w:t>
      </w:r>
      <w:r w:rsidR="004C27D1">
        <w:t>providing</w:t>
      </w:r>
      <w:r w:rsidRPr="004A5546">
        <w:t xml:space="preserve"> </w:t>
      </w:r>
      <w:r w:rsidR="004C27D1" w:rsidRPr="004A5546">
        <w:t>service</w:t>
      </w:r>
      <w:r w:rsidR="004C27D1">
        <w:t xml:space="preserve">s from Council buildings. </w:t>
      </w:r>
      <w:r w:rsidRPr="004A5546">
        <w:t>Future advanced AMPs will require significant effort to review the above factors and assess the impacts on future demand for service forecasts.</w:t>
      </w:r>
    </w:p>
    <w:p w:rsidR="00E96F28" w:rsidRPr="00CF2212" w:rsidRDefault="0043479C" w:rsidP="00CF2212">
      <w:pPr>
        <w:pStyle w:val="Heading2"/>
      </w:pPr>
      <w:bookmarkStart w:id="409" w:name="_Toc364945278"/>
      <w:r w:rsidRPr="00CF2212">
        <w:t xml:space="preserve">Population </w:t>
      </w:r>
      <w:r w:rsidR="00E96F28" w:rsidRPr="00CF2212">
        <w:t>Growth Forecast</w:t>
      </w:r>
      <w:bookmarkEnd w:id="409"/>
    </w:p>
    <w:p w:rsidR="0043479C" w:rsidRDefault="0043479C" w:rsidP="002F775C">
      <w:r w:rsidRPr="004A5546">
        <w:t>Yarra appears to be on the cusp of a new phase in its urban evolution. Sustained population growth is occurring due to the transformation of old warehouses and factories into multi-storey, high density, apartment developments. All indications are that people moving into these new apartments are not ‘average’ Yarra residents, indeed they are younger, more educated, high income professionals.</w:t>
      </w:r>
    </w:p>
    <w:p w:rsidR="00656F4D" w:rsidRPr="004A5546" w:rsidRDefault="00656F4D" w:rsidP="002F775C"/>
    <w:p w:rsidR="0043479C" w:rsidRDefault="0043479C" w:rsidP="002F775C">
      <w:r w:rsidRPr="004A5546">
        <w:t>Most Australian municipalities are undergoing an ageing of their population, either because there are relatively fewer children born, longer life expectancies, young people move to where jobs are or ‘sea’ and ‘tree’-changers move in. Inner-city municipalities like Yarra are the exception to this pattern with people drawn in for the lifestyle and professional employment, and willing or able to afford the higher house prices.</w:t>
      </w:r>
    </w:p>
    <w:p w:rsidR="00656F4D" w:rsidRPr="004A5546" w:rsidRDefault="00656F4D" w:rsidP="002F775C"/>
    <w:p w:rsidR="0043479C" w:rsidRDefault="0043479C" w:rsidP="002F775C">
      <w:r w:rsidRPr="004A5546">
        <w:t>A post-gentrified Yarra is likely to have a population of people who are clear on what they want and want it now. Cost is unlikely to be the barrier that it was for other generations, rather they will want convincing as to value. Immediacy and customisation is offered by new forms of technology, and Council will be drawn further into being judged alongside commercial alternatives/comparisons.</w:t>
      </w:r>
    </w:p>
    <w:p w:rsidR="00656F4D" w:rsidRPr="004A5546" w:rsidRDefault="00656F4D" w:rsidP="002F775C"/>
    <w:p w:rsidR="0043479C" w:rsidRDefault="0043479C" w:rsidP="002F775C">
      <w:r w:rsidRPr="004A5546">
        <w:t>Yarra had an estimated population of 80,309 at 30 June 2011, according to the latest Estimated Resident Population (ERP) figures released by the Australian Bureau of Statistics.</w:t>
      </w:r>
    </w:p>
    <w:p w:rsidR="00656F4D" w:rsidRPr="004A5546" w:rsidRDefault="00656F4D" w:rsidP="002F775C"/>
    <w:p w:rsidR="0043479C" w:rsidRDefault="0043479C" w:rsidP="002F775C">
      <w:r w:rsidRPr="004A5546">
        <w:t>This was a growth of 896 people over the previous year bringing Yarra’s overall growth for the 10 years from 2001 to 11,362 people or just over 14%.  Yarra’s average growth for the last 5 years was 1.8%, slightly lower than the State’s average of 1.9%.</w:t>
      </w:r>
    </w:p>
    <w:p w:rsidR="00656F4D" w:rsidRDefault="00656F4D" w:rsidP="002F775C"/>
    <w:p w:rsidR="00D17B90" w:rsidRPr="00D17B90" w:rsidRDefault="00FF0874" w:rsidP="00D3382E">
      <w:pPr>
        <w:jc w:val="center"/>
      </w:pPr>
      <w:r>
        <w:rPr>
          <w:noProof/>
        </w:rPr>
        <w:drawing>
          <wp:inline distT="0" distB="0" distL="0" distR="0" wp14:anchorId="1938BE2B" wp14:editId="30E42DA5">
            <wp:extent cx="5766368" cy="3323492"/>
            <wp:effectExtent l="0" t="0" r="6350" b="0"/>
            <wp:docPr id="2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42" cstate="print"/>
                    <a:srcRect t="3926" b="8776"/>
                    <a:stretch/>
                  </pic:blipFill>
                  <pic:spPr bwMode="auto">
                    <a:xfrm>
                      <a:off x="0" y="0"/>
                      <a:ext cx="5766959" cy="3323833"/>
                    </a:xfrm>
                    <a:prstGeom prst="rect">
                      <a:avLst/>
                    </a:prstGeom>
                    <a:noFill/>
                    <a:ln>
                      <a:noFill/>
                    </a:ln>
                    <a:extLst>
                      <a:ext uri="{53640926-AAD7-44D8-BBD7-CCE9431645EC}">
                        <a14:shadowObscured xmlns:a14="http://schemas.microsoft.com/office/drawing/2010/main"/>
                      </a:ext>
                    </a:extLst>
                  </pic:spPr>
                </pic:pic>
              </a:graphicData>
            </a:graphic>
          </wp:inline>
        </w:drawing>
      </w:r>
      <w:bookmarkStart w:id="410" w:name="_Toc346740221"/>
    </w:p>
    <w:p w:rsidR="00FB2B94" w:rsidRPr="0091425F" w:rsidRDefault="00FB2B94" w:rsidP="00FB2B94">
      <w:pPr>
        <w:pStyle w:val="Caption"/>
        <w:spacing w:before="240" w:after="240"/>
        <w:ind w:left="0"/>
        <w:jc w:val="center"/>
        <w:rPr>
          <w:rFonts w:ascii="Arial" w:hAnsi="Arial"/>
          <w:i w:val="0"/>
          <w:iCs w:val="0"/>
          <w:sz w:val="20"/>
          <w:lang w:val="en-AU"/>
        </w:rPr>
      </w:pPr>
      <w:bookmarkStart w:id="411" w:name="_Toc364945384"/>
      <w:r w:rsidRPr="0091425F">
        <w:rPr>
          <w:rFonts w:ascii="Arial" w:hAnsi="Arial"/>
          <w:i w:val="0"/>
          <w:iCs w:val="0"/>
          <w:sz w:val="20"/>
          <w:lang w:val="en-AU"/>
        </w:rPr>
        <w:t xml:space="preserve">Figure </w:t>
      </w:r>
      <w:r w:rsidR="0090414C" w:rsidRPr="0091425F">
        <w:rPr>
          <w:rFonts w:ascii="Arial" w:hAnsi="Arial"/>
          <w:i w:val="0"/>
          <w:iCs w:val="0"/>
          <w:sz w:val="20"/>
          <w:lang w:val="en-AU"/>
        </w:rPr>
        <w:fldChar w:fldCharType="begin"/>
      </w:r>
      <w:r w:rsidRPr="0091425F">
        <w:rPr>
          <w:rFonts w:ascii="Arial" w:hAnsi="Arial"/>
          <w:i w:val="0"/>
          <w:iCs w:val="0"/>
          <w:sz w:val="20"/>
          <w:lang w:val="en-AU"/>
        </w:rPr>
        <w:instrText xml:space="preserve"> SEQ Figure \* ARABIC </w:instrText>
      </w:r>
      <w:r w:rsidR="0090414C" w:rsidRPr="0091425F">
        <w:rPr>
          <w:rFonts w:ascii="Arial" w:hAnsi="Arial"/>
          <w:i w:val="0"/>
          <w:iCs w:val="0"/>
          <w:sz w:val="20"/>
          <w:lang w:val="en-AU"/>
        </w:rPr>
        <w:fldChar w:fldCharType="separate"/>
      </w:r>
      <w:r w:rsidR="00751CEC">
        <w:rPr>
          <w:rFonts w:ascii="Arial" w:hAnsi="Arial"/>
          <w:i w:val="0"/>
          <w:iCs w:val="0"/>
          <w:noProof/>
          <w:sz w:val="20"/>
          <w:lang w:val="en-AU"/>
        </w:rPr>
        <w:t>20</w:t>
      </w:r>
      <w:r w:rsidR="0090414C" w:rsidRPr="0091425F">
        <w:rPr>
          <w:rFonts w:ascii="Arial" w:hAnsi="Arial"/>
          <w:i w:val="0"/>
          <w:iCs w:val="0"/>
          <w:sz w:val="20"/>
          <w:lang w:val="en-AU"/>
        </w:rPr>
        <w:fldChar w:fldCharType="end"/>
      </w:r>
      <w:r w:rsidRPr="0091425F">
        <w:rPr>
          <w:rFonts w:ascii="Arial" w:hAnsi="Arial"/>
          <w:i w:val="0"/>
          <w:iCs w:val="0"/>
          <w:sz w:val="20"/>
          <w:lang w:val="en-AU"/>
        </w:rPr>
        <w:t>:  Yarra’s Population Growth 2006-2031</w:t>
      </w:r>
      <w:bookmarkEnd w:id="411"/>
    </w:p>
    <w:bookmarkEnd w:id="410"/>
    <w:p w:rsidR="0043479C" w:rsidRDefault="0043479C" w:rsidP="00032E29">
      <w:r w:rsidRPr="004A5546">
        <w:t>Significant parts of the municipality have been gradually redeveloped and gentrified since the 1980s, with the attraction of greater numbers of young, single, professional, tertiary educated, middle to high income residents to the area.</w:t>
      </w:r>
    </w:p>
    <w:p w:rsidR="00032E29" w:rsidRPr="004A5546" w:rsidRDefault="00032E29" w:rsidP="00032E29"/>
    <w:p w:rsidR="0043479C" w:rsidRPr="004A5546" w:rsidRDefault="0043479C" w:rsidP="00032E29">
      <w:r w:rsidRPr="004A5546">
        <w:t>The population of the City of Yarra is expected to grow to 102,900 by 2031 (Source: Forecast.id, Yarra City Council Website). This represents an average annual growth rate of 1.25% over the next 20 years (from 2011).</w:t>
      </w:r>
    </w:p>
    <w:p w:rsidR="00E96F28" w:rsidRPr="00CF2212" w:rsidRDefault="00E96F28" w:rsidP="00CF2212">
      <w:pPr>
        <w:pStyle w:val="Heading2"/>
      </w:pPr>
      <w:bookmarkStart w:id="412" w:name="_Toc364945279"/>
      <w:r w:rsidRPr="00CF2212">
        <w:t>Demand Trends</w:t>
      </w:r>
      <w:bookmarkEnd w:id="412"/>
    </w:p>
    <w:p w:rsidR="0043479C" w:rsidRPr="00522071" w:rsidRDefault="0043479C" w:rsidP="003E5B9F">
      <w:pPr>
        <w:pStyle w:val="StyleHeading3Heading3Char10ptBefore6pt"/>
      </w:pPr>
      <w:bookmarkStart w:id="413" w:name="_Toc346740133"/>
      <w:bookmarkStart w:id="414" w:name="_Toc364945280"/>
      <w:r w:rsidRPr="00522071">
        <w:t>Demographic Changes</w:t>
      </w:r>
      <w:bookmarkEnd w:id="413"/>
      <w:bookmarkEnd w:id="414"/>
    </w:p>
    <w:p w:rsidR="0043479C" w:rsidRDefault="0043479C" w:rsidP="00A46317">
      <w:pPr>
        <w:ind w:left="720"/>
      </w:pPr>
      <w:r w:rsidRPr="004A5546">
        <w:t xml:space="preserve">A difficulty for Council is how to plan for a community that is not yet resident. Perhaps 25% of Yarra’s population will arrive in the next 15 years yet they will not have been able to shape the community they arrive in. </w:t>
      </w:r>
    </w:p>
    <w:p w:rsidR="00A46317" w:rsidRPr="004A5546" w:rsidRDefault="00A46317" w:rsidP="00A46317">
      <w:pPr>
        <w:ind w:left="720"/>
      </w:pPr>
    </w:p>
    <w:p w:rsidR="0043479C" w:rsidRDefault="0043479C" w:rsidP="00A46317">
      <w:pPr>
        <w:ind w:left="720"/>
      </w:pPr>
      <w:r w:rsidRPr="004A5546">
        <w:t>There is a need to build into planning the physical space, and engagement opportunity, for future residents to shape their community/neighbourhoods, for there to be public space that can be shaped and reshaped.</w:t>
      </w:r>
    </w:p>
    <w:p w:rsidR="00A46317" w:rsidRPr="004A5546" w:rsidRDefault="00A46317" w:rsidP="00A46317">
      <w:pPr>
        <w:ind w:left="720"/>
      </w:pPr>
    </w:p>
    <w:p w:rsidR="0043479C" w:rsidRDefault="0043479C" w:rsidP="00A46317">
      <w:pPr>
        <w:ind w:left="720"/>
      </w:pPr>
      <w:r w:rsidRPr="004A5546">
        <w:t xml:space="preserve">Community Planning </w:t>
      </w:r>
      <w:r w:rsidR="00927AFA">
        <w:t>and</w:t>
      </w:r>
      <w:r w:rsidRPr="004A5546">
        <w:t xml:space="preserve"> Advocacy has commenced a rolling survey of ‘new’ apartment buildings – sampling a few apartment complexes across different suburbs to better understand who is moving in, what their experience has been and what services they currently use or expect</w:t>
      </w:r>
      <w:r w:rsidR="00A46317">
        <w:t xml:space="preserve"> to use in the next 1-2 years.</w:t>
      </w:r>
    </w:p>
    <w:p w:rsidR="00A46317" w:rsidRPr="004A5546" w:rsidRDefault="00A46317" w:rsidP="00A46317">
      <w:pPr>
        <w:ind w:left="720"/>
      </w:pPr>
    </w:p>
    <w:p w:rsidR="0043479C" w:rsidRDefault="0043479C" w:rsidP="00A46317">
      <w:pPr>
        <w:ind w:left="720"/>
      </w:pPr>
      <w:r w:rsidRPr="004A5546">
        <w:t>So far the survey results show that:</w:t>
      </w:r>
    </w:p>
    <w:p w:rsidR="00A46317" w:rsidRPr="004A5546" w:rsidRDefault="00A46317" w:rsidP="00A46317">
      <w:pPr>
        <w:ind w:left="720"/>
      </w:pPr>
    </w:p>
    <w:p w:rsidR="0043479C" w:rsidRPr="00A46317" w:rsidRDefault="0043479C" w:rsidP="008348B5">
      <w:pPr>
        <w:pStyle w:val="ListParagraph"/>
        <w:numPr>
          <w:ilvl w:val="0"/>
          <w:numId w:val="72"/>
        </w:numPr>
        <w:rPr>
          <w:rFonts w:ascii="Arial" w:hAnsi="Arial" w:cs="Arial"/>
          <w:sz w:val="20"/>
        </w:rPr>
      </w:pPr>
      <w:r w:rsidRPr="00A46317">
        <w:rPr>
          <w:rFonts w:ascii="Arial" w:hAnsi="Arial" w:cs="Arial"/>
          <w:sz w:val="20"/>
        </w:rPr>
        <w:t>Households are more likely to be couples without children, around 45% compared to a 26% average for Yarra;</w:t>
      </w:r>
    </w:p>
    <w:p w:rsidR="0043479C" w:rsidRPr="00A46317" w:rsidRDefault="0043479C" w:rsidP="008348B5">
      <w:pPr>
        <w:pStyle w:val="ListParagraph"/>
        <w:numPr>
          <w:ilvl w:val="0"/>
          <w:numId w:val="72"/>
        </w:numPr>
        <w:rPr>
          <w:rFonts w:ascii="Arial" w:hAnsi="Arial" w:cs="Arial"/>
          <w:sz w:val="20"/>
        </w:rPr>
      </w:pPr>
      <w:r w:rsidRPr="00A46317">
        <w:rPr>
          <w:rFonts w:ascii="Arial" w:hAnsi="Arial" w:cs="Arial"/>
          <w:sz w:val="20"/>
        </w:rPr>
        <w:t>Residents are more likely to be aged 25-49 years old, 63% compared to Yarra’s average of 51%;</w:t>
      </w:r>
    </w:p>
    <w:p w:rsidR="0043479C" w:rsidRPr="00A46317" w:rsidRDefault="0043479C" w:rsidP="008348B5">
      <w:pPr>
        <w:pStyle w:val="ListParagraph"/>
        <w:numPr>
          <w:ilvl w:val="0"/>
          <w:numId w:val="72"/>
        </w:numPr>
        <w:rPr>
          <w:rFonts w:ascii="Arial" w:hAnsi="Arial" w:cs="Arial"/>
          <w:sz w:val="20"/>
        </w:rPr>
      </w:pPr>
      <w:r w:rsidRPr="00A46317">
        <w:rPr>
          <w:rFonts w:ascii="Arial" w:hAnsi="Arial" w:cs="Arial"/>
          <w:sz w:val="20"/>
        </w:rPr>
        <w:t>People move in for the lifestyle and activity in their neighbourhood, also expressed as the proximity/closeness to everything;</w:t>
      </w:r>
    </w:p>
    <w:p w:rsidR="0043479C" w:rsidRPr="00A46317" w:rsidRDefault="0043479C" w:rsidP="008348B5">
      <w:pPr>
        <w:pStyle w:val="ListParagraph"/>
        <w:numPr>
          <w:ilvl w:val="0"/>
          <w:numId w:val="72"/>
        </w:numPr>
        <w:rPr>
          <w:rFonts w:ascii="Arial" w:hAnsi="Arial" w:cs="Arial"/>
          <w:sz w:val="20"/>
        </w:rPr>
      </w:pPr>
      <w:r w:rsidRPr="00A46317">
        <w:rPr>
          <w:rFonts w:ascii="Arial" w:hAnsi="Arial" w:cs="Arial"/>
          <w:sz w:val="20"/>
        </w:rPr>
        <w:t>New residents report issues with traffic and a lack of parking, as well as some issues with noise and social issues such as public drinking and drug use;</w:t>
      </w:r>
    </w:p>
    <w:p w:rsidR="0043479C" w:rsidRPr="00A46317" w:rsidRDefault="0043479C" w:rsidP="008348B5">
      <w:pPr>
        <w:pStyle w:val="ListParagraph"/>
        <w:numPr>
          <w:ilvl w:val="0"/>
          <w:numId w:val="72"/>
        </w:numPr>
        <w:rPr>
          <w:rFonts w:ascii="Arial" w:hAnsi="Arial" w:cs="Arial"/>
          <w:sz w:val="20"/>
        </w:rPr>
      </w:pPr>
      <w:r w:rsidRPr="00A46317">
        <w:rPr>
          <w:rFonts w:ascii="Arial" w:hAnsi="Arial" w:cs="Arial"/>
          <w:sz w:val="20"/>
        </w:rPr>
        <w:t>Half of new residents report using libraries, a little less than half the leisure centres/pools, around 1 in 3 use the at-call hard waste collection;</w:t>
      </w:r>
    </w:p>
    <w:p w:rsidR="0043479C" w:rsidRPr="00A46317" w:rsidRDefault="0043479C" w:rsidP="008348B5">
      <w:pPr>
        <w:pStyle w:val="ListParagraph"/>
        <w:numPr>
          <w:ilvl w:val="0"/>
          <w:numId w:val="72"/>
        </w:numPr>
        <w:rPr>
          <w:rFonts w:ascii="Arial" w:hAnsi="Arial" w:cs="Arial"/>
          <w:sz w:val="20"/>
        </w:rPr>
      </w:pPr>
      <w:r w:rsidRPr="00A46317">
        <w:rPr>
          <w:rFonts w:ascii="Arial" w:hAnsi="Arial" w:cs="Arial"/>
          <w:sz w:val="20"/>
        </w:rPr>
        <w:t xml:space="preserve">Around 15% are expected to use Maternal </w:t>
      </w:r>
      <w:r w:rsidR="00927AFA">
        <w:rPr>
          <w:rFonts w:ascii="Arial" w:hAnsi="Arial" w:cs="Arial"/>
          <w:sz w:val="20"/>
        </w:rPr>
        <w:t>and</w:t>
      </w:r>
      <w:r w:rsidRPr="00A46317">
        <w:rPr>
          <w:rFonts w:ascii="Arial" w:hAnsi="Arial" w:cs="Arial"/>
          <w:sz w:val="20"/>
        </w:rPr>
        <w:t xml:space="preserve"> Child Health services in the next 1-2 years and around 8% pre-schools; and</w:t>
      </w:r>
    </w:p>
    <w:p w:rsidR="0043479C" w:rsidRPr="00A46317" w:rsidRDefault="0043479C" w:rsidP="008348B5">
      <w:pPr>
        <w:pStyle w:val="ListParagraph"/>
        <w:numPr>
          <w:ilvl w:val="0"/>
          <w:numId w:val="72"/>
        </w:numPr>
        <w:rPr>
          <w:rFonts w:ascii="Arial" w:hAnsi="Arial" w:cs="Arial"/>
          <w:sz w:val="20"/>
        </w:rPr>
      </w:pPr>
      <w:r w:rsidRPr="00A46317">
        <w:rPr>
          <w:rFonts w:ascii="Arial" w:hAnsi="Arial" w:cs="Arial"/>
          <w:sz w:val="20"/>
        </w:rPr>
        <w:t xml:space="preserve">This apartment is not necessarily their only </w:t>
      </w:r>
      <w:r w:rsidR="00E67A8D" w:rsidRPr="00A46317">
        <w:rPr>
          <w:rFonts w:ascii="Arial" w:hAnsi="Arial" w:cs="Arial"/>
          <w:sz w:val="20"/>
        </w:rPr>
        <w:t>property</w:t>
      </w:r>
      <w:r w:rsidRPr="00A46317">
        <w:rPr>
          <w:rFonts w:ascii="Arial" w:hAnsi="Arial" w:cs="Arial"/>
          <w:sz w:val="20"/>
        </w:rPr>
        <w:t>.</w:t>
      </w:r>
    </w:p>
    <w:p w:rsidR="00602B52" w:rsidRDefault="00602B52" w:rsidP="00A46317">
      <w:pPr>
        <w:ind w:left="720"/>
      </w:pPr>
    </w:p>
    <w:p w:rsidR="0043479C" w:rsidRPr="004A5546" w:rsidRDefault="0043479C" w:rsidP="00A46317">
      <w:pPr>
        <w:ind w:left="720"/>
      </w:pPr>
      <w:r w:rsidRPr="004A5546">
        <w:t xml:space="preserve">In recent Census around 50% of residents in Yarra had a lived at a different address five years earlier, reflecting a more transient population than the Victorian average. </w:t>
      </w:r>
    </w:p>
    <w:p w:rsidR="0043479C" w:rsidRPr="00522071" w:rsidRDefault="0043479C" w:rsidP="003E5B9F">
      <w:pPr>
        <w:pStyle w:val="StyleHeading3Heading3Char10ptBefore6pt"/>
      </w:pPr>
      <w:bookmarkStart w:id="415" w:name="_Toc341191939"/>
      <w:bookmarkStart w:id="416" w:name="_Toc341193480"/>
      <w:bookmarkStart w:id="417" w:name="_Toc341193704"/>
      <w:bookmarkStart w:id="418" w:name="_Toc341354203"/>
      <w:bookmarkStart w:id="419" w:name="_Toc346740134"/>
      <w:bookmarkStart w:id="420" w:name="_Toc364945281"/>
      <w:bookmarkEnd w:id="415"/>
      <w:bookmarkEnd w:id="416"/>
      <w:bookmarkEnd w:id="417"/>
      <w:bookmarkEnd w:id="418"/>
      <w:r w:rsidRPr="00522071">
        <w:t>Residential Development</w:t>
      </w:r>
      <w:bookmarkEnd w:id="419"/>
      <w:bookmarkEnd w:id="420"/>
      <w:r w:rsidRPr="00522071">
        <w:t xml:space="preserve"> </w:t>
      </w:r>
    </w:p>
    <w:p w:rsidR="0043479C" w:rsidRDefault="0043479C" w:rsidP="00602B52">
      <w:pPr>
        <w:ind w:left="720"/>
      </w:pPr>
      <w:r w:rsidRPr="004A5546">
        <w:t>The number of residential dwellings is forecast to increase from the curre</w:t>
      </w:r>
      <w:r w:rsidR="00E67A8D">
        <w:t>nt number of 37 500 to about 49,</w:t>
      </w:r>
      <w:r w:rsidRPr="004A5546">
        <w:t>200 in 2031, an average annual increase of 1.45% over the next 19 years. The next few years will see a peak of about 1.7% increase annually before the residential development slows down.</w:t>
      </w:r>
    </w:p>
    <w:p w:rsidR="00602B52" w:rsidRPr="004A5546" w:rsidRDefault="00602B52" w:rsidP="00602B52">
      <w:pPr>
        <w:ind w:left="720"/>
      </w:pPr>
    </w:p>
    <w:p w:rsidR="0043479C" w:rsidRPr="004A5546" w:rsidRDefault="0043479C" w:rsidP="00602B52">
      <w:pPr>
        <w:ind w:left="720"/>
      </w:pPr>
      <w:r w:rsidRPr="004A5546">
        <w:t xml:space="preserve">There will be no foreseeable changes in the household profile from now until 2031. More than 32% of households will be lone person dwellings, and more than 26% will be occupied by couples without dependents. (Source: Forecast.id, Yarra City Council Website). </w:t>
      </w:r>
    </w:p>
    <w:p w:rsidR="00E96F28" w:rsidRPr="00CF2212" w:rsidRDefault="00E96F28" w:rsidP="00CF2212">
      <w:pPr>
        <w:pStyle w:val="Heading2"/>
      </w:pPr>
      <w:bookmarkStart w:id="421" w:name="_Toc288199407"/>
      <w:bookmarkStart w:id="422" w:name="_Toc288471705"/>
      <w:bookmarkStart w:id="423" w:name="_Toc288471779"/>
      <w:bookmarkStart w:id="424" w:name="_Toc288471852"/>
      <w:bookmarkStart w:id="425" w:name="_Toc288199410"/>
      <w:bookmarkStart w:id="426" w:name="_Toc288471708"/>
      <w:bookmarkStart w:id="427" w:name="_Toc288471782"/>
      <w:bookmarkStart w:id="428" w:name="_Toc288471855"/>
      <w:bookmarkStart w:id="429" w:name="_Toc364945282"/>
      <w:bookmarkEnd w:id="421"/>
      <w:bookmarkEnd w:id="422"/>
      <w:bookmarkEnd w:id="423"/>
      <w:bookmarkEnd w:id="424"/>
      <w:bookmarkEnd w:id="425"/>
      <w:bookmarkEnd w:id="426"/>
      <w:bookmarkEnd w:id="427"/>
      <w:bookmarkEnd w:id="428"/>
      <w:r w:rsidRPr="00CF2212">
        <w:t>Demand Forecast</w:t>
      </w:r>
      <w:bookmarkEnd w:id="429"/>
    </w:p>
    <w:p w:rsidR="0043479C" w:rsidRDefault="0043479C" w:rsidP="002F775C">
      <w:r w:rsidRPr="004A5546">
        <w:t>It is not sufficient for Council to simply expand its asset base to match the increasing population of the area.  Account must be taken of the changing service expectations of the community and how these impact on the design, construction and m</w:t>
      </w:r>
      <w:r w:rsidR="00602B52">
        <w:t>aintenance of building assets.</w:t>
      </w:r>
    </w:p>
    <w:p w:rsidR="00602B52" w:rsidRPr="004A5546" w:rsidRDefault="00602B52" w:rsidP="002F775C"/>
    <w:p w:rsidR="0043479C" w:rsidRDefault="0043479C" w:rsidP="002F775C">
      <w:r w:rsidRPr="004A5546">
        <w:t>For example, while the senior years</w:t>
      </w:r>
      <w:r w:rsidR="00852378">
        <w:t>’</w:t>
      </w:r>
      <w:r w:rsidRPr="004A5546">
        <w:t xml:space="preserve"> population is growing, the participation rate in traditional Senior Citizens Clubs is waning.  Many people now have different expectations of how they will spend their “retirement years” and thus the services offered by Council need to c</w:t>
      </w:r>
      <w:r w:rsidR="00602B52">
        <w:t>hange to reflect these shifts.</w:t>
      </w:r>
    </w:p>
    <w:p w:rsidR="00602B52" w:rsidRPr="004A5546" w:rsidRDefault="00602B52" w:rsidP="002F775C"/>
    <w:p w:rsidR="0043479C" w:rsidRDefault="0043479C" w:rsidP="002F775C">
      <w:r w:rsidRPr="004A5546">
        <w:t>Increasingly, the community expects to see energy efficient practices introduced into public buildings.  Rising energy costs also dictate that Council will need to improve the energy efficiency of its buildings to keep the lifecycle costs of its buildings in check.  Changes in construction and maintenance materials and technologies will also change the way buildings are managed and, for the most part, provide opportunities to l</w:t>
      </w:r>
      <w:r w:rsidR="00602B52">
        <w:t>ower the total lifecycle cost.</w:t>
      </w:r>
    </w:p>
    <w:p w:rsidR="00602B52" w:rsidRPr="004A5546" w:rsidRDefault="00602B52" w:rsidP="002F775C"/>
    <w:p w:rsidR="0043479C" w:rsidRPr="004A5546" w:rsidRDefault="0043479C" w:rsidP="002F775C">
      <w:r w:rsidRPr="004A5546">
        <w:t xml:space="preserve">The impact of changes in services expectations and of new technologies requires detailed investigation.  The opportunities and challenges from these changes will be developed in future revisions of the BAMP.  </w:t>
      </w:r>
    </w:p>
    <w:p w:rsidR="00621227" w:rsidRPr="00CF2212" w:rsidRDefault="00621227" w:rsidP="00CF2212">
      <w:pPr>
        <w:pStyle w:val="Heading2"/>
      </w:pPr>
      <w:bookmarkStart w:id="430" w:name="_Toc340575319"/>
      <w:bookmarkStart w:id="431" w:name="_Toc340578116"/>
      <w:bookmarkStart w:id="432" w:name="_Toc340578349"/>
      <w:bookmarkStart w:id="433" w:name="_Toc340578552"/>
      <w:bookmarkStart w:id="434" w:name="_Toc340575320"/>
      <w:bookmarkStart w:id="435" w:name="_Toc340578117"/>
      <w:bookmarkStart w:id="436" w:name="_Toc340578350"/>
      <w:bookmarkStart w:id="437" w:name="_Toc364945283"/>
      <w:bookmarkEnd w:id="430"/>
      <w:bookmarkEnd w:id="431"/>
      <w:bookmarkEnd w:id="432"/>
      <w:bookmarkEnd w:id="433"/>
      <w:bookmarkEnd w:id="434"/>
      <w:bookmarkEnd w:id="435"/>
      <w:bookmarkEnd w:id="436"/>
      <w:r w:rsidRPr="00CF2212">
        <w:t>Implications of Demand on Existing Assets</w:t>
      </w:r>
      <w:bookmarkEnd w:id="437"/>
    </w:p>
    <w:p w:rsidR="0043479C" w:rsidRDefault="0043479C" w:rsidP="00602B52">
      <w:r w:rsidRPr="004A5546">
        <w:t>Local government services are an amalgam of State and Federal Government requirements, historical need and local interest. Yarra City Council needs to review the services it delivers, and will need to deliver in the near future, to meet changing community expectations.</w:t>
      </w:r>
    </w:p>
    <w:p w:rsidR="00602B52" w:rsidRPr="004A5546" w:rsidRDefault="00602B52" w:rsidP="00602B52"/>
    <w:p w:rsidR="0043479C" w:rsidRDefault="0043479C" w:rsidP="00602B52">
      <w:r w:rsidRPr="004A5546">
        <w:t>Most Council services are universal (available to all) and generic (a standard service). Yarra’s leisure centres are an interesting exception to this, offering wide</w:t>
      </w:r>
      <w:r w:rsidR="00E67A8D">
        <w:t xml:space="preserve"> choice in what people purchase. This includes</w:t>
      </w:r>
      <w:r w:rsidRPr="004A5546">
        <w:t xml:space="preserve"> access to a pool, gym, spa, sauna, golf course, individual classes, personal trainers, and masseurs. These can be by means of casual rates, multi-session passes, by membership and at concession rates. </w:t>
      </w:r>
    </w:p>
    <w:p w:rsidR="00602B52" w:rsidRPr="004A5546" w:rsidRDefault="00602B52" w:rsidP="00602B52"/>
    <w:p w:rsidR="0043479C" w:rsidRDefault="0043479C" w:rsidP="00602B52">
      <w:r w:rsidRPr="004A5546">
        <w:t xml:space="preserve">People can purchase what they want, for when they want it, moderated by a range of available commercial options of gyms and personal trainers, and even apartment buildings with their own gyms and pools. </w:t>
      </w:r>
    </w:p>
    <w:p w:rsidR="00602B52" w:rsidRPr="004A5546" w:rsidRDefault="00602B52" w:rsidP="00602B52"/>
    <w:p w:rsidR="0043479C" w:rsidRDefault="0043479C" w:rsidP="00602B52">
      <w:r w:rsidRPr="004A5546">
        <w:t>What would Council’s other services look like under a similar model or user pays (at least an element of the cost if not full cost-recovery)? A more affluent community is increasingly able to purchase what they want raising the question of what is the value of Council services in the future. Is it to:</w:t>
      </w:r>
    </w:p>
    <w:p w:rsidR="00E67A8D" w:rsidRPr="004A5546" w:rsidRDefault="00E67A8D" w:rsidP="00602B52"/>
    <w:p w:rsidR="0043479C" w:rsidRPr="00602B52" w:rsidRDefault="0043479C" w:rsidP="008348B5">
      <w:pPr>
        <w:pStyle w:val="ListParagraph"/>
        <w:numPr>
          <w:ilvl w:val="0"/>
          <w:numId w:val="73"/>
        </w:numPr>
        <w:rPr>
          <w:rFonts w:ascii="Arial" w:hAnsi="Arial" w:cs="Arial"/>
          <w:sz w:val="20"/>
        </w:rPr>
      </w:pPr>
      <w:r w:rsidRPr="00602B52">
        <w:rPr>
          <w:rFonts w:ascii="Arial" w:hAnsi="Arial" w:cs="Arial"/>
          <w:sz w:val="20"/>
        </w:rPr>
        <w:t>Fill service gaps (e.g. playgrounds);</w:t>
      </w:r>
    </w:p>
    <w:p w:rsidR="0043479C" w:rsidRPr="00602B52" w:rsidRDefault="0043479C" w:rsidP="008348B5">
      <w:pPr>
        <w:pStyle w:val="ListParagraph"/>
        <w:numPr>
          <w:ilvl w:val="0"/>
          <w:numId w:val="73"/>
        </w:numPr>
        <w:rPr>
          <w:rFonts w:ascii="Arial" w:hAnsi="Arial" w:cs="Arial"/>
          <w:sz w:val="20"/>
        </w:rPr>
      </w:pPr>
      <w:r w:rsidRPr="00602B52">
        <w:rPr>
          <w:rFonts w:ascii="Arial" w:hAnsi="Arial" w:cs="Arial"/>
          <w:sz w:val="20"/>
        </w:rPr>
        <w:t>Provide more efficient/cheaper services (e.g. public roads);</w:t>
      </w:r>
    </w:p>
    <w:p w:rsidR="0043479C" w:rsidRPr="00602B52" w:rsidRDefault="0043479C" w:rsidP="008348B5">
      <w:pPr>
        <w:pStyle w:val="ListParagraph"/>
        <w:numPr>
          <w:ilvl w:val="0"/>
          <w:numId w:val="73"/>
        </w:numPr>
        <w:rPr>
          <w:rFonts w:ascii="Arial" w:hAnsi="Arial" w:cs="Arial"/>
          <w:sz w:val="20"/>
        </w:rPr>
      </w:pPr>
      <w:r w:rsidRPr="00602B52">
        <w:rPr>
          <w:rFonts w:ascii="Arial" w:hAnsi="Arial" w:cs="Arial"/>
          <w:sz w:val="20"/>
        </w:rPr>
        <w:t>Provide accessible and affordable services (e.g. libraries); and</w:t>
      </w:r>
    </w:p>
    <w:p w:rsidR="0043479C" w:rsidRPr="00602B52" w:rsidRDefault="0043479C" w:rsidP="008348B5">
      <w:pPr>
        <w:pStyle w:val="ListParagraph"/>
        <w:numPr>
          <w:ilvl w:val="0"/>
          <w:numId w:val="73"/>
        </w:numPr>
        <w:rPr>
          <w:rFonts w:ascii="Arial" w:hAnsi="Arial" w:cs="Arial"/>
          <w:sz w:val="20"/>
        </w:rPr>
      </w:pPr>
      <w:r w:rsidRPr="00602B52">
        <w:rPr>
          <w:rFonts w:ascii="Arial" w:hAnsi="Arial" w:cs="Arial"/>
          <w:sz w:val="20"/>
        </w:rPr>
        <w:t>Meet local need</w:t>
      </w:r>
      <w:r w:rsidR="00E67A8D" w:rsidRPr="00602B52">
        <w:rPr>
          <w:rFonts w:ascii="Arial" w:hAnsi="Arial" w:cs="Arial"/>
          <w:sz w:val="20"/>
        </w:rPr>
        <w:t>s</w:t>
      </w:r>
      <w:r w:rsidRPr="00602B52">
        <w:rPr>
          <w:rFonts w:ascii="Arial" w:hAnsi="Arial" w:cs="Arial"/>
          <w:sz w:val="20"/>
        </w:rPr>
        <w:t xml:space="preserve"> (e.g. child care tailored to a disadvantaged community).</w:t>
      </w:r>
    </w:p>
    <w:p w:rsidR="00E67A8D" w:rsidRPr="004A5546" w:rsidRDefault="00E67A8D" w:rsidP="00602B52">
      <w:pPr>
        <w:rPr>
          <w:rFonts w:cs="Arial"/>
        </w:rPr>
      </w:pPr>
    </w:p>
    <w:p w:rsidR="0043479C" w:rsidRDefault="0043479C" w:rsidP="00602B52">
      <w:r w:rsidRPr="004A5546">
        <w:t xml:space="preserve">Competition from private services may challenge many of Council’s services if they don’t meet a sufficient and sustainable need. For example, </w:t>
      </w:r>
    </w:p>
    <w:p w:rsidR="00E67A8D" w:rsidRPr="004A5546" w:rsidRDefault="00E67A8D" w:rsidP="00602B52"/>
    <w:p w:rsidR="0043479C" w:rsidRPr="00602B52" w:rsidRDefault="0043479C" w:rsidP="008348B5">
      <w:pPr>
        <w:pStyle w:val="ListParagraph"/>
        <w:numPr>
          <w:ilvl w:val="0"/>
          <w:numId w:val="74"/>
        </w:numPr>
        <w:rPr>
          <w:rFonts w:ascii="Arial" w:hAnsi="Arial" w:cs="Arial"/>
          <w:sz w:val="20"/>
        </w:rPr>
      </w:pPr>
      <w:r w:rsidRPr="00602B52">
        <w:rPr>
          <w:rFonts w:ascii="Arial" w:hAnsi="Arial" w:cs="Arial"/>
          <w:sz w:val="20"/>
        </w:rPr>
        <w:t>Cafes could adapt to provide meeting spaces;</w:t>
      </w:r>
    </w:p>
    <w:p w:rsidR="0043479C" w:rsidRPr="00602B52" w:rsidRDefault="0043479C" w:rsidP="008348B5">
      <w:pPr>
        <w:pStyle w:val="ListParagraph"/>
        <w:numPr>
          <w:ilvl w:val="0"/>
          <w:numId w:val="74"/>
        </w:numPr>
        <w:rPr>
          <w:rFonts w:ascii="Arial" w:hAnsi="Arial" w:cs="Arial"/>
          <w:sz w:val="20"/>
        </w:rPr>
      </w:pPr>
      <w:r w:rsidRPr="00602B52">
        <w:rPr>
          <w:rFonts w:ascii="Arial" w:hAnsi="Arial" w:cs="Arial"/>
          <w:sz w:val="20"/>
        </w:rPr>
        <w:t>Information, books, media are all available on-line;</w:t>
      </w:r>
    </w:p>
    <w:p w:rsidR="0043479C" w:rsidRPr="00602B52" w:rsidRDefault="0043479C" w:rsidP="008348B5">
      <w:pPr>
        <w:pStyle w:val="ListParagraph"/>
        <w:numPr>
          <w:ilvl w:val="0"/>
          <w:numId w:val="74"/>
        </w:numPr>
        <w:rPr>
          <w:rFonts w:ascii="Arial" w:hAnsi="Arial" w:cs="Arial"/>
          <w:sz w:val="20"/>
        </w:rPr>
      </w:pPr>
      <w:r w:rsidRPr="00602B52">
        <w:rPr>
          <w:rFonts w:ascii="Arial" w:hAnsi="Arial" w:cs="Arial"/>
          <w:sz w:val="20"/>
        </w:rPr>
        <w:t>Quick and cheap travel allows residents to go elsewhere for services; and</w:t>
      </w:r>
    </w:p>
    <w:p w:rsidR="0043479C" w:rsidRPr="00602B52" w:rsidRDefault="0043479C" w:rsidP="008348B5">
      <w:pPr>
        <w:pStyle w:val="ListParagraph"/>
        <w:numPr>
          <w:ilvl w:val="0"/>
          <w:numId w:val="74"/>
        </w:numPr>
        <w:rPr>
          <w:rFonts w:ascii="Arial" w:hAnsi="Arial" w:cs="Arial"/>
          <w:sz w:val="20"/>
        </w:rPr>
      </w:pPr>
      <w:r w:rsidRPr="00602B52">
        <w:rPr>
          <w:rFonts w:ascii="Arial" w:hAnsi="Arial" w:cs="Arial"/>
          <w:sz w:val="20"/>
        </w:rPr>
        <w:t>Residents are more mobile, able to move around Yarra, Melbourne, interstate or overseas relatively easy.</w:t>
      </w:r>
    </w:p>
    <w:p w:rsidR="00602B52" w:rsidRDefault="00602B52" w:rsidP="00602B52"/>
    <w:p w:rsidR="0043479C" w:rsidRPr="004A5546" w:rsidRDefault="0043479C" w:rsidP="00602B52">
      <w:r w:rsidRPr="004A5546">
        <w:t>Alternatively, the expectation that Council should meet needs not met privately may increase. This may be residents expecting Council to resolve, or mediate, conflict to do with competition for space, or tension between different uses. The interface between activity centres, entertainment precincts, industrial areas and residences can be very blunt. Whilst most people may appreciate there will be some of these conflicts it may be that Council is expected to proactively manage their resolution.</w:t>
      </w:r>
    </w:p>
    <w:p w:rsidR="00602B52" w:rsidRDefault="00602B52" w:rsidP="00602B52"/>
    <w:p w:rsidR="0043479C" w:rsidRPr="004A5546" w:rsidRDefault="0043479C" w:rsidP="00602B52">
      <w:r w:rsidRPr="004A5546">
        <w:t>Similarly, there may be a greater expectation for Council to intervene where the private sector is deficient. This intervention may not be for Council to directly run services, but may be about ensuring space is available/affordable for the private/non-profit sector to provide services. Child care may be a good example of where Council can attempt to secure space with a private developer for a children’s centre where child care is privately provided.</w:t>
      </w:r>
    </w:p>
    <w:p w:rsidR="00E96F28" w:rsidRPr="00CF2212" w:rsidRDefault="00E96F28" w:rsidP="00CF2212">
      <w:pPr>
        <w:pStyle w:val="Heading2"/>
      </w:pPr>
      <w:bookmarkStart w:id="438" w:name="_Toc288199414"/>
      <w:bookmarkStart w:id="439" w:name="_Toc288471712"/>
      <w:bookmarkStart w:id="440" w:name="_Toc288471786"/>
      <w:bookmarkStart w:id="441" w:name="_Toc288471859"/>
      <w:bookmarkStart w:id="442" w:name="_Toc364945284"/>
      <w:bookmarkEnd w:id="438"/>
      <w:bookmarkEnd w:id="439"/>
      <w:bookmarkEnd w:id="440"/>
      <w:bookmarkEnd w:id="441"/>
      <w:r w:rsidRPr="00CF2212">
        <w:t>Strategies for Managing Growth and Demand</w:t>
      </w:r>
      <w:bookmarkEnd w:id="442"/>
    </w:p>
    <w:p w:rsidR="0043479C" w:rsidRDefault="0043479C" w:rsidP="00602B52">
      <w:r w:rsidRPr="004A5546">
        <w:t>Demand management strategies provide alternatives to the creation of new assets in order to meet demand and look at ways of modifying customer demands in order that the utilisation of existing assets is maximised and the need for new assets is deferred or reduced.</w:t>
      </w:r>
    </w:p>
    <w:p w:rsidR="00602B52" w:rsidRPr="004A5546" w:rsidRDefault="00602B52" w:rsidP="00602B52"/>
    <w:p w:rsidR="0043479C" w:rsidRDefault="0043479C" w:rsidP="00602B52">
      <w:r w:rsidRPr="004A5546">
        <w:t>As existing facilities begin to reach the end of their useful life, decisions will have to be made as to whether existing usage rates justify the capital expenditure to replace them.  Consideration will be given wherever it is possible and/or feasible to the development of multipurpose facilities in smaller community centres.  This should allow the retirement of older singular facilities that have reached the end of their useful life.  This strategy will be subject to normal community consultation.</w:t>
      </w:r>
    </w:p>
    <w:p w:rsidR="00602B52" w:rsidRPr="004A5546" w:rsidRDefault="00602B52" w:rsidP="00602B52"/>
    <w:p w:rsidR="0043479C" w:rsidRDefault="0043479C" w:rsidP="00A03CCD">
      <w:pPr>
        <w:keepNext/>
        <w:keepLines/>
      </w:pPr>
      <w:r w:rsidRPr="004A5546">
        <w:t xml:space="preserve">The following are some of the possible strategies to manage the impact on Council </w:t>
      </w:r>
      <w:r w:rsidR="004B0D5B">
        <w:t>facilities due to demand growth:</w:t>
      </w:r>
    </w:p>
    <w:p w:rsidR="004B0D5B" w:rsidRPr="004A5546" w:rsidRDefault="004B0D5B" w:rsidP="00A03CCD">
      <w:pPr>
        <w:keepNext/>
        <w:keepLines/>
      </w:pPr>
    </w:p>
    <w:p w:rsidR="0043479C" w:rsidRPr="00602B52" w:rsidRDefault="0043479C" w:rsidP="00A03CCD">
      <w:pPr>
        <w:pStyle w:val="ListParagraph"/>
        <w:keepNext/>
        <w:keepLines/>
        <w:numPr>
          <w:ilvl w:val="0"/>
          <w:numId w:val="75"/>
        </w:numPr>
        <w:rPr>
          <w:rFonts w:ascii="Arial" w:hAnsi="Arial" w:cs="Arial"/>
          <w:sz w:val="20"/>
        </w:rPr>
      </w:pPr>
      <w:r w:rsidRPr="00602B52">
        <w:rPr>
          <w:rFonts w:ascii="Arial" w:hAnsi="Arial" w:cs="Arial"/>
          <w:sz w:val="20"/>
        </w:rPr>
        <w:t>Review existing facilities to ensure continuing suitability;</w:t>
      </w:r>
    </w:p>
    <w:p w:rsidR="0043479C" w:rsidRPr="00602B52" w:rsidRDefault="0043479C" w:rsidP="00A03CCD">
      <w:pPr>
        <w:pStyle w:val="ListParagraph"/>
        <w:keepNext/>
        <w:keepLines/>
        <w:numPr>
          <w:ilvl w:val="0"/>
          <w:numId w:val="75"/>
        </w:numPr>
        <w:rPr>
          <w:rFonts w:ascii="Arial" w:hAnsi="Arial" w:cs="Arial"/>
          <w:sz w:val="20"/>
        </w:rPr>
      </w:pPr>
      <w:r w:rsidRPr="00602B52">
        <w:rPr>
          <w:rFonts w:ascii="Arial" w:hAnsi="Arial" w:cs="Arial"/>
          <w:sz w:val="20"/>
        </w:rPr>
        <w:t>Alter service programming to ensure increased utilization of existing facilities (7 days a week, non-core hours);</w:t>
      </w:r>
    </w:p>
    <w:p w:rsidR="0043479C" w:rsidRPr="00602B52" w:rsidRDefault="0043479C" w:rsidP="008348B5">
      <w:pPr>
        <w:pStyle w:val="ListParagraph"/>
        <w:numPr>
          <w:ilvl w:val="0"/>
          <w:numId w:val="75"/>
        </w:numPr>
        <w:rPr>
          <w:rFonts w:ascii="Arial" w:hAnsi="Arial" w:cs="Arial"/>
          <w:sz w:val="20"/>
        </w:rPr>
      </w:pPr>
      <w:r w:rsidRPr="00602B52">
        <w:rPr>
          <w:rFonts w:ascii="Arial" w:hAnsi="Arial" w:cs="Arial"/>
          <w:sz w:val="20"/>
        </w:rPr>
        <w:t>Planning for more flexible spaces (ability to have different groups at the one facility at different times);</w:t>
      </w:r>
    </w:p>
    <w:p w:rsidR="0043479C" w:rsidRPr="00602B52" w:rsidRDefault="0043479C" w:rsidP="008348B5">
      <w:pPr>
        <w:pStyle w:val="ListParagraph"/>
        <w:numPr>
          <w:ilvl w:val="0"/>
          <w:numId w:val="75"/>
        </w:numPr>
        <w:rPr>
          <w:rFonts w:ascii="Arial" w:hAnsi="Arial" w:cs="Arial"/>
          <w:sz w:val="20"/>
        </w:rPr>
      </w:pPr>
      <w:r w:rsidRPr="00602B52">
        <w:rPr>
          <w:rFonts w:ascii="Arial" w:hAnsi="Arial" w:cs="Arial"/>
          <w:sz w:val="20"/>
        </w:rPr>
        <w:t>Development of building shells that can absorb modified use over time as demand changes;</w:t>
      </w:r>
    </w:p>
    <w:p w:rsidR="0043479C" w:rsidRPr="00602B52" w:rsidRDefault="0043479C" w:rsidP="008348B5">
      <w:pPr>
        <w:pStyle w:val="ListParagraph"/>
        <w:numPr>
          <w:ilvl w:val="0"/>
          <w:numId w:val="75"/>
        </w:numPr>
        <w:rPr>
          <w:rFonts w:ascii="Arial" w:hAnsi="Arial" w:cs="Arial"/>
          <w:sz w:val="20"/>
        </w:rPr>
      </w:pPr>
      <w:r w:rsidRPr="00602B52">
        <w:rPr>
          <w:rFonts w:ascii="Arial" w:hAnsi="Arial" w:cs="Arial"/>
          <w:sz w:val="20"/>
        </w:rPr>
        <w:t>Relocation of community groups into facilities to create community hubs;</w:t>
      </w:r>
    </w:p>
    <w:p w:rsidR="0043479C" w:rsidRPr="00602B52" w:rsidRDefault="0043479C" w:rsidP="008348B5">
      <w:pPr>
        <w:pStyle w:val="ListParagraph"/>
        <w:numPr>
          <w:ilvl w:val="0"/>
          <w:numId w:val="75"/>
        </w:numPr>
        <w:rPr>
          <w:rFonts w:ascii="Arial" w:hAnsi="Arial" w:cs="Arial"/>
          <w:sz w:val="20"/>
        </w:rPr>
      </w:pPr>
      <w:r w:rsidRPr="00602B52">
        <w:rPr>
          <w:rFonts w:ascii="Arial" w:hAnsi="Arial" w:cs="Arial"/>
          <w:sz w:val="20"/>
        </w:rPr>
        <w:t>Investigate redevelopment options of existing facilities in central locations where appropriate;</w:t>
      </w:r>
    </w:p>
    <w:p w:rsidR="0043479C" w:rsidRPr="00602B52" w:rsidRDefault="0043479C" w:rsidP="008348B5">
      <w:pPr>
        <w:pStyle w:val="ListParagraph"/>
        <w:numPr>
          <w:ilvl w:val="0"/>
          <w:numId w:val="75"/>
        </w:numPr>
        <w:rPr>
          <w:rFonts w:ascii="Arial" w:hAnsi="Arial" w:cs="Arial"/>
          <w:sz w:val="20"/>
        </w:rPr>
      </w:pPr>
      <w:r w:rsidRPr="00602B52">
        <w:rPr>
          <w:rFonts w:ascii="Arial" w:hAnsi="Arial" w:cs="Arial"/>
          <w:sz w:val="20"/>
        </w:rPr>
        <w:t>Conduct precinct studies of identified areas to assess needs;</w:t>
      </w:r>
    </w:p>
    <w:p w:rsidR="0043479C" w:rsidRPr="00602B52" w:rsidRDefault="0043479C" w:rsidP="008348B5">
      <w:pPr>
        <w:pStyle w:val="ListParagraph"/>
        <w:numPr>
          <w:ilvl w:val="0"/>
          <w:numId w:val="75"/>
        </w:numPr>
        <w:rPr>
          <w:rFonts w:ascii="Arial" w:hAnsi="Arial" w:cs="Arial"/>
          <w:sz w:val="20"/>
        </w:rPr>
      </w:pPr>
      <w:r w:rsidRPr="00602B52">
        <w:rPr>
          <w:rFonts w:ascii="Arial" w:hAnsi="Arial" w:cs="Arial"/>
          <w:sz w:val="20"/>
        </w:rPr>
        <w:t>Rationalisation and/or disposal of under-utilised, standalone, or poor condition facilities;</w:t>
      </w:r>
    </w:p>
    <w:p w:rsidR="0043479C" w:rsidRPr="00602B52" w:rsidRDefault="0043479C" w:rsidP="008348B5">
      <w:pPr>
        <w:pStyle w:val="ListParagraph"/>
        <w:numPr>
          <w:ilvl w:val="0"/>
          <w:numId w:val="75"/>
        </w:numPr>
        <w:rPr>
          <w:rFonts w:ascii="Arial" w:hAnsi="Arial" w:cs="Arial"/>
          <w:sz w:val="20"/>
        </w:rPr>
      </w:pPr>
      <w:r w:rsidRPr="00602B52">
        <w:rPr>
          <w:rFonts w:ascii="Arial" w:hAnsi="Arial" w:cs="Arial"/>
          <w:sz w:val="20"/>
        </w:rPr>
        <w:t>Advocating ageing in place and supporting this by providing increased home and community care services; and</w:t>
      </w:r>
    </w:p>
    <w:p w:rsidR="0043479C" w:rsidRPr="00602B52" w:rsidRDefault="0043479C" w:rsidP="008348B5">
      <w:pPr>
        <w:pStyle w:val="ListParagraph"/>
        <w:numPr>
          <w:ilvl w:val="0"/>
          <w:numId w:val="75"/>
        </w:numPr>
        <w:rPr>
          <w:rFonts w:ascii="Arial" w:hAnsi="Arial" w:cs="Arial"/>
          <w:sz w:val="20"/>
        </w:rPr>
      </w:pPr>
      <w:r w:rsidRPr="00602B52">
        <w:rPr>
          <w:rFonts w:ascii="Arial" w:hAnsi="Arial" w:cs="Arial"/>
          <w:sz w:val="20"/>
        </w:rPr>
        <w:t>Reviewing fees and charges for use of buildings to better reflect service delivery costs.</w:t>
      </w:r>
    </w:p>
    <w:p w:rsidR="00602B52" w:rsidRDefault="00602B52" w:rsidP="00602B52"/>
    <w:p w:rsidR="00B93D57" w:rsidRPr="004A5546" w:rsidRDefault="00E27317" w:rsidP="00602B52">
      <w:r>
        <w:t>The Buildings and Property Branch will work with Service Managers to</w:t>
      </w:r>
      <w:r w:rsidR="0043479C" w:rsidRPr="004A5546">
        <w:t xml:space="preserve"> develop business cases for </w:t>
      </w:r>
      <w:r>
        <w:t xml:space="preserve">upgrades and redevelopment of Council buildings to meet </w:t>
      </w:r>
      <w:r w:rsidR="0043479C" w:rsidRPr="004A5546">
        <w:t xml:space="preserve">demand </w:t>
      </w:r>
      <w:r>
        <w:t>and service delivery needs.</w:t>
      </w:r>
    </w:p>
    <w:p w:rsidR="00723EC9" w:rsidRDefault="00723EC9" w:rsidP="00185B47"/>
    <w:p w:rsidR="00CF2AC0" w:rsidRDefault="00CF2AC0" w:rsidP="00185B47"/>
    <w:p w:rsidR="00DF1D3F" w:rsidRDefault="00DF1D3F" w:rsidP="00185B47">
      <w:pPr>
        <w:sectPr w:rsidR="00DF1D3F" w:rsidSect="00FB2B94">
          <w:type w:val="oddPage"/>
          <w:pgSz w:w="11906" w:h="16838" w:code="9"/>
          <w:pgMar w:top="1418" w:right="1418" w:bottom="851" w:left="1418" w:header="284" w:footer="312" w:gutter="0"/>
          <w:cols w:space="720"/>
          <w:docGrid w:linePitch="360"/>
        </w:sectPr>
      </w:pPr>
    </w:p>
    <w:p w:rsidR="00E96F28" w:rsidRPr="00E062A4" w:rsidRDefault="00E96F28" w:rsidP="002F775C">
      <w:pPr>
        <w:pStyle w:val="Heading1"/>
      </w:pPr>
      <w:bookmarkStart w:id="443" w:name="_Toc364945285"/>
      <w:r w:rsidRPr="00E062A4">
        <w:t>L</w:t>
      </w:r>
      <w:r w:rsidR="00CF2AC0">
        <w:t>ifecycle Management Plan</w:t>
      </w:r>
      <w:bookmarkEnd w:id="443"/>
    </w:p>
    <w:p w:rsidR="00CF2AC0" w:rsidRPr="00CF2AC0" w:rsidRDefault="00CF2AC0" w:rsidP="00CF2AC0">
      <w:pPr>
        <w:rPr>
          <w:sz w:val="8"/>
        </w:rPr>
      </w:pPr>
    </w:p>
    <w:p w:rsidR="00E96F28" w:rsidRPr="00CF2212" w:rsidRDefault="00E96F28" w:rsidP="00CF2212">
      <w:pPr>
        <w:pStyle w:val="Heading2"/>
      </w:pPr>
      <w:bookmarkStart w:id="444" w:name="_Toc364945286"/>
      <w:r w:rsidRPr="00CF2212">
        <w:t>Overview</w:t>
      </w:r>
      <w:bookmarkEnd w:id="444"/>
    </w:p>
    <w:p w:rsidR="00915C99" w:rsidRPr="00CD7D4F" w:rsidRDefault="00915C99" w:rsidP="00536FDE">
      <w:r w:rsidRPr="00CD7D4F">
        <w:t xml:space="preserve">This section demonstrates how </w:t>
      </w:r>
      <w:r>
        <w:t>the Buildings and Property Branch</w:t>
      </w:r>
      <w:r w:rsidRPr="00CD7D4F">
        <w:t xml:space="preserve"> use appropriate monitoring of the performance of </w:t>
      </w:r>
      <w:r>
        <w:t xml:space="preserve">Council’s building </w:t>
      </w:r>
      <w:r w:rsidRPr="00CD7D4F">
        <w:t>assets to inform our decision</w:t>
      </w:r>
      <w:r w:rsidR="0067277B">
        <w:t>-</w:t>
      </w:r>
      <w:r w:rsidRPr="00CD7D4F">
        <w:t>making for asset renewal, replacement, upgrade and disposal. Specifically, this section describes what we are planning to do to keep our assets operating at the agreed</w:t>
      </w:r>
      <w:r w:rsidR="00E67A8D">
        <w:t xml:space="preserve"> levels of service (</w:t>
      </w:r>
      <w:r w:rsidR="00E67A8D" w:rsidRPr="006F6C17">
        <w:t>defined in S</w:t>
      </w:r>
      <w:r w:rsidRPr="006F6C17">
        <w:t>ection 3) to provide for anticipate</w:t>
      </w:r>
      <w:r w:rsidR="00E67A8D" w:rsidRPr="006F6C17">
        <w:t>d service demand (described in S</w:t>
      </w:r>
      <w:r w:rsidRPr="006F6C17">
        <w:t>ection 4) through the sequential phases of an asset’s lifecycle.</w:t>
      </w:r>
      <w:r w:rsidRPr="00CD7D4F">
        <w:t xml:space="preserve"> </w:t>
      </w:r>
    </w:p>
    <w:p w:rsidR="00915C99" w:rsidRPr="00CD7D4F" w:rsidRDefault="00915C99" w:rsidP="00536FDE"/>
    <w:p w:rsidR="00915C99" w:rsidRPr="00CD7D4F" w:rsidRDefault="00915C99" w:rsidP="00536FDE">
      <w:r w:rsidRPr="00CD7D4F">
        <w:t>Lifecycle planning is a key asset management tool that takes into account the whole</w:t>
      </w:r>
      <w:r w:rsidR="00E67A8D">
        <w:t>-</w:t>
      </w:r>
      <w:r w:rsidRPr="00CD7D4F">
        <w:t xml:space="preserve">of-life implications of acquiring, operating, maintaining and disposing of an asset. It establishes a sound basis on which decisions are made by evaluating the total costs of an investment or operational decision, rather than only considering the short-term gains or initial capital costs. </w:t>
      </w:r>
    </w:p>
    <w:p w:rsidR="00915C99" w:rsidRPr="00CD7D4F" w:rsidRDefault="00915C99" w:rsidP="00536FDE"/>
    <w:p w:rsidR="00915C99" w:rsidRPr="00CD7D4F" w:rsidRDefault="00915C99" w:rsidP="00536FDE">
      <w:r w:rsidRPr="00CD7D4F">
        <w:t>Effective lifecycle planning is about making the right investment at the right time to ensure that the asset delivers the desired level of service over its full expected life, at the minimum total cost. The useful life of an asset may be different from its original design life. A number of factors relating to operational issues and physical issues can influence this difference. Decisions made in one phase of an asset’s life will affect its performance in others. For example, a preventive maintenance program may affect the operating and maintenance costs, downtime, and longevity of an asset.</w:t>
      </w:r>
    </w:p>
    <w:p w:rsidR="00915C99" w:rsidRPr="00CD7D4F" w:rsidRDefault="00915C99" w:rsidP="00536FDE"/>
    <w:p w:rsidR="00915C99" w:rsidRDefault="00915C99" w:rsidP="00536FDE">
      <w:r w:rsidRPr="00CD7D4F">
        <w:t>This section therefore outlines the tactical plans for managing assets at agreed levels of service over their life cycle while optimising the whole of life cost. It explains the council group’s tactics for:</w:t>
      </w:r>
    </w:p>
    <w:p w:rsidR="00536FDE" w:rsidRPr="00CD7D4F" w:rsidRDefault="00536FDE" w:rsidP="00536FDE"/>
    <w:p w:rsidR="00915C99" w:rsidRPr="00536FDE" w:rsidRDefault="00915C99" w:rsidP="008348B5">
      <w:pPr>
        <w:pStyle w:val="ListParagraph"/>
        <w:numPr>
          <w:ilvl w:val="0"/>
          <w:numId w:val="76"/>
        </w:numPr>
        <w:rPr>
          <w:rFonts w:ascii="Arial" w:hAnsi="Arial" w:cs="Arial"/>
          <w:sz w:val="20"/>
        </w:rPr>
      </w:pPr>
      <w:r w:rsidRPr="00536FDE">
        <w:rPr>
          <w:rFonts w:ascii="Arial" w:hAnsi="Arial" w:cs="Arial"/>
          <w:sz w:val="20"/>
        </w:rPr>
        <w:t>providing new or upgraded assets (to improve service levels and provide for growth and demand)</w:t>
      </w:r>
    </w:p>
    <w:p w:rsidR="00915C99" w:rsidRPr="00536FDE" w:rsidRDefault="00915C99" w:rsidP="008348B5">
      <w:pPr>
        <w:pStyle w:val="ListParagraph"/>
        <w:numPr>
          <w:ilvl w:val="0"/>
          <w:numId w:val="76"/>
        </w:numPr>
        <w:rPr>
          <w:rFonts w:ascii="Arial" w:hAnsi="Arial" w:cs="Arial"/>
          <w:sz w:val="20"/>
        </w:rPr>
      </w:pPr>
      <w:r w:rsidRPr="00536FDE">
        <w:rPr>
          <w:rFonts w:ascii="Arial" w:hAnsi="Arial" w:cs="Arial"/>
          <w:sz w:val="20"/>
        </w:rPr>
        <w:t>operating and maintaining assets</w:t>
      </w:r>
    </w:p>
    <w:p w:rsidR="00915C99" w:rsidRPr="00536FDE" w:rsidRDefault="00915C99" w:rsidP="008348B5">
      <w:pPr>
        <w:pStyle w:val="ListParagraph"/>
        <w:numPr>
          <w:ilvl w:val="0"/>
          <w:numId w:val="76"/>
        </w:numPr>
        <w:rPr>
          <w:rFonts w:ascii="Arial" w:hAnsi="Arial" w:cs="Arial"/>
          <w:sz w:val="20"/>
        </w:rPr>
      </w:pPr>
      <w:r w:rsidRPr="00536FDE">
        <w:rPr>
          <w:rFonts w:ascii="Arial" w:hAnsi="Arial" w:cs="Arial"/>
          <w:sz w:val="20"/>
        </w:rPr>
        <w:t>renewing or replacing assets</w:t>
      </w:r>
    </w:p>
    <w:p w:rsidR="00915C99" w:rsidRPr="00536FDE" w:rsidRDefault="00915C99" w:rsidP="008348B5">
      <w:pPr>
        <w:pStyle w:val="ListParagraph"/>
        <w:numPr>
          <w:ilvl w:val="0"/>
          <w:numId w:val="76"/>
        </w:numPr>
        <w:rPr>
          <w:rFonts w:ascii="Arial" w:hAnsi="Arial" w:cs="Arial"/>
          <w:sz w:val="20"/>
        </w:rPr>
      </w:pPr>
      <w:r w:rsidRPr="00536FDE">
        <w:rPr>
          <w:rFonts w:ascii="Arial" w:hAnsi="Arial" w:cs="Arial"/>
          <w:sz w:val="20"/>
        </w:rPr>
        <w:t>disposing of assets at the end of their useful life.</w:t>
      </w:r>
    </w:p>
    <w:p w:rsidR="00915C99" w:rsidRPr="00CD7D4F" w:rsidRDefault="00915C99" w:rsidP="00536FDE"/>
    <w:p w:rsidR="009C3B60" w:rsidRPr="004A5546" w:rsidRDefault="00915C99" w:rsidP="00536FDE">
      <w:r w:rsidRPr="00CD7D4F">
        <w:t xml:space="preserve">The useful life of an asset may be different from its original design life. A number of factors relating to operational issues and physical issues can influence this difference. </w:t>
      </w:r>
      <w:r w:rsidR="009C3B60" w:rsidRPr="004A5546">
        <w:t xml:space="preserve">Council must ensure that </w:t>
      </w:r>
      <w:r w:rsidR="00E67A8D">
        <w:t>it manages all assets on a life</w:t>
      </w:r>
      <w:r w:rsidR="009C3B60" w:rsidRPr="004A5546">
        <w:t>cycle basis, with full knowledge of the social, environmental and financial costs, benefits and risks associated with the asset. The lifecycle model must give proper consideration to each phase of an asset’s life from inception through to disposal. This lifecycle model is illustrated in the figure below:</w:t>
      </w:r>
    </w:p>
    <w:p w:rsidR="009C3B60" w:rsidRDefault="009C3B60" w:rsidP="00536FDE"/>
    <w:p w:rsidR="009C3B60" w:rsidRDefault="00915C99" w:rsidP="00536FDE">
      <w:pPr>
        <w:jc w:val="center"/>
      </w:pPr>
      <w:r>
        <w:object w:dxaOrig="10674" w:dyaOrig="5875">
          <v:shape id="_x0000_i1031" type="#_x0000_t75" style="width:313.5pt;height:142.5pt" o:ole="">
            <v:imagedata r:id="rId43" o:title=""/>
          </v:shape>
          <o:OLEObject Type="Embed" ProgID="Visio.Drawing.11" ShapeID="_x0000_i1031" DrawAspect="Content" ObjectID="_1607929761" r:id="rId44"/>
        </w:object>
      </w:r>
    </w:p>
    <w:p w:rsidR="00386247" w:rsidRDefault="00386247" w:rsidP="002F775C"/>
    <w:p w:rsidR="009C3B60" w:rsidRPr="0091425F" w:rsidRDefault="009C3B60" w:rsidP="00D17B90">
      <w:pPr>
        <w:pStyle w:val="Caption"/>
        <w:spacing w:before="240" w:after="240"/>
        <w:ind w:left="0"/>
        <w:jc w:val="center"/>
        <w:rPr>
          <w:rFonts w:ascii="Arial" w:hAnsi="Arial"/>
          <w:i w:val="0"/>
          <w:iCs w:val="0"/>
          <w:sz w:val="20"/>
          <w:lang w:val="en-AU"/>
        </w:rPr>
      </w:pPr>
      <w:bookmarkStart w:id="445" w:name="_Toc346740211"/>
      <w:bookmarkStart w:id="446" w:name="_Toc364945385"/>
      <w:r w:rsidRPr="0091425F">
        <w:rPr>
          <w:rFonts w:ascii="Arial" w:hAnsi="Arial"/>
          <w:i w:val="0"/>
          <w:iCs w:val="0"/>
          <w:sz w:val="20"/>
          <w:lang w:val="en-AU"/>
        </w:rPr>
        <w:t xml:space="preserve">Figure </w:t>
      </w:r>
      <w:r w:rsidR="0090414C" w:rsidRPr="0091425F">
        <w:rPr>
          <w:rFonts w:ascii="Arial" w:hAnsi="Arial"/>
          <w:i w:val="0"/>
          <w:iCs w:val="0"/>
          <w:sz w:val="20"/>
          <w:lang w:val="en-AU"/>
        </w:rPr>
        <w:fldChar w:fldCharType="begin"/>
      </w:r>
      <w:r w:rsidRPr="0091425F">
        <w:rPr>
          <w:rFonts w:ascii="Arial" w:hAnsi="Arial"/>
          <w:i w:val="0"/>
          <w:iCs w:val="0"/>
          <w:sz w:val="20"/>
          <w:lang w:val="en-AU"/>
        </w:rPr>
        <w:instrText xml:space="preserve"> SEQ Figure \* ARABIC </w:instrText>
      </w:r>
      <w:r w:rsidR="0090414C" w:rsidRPr="0091425F">
        <w:rPr>
          <w:rFonts w:ascii="Arial" w:hAnsi="Arial"/>
          <w:i w:val="0"/>
          <w:iCs w:val="0"/>
          <w:sz w:val="20"/>
          <w:lang w:val="en-AU"/>
        </w:rPr>
        <w:fldChar w:fldCharType="separate"/>
      </w:r>
      <w:r w:rsidR="00751CEC">
        <w:rPr>
          <w:rFonts w:ascii="Arial" w:hAnsi="Arial"/>
          <w:i w:val="0"/>
          <w:iCs w:val="0"/>
          <w:noProof/>
          <w:sz w:val="20"/>
          <w:lang w:val="en-AU"/>
        </w:rPr>
        <w:t>21</w:t>
      </w:r>
      <w:r w:rsidR="0090414C" w:rsidRPr="0091425F">
        <w:rPr>
          <w:rFonts w:ascii="Arial" w:hAnsi="Arial"/>
          <w:i w:val="0"/>
          <w:iCs w:val="0"/>
          <w:sz w:val="20"/>
          <w:lang w:val="en-AU"/>
        </w:rPr>
        <w:fldChar w:fldCharType="end"/>
      </w:r>
      <w:r w:rsidRPr="0091425F">
        <w:rPr>
          <w:rFonts w:ascii="Arial" w:hAnsi="Arial"/>
          <w:i w:val="0"/>
          <w:iCs w:val="0"/>
          <w:sz w:val="20"/>
          <w:lang w:val="en-AU"/>
        </w:rPr>
        <w:t xml:space="preserve">: </w:t>
      </w:r>
      <w:r w:rsidR="00536FDE" w:rsidRPr="0091425F">
        <w:rPr>
          <w:rFonts w:ascii="Arial" w:hAnsi="Arial"/>
          <w:i w:val="0"/>
          <w:iCs w:val="0"/>
          <w:sz w:val="20"/>
          <w:lang w:val="en-AU"/>
        </w:rPr>
        <w:t xml:space="preserve"> </w:t>
      </w:r>
      <w:r w:rsidRPr="0091425F">
        <w:rPr>
          <w:rFonts w:ascii="Arial" w:hAnsi="Arial"/>
          <w:i w:val="0"/>
          <w:iCs w:val="0"/>
          <w:sz w:val="20"/>
          <w:lang w:val="en-AU"/>
        </w:rPr>
        <w:t>Lifecycle for Asset Management</w:t>
      </w:r>
      <w:bookmarkEnd w:id="445"/>
      <w:bookmarkEnd w:id="446"/>
    </w:p>
    <w:p w:rsidR="00386247" w:rsidRPr="00CF2212" w:rsidRDefault="00386247" w:rsidP="00CF2212">
      <w:pPr>
        <w:pStyle w:val="Heading2"/>
      </w:pPr>
      <w:bookmarkStart w:id="447" w:name="_Toc364945287"/>
      <w:r w:rsidRPr="00CF2212">
        <w:t>Asset Information</w:t>
      </w:r>
      <w:bookmarkEnd w:id="447"/>
    </w:p>
    <w:p w:rsidR="00386247" w:rsidRDefault="00386247" w:rsidP="00536FDE">
      <w:r>
        <w:t xml:space="preserve">Through the development of the BAMP </w:t>
      </w:r>
      <w:r w:rsidRPr="00E170FD">
        <w:t xml:space="preserve">a critical review </w:t>
      </w:r>
      <w:r>
        <w:t xml:space="preserve">has been </w:t>
      </w:r>
      <w:r w:rsidRPr="00E170FD">
        <w:t xml:space="preserve">undertaken to </w:t>
      </w:r>
      <w:r>
        <w:t>confirm</w:t>
      </w:r>
      <w:r w:rsidRPr="00E170FD">
        <w:t xml:space="preserve"> the number of buildings/structures</w:t>
      </w:r>
      <w:r>
        <w:t xml:space="preserve"> that are owned and maintained by Council</w:t>
      </w:r>
      <w:r w:rsidRPr="00E170FD">
        <w:t xml:space="preserve">. </w:t>
      </w:r>
      <w:r>
        <w:t>This review found some errors w</w:t>
      </w:r>
      <w:r w:rsidRPr="00E170FD">
        <w:t xml:space="preserve">ithin the </w:t>
      </w:r>
      <w:r>
        <w:t>Council</w:t>
      </w:r>
      <w:r w:rsidR="002D4917">
        <w:t>’</w:t>
      </w:r>
      <w:r>
        <w:t xml:space="preserve">s </w:t>
      </w:r>
      <w:r w:rsidRPr="00E170FD">
        <w:t>current database</w:t>
      </w:r>
      <w:r w:rsidR="00DE5F00">
        <w:t xml:space="preserve">. For example, </w:t>
      </w:r>
      <w:r w:rsidRPr="00E170FD">
        <w:t>some building</w:t>
      </w:r>
      <w:r w:rsidR="00DE5F00">
        <w:t xml:space="preserve"> functional spaces</w:t>
      </w:r>
      <w:r w:rsidRPr="00E170FD">
        <w:t xml:space="preserve"> such as </w:t>
      </w:r>
      <w:r>
        <w:t xml:space="preserve">the </w:t>
      </w:r>
      <w:r w:rsidRPr="00E170FD">
        <w:t xml:space="preserve">Fitzroy </w:t>
      </w:r>
      <w:r w:rsidR="00DE5F00">
        <w:t>L</w:t>
      </w:r>
      <w:r w:rsidRPr="00E170FD">
        <w:t xml:space="preserve">ibrary, </w:t>
      </w:r>
      <w:r>
        <w:t>w</w:t>
      </w:r>
      <w:r w:rsidR="00DE5F00">
        <w:t>as</w:t>
      </w:r>
      <w:r>
        <w:t xml:space="preserve"> </w:t>
      </w:r>
      <w:r w:rsidRPr="00E170FD">
        <w:t xml:space="preserve">listed </w:t>
      </w:r>
      <w:r>
        <w:t xml:space="preserve">as </w:t>
      </w:r>
      <w:r w:rsidR="00DE5F00">
        <w:t xml:space="preserve">a </w:t>
      </w:r>
      <w:r w:rsidRPr="00E170FD">
        <w:t>separate</w:t>
      </w:r>
      <w:r w:rsidR="00DE5F00">
        <w:t xml:space="preserve"> building</w:t>
      </w:r>
      <w:r>
        <w:t xml:space="preserve"> but in fact</w:t>
      </w:r>
      <w:r w:rsidR="00DE5F00">
        <w:t xml:space="preserve"> it</w:t>
      </w:r>
      <w:r>
        <w:t xml:space="preserve"> is part of the Fitzroy Town Hall. A</w:t>
      </w:r>
      <w:r w:rsidRPr="00E170FD">
        <w:t>ddition</w:t>
      </w:r>
      <w:r>
        <w:t>ally</w:t>
      </w:r>
      <w:r w:rsidRPr="00E170FD">
        <w:t xml:space="preserve"> some buildings listed were not Council</w:t>
      </w:r>
      <w:r w:rsidR="00DE5F00">
        <w:t>`s</w:t>
      </w:r>
      <w:r w:rsidRPr="00E170FD">
        <w:t xml:space="preserve"> responsibility for renewal as they were not owned by Council and some listed </w:t>
      </w:r>
      <w:r>
        <w:t xml:space="preserve">as </w:t>
      </w:r>
      <w:r w:rsidR="00DE5F00">
        <w:t>buildings were structures/</w:t>
      </w:r>
      <w:r w:rsidRPr="00E170FD">
        <w:t>boardwalks. The</w:t>
      </w:r>
      <w:r>
        <w:t>se anomalies have since been corrected and the</w:t>
      </w:r>
      <w:r w:rsidR="00DE5F00">
        <w:t xml:space="preserve"> data</w:t>
      </w:r>
      <w:r>
        <w:t>base reconciled.</w:t>
      </w:r>
    </w:p>
    <w:p w:rsidR="00536FDE" w:rsidRPr="00E170FD" w:rsidRDefault="00536FDE" w:rsidP="00536FDE"/>
    <w:p w:rsidR="00386247" w:rsidRPr="00991F6E" w:rsidRDefault="00386247" w:rsidP="00536FDE">
      <w:r w:rsidRPr="00991F6E">
        <w:t>The total n</w:t>
      </w:r>
      <w:r w:rsidR="00536FDE" w:rsidRPr="00991F6E">
        <w:t>umber of buildings/structures, ‘owned’</w:t>
      </w:r>
      <w:r w:rsidRPr="00991F6E">
        <w:t xml:space="preserve"> or under control of Council </w:t>
      </w:r>
      <w:r w:rsidR="00991F6E">
        <w:t>is 159</w:t>
      </w:r>
      <w:r w:rsidRPr="00991F6E">
        <w:t xml:space="preserve"> comprising:</w:t>
      </w:r>
    </w:p>
    <w:p w:rsidR="00536FDE" w:rsidRPr="003844A2" w:rsidRDefault="00536FDE" w:rsidP="00536FDE">
      <w:pPr>
        <w:rPr>
          <w:highlight w:val="yellow"/>
        </w:rPr>
      </w:pPr>
    </w:p>
    <w:p w:rsidR="00386247" w:rsidRPr="00991F6E" w:rsidRDefault="00386247" w:rsidP="008348B5">
      <w:pPr>
        <w:pStyle w:val="ListParagraph"/>
        <w:numPr>
          <w:ilvl w:val="0"/>
          <w:numId w:val="77"/>
        </w:numPr>
        <w:rPr>
          <w:rFonts w:ascii="Arial" w:hAnsi="Arial" w:cs="Arial"/>
          <w:sz w:val="20"/>
          <w:szCs w:val="20"/>
        </w:rPr>
      </w:pPr>
      <w:r w:rsidRPr="00991F6E">
        <w:rPr>
          <w:rFonts w:ascii="Arial" w:hAnsi="Arial" w:cs="Arial"/>
          <w:sz w:val="20"/>
          <w:szCs w:val="20"/>
        </w:rPr>
        <w:t>15 complex buildings (e</w:t>
      </w:r>
      <w:r w:rsidR="00D90FDE" w:rsidRPr="00991F6E">
        <w:rPr>
          <w:rFonts w:ascii="Arial" w:hAnsi="Arial" w:cs="Arial"/>
          <w:sz w:val="20"/>
          <w:szCs w:val="20"/>
        </w:rPr>
        <w:t>.</w:t>
      </w:r>
      <w:r w:rsidRPr="00991F6E">
        <w:rPr>
          <w:rFonts w:ascii="Arial" w:hAnsi="Arial" w:cs="Arial"/>
          <w:sz w:val="20"/>
          <w:szCs w:val="20"/>
        </w:rPr>
        <w:t>g</w:t>
      </w:r>
      <w:r w:rsidR="00A03CCD" w:rsidRPr="00991F6E">
        <w:rPr>
          <w:rFonts w:ascii="Arial" w:hAnsi="Arial" w:cs="Arial"/>
          <w:sz w:val="20"/>
          <w:szCs w:val="20"/>
        </w:rPr>
        <w:t>.</w:t>
      </w:r>
      <w:r w:rsidRPr="00991F6E">
        <w:rPr>
          <w:rFonts w:ascii="Arial" w:hAnsi="Arial" w:cs="Arial"/>
          <w:sz w:val="20"/>
          <w:szCs w:val="20"/>
        </w:rPr>
        <w:t xml:space="preserve"> Town Halls, Leisure and Recreation centres);</w:t>
      </w:r>
    </w:p>
    <w:p w:rsidR="00386247" w:rsidRPr="00991F6E" w:rsidRDefault="00386247" w:rsidP="008348B5">
      <w:pPr>
        <w:pStyle w:val="ListParagraph"/>
        <w:numPr>
          <w:ilvl w:val="0"/>
          <w:numId w:val="77"/>
        </w:numPr>
        <w:rPr>
          <w:rFonts w:ascii="Arial" w:hAnsi="Arial" w:cs="Arial"/>
          <w:sz w:val="20"/>
          <w:szCs w:val="20"/>
        </w:rPr>
      </w:pPr>
      <w:r w:rsidRPr="00991F6E">
        <w:rPr>
          <w:rFonts w:ascii="Arial" w:hAnsi="Arial" w:cs="Arial"/>
          <w:sz w:val="20"/>
          <w:szCs w:val="20"/>
        </w:rPr>
        <w:t>1</w:t>
      </w:r>
      <w:r w:rsidR="00991F6E">
        <w:rPr>
          <w:rFonts w:ascii="Arial" w:hAnsi="Arial" w:cs="Arial"/>
          <w:sz w:val="20"/>
          <w:szCs w:val="20"/>
        </w:rPr>
        <w:t>22</w:t>
      </w:r>
      <w:r w:rsidRPr="00991F6E">
        <w:rPr>
          <w:rFonts w:ascii="Arial" w:hAnsi="Arial" w:cs="Arial"/>
          <w:sz w:val="20"/>
          <w:szCs w:val="20"/>
        </w:rPr>
        <w:t xml:space="preserve"> other buildings of which 82 were considered “long life” (solid structure) and </w:t>
      </w:r>
      <w:r w:rsidR="00991F6E">
        <w:rPr>
          <w:rFonts w:ascii="Arial" w:hAnsi="Arial" w:cs="Arial"/>
          <w:sz w:val="20"/>
          <w:szCs w:val="20"/>
        </w:rPr>
        <w:t>40</w:t>
      </w:r>
      <w:r w:rsidRPr="00991F6E">
        <w:rPr>
          <w:rFonts w:ascii="Arial" w:hAnsi="Arial" w:cs="Arial"/>
          <w:sz w:val="20"/>
          <w:szCs w:val="20"/>
        </w:rPr>
        <w:t xml:space="preserve"> short life (public toilets, sheds and lighter framed buildings);</w:t>
      </w:r>
    </w:p>
    <w:p w:rsidR="00386247" w:rsidRPr="00991F6E" w:rsidRDefault="00386247" w:rsidP="008348B5">
      <w:pPr>
        <w:pStyle w:val="ListParagraph"/>
        <w:numPr>
          <w:ilvl w:val="0"/>
          <w:numId w:val="77"/>
        </w:numPr>
        <w:rPr>
          <w:rFonts w:ascii="Arial" w:hAnsi="Arial" w:cs="Arial"/>
          <w:sz w:val="20"/>
          <w:szCs w:val="20"/>
        </w:rPr>
      </w:pPr>
      <w:r w:rsidRPr="00991F6E">
        <w:rPr>
          <w:rFonts w:ascii="Arial" w:hAnsi="Arial" w:cs="Arial"/>
          <w:sz w:val="20"/>
          <w:szCs w:val="20"/>
        </w:rPr>
        <w:t>10 Rotundas</w:t>
      </w:r>
      <w:r w:rsidR="00A3657E" w:rsidRPr="00991F6E">
        <w:rPr>
          <w:rFonts w:ascii="Arial" w:hAnsi="Arial" w:cs="Arial"/>
          <w:sz w:val="20"/>
          <w:szCs w:val="20"/>
        </w:rPr>
        <w:t>; and</w:t>
      </w:r>
    </w:p>
    <w:p w:rsidR="00386247" w:rsidRPr="00991F6E" w:rsidRDefault="00991F6E" w:rsidP="008348B5">
      <w:pPr>
        <w:pStyle w:val="ListParagraph"/>
        <w:numPr>
          <w:ilvl w:val="0"/>
          <w:numId w:val="77"/>
        </w:numPr>
        <w:rPr>
          <w:rFonts w:ascii="Arial" w:hAnsi="Arial" w:cs="Arial"/>
          <w:sz w:val="20"/>
          <w:szCs w:val="20"/>
        </w:rPr>
      </w:pPr>
      <w:r>
        <w:rPr>
          <w:rFonts w:ascii="Arial" w:hAnsi="Arial" w:cs="Arial"/>
          <w:sz w:val="20"/>
          <w:szCs w:val="20"/>
        </w:rPr>
        <w:t>12</w:t>
      </w:r>
      <w:r w:rsidR="00DE5F00" w:rsidRPr="00991F6E">
        <w:rPr>
          <w:rFonts w:ascii="Arial" w:hAnsi="Arial" w:cs="Arial"/>
          <w:sz w:val="20"/>
          <w:szCs w:val="20"/>
        </w:rPr>
        <w:t xml:space="preserve"> </w:t>
      </w:r>
      <w:r w:rsidR="00386247" w:rsidRPr="00991F6E">
        <w:rPr>
          <w:rFonts w:ascii="Arial" w:hAnsi="Arial" w:cs="Arial"/>
          <w:sz w:val="20"/>
          <w:szCs w:val="20"/>
        </w:rPr>
        <w:t>other structures (decking, boat landing etc</w:t>
      </w:r>
      <w:r w:rsidR="00A03CCD" w:rsidRPr="00991F6E">
        <w:rPr>
          <w:rFonts w:ascii="Arial" w:hAnsi="Arial" w:cs="Arial"/>
          <w:sz w:val="20"/>
          <w:szCs w:val="20"/>
        </w:rPr>
        <w:t>.</w:t>
      </w:r>
      <w:r w:rsidR="00386247" w:rsidRPr="00991F6E">
        <w:rPr>
          <w:rFonts w:ascii="Arial" w:hAnsi="Arial" w:cs="Arial"/>
          <w:sz w:val="20"/>
          <w:szCs w:val="20"/>
        </w:rPr>
        <w:t>)</w:t>
      </w:r>
      <w:r w:rsidR="00D60852" w:rsidRPr="00991F6E">
        <w:rPr>
          <w:rFonts w:ascii="Arial" w:hAnsi="Arial" w:cs="Arial"/>
          <w:sz w:val="20"/>
          <w:szCs w:val="20"/>
        </w:rPr>
        <w:t>.</w:t>
      </w:r>
    </w:p>
    <w:p w:rsidR="00A3657E" w:rsidRDefault="00A3657E" w:rsidP="00536FDE"/>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23"/>
        <w:gridCol w:w="6674"/>
      </w:tblGrid>
      <w:tr w:rsidR="00386247" w:rsidRPr="00A3657E" w:rsidTr="00A3657E">
        <w:trPr>
          <w:cantSplit/>
          <w:tblHeader/>
          <w:jc w:val="center"/>
        </w:trPr>
        <w:tc>
          <w:tcPr>
            <w:tcW w:w="2423" w:type="dxa"/>
            <w:tcBorders>
              <w:top w:val="single" w:sz="4" w:space="0" w:color="auto"/>
              <w:left w:val="single" w:sz="4" w:space="0" w:color="auto"/>
              <w:bottom w:val="single" w:sz="4" w:space="0" w:color="auto"/>
              <w:right w:val="single" w:sz="4" w:space="0" w:color="auto"/>
            </w:tcBorders>
            <w:shd w:val="clear" w:color="auto" w:fill="95B3D7" w:themeFill="accent1" w:themeFillTint="99"/>
          </w:tcPr>
          <w:p w:rsidR="00386247" w:rsidRPr="00A3657E" w:rsidRDefault="00386247" w:rsidP="00FB2B94">
            <w:pPr>
              <w:spacing w:before="120" w:after="120"/>
              <w:jc w:val="left"/>
              <w:rPr>
                <w:b/>
              </w:rPr>
            </w:pPr>
            <w:r w:rsidRPr="00A3657E">
              <w:rPr>
                <w:b/>
              </w:rPr>
              <w:t>Service/Asset Class</w:t>
            </w:r>
          </w:p>
        </w:tc>
        <w:tc>
          <w:tcPr>
            <w:tcW w:w="6674" w:type="dxa"/>
            <w:tcBorders>
              <w:top w:val="single" w:sz="4" w:space="0" w:color="auto"/>
              <w:left w:val="single" w:sz="4" w:space="0" w:color="auto"/>
              <w:bottom w:val="single" w:sz="4" w:space="0" w:color="auto"/>
              <w:right w:val="single" w:sz="4" w:space="0" w:color="auto"/>
            </w:tcBorders>
            <w:shd w:val="clear" w:color="auto" w:fill="95B3D7" w:themeFill="accent1" w:themeFillTint="99"/>
          </w:tcPr>
          <w:p w:rsidR="00386247" w:rsidRPr="00A3657E" w:rsidRDefault="00386247" w:rsidP="00A3657E">
            <w:pPr>
              <w:spacing w:before="120" w:after="120"/>
              <w:jc w:val="left"/>
              <w:rPr>
                <w:b/>
              </w:rPr>
            </w:pPr>
            <w:r w:rsidRPr="00A3657E">
              <w:rPr>
                <w:b/>
              </w:rPr>
              <w:t>Building Categories</w:t>
            </w:r>
          </w:p>
        </w:tc>
      </w:tr>
      <w:tr w:rsidR="00386247" w:rsidRPr="00A3657E" w:rsidTr="00A3657E">
        <w:trPr>
          <w:cantSplit/>
          <w:jc w:val="center"/>
        </w:trPr>
        <w:tc>
          <w:tcPr>
            <w:tcW w:w="2423" w:type="dxa"/>
            <w:tcBorders>
              <w:top w:val="single" w:sz="4" w:space="0" w:color="auto"/>
              <w:bottom w:val="single" w:sz="4" w:space="0" w:color="000000"/>
            </w:tcBorders>
          </w:tcPr>
          <w:p w:rsidR="00386247" w:rsidRPr="00A3657E" w:rsidRDefault="00386247" w:rsidP="00A3657E">
            <w:pPr>
              <w:spacing w:before="120" w:after="120"/>
              <w:jc w:val="left"/>
            </w:pPr>
            <w:r w:rsidRPr="00A3657E">
              <w:t>Commercial</w:t>
            </w:r>
          </w:p>
        </w:tc>
        <w:tc>
          <w:tcPr>
            <w:tcW w:w="6674" w:type="dxa"/>
            <w:tcBorders>
              <w:top w:val="single" w:sz="4" w:space="0" w:color="auto"/>
            </w:tcBorders>
          </w:tcPr>
          <w:p w:rsidR="00386247" w:rsidRPr="00A3657E" w:rsidRDefault="00386247" w:rsidP="00A3657E">
            <w:pPr>
              <w:spacing w:before="120" w:after="120"/>
              <w:jc w:val="left"/>
            </w:pPr>
            <w:r w:rsidRPr="00A3657E">
              <w:t>Buildings that currently being leased to a third party to provide services or are considered to have a potential for a commercial return</w:t>
            </w:r>
            <w:r w:rsidR="00DA0D16" w:rsidRPr="00A3657E">
              <w:t>.</w:t>
            </w:r>
            <w:r w:rsidRPr="00A3657E">
              <w:t xml:space="preserve"> </w:t>
            </w:r>
          </w:p>
        </w:tc>
      </w:tr>
      <w:tr w:rsidR="00386247" w:rsidRPr="00A3657E" w:rsidTr="00A3657E">
        <w:trPr>
          <w:cantSplit/>
          <w:jc w:val="center"/>
        </w:trPr>
        <w:tc>
          <w:tcPr>
            <w:tcW w:w="2423" w:type="dxa"/>
            <w:tcBorders>
              <w:top w:val="single" w:sz="4" w:space="0" w:color="auto"/>
              <w:bottom w:val="single" w:sz="4" w:space="0" w:color="000000"/>
            </w:tcBorders>
          </w:tcPr>
          <w:p w:rsidR="00386247" w:rsidRPr="00A3657E" w:rsidRDefault="00386247" w:rsidP="00A3657E">
            <w:pPr>
              <w:spacing w:before="120" w:after="120"/>
              <w:jc w:val="left"/>
            </w:pPr>
            <w:r w:rsidRPr="00A3657E">
              <w:t>Community Services</w:t>
            </w:r>
          </w:p>
        </w:tc>
        <w:tc>
          <w:tcPr>
            <w:tcW w:w="6674" w:type="dxa"/>
            <w:tcBorders>
              <w:top w:val="single" w:sz="4" w:space="0" w:color="auto"/>
            </w:tcBorders>
          </w:tcPr>
          <w:p w:rsidR="00386247" w:rsidRPr="00A3657E" w:rsidRDefault="00386247" w:rsidP="00FB2B94">
            <w:pPr>
              <w:spacing w:before="120" w:after="120"/>
              <w:jc w:val="left"/>
            </w:pPr>
            <w:r w:rsidRPr="00A3657E">
              <w:t xml:space="preserve">Buildings that are used primarily to run services for the community by the Community </w:t>
            </w:r>
            <w:r w:rsidR="00FB2B94">
              <w:t>P</w:t>
            </w:r>
            <w:r w:rsidRPr="00A3657E">
              <w:t>rograms Division.</w:t>
            </w:r>
          </w:p>
        </w:tc>
      </w:tr>
      <w:tr w:rsidR="00386247" w:rsidRPr="00A3657E" w:rsidTr="00A3657E">
        <w:trPr>
          <w:cantSplit/>
          <w:jc w:val="center"/>
        </w:trPr>
        <w:tc>
          <w:tcPr>
            <w:tcW w:w="2423" w:type="dxa"/>
            <w:tcBorders>
              <w:bottom w:val="single" w:sz="4" w:space="0" w:color="000000"/>
            </w:tcBorders>
          </w:tcPr>
          <w:p w:rsidR="00386247" w:rsidRPr="00A3657E" w:rsidRDefault="00386247" w:rsidP="00A3657E">
            <w:pPr>
              <w:spacing w:before="120" w:after="120"/>
              <w:jc w:val="left"/>
            </w:pPr>
            <w:r w:rsidRPr="00A3657E">
              <w:t>Council Operations</w:t>
            </w:r>
          </w:p>
        </w:tc>
        <w:tc>
          <w:tcPr>
            <w:tcW w:w="6674" w:type="dxa"/>
          </w:tcPr>
          <w:p w:rsidR="00386247" w:rsidRPr="00A3657E" w:rsidRDefault="00386247" w:rsidP="00A3657E">
            <w:pPr>
              <w:spacing w:before="120" w:after="120"/>
              <w:jc w:val="left"/>
            </w:pPr>
            <w:r w:rsidRPr="00A3657E">
              <w:t>Buildings that are used by Council staff for the support and management of Council services, or by internal operational staff that are providing services to the community.</w:t>
            </w:r>
          </w:p>
        </w:tc>
      </w:tr>
      <w:tr w:rsidR="00386247" w:rsidRPr="00A3657E" w:rsidTr="00A3657E">
        <w:trPr>
          <w:cantSplit/>
          <w:jc w:val="center"/>
        </w:trPr>
        <w:tc>
          <w:tcPr>
            <w:tcW w:w="2423" w:type="dxa"/>
            <w:tcBorders>
              <w:bottom w:val="single" w:sz="4" w:space="0" w:color="000000"/>
            </w:tcBorders>
          </w:tcPr>
          <w:p w:rsidR="00386247" w:rsidRPr="00A3657E" w:rsidRDefault="00386247" w:rsidP="00A3657E">
            <w:pPr>
              <w:spacing w:before="120" w:after="120"/>
              <w:jc w:val="left"/>
            </w:pPr>
            <w:r w:rsidRPr="00A3657E">
              <w:t>Leisure Services</w:t>
            </w:r>
          </w:p>
        </w:tc>
        <w:tc>
          <w:tcPr>
            <w:tcW w:w="6674" w:type="dxa"/>
          </w:tcPr>
          <w:p w:rsidR="00386247" w:rsidRPr="00A3657E" w:rsidRDefault="00386247" w:rsidP="00A3657E">
            <w:pPr>
              <w:spacing w:before="120" w:after="120"/>
              <w:jc w:val="left"/>
            </w:pPr>
            <w:r w:rsidRPr="00A3657E">
              <w:t>The three leisure</w:t>
            </w:r>
            <w:r w:rsidR="00DA0D16" w:rsidRPr="00A3657E">
              <w:t>/recreation</w:t>
            </w:r>
            <w:r w:rsidRPr="00A3657E">
              <w:t xml:space="preserve"> centres and golf course buildings.</w:t>
            </w:r>
          </w:p>
        </w:tc>
      </w:tr>
      <w:tr w:rsidR="00386247" w:rsidRPr="00A3657E" w:rsidTr="00A3657E">
        <w:trPr>
          <w:cantSplit/>
          <w:jc w:val="center"/>
        </w:trPr>
        <w:tc>
          <w:tcPr>
            <w:tcW w:w="2423" w:type="dxa"/>
            <w:tcBorders>
              <w:bottom w:val="single" w:sz="4" w:space="0" w:color="000000"/>
            </w:tcBorders>
          </w:tcPr>
          <w:p w:rsidR="00386247" w:rsidRPr="00A3657E" w:rsidRDefault="00A3657E" w:rsidP="00A3657E">
            <w:pPr>
              <w:spacing w:before="120" w:after="120"/>
              <w:jc w:val="left"/>
            </w:pPr>
            <w:r w:rsidRPr="00A3657E">
              <w:t>Recreation and</w:t>
            </w:r>
            <w:r w:rsidR="00386247" w:rsidRPr="00A3657E">
              <w:t xml:space="preserve"> Open Space</w:t>
            </w:r>
          </w:p>
        </w:tc>
        <w:tc>
          <w:tcPr>
            <w:tcW w:w="6674" w:type="dxa"/>
          </w:tcPr>
          <w:p w:rsidR="00386247" w:rsidRPr="00A3657E" w:rsidRDefault="00386247" w:rsidP="00A3657E">
            <w:pPr>
              <w:spacing w:before="120" w:after="120"/>
              <w:jc w:val="left"/>
            </w:pPr>
            <w:r w:rsidRPr="00A3657E">
              <w:t>Building</w:t>
            </w:r>
            <w:r w:rsidR="00DA0D16" w:rsidRPr="00A3657E">
              <w:t>s</w:t>
            </w:r>
            <w:r w:rsidRPr="00A3657E">
              <w:t xml:space="preserve"> that are located in areas of open space that support both passive and active recreation.</w:t>
            </w:r>
          </w:p>
        </w:tc>
      </w:tr>
      <w:tr w:rsidR="00386247" w:rsidRPr="00A3657E" w:rsidTr="00A3657E">
        <w:trPr>
          <w:cantSplit/>
          <w:jc w:val="center"/>
        </w:trPr>
        <w:tc>
          <w:tcPr>
            <w:tcW w:w="2423" w:type="dxa"/>
            <w:tcBorders>
              <w:bottom w:val="single" w:sz="4" w:space="0" w:color="000000"/>
            </w:tcBorders>
          </w:tcPr>
          <w:p w:rsidR="00386247" w:rsidRPr="00A3657E" w:rsidRDefault="00386247" w:rsidP="00A3657E">
            <w:pPr>
              <w:spacing w:before="120" w:after="120"/>
              <w:jc w:val="left"/>
            </w:pPr>
            <w:r w:rsidRPr="00A3657E">
              <w:t>Amenities</w:t>
            </w:r>
          </w:p>
        </w:tc>
        <w:tc>
          <w:tcPr>
            <w:tcW w:w="6674" w:type="dxa"/>
          </w:tcPr>
          <w:p w:rsidR="00386247" w:rsidRPr="00A3657E" w:rsidRDefault="00386247" w:rsidP="00A3657E">
            <w:pPr>
              <w:spacing w:before="120" w:after="120"/>
              <w:jc w:val="left"/>
            </w:pPr>
            <w:r w:rsidRPr="00A3657E">
              <w:t>Standalone public toilets that are in the urban environment.</w:t>
            </w:r>
          </w:p>
        </w:tc>
      </w:tr>
      <w:tr w:rsidR="00386247" w:rsidRPr="00A3657E" w:rsidTr="00A3657E">
        <w:trPr>
          <w:cantSplit/>
          <w:jc w:val="center"/>
        </w:trPr>
        <w:tc>
          <w:tcPr>
            <w:tcW w:w="2423" w:type="dxa"/>
            <w:tcBorders>
              <w:bottom w:val="single" w:sz="4" w:space="0" w:color="000000"/>
            </w:tcBorders>
          </w:tcPr>
          <w:p w:rsidR="00386247" w:rsidRPr="00A3657E" w:rsidRDefault="00386247" w:rsidP="00A3657E">
            <w:pPr>
              <w:spacing w:before="120" w:after="120"/>
              <w:jc w:val="left"/>
            </w:pPr>
            <w:r w:rsidRPr="00A3657E">
              <w:t>Miscellaneous</w:t>
            </w:r>
          </w:p>
        </w:tc>
        <w:tc>
          <w:tcPr>
            <w:tcW w:w="6674" w:type="dxa"/>
          </w:tcPr>
          <w:p w:rsidR="00386247" w:rsidRPr="00A3657E" w:rsidRDefault="00386247" w:rsidP="00A3657E">
            <w:pPr>
              <w:spacing w:before="120" w:after="120"/>
              <w:jc w:val="left"/>
            </w:pPr>
            <w:r w:rsidRPr="00A3657E">
              <w:t>Structures that are not classified as buildings that are maintained by the Buildings and Property Branch.</w:t>
            </w:r>
          </w:p>
        </w:tc>
      </w:tr>
    </w:tbl>
    <w:p w:rsidR="00FB2B94" w:rsidRPr="0024611A" w:rsidRDefault="00FB2B94" w:rsidP="004B0D5B">
      <w:pPr>
        <w:pStyle w:val="Caption"/>
        <w:spacing w:before="240" w:after="240"/>
        <w:ind w:left="0"/>
        <w:jc w:val="center"/>
        <w:rPr>
          <w:rFonts w:ascii="Arial" w:hAnsi="Arial"/>
          <w:i w:val="0"/>
          <w:iCs w:val="0"/>
          <w:sz w:val="20"/>
          <w:lang w:val="en-AU"/>
        </w:rPr>
      </w:pPr>
      <w:bookmarkStart w:id="448" w:name="_Toc364945432"/>
      <w:r w:rsidRPr="0024611A">
        <w:rPr>
          <w:rFonts w:ascii="Arial" w:hAnsi="Arial"/>
          <w:i w:val="0"/>
          <w:iCs w:val="0"/>
          <w:sz w:val="20"/>
          <w:lang w:val="en-AU"/>
        </w:rPr>
        <w:t xml:space="preserve">Table </w:t>
      </w:r>
      <w:r w:rsidR="0090414C" w:rsidRPr="0024611A">
        <w:rPr>
          <w:rFonts w:ascii="Arial" w:hAnsi="Arial"/>
          <w:i w:val="0"/>
          <w:iCs w:val="0"/>
          <w:sz w:val="20"/>
          <w:lang w:val="en-AU"/>
        </w:rPr>
        <w:fldChar w:fldCharType="begin"/>
      </w:r>
      <w:r w:rsidRPr="0024611A">
        <w:rPr>
          <w:rFonts w:ascii="Arial" w:hAnsi="Arial"/>
          <w:i w:val="0"/>
          <w:iCs w:val="0"/>
          <w:sz w:val="20"/>
          <w:lang w:val="en-AU"/>
        </w:rPr>
        <w:instrText xml:space="preserve"> SEQ Table \* ARABIC </w:instrText>
      </w:r>
      <w:r w:rsidR="0090414C" w:rsidRPr="0024611A">
        <w:rPr>
          <w:rFonts w:ascii="Arial" w:hAnsi="Arial"/>
          <w:i w:val="0"/>
          <w:iCs w:val="0"/>
          <w:sz w:val="20"/>
          <w:lang w:val="en-AU"/>
        </w:rPr>
        <w:fldChar w:fldCharType="separate"/>
      </w:r>
      <w:r w:rsidR="00751CEC">
        <w:rPr>
          <w:rFonts w:ascii="Arial" w:hAnsi="Arial"/>
          <w:i w:val="0"/>
          <w:iCs w:val="0"/>
          <w:noProof/>
          <w:sz w:val="20"/>
          <w:lang w:val="en-AU"/>
        </w:rPr>
        <w:t>28</w:t>
      </w:r>
      <w:r w:rsidR="0090414C" w:rsidRPr="0024611A">
        <w:rPr>
          <w:rFonts w:ascii="Arial" w:hAnsi="Arial"/>
          <w:i w:val="0"/>
          <w:iCs w:val="0"/>
          <w:sz w:val="20"/>
          <w:lang w:val="en-AU"/>
        </w:rPr>
        <w:fldChar w:fldCharType="end"/>
      </w:r>
      <w:r w:rsidRPr="0024611A">
        <w:rPr>
          <w:rFonts w:ascii="Arial" w:hAnsi="Arial"/>
          <w:i w:val="0"/>
          <w:iCs w:val="0"/>
          <w:sz w:val="20"/>
          <w:lang w:val="en-AU"/>
        </w:rPr>
        <w:t>:  Service/Asset Classes</w:t>
      </w:r>
      <w:bookmarkEnd w:id="448"/>
    </w:p>
    <w:p w:rsidR="00FB2B94" w:rsidRDefault="00FB2B94" w:rsidP="00C36B7A">
      <w:pPr>
        <w:keepNext/>
        <w:keepLines/>
      </w:pPr>
      <w:r>
        <w:t>The following table provides a breakdown of Council</w:t>
      </w:r>
      <w:r w:rsidR="00D60852">
        <w:t>’</w:t>
      </w:r>
      <w:r>
        <w:t xml:space="preserve">s building assets by service area and the replacement cost. (Note: the replacement cost has been provided by Council`s Valuations Unit and is based on construction cost. It does not include additional costs such demolition (if </w:t>
      </w:r>
      <w:r w:rsidR="00D60852">
        <w:t>the building was to be replaced</w:t>
      </w:r>
      <w:r>
        <w:t>)</w:t>
      </w:r>
      <w:r w:rsidR="00D60852">
        <w:t>.</w:t>
      </w:r>
    </w:p>
    <w:p w:rsidR="00FB2B94" w:rsidRDefault="00FB2B94" w:rsidP="00C36B7A">
      <w:pPr>
        <w:keepNext/>
        <w:keepLines/>
      </w:pPr>
    </w:p>
    <w:tbl>
      <w:tblPr>
        <w:tblStyle w:val="TableGrid"/>
        <w:tblW w:w="7938" w:type="dxa"/>
        <w:tblInd w:w="675" w:type="dxa"/>
        <w:tblLook w:val="04A0" w:firstRow="1" w:lastRow="0" w:firstColumn="1" w:lastColumn="0" w:noHBand="0" w:noVBand="1"/>
      </w:tblPr>
      <w:tblGrid>
        <w:gridCol w:w="4093"/>
        <w:gridCol w:w="1577"/>
        <w:gridCol w:w="2268"/>
      </w:tblGrid>
      <w:tr w:rsidR="00AF38C9" w:rsidRPr="00AF38C9" w:rsidTr="00B277ED">
        <w:trPr>
          <w:trHeight w:val="288"/>
        </w:trPr>
        <w:tc>
          <w:tcPr>
            <w:tcW w:w="7938" w:type="dxa"/>
            <w:gridSpan w:val="3"/>
            <w:tcBorders>
              <w:bottom w:val="single" w:sz="4" w:space="0" w:color="auto"/>
            </w:tcBorders>
            <w:shd w:val="clear" w:color="auto" w:fill="95B3D7" w:themeFill="accent1" w:themeFillTint="99"/>
            <w:vAlign w:val="center"/>
          </w:tcPr>
          <w:p w:rsidR="00AF38C9" w:rsidRPr="00AF38C9" w:rsidRDefault="00AF38C9" w:rsidP="00B277ED">
            <w:pPr>
              <w:keepNext/>
              <w:keepLines/>
              <w:jc w:val="center"/>
              <w:rPr>
                <w:rFonts w:cs="Arial"/>
                <w:b/>
              </w:rPr>
            </w:pPr>
            <w:r>
              <w:rPr>
                <w:rFonts w:cs="Arial"/>
                <w:b/>
              </w:rPr>
              <w:t>Buildings Primary Use and Replacement Value</w:t>
            </w:r>
          </w:p>
        </w:tc>
      </w:tr>
      <w:tr w:rsidR="00C36B7A" w:rsidRPr="00AF38C9" w:rsidTr="00B277ED">
        <w:trPr>
          <w:trHeight w:val="288"/>
        </w:trPr>
        <w:tc>
          <w:tcPr>
            <w:tcW w:w="4093" w:type="dxa"/>
            <w:tcBorders>
              <w:bottom w:val="single" w:sz="4" w:space="0" w:color="auto"/>
            </w:tcBorders>
            <w:shd w:val="clear" w:color="auto" w:fill="D9D9D9" w:themeFill="background1" w:themeFillShade="D9"/>
            <w:vAlign w:val="center"/>
          </w:tcPr>
          <w:p w:rsidR="00AF38C9" w:rsidRPr="00AF38C9" w:rsidRDefault="00AF38C9" w:rsidP="00C36B7A">
            <w:pPr>
              <w:keepNext/>
              <w:keepLines/>
              <w:jc w:val="left"/>
              <w:rPr>
                <w:rFonts w:cs="Arial"/>
                <w:b/>
              </w:rPr>
            </w:pPr>
            <w:r w:rsidRPr="00AF38C9">
              <w:rPr>
                <w:rFonts w:cs="Arial"/>
                <w:b/>
              </w:rPr>
              <w:t>Service Area (Primary Use)</w:t>
            </w:r>
          </w:p>
        </w:tc>
        <w:tc>
          <w:tcPr>
            <w:tcW w:w="1577" w:type="dxa"/>
            <w:tcBorders>
              <w:bottom w:val="single" w:sz="4" w:space="0" w:color="auto"/>
            </w:tcBorders>
            <w:shd w:val="clear" w:color="auto" w:fill="D9D9D9" w:themeFill="background1" w:themeFillShade="D9"/>
            <w:noWrap/>
            <w:vAlign w:val="center"/>
          </w:tcPr>
          <w:p w:rsidR="00AF38C9" w:rsidRPr="00AF38C9" w:rsidRDefault="00AF38C9" w:rsidP="00C36B7A">
            <w:pPr>
              <w:keepNext/>
              <w:keepLines/>
              <w:jc w:val="center"/>
              <w:rPr>
                <w:rFonts w:cs="Arial"/>
                <w:b/>
              </w:rPr>
            </w:pPr>
            <w:r w:rsidRPr="00AF38C9">
              <w:rPr>
                <w:rFonts w:cs="Arial"/>
                <w:b/>
              </w:rPr>
              <w:t>Number</w:t>
            </w:r>
          </w:p>
        </w:tc>
        <w:tc>
          <w:tcPr>
            <w:tcW w:w="2268" w:type="dxa"/>
            <w:tcBorders>
              <w:bottom w:val="single" w:sz="4" w:space="0" w:color="auto"/>
            </w:tcBorders>
            <w:shd w:val="clear" w:color="auto" w:fill="D9D9D9" w:themeFill="background1" w:themeFillShade="D9"/>
            <w:vAlign w:val="center"/>
          </w:tcPr>
          <w:p w:rsidR="00AF38C9" w:rsidRPr="00AF38C9" w:rsidRDefault="00AF38C9" w:rsidP="00C36B7A">
            <w:pPr>
              <w:keepNext/>
              <w:keepLines/>
              <w:jc w:val="left"/>
              <w:rPr>
                <w:rFonts w:cs="Arial"/>
                <w:b/>
              </w:rPr>
            </w:pPr>
            <w:r w:rsidRPr="00AF38C9">
              <w:rPr>
                <w:rFonts w:cs="Arial"/>
                <w:b/>
              </w:rPr>
              <w:t>Replacement Value ($)</w:t>
            </w:r>
          </w:p>
        </w:tc>
      </w:tr>
      <w:tr w:rsidR="00AF38C9" w:rsidRPr="00C259FC" w:rsidTr="00B277ED">
        <w:trPr>
          <w:trHeight w:val="170"/>
        </w:trPr>
        <w:tc>
          <w:tcPr>
            <w:tcW w:w="4093" w:type="dxa"/>
            <w:tcBorders>
              <w:top w:val="single" w:sz="4" w:space="0" w:color="auto"/>
              <w:left w:val="single" w:sz="4" w:space="0" w:color="auto"/>
              <w:bottom w:val="nil"/>
              <w:right w:val="single" w:sz="4" w:space="0" w:color="auto"/>
            </w:tcBorders>
            <w:vAlign w:val="center"/>
            <w:hideMark/>
          </w:tcPr>
          <w:p w:rsidR="00AF38C9" w:rsidRPr="00C259FC" w:rsidRDefault="00AF38C9" w:rsidP="00C36B7A">
            <w:pPr>
              <w:keepNext/>
              <w:keepLines/>
              <w:spacing w:before="20" w:after="20"/>
              <w:rPr>
                <w:rFonts w:cs="Arial"/>
                <w:color w:val="000000"/>
                <w:szCs w:val="18"/>
              </w:rPr>
            </w:pPr>
            <w:r w:rsidRPr="00C259FC">
              <w:rPr>
                <w:rFonts w:cs="Arial"/>
                <w:color w:val="000000"/>
                <w:szCs w:val="18"/>
              </w:rPr>
              <w:t>Child Care Centres</w:t>
            </w:r>
          </w:p>
        </w:tc>
        <w:tc>
          <w:tcPr>
            <w:tcW w:w="1577" w:type="dxa"/>
            <w:tcBorders>
              <w:top w:val="single" w:sz="4" w:space="0" w:color="auto"/>
              <w:left w:val="single" w:sz="4" w:space="0" w:color="auto"/>
              <w:bottom w:val="nil"/>
              <w:right w:val="single" w:sz="4" w:space="0" w:color="auto"/>
            </w:tcBorders>
            <w:noWrap/>
            <w:vAlign w:val="center"/>
            <w:hideMark/>
          </w:tcPr>
          <w:p w:rsidR="00AF38C9" w:rsidRPr="00C259FC" w:rsidRDefault="00AF38C9" w:rsidP="00C36B7A">
            <w:pPr>
              <w:keepNext/>
              <w:keepLines/>
              <w:spacing w:before="20" w:after="20"/>
              <w:jc w:val="center"/>
              <w:rPr>
                <w:rFonts w:cs="Arial"/>
                <w:color w:val="000000"/>
                <w:szCs w:val="18"/>
              </w:rPr>
            </w:pPr>
            <w:r w:rsidRPr="00C259FC">
              <w:rPr>
                <w:rFonts w:cs="Arial"/>
                <w:color w:val="000000"/>
                <w:szCs w:val="18"/>
              </w:rPr>
              <w:t>1</w:t>
            </w:r>
          </w:p>
        </w:tc>
        <w:tc>
          <w:tcPr>
            <w:tcW w:w="2268" w:type="dxa"/>
            <w:tcBorders>
              <w:top w:val="single" w:sz="4" w:space="0" w:color="auto"/>
              <w:left w:val="single" w:sz="4" w:space="0" w:color="auto"/>
              <w:bottom w:val="nil"/>
              <w:right w:val="single" w:sz="4" w:space="0" w:color="auto"/>
            </w:tcBorders>
            <w:vAlign w:val="center"/>
            <w:hideMark/>
          </w:tcPr>
          <w:p w:rsidR="00AF38C9" w:rsidRPr="00C259FC" w:rsidRDefault="00AF38C9" w:rsidP="00C36B7A">
            <w:pPr>
              <w:keepNext/>
              <w:keepLines/>
              <w:tabs>
                <w:tab w:val="decimal" w:pos="1562"/>
              </w:tabs>
              <w:spacing w:before="20" w:after="20"/>
              <w:jc w:val="left"/>
              <w:rPr>
                <w:rFonts w:cs="Arial"/>
                <w:color w:val="000000"/>
                <w:szCs w:val="18"/>
              </w:rPr>
            </w:pPr>
            <w:r>
              <w:rPr>
                <w:rFonts w:cs="Arial"/>
                <w:color w:val="000000"/>
                <w:szCs w:val="18"/>
              </w:rPr>
              <w:t>2,466,225</w:t>
            </w:r>
          </w:p>
        </w:tc>
      </w:tr>
      <w:tr w:rsidR="00AF38C9" w:rsidRPr="00C259FC" w:rsidTr="00B277ED">
        <w:trPr>
          <w:trHeight w:val="170"/>
        </w:trPr>
        <w:tc>
          <w:tcPr>
            <w:tcW w:w="4093" w:type="dxa"/>
            <w:tcBorders>
              <w:top w:val="nil"/>
              <w:left w:val="single" w:sz="4" w:space="0" w:color="auto"/>
              <w:bottom w:val="nil"/>
              <w:right w:val="single" w:sz="4" w:space="0" w:color="auto"/>
            </w:tcBorders>
            <w:noWrap/>
            <w:vAlign w:val="center"/>
            <w:hideMark/>
          </w:tcPr>
          <w:p w:rsidR="00AF38C9" w:rsidRPr="00C259FC" w:rsidRDefault="00AF38C9" w:rsidP="00C36B7A">
            <w:pPr>
              <w:keepNext/>
              <w:keepLines/>
              <w:spacing w:before="20" w:after="20"/>
              <w:rPr>
                <w:rFonts w:cs="Arial"/>
                <w:color w:val="000000"/>
                <w:szCs w:val="18"/>
              </w:rPr>
            </w:pPr>
            <w:r w:rsidRPr="00C259FC">
              <w:rPr>
                <w:rFonts w:cs="Arial"/>
                <w:color w:val="000000"/>
                <w:szCs w:val="18"/>
              </w:rPr>
              <w:t>Factory</w:t>
            </w:r>
          </w:p>
        </w:tc>
        <w:tc>
          <w:tcPr>
            <w:tcW w:w="1577" w:type="dxa"/>
            <w:tcBorders>
              <w:top w:val="nil"/>
              <w:left w:val="single" w:sz="4" w:space="0" w:color="auto"/>
              <w:bottom w:val="nil"/>
              <w:right w:val="single" w:sz="4" w:space="0" w:color="auto"/>
            </w:tcBorders>
            <w:noWrap/>
            <w:vAlign w:val="center"/>
            <w:hideMark/>
          </w:tcPr>
          <w:p w:rsidR="00AF38C9" w:rsidRPr="00C259FC" w:rsidRDefault="00AF38C9" w:rsidP="00C36B7A">
            <w:pPr>
              <w:keepNext/>
              <w:keepLines/>
              <w:spacing w:before="20" w:after="20"/>
              <w:jc w:val="center"/>
              <w:rPr>
                <w:rFonts w:cs="Arial"/>
                <w:color w:val="000000"/>
                <w:szCs w:val="18"/>
              </w:rPr>
            </w:pPr>
            <w:r w:rsidRPr="00C259FC">
              <w:rPr>
                <w:rFonts w:cs="Arial"/>
                <w:color w:val="000000"/>
                <w:szCs w:val="18"/>
              </w:rPr>
              <w:t>1</w:t>
            </w:r>
          </w:p>
        </w:tc>
        <w:tc>
          <w:tcPr>
            <w:tcW w:w="2268" w:type="dxa"/>
            <w:tcBorders>
              <w:top w:val="nil"/>
              <w:left w:val="single" w:sz="4" w:space="0" w:color="auto"/>
              <w:bottom w:val="nil"/>
              <w:right w:val="single" w:sz="4" w:space="0" w:color="auto"/>
            </w:tcBorders>
            <w:vAlign w:val="center"/>
            <w:hideMark/>
          </w:tcPr>
          <w:p w:rsidR="00AF38C9" w:rsidRPr="00C259FC" w:rsidRDefault="00AF38C9" w:rsidP="00C36B7A">
            <w:pPr>
              <w:keepNext/>
              <w:keepLines/>
              <w:tabs>
                <w:tab w:val="decimal" w:pos="1562"/>
              </w:tabs>
              <w:spacing w:before="20" w:after="20"/>
              <w:jc w:val="left"/>
              <w:rPr>
                <w:rFonts w:cs="Arial"/>
                <w:color w:val="000000"/>
                <w:szCs w:val="18"/>
              </w:rPr>
            </w:pPr>
            <w:r>
              <w:rPr>
                <w:rFonts w:cs="Arial"/>
                <w:color w:val="000000"/>
                <w:szCs w:val="18"/>
              </w:rPr>
              <w:t>832,140</w:t>
            </w:r>
          </w:p>
        </w:tc>
      </w:tr>
      <w:tr w:rsidR="00AF38C9" w:rsidRPr="00C259FC" w:rsidTr="00B277ED">
        <w:trPr>
          <w:trHeight w:val="170"/>
        </w:trPr>
        <w:tc>
          <w:tcPr>
            <w:tcW w:w="4093" w:type="dxa"/>
            <w:tcBorders>
              <w:top w:val="nil"/>
              <w:left w:val="single" w:sz="4" w:space="0" w:color="auto"/>
              <w:bottom w:val="nil"/>
              <w:right w:val="single" w:sz="4" w:space="0" w:color="auto"/>
            </w:tcBorders>
            <w:noWrap/>
            <w:vAlign w:val="center"/>
            <w:hideMark/>
          </w:tcPr>
          <w:p w:rsidR="00AF38C9" w:rsidRPr="00C259FC" w:rsidRDefault="00AF38C9" w:rsidP="00C36B7A">
            <w:pPr>
              <w:keepNext/>
              <w:keepLines/>
              <w:spacing w:before="20" w:after="20"/>
              <w:rPr>
                <w:rFonts w:cs="Arial"/>
                <w:color w:val="000000"/>
                <w:szCs w:val="18"/>
              </w:rPr>
            </w:pPr>
            <w:r w:rsidRPr="00C259FC">
              <w:rPr>
                <w:rFonts w:cs="Arial"/>
                <w:color w:val="000000"/>
                <w:szCs w:val="18"/>
              </w:rPr>
              <w:t>Gallery</w:t>
            </w:r>
          </w:p>
        </w:tc>
        <w:tc>
          <w:tcPr>
            <w:tcW w:w="1577" w:type="dxa"/>
            <w:tcBorders>
              <w:top w:val="nil"/>
              <w:left w:val="single" w:sz="4" w:space="0" w:color="auto"/>
              <w:bottom w:val="nil"/>
              <w:right w:val="single" w:sz="4" w:space="0" w:color="auto"/>
            </w:tcBorders>
            <w:noWrap/>
            <w:vAlign w:val="center"/>
            <w:hideMark/>
          </w:tcPr>
          <w:p w:rsidR="00AF38C9" w:rsidRPr="00C259FC" w:rsidRDefault="00AF38C9" w:rsidP="00C36B7A">
            <w:pPr>
              <w:keepNext/>
              <w:keepLines/>
              <w:spacing w:before="20" w:after="20"/>
              <w:jc w:val="center"/>
              <w:rPr>
                <w:rFonts w:cs="Arial"/>
                <w:color w:val="000000"/>
                <w:szCs w:val="18"/>
              </w:rPr>
            </w:pPr>
            <w:r w:rsidRPr="00C259FC">
              <w:rPr>
                <w:rFonts w:cs="Arial"/>
                <w:color w:val="000000"/>
                <w:szCs w:val="18"/>
              </w:rPr>
              <w:t>1</w:t>
            </w:r>
          </w:p>
        </w:tc>
        <w:tc>
          <w:tcPr>
            <w:tcW w:w="2268" w:type="dxa"/>
            <w:tcBorders>
              <w:top w:val="nil"/>
              <w:left w:val="single" w:sz="4" w:space="0" w:color="auto"/>
              <w:bottom w:val="nil"/>
              <w:right w:val="single" w:sz="4" w:space="0" w:color="auto"/>
            </w:tcBorders>
            <w:vAlign w:val="center"/>
            <w:hideMark/>
          </w:tcPr>
          <w:p w:rsidR="00AF38C9" w:rsidRPr="00C259FC" w:rsidRDefault="00AF38C9" w:rsidP="00C36B7A">
            <w:pPr>
              <w:keepNext/>
              <w:keepLines/>
              <w:tabs>
                <w:tab w:val="decimal" w:pos="1562"/>
              </w:tabs>
              <w:spacing w:before="20" w:after="20"/>
              <w:jc w:val="left"/>
              <w:rPr>
                <w:rFonts w:cs="Arial"/>
                <w:color w:val="000000"/>
                <w:szCs w:val="18"/>
              </w:rPr>
            </w:pPr>
            <w:r>
              <w:rPr>
                <w:rFonts w:cs="Arial"/>
                <w:color w:val="000000"/>
                <w:szCs w:val="18"/>
              </w:rPr>
              <w:t>265,045</w:t>
            </w:r>
          </w:p>
        </w:tc>
      </w:tr>
      <w:tr w:rsidR="00AF38C9" w:rsidRPr="00C259FC" w:rsidTr="00B277ED">
        <w:trPr>
          <w:trHeight w:val="170"/>
        </w:trPr>
        <w:tc>
          <w:tcPr>
            <w:tcW w:w="4093" w:type="dxa"/>
            <w:tcBorders>
              <w:top w:val="nil"/>
              <w:left w:val="single" w:sz="4" w:space="0" w:color="auto"/>
              <w:bottom w:val="nil"/>
              <w:right w:val="single" w:sz="4" w:space="0" w:color="auto"/>
            </w:tcBorders>
            <w:vAlign w:val="center"/>
            <w:hideMark/>
          </w:tcPr>
          <w:p w:rsidR="00AF38C9" w:rsidRPr="00C259FC" w:rsidRDefault="00AF38C9" w:rsidP="00C36B7A">
            <w:pPr>
              <w:keepNext/>
              <w:keepLines/>
              <w:spacing w:before="20" w:after="20"/>
              <w:rPr>
                <w:rFonts w:cs="Arial"/>
                <w:color w:val="000000"/>
                <w:szCs w:val="18"/>
              </w:rPr>
            </w:pPr>
            <w:r w:rsidRPr="00C259FC">
              <w:rPr>
                <w:rFonts w:cs="Arial"/>
                <w:color w:val="000000"/>
                <w:szCs w:val="18"/>
              </w:rPr>
              <w:t>Offices /Administration</w:t>
            </w:r>
          </w:p>
        </w:tc>
        <w:tc>
          <w:tcPr>
            <w:tcW w:w="1577" w:type="dxa"/>
            <w:tcBorders>
              <w:top w:val="nil"/>
              <w:left w:val="single" w:sz="4" w:space="0" w:color="auto"/>
              <w:bottom w:val="nil"/>
              <w:right w:val="single" w:sz="4" w:space="0" w:color="auto"/>
            </w:tcBorders>
            <w:noWrap/>
            <w:vAlign w:val="center"/>
            <w:hideMark/>
          </w:tcPr>
          <w:p w:rsidR="00AF38C9" w:rsidRPr="00C259FC" w:rsidRDefault="00AF38C9" w:rsidP="00C36B7A">
            <w:pPr>
              <w:keepNext/>
              <w:keepLines/>
              <w:spacing w:before="20" w:after="20"/>
              <w:jc w:val="center"/>
              <w:rPr>
                <w:rFonts w:cs="Arial"/>
                <w:color w:val="000000"/>
                <w:szCs w:val="18"/>
              </w:rPr>
            </w:pPr>
            <w:r w:rsidRPr="00C259FC">
              <w:rPr>
                <w:rFonts w:cs="Arial"/>
                <w:color w:val="000000"/>
                <w:szCs w:val="18"/>
              </w:rPr>
              <w:t>4</w:t>
            </w:r>
          </w:p>
        </w:tc>
        <w:tc>
          <w:tcPr>
            <w:tcW w:w="2268" w:type="dxa"/>
            <w:tcBorders>
              <w:top w:val="nil"/>
              <w:left w:val="single" w:sz="4" w:space="0" w:color="auto"/>
              <w:bottom w:val="nil"/>
              <w:right w:val="single" w:sz="4" w:space="0" w:color="auto"/>
            </w:tcBorders>
            <w:vAlign w:val="center"/>
            <w:hideMark/>
          </w:tcPr>
          <w:p w:rsidR="00AF38C9" w:rsidRPr="00C259FC" w:rsidRDefault="00AF38C9" w:rsidP="00C36B7A">
            <w:pPr>
              <w:keepNext/>
              <w:keepLines/>
              <w:tabs>
                <w:tab w:val="decimal" w:pos="1562"/>
              </w:tabs>
              <w:spacing w:before="20" w:after="20"/>
              <w:jc w:val="left"/>
              <w:rPr>
                <w:rFonts w:cs="Arial"/>
                <w:color w:val="000000"/>
                <w:szCs w:val="18"/>
              </w:rPr>
            </w:pPr>
            <w:r>
              <w:rPr>
                <w:rFonts w:cs="Arial"/>
                <w:color w:val="000000"/>
                <w:szCs w:val="18"/>
              </w:rPr>
              <w:t>1,473,805</w:t>
            </w:r>
          </w:p>
        </w:tc>
      </w:tr>
      <w:tr w:rsidR="00AF38C9" w:rsidRPr="00C259FC" w:rsidTr="00B277ED">
        <w:trPr>
          <w:trHeight w:val="170"/>
        </w:trPr>
        <w:tc>
          <w:tcPr>
            <w:tcW w:w="4093" w:type="dxa"/>
            <w:tcBorders>
              <w:top w:val="nil"/>
              <w:left w:val="single" w:sz="4" w:space="0" w:color="auto"/>
              <w:bottom w:val="nil"/>
              <w:right w:val="single" w:sz="4" w:space="0" w:color="auto"/>
            </w:tcBorders>
            <w:vAlign w:val="center"/>
            <w:hideMark/>
          </w:tcPr>
          <w:p w:rsidR="00AF38C9" w:rsidRPr="00C259FC" w:rsidRDefault="00AF38C9" w:rsidP="00C36B7A">
            <w:pPr>
              <w:keepNext/>
              <w:keepLines/>
              <w:spacing w:before="20" w:after="20"/>
              <w:rPr>
                <w:rFonts w:cs="Arial"/>
                <w:color w:val="000000"/>
                <w:szCs w:val="18"/>
              </w:rPr>
            </w:pPr>
            <w:r w:rsidRPr="00C259FC">
              <w:rPr>
                <w:rFonts w:cs="Arial"/>
                <w:color w:val="000000"/>
                <w:szCs w:val="18"/>
              </w:rPr>
              <w:t>Pavilions / Clubrooms / Change rooms</w:t>
            </w:r>
          </w:p>
        </w:tc>
        <w:tc>
          <w:tcPr>
            <w:tcW w:w="1577" w:type="dxa"/>
            <w:tcBorders>
              <w:top w:val="nil"/>
              <w:left w:val="single" w:sz="4" w:space="0" w:color="auto"/>
              <w:bottom w:val="nil"/>
              <w:right w:val="single" w:sz="4" w:space="0" w:color="auto"/>
            </w:tcBorders>
            <w:noWrap/>
            <w:vAlign w:val="center"/>
            <w:hideMark/>
          </w:tcPr>
          <w:p w:rsidR="00AF38C9" w:rsidRPr="00C259FC" w:rsidRDefault="00AF38C9" w:rsidP="00C36B7A">
            <w:pPr>
              <w:keepNext/>
              <w:keepLines/>
              <w:spacing w:before="20" w:after="20"/>
              <w:jc w:val="center"/>
              <w:rPr>
                <w:rFonts w:cs="Arial"/>
                <w:color w:val="000000"/>
                <w:szCs w:val="18"/>
              </w:rPr>
            </w:pPr>
            <w:r w:rsidRPr="00C259FC">
              <w:rPr>
                <w:rFonts w:cs="Arial"/>
                <w:color w:val="000000"/>
                <w:szCs w:val="18"/>
              </w:rPr>
              <w:t>1</w:t>
            </w:r>
          </w:p>
        </w:tc>
        <w:tc>
          <w:tcPr>
            <w:tcW w:w="2268" w:type="dxa"/>
            <w:tcBorders>
              <w:top w:val="nil"/>
              <w:left w:val="single" w:sz="4" w:space="0" w:color="auto"/>
              <w:bottom w:val="nil"/>
              <w:right w:val="single" w:sz="4" w:space="0" w:color="auto"/>
            </w:tcBorders>
            <w:vAlign w:val="center"/>
            <w:hideMark/>
          </w:tcPr>
          <w:p w:rsidR="00AF38C9" w:rsidRPr="00C259FC" w:rsidRDefault="00AF38C9" w:rsidP="00C36B7A">
            <w:pPr>
              <w:keepNext/>
              <w:keepLines/>
              <w:tabs>
                <w:tab w:val="decimal" w:pos="1562"/>
              </w:tabs>
              <w:spacing w:before="20" w:after="20"/>
              <w:rPr>
                <w:rFonts w:cs="Arial"/>
                <w:color w:val="000000"/>
                <w:szCs w:val="18"/>
              </w:rPr>
            </w:pPr>
            <w:r>
              <w:rPr>
                <w:rFonts w:cs="Arial"/>
                <w:color w:val="000000"/>
                <w:szCs w:val="18"/>
              </w:rPr>
              <w:t>14,918,824</w:t>
            </w:r>
          </w:p>
        </w:tc>
      </w:tr>
      <w:tr w:rsidR="00AF38C9" w:rsidRPr="00C259FC" w:rsidTr="00B277ED">
        <w:trPr>
          <w:trHeight w:val="170"/>
        </w:trPr>
        <w:tc>
          <w:tcPr>
            <w:tcW w:w="4093" w:type="dxa"/>
            <w:tcBorders>
              <w:top w:val="nil"/>
              <w:left w:val="single" w:sz="4" w:space="0" w:color="auto"/>
              <w:bottom w:val="nil"/>
              <w:right w:val="single" w:sz="4" w:space="0" w:color="auto"/>
            </w:tcBorders>
            <w:vAlign w:val="center"/>
            <w:hideMark/>
          </w:tcPr>
          <w:p w:rsidR="00AF38C9" w:rsidRPr="00C259FC" w:rsidRDefault="00AF38C9" w:rsidP="00C36B7A">
            <w:pPr>
              <w:keepNext/>
              <w:keepLines/>
              <w:spacing w:before="20" w:after="20"/>
              <w:rPr>
                <w:rFonts w:cs="Arial"/>
                <w:color w:val="000000"/>
                <w:szCs w:val="18"/>
              </w:rPr>
            </w:pPr>
            <w:r w:rsidRPr="00C259FC">
              <w:rPr>
                <w:rFonts w:cs="Arial"/>
                <w:color w:val="000000"/>
                <w:szCs w:val="18"/>
              </w:rPr>
              <w:t>Residences</w:t>
            </w:r>
          </w:p>
        </w:tc>
        <w:tc>
          <w:tcPr>
            <w:tcW w:w="1577" w:type="dxa"/>
            <w:tcBorders>
              <w:top w:val="nil"/>
              <w:left w:val="single" w:sz="4" w:space="0" w:color="auto"/>
              <w:bottom w:val="nil"/>
              <w:right w:val="single" w:sz="4" w:space="0" w:color="auto"/>
            </w:tcBorders>
            <w:noWrap/>
            <w:vAlign w:val="center"/>
            <w:hideMark/>
          </w:tcPr>
          <w:p w:rsidR="00AF38C9" w:rsidRPr="00C259FC" w:rsidRDefault="00AF38C9" w:rsidP="00C36B7A">
            <w:pPr>
              <w:keepNext/>
              <w:keepLines/>
              <w:spacing w:before="20" w:after="20"/>
              <w:jc w:val="center"/>
              <w:rPr>
                <w:rFonts w:cs="Arial"/>
                <w:color w:val="000000"/>
                <w:szCs w:val="18"/>
              </w:rPr>
            </w:pPr>
            <w:r w:rsidRPr="00C259FC">
              <w:rPr>
                <w:rFonts w:cs="Arial"/>
                <w:color w:val="000000"/>
                <w:szCs w:val="18"/>
              </w:rPr>
              <w:t>2</w:t>
            </w:r>
          </w:p>
        </w:tc>
        <w:tc>
          <w:tcPr>
            <w:tcW w:w="2268" w:type="dxa"/>
            <w:tcBorders>
              <w:top w:val="nil"/>
              <w:left w:val="single" w:sz="4" w:space="0" w:color="auto"/>
              <w:bottom w:val="nil"/>
              <w:right w:val="single" w:sz="4" w:space="0" w:color="auto"/>
            </w:tcBorders>
            <w:vAlign w:val="center"/>
            <w:hideMark/>
          </w:tcPr>
          <w:p w:rsidR="00AF38C9" w:rsidRPr="00C259FC" w:rsidRDefault="00AF38C9" w:rsidP="00C36B7A">
            <w:pPr>
              <w:keepNext/>
              <w:keepLines/>
              <w:tabs>
                <w:tab w:val="decimal" w:pos="1562"/>
              </w:tabs>
              <w:spacing w:before="20" w:after="20"/>
              <w:rPr>
                <w:rFonts w:cs="Arial"/>
                <w:color w:val="000000"/>
                <w:szCs w:val="18"/>
              </w:rPr>
            </w:pPr>
            <w:r>
              <w:rPr>
                <w:rFonts w:cs="Arial"/>
                <w:color w:val="000000"/>
                <w:szCs w:val="18"/>
              </w:rPr>
              <w:t>207,405</w:t>
            </w:r>
          </w:p>
        </w:tc>
      </w:tr>
      <w:tr w:rsidR="00AF38C9" w:rsidRPr="00C259FC" w:rsidTr="00B277ED">
        <w:trPr>
          <w:trHeight w:val="170"/>
        </w:trPr>
        <w:tc>
          <w:tcPr>
            <w:tcW w:w="4093" w:type="dxa"/>
            <w:tcBorders>
              <w:top w:val="nil"/>
              <w:left w:val="single" w:sz="4" w:space="0" w:color="auto"/>
              <w:bottom w:val="nil"/>
              <w:right w:val="single" w:sz="4" w:space="0" w:color="auto"/>
            </w:tcBorders>
            <w:vAlign w:val="center"/>
            <w:hideMark/>
          </w:tcPr>
          <w:p w:rsidR="00AF38C9" w:rsidRPr="00C259FC" w:rsidRDefault="00AF38C9" w:rsidP="00C36B7A">
            <w:pPr>
              <w:keepNext/>
              <w:keepLines/>
              <w:spacing w:before="20" w:after="20"/>
              <w:rPr>
                <w:rFonts w:cs="Arial"/>
                <w:color w:val="000000"/>
                <w:szCs w:val="18"/>
              </w:rPr>
            </w:pPr>
            <w:r w:rsidRPr="00C259FC">
              <w:rPr>
                <w:rFonts w:cs="Arial"/>
                <w:color w:val="000000"/>
                <w:szCs w:val="18"/>
              </w:rPr>
              <w:t>Restaurant</w:t>
            </w:r>
          </w:p>
        </w:tc>
        <w:tc>
          <w:tcPr>
            <w:tcW w:w="1577" w:type="dxa"/>
            <w:tcBorders>
              <w:top w:val="nil"/>
              <w:left w:val="single" w:sz="4" w:space="0" w:color="auto"/>
              <w:bottom w:val="nil"/>
              <w:right w:val="single" w:sz="4" w:space="0" w:color="auto"/>
            </w:tcBorders>
            <w:noWrap/>
            <w:vAlign w:val="center"/>
            <w:hideMark/>
          </w:tcPr>
          <w:p w:rsidR="00AF38C9" w:rsidRPr="00C259FC" w:rsidRDefault="00AF38C9" w:rsidP="00C36B7A">
            <w:pPr>
              <w:keepNext/>
              <w:keepLines/>
              <w:spacing w:before="20" w:after="20"/>
              <w:jc w:val="center"/>
              <w:rPr>
                <w:rFonts w:cs="Arial"/>
                <w:color w:val="000000"/>
                <w:szCs w:val="18"/>
              </w:rPr>
            </w:pPr>
            <w:r w:rsidRPr="00C259FC">
              <w:rPr>
                <w:rFonts w:cs="Arial"/>
                <w:color w:val="000000"/>
                <w:szCs w:val="18"/>
              </w:rPr>
              <w:t>1</w:t>
            </w:r>
          </w:p>
        </w:tc>
        <w:tc>
          <w:tcPr>
            <w:tcW w:w="2268" w:type="dxa"/>
            <w:tcBorders>
              <w:top w:val="nil"/>
              <w:left w:val="single" w:sz="4" w:space="0" w:color="auto"/>
              <w:bottom w:val="nil"/>
              <w:right w:val="single" w:sz="4" w:space="0" w:color="auto"/>
            </w:tcBorders>
            <w:vAlign w:val="center"/>
            <w:hideMark/>
          </w:tcPr>
          <w:p w:rsidR="00AF38C9" w:rsidRPr="00C259FC" w:rsidRDefault="00AF38C9" w:rsidP="00C36B7A">
            <w:pPr>
              <w:keepNext/>
              <w:keepLines/>
              <w:tabs>
                <w:tab w:val="decimal" w:pos="1562"/>
              </w:tabs>
              <w:spacing w:before="20" w:after="20"/>
              <w:rPr>
                <w:rFonts w:cs="Arial"/>
                <w:color w:val="000000"/>
                <w:szCs w:val="18"/>
              </w:rPr>
            </w:pPr>
            <w:r w:rsidRPr="00C259FC">
              <w:rPr>
                <w:rFonts w:cs="Arial"/>
                <w:color w:val="000000"/>
                <w:szCs w:val="18"/>
              </w:rPr>
              <w:t>1,125,000</w:t>
            </w:r>
          </w:p>
        </w:tc>
      </w:tr>
      <w:tr w:rsidR="00AF38C9" w:rsidRPr="00C259FC" w:rsidTr="00B277ED">
        <w:trPr>
          <w:trHeight w:val="170"/>
        </w:trPr>
        <w:tc>
          <w:tcPr>
            <w:tcW w:w="4093" w:type="dxa"/>
            <w:tcBorders>
              <w:top w:val="nil"/>
              <w:left w:val="single" w:sz="4" w:space="0" w:color="auto"/>
              <w:bottom w:val="nil"/>
              <w:right w:val="single" w:sz="4" w:space="0" w:color="auto"/>
            </w:tcBorders>
            <w:vAlign w:val="center"/>
            <w:hideMark/>
          </w:tcPr>
          <w:p w:rsidR="00AF38C9" w:rsidRPr="00C259FC" w:rsidRDefault="00AF38C9" w:rsidP="00C36B7A">
            <w:pPr>
              <w:keepNext/>
              <w:keepLines/>
              <w:spacing w:before="20" w:after="20"/>
              <w:rPr>
                <w:rFonts w:cs="Arial"/>
                <w:color w:val="000000"/>
                <w:szCs w:val="18"/>
              </w:rPr>
            </w:pPr>
            <w:r w:rsidRPr="00C259FC">
              <w:rPr>
                <w:rFonts w:cs="Arial"/>
                <w:color w:val="000000"/>
                <w:szCs w:val="18"/>
              </w:rPr>
              <w:t>Stores / Sheds / Garages</w:t>
            </w:r>
          </w:p>
        </w:tc>
        <w:tc>
          <w:tcPr>
            <w:tcW w:w="1577" w:type="dxa"/>
            <w:tcBorders>
              <w:top w:val="nil"/>
              <w:left w:val="single" w:sz="4" w:space="0" w:color="auto"/>
              <w:bottom w:val="single" w:sz="4" w:space="0" w:color="auto"/>
              <w:right w:val="single" w:sz="4" w:space="0" w:color="auto"/>
            </w:tcBorders>
            <w:noWrap/>
            <w:vAlign w:val="center"/>
            <w:hideMark/>
          </w:tcPr>
          <w:p w:rsidR="00AF38C9" w:rsidRPr="00C259FC" w:rsidRDefault="00AF38C9" w:rsidP="00C36B7A">
            <w:pPr>
              <w:keepNext/>
              <w:keepLines/>
              <w:spacing w:before="20" w:after="20"/>
              <w:jc w:val="center"/>
              <w:rPr>
                <w:rFonts w:cs="Arial"/>
                <w:color w:val="000000"/>
                <w:szCs w:val="18"/>
              </w:rPr>
            </w:pPr>
            <w:r w:rsidRPr="00C259FC">
              <w:rPr>
                <w:rFonts w:cs="Arial"/>
                <w:color w:val="000000"/>
                <w:szCs w:val="18"/>
              </w:rPr>
              <w:t>1</w:t>
            </w:r>
          </w:p>
        </w:tc>
        <w:tc>
          <w:tcPr>
            <w:tcW w:w="2268" w:type="dxa"/>
            <w:tcBorders>
              <w:top w:val="nil"/>
              <w:left w:val="single" w:sz="4" w:space="0" w:color="auto"/>
              <w:bottom w:val="single" w:sz="4" w:space="0" w:color="auto"/>
              <w:right w:val="single" w:sz="4" w:space="0" w:color="auto"/>
            </w:tcBorders>
            <w:vAlign w:val="center"/>
            <w:hideMark/>
          </w:tcPr>
          <w:p w:rsidR="00AF38C9" w:rsidRPr="00C259FC" w:rsidRDefault="00AF38C9" w:rsidP="00C36B7A">
            <w:pPr>
              <w:keepNext/>
              <w:keepLines/>
              <w:tabs>
                <w:tab w:val="decimal" w:pos="1562"/>
              </w:tabs>
              <w:spacing w:before="20" w:after="20"/>
              <w:rPr>
                <w:rFonts w:cs="Arial"/>
                <w:color w:val="000000"/>
                <w:szCs w:val="18"/>
              </w:rPr>
            </w:pPr>
            <w:r>
              <w:rPr>
                <w:rFonts w:cs="Arial"/>
                <w:color w:val="000000"/>
                <w:szCs w:val="18"/>
              </w:rPr>
              <w:t>10,000</w:t>
            </w:r>
          </w:p>
        </w:tc>
      </w:tr>
      <w:tr w:rsidR="00C36B7A" w:rsidRPr="00C259FC" w:rsidTr="00B277ED">
        <w:trPr>
          <w:trHeight w:val="288"/>
        </w:trPr>
        <w:tc>
          <w:tcPr>
            <w:tcW w:w="4093" w:type="dxa"/>
            <w:tcBorders>
              <w:top w:val="nil"/>
              <w:bottom w:val="single" w:sz="4" w:space="0" w:color="auto"/>
            </w:tcBorders>
            <w:noWrap/>
            <w:vAlign w:val="center"/>
            <w:hideMark/>
          </w:tcPr>
          <w:p w:rsidR="00AF38C9" w:rsidRPr="00C259FC" w:rsidRDefault="00AF38C9" w:rsidP="00C36B7A">
            <w:pPr>
              <w:keepNext/>
              <w:keepLines/>
              <w:tabs>
                <w:tab w:val="left" w:pos="537"/>
              </w:tabs>
              <w:spacing w:before="20" w:after="20"/>
              <w:rPr>
                <w:rFonts w:cs="Arial"/>
                <w:b/>
                <w:color w:val="000000"/>
                <w:szCs w:val="18"/>
              </w:rPr>
            </w:pPr>
            <w:r w:rsidRPr="00C259FC">
              <w:rPr>
                <w:rFonts w:cs="Arial"/>
                <w:b/>
                <w:color w:val="000000"/>
                <w:szCs w:val="18"/>
              </w:rPr>
              <w:tab/>
              <w:t>Commercial (Total)</w:t>
            </w:r>
          </w:p>
        </w:tc>
        <w:tc>
          <w:tcPr>
            <w:tcW w:w="1577" w:type="dxa"/>
            <w:tcBorders>
              <w:top w:val="single" w:sz="4" w:space="0" w:color="auto"/>
              <w:bottom w:val="single" w:sz="4" w:space="0" w:color="auto"/>
            </w:tcBorders>
            <w:noWrap/>
            <w:vAlign w:val="center"/>
            <w:hideMark/>
          </w:tcPr>
          <w:p w:rsidR="00AF38C9" w:rsidRPr="00C259FC" w:rsidRDefault="00AF38C9" w:rsidP="00C36B7A">
            <w:pPr>
              <w:keepNext/>
              <w:keepLines/>
              <w:spacing w:before="20" w:after="20"/>
              <w:jc w:val="center"/>
              <w:rPr>
                <w:rFonts w:cs="Arial"/>
                <w:b/>
                <w:color w:val="000000"/>
                <w:szCs w:val="18"/>
              </w:rPr>
            </w:pPr>
            <w:r w:rsidRPr="00C259FC">
              <w:rPr>
                <w:rFonts w:cs="Arial"/>
                <w:b/>
                <w:color w:val="000000"/>
                <w:szCs w:val="18"/>
              </w:rPr>
              <w:t>12</w:t>
            </w:r>
          </w:p>
        </w:tc>
        <w:tc>
          <w:tcPr>
            <w:tcW w:w="2268" w:type="dxa"/>
            <w:tcBorders>
              <w:top w:val="single" w:sz="4" w:space="0" w:color="auto"/>
              <w:bottom w:val="single" w:sz="4" w:space="0" w:color="auto"/>
            </w:tcBorders>
            <w:noWrap/>
            <w:vAlign w:val="center"/>
            <w:hideMark/>
          </w:tcPr>
          <w:p w:rsidR="00AF38C9" w:rsidRPr="00C259FC" w:rsidRDefault="00AF38C9" w:rsidP="00C36B7A">
            <w:pPr>
              <w:keepNext/>
              <w:keepLines/>
              <w:tabs>
                <w:tab w:val="decimal" w:pos="1562"/>
              </w:tabs>
              <w:spacing w:before="20" w:after="20"/>
              <w:rPr>
                <w:rFonts w:cs="Arial"/>
                <w:b/>
                <w:color w:val="000000"/>
                <w:szCs w:val="18"/>
              </w:rPr>
            </w:pPr>
            <w:r>
              <w:rPr>
                <w:rFonts w:cs="Arial"/>
                <w:b/>
                <w:color w:val="000000"/>
                <w:szCs w:val="18"/>
              </w:rPr>
              <w:t>21,298,444</w:t>
            </w:r>
          </w:p>
        </w:tc>
      </w:tr>
      <w:tr w:rsidR="00C36B7A" w:rsidRPr="00C259FC" w:rsidTr="00B277ED">
        <w:trPr>
          <w:trHeight w:val="170"/>
        </w:trPr>
        <w:tc>
          <w:tcPr>
            <w:tcW w:w="4093" w:type="dxa"/>
            <w:tcBorders>
              <w:top w:val="single" w:sz="4" w:space="0" w:color="auto"/>
              <w:left w:val="single" w:sz="4" w:space="0" w:color="auto"/>
              <w:bottom w:val="nil"/>
              <w:right w:val="single" w:sz="4" w:space="0" w:color="auto"/>
            </w:tcBorders>
            <w:vAlign w:val="center"/>
            <w:hideMark/>
          </w:tcPr>
          <w:p w:rsidR="00AF38C9" w:rsidRPr="00C259FC" w:rsidRDefault="00AF38C9" w:rsidP="00C36B7A">
            <w:pPr>
              <w:keepNext/>
              <w:keepLines/>
              <w:spacing w:before="20" w:after="20"/>
              <w:rPr>
                <w:rFonts w:cs="Arial"/>
                <w:color w:val="000000"/>
                <w:szCs w:val="18"/>
              </w:rPr>
            </w:pPr>
            <w:r w:rsidRPr="00C259FC">
              <w:rPr>
                <w:rFonts w:cs="Arial"/>
                <w:color w:val="000000"/>
                <w:szCs w:val="18"/>
              </w:rPr>
              <w:t>Child Care Centres</w:t>
            </w:r>
          </w:p>
        </w:tc>
        <w:tc>
          <w:tcPr>
            <w:tcW w:w="1577" w:type="dxa"/>
            <w:tcBorders>
              <w:top w:val="single" w:sz="4" w:space="0" w:color="auto"/>
              <w:left w:val="single" w:sz="4" w:space="0" w:color="auto"/>
              <w:bottom w:val="nil"/>
              <w:right w:val="single" w:sz="4" w:space="0" w:color="auto"/>
            </w:tcBorders>
            <w:vAlign w:val="center"/>
            <w:hideMark/>
          </w:tcPr>
          <w:p w:rsidR="00AF38C9" w:rsidRPr="00C259FC" w:rsidRDefault="00AF38C9" w:rsidP="00C36B7A">
            <w:pPr>
              <w:keepNext/>
              <w:keepLines/>
              <w:spacing w:before="20" w:after="20"/>
              <w:jc w:val="center"/>
              <w:rPr>
                <w:rFonts w:cs="Arial"/>
                <w:color w:val="000000"/>
                <w:szCs w:val="18"/>
              </w:rPr>
            </w:pPr>
            <w:r w:rsidRPr="00C259FC">
              <w:rPr>
                <w:rFonts w:cs="Arial"/>
                <w:color w:val="000000"/>
                <w:szCs w:val="18"/>
              </w:rPr>
              <w:t>9</w:t>
            </w:r>
          </w:p>
        </w:tc>
        <w:tc>
          <w:tcPr>
            <w:tcW w:w="2268" w:type="dxa"/>
            <w:tcBorders>
              <w:top w:val="single" w:sz="4" w:space="0" w:color="auto"/>
              <w:left w:val="single" w:sz="4" w:space="0" w:color="auto"/>
              <w:bottom w:val="nil"/>
              <w:right w:val="single" w:sz="4" w:space="0" w:color="auto"/>
            </w:tcBorders>
            <w:vAlign w:val="center"/>
          </w:tcPr>
          <w:p w:rsidR="00AF38C9" w:rsidRPr="00C259FC" w:rsidRDefault="00AF38C9" w:rsidP="00C36B7A">
            <w:pPr>
              <w:keepNext/>
              <w:keepLines/>
              <w:tabs>
                <w:tab w:val="decimal" w:pos="1562"/>
              </w:tabs>
              <w:spacing w:before="20" w:after="20"/>
              <w:rPr>
                <w:rFonts w:cs="Arial"/>
                <w:color w:val="000000"/>
                <w:szCs w:val="18"/>
              </w:rPr>
            </w:pPr>
            <w:r w:rsidRPr="00C259FC">
              <w:rPr>
                <w:rFonts w:cs="Arial"/>
                <w:color w:val="000000"/>
                <w:szCs w:val="18"/>
              </w:rPr>
              <w:t>7,073,337</w:t>
            </w:r>
          </w:p>
        </w:tc>
      </w:tr>
      <w:tr w:rsidR="00C36B7A" w:rsidRPr="00C259FC" w:rsidTr="00B277ED">
        <w:trPr>
          <w:trHeight w:val="170"/>
        </w:trPr>
        <w:tc>
          <w:tcPr>
            <w:tcW w:w="4093" w:type="dxa"/>
            <w:tcBorders>
              <w:top w:val="nil"/>
              <w:left w:val="single" w:sz="4" w:space="0" w:color="auto"/>
              <w:bottom w:val="nil"/>
              <w:right w:val="single" w:sz="4" w:space="0" w:color="auto"/>
            </w:tcBorders>
            <w:noWrap/>
            <w:vAlign w:val="center"/>
            <w:hideMark/>
          </w:tcPr>
          <w:p w:rsidR="00AF38C9" w:rsidRPr="00C259FC" w:rsidRDefault="00AF38C9" w:rsidP="00C36B7A">
            <w:pPr>
              <w:keepNext/>
              <w:keepLines/>
              <w:spacing w:before="20" w:after="20"/>
              <w:rPr>
                <w:rFonts w:cs="Arial"/>
                <w:color w:val="000000"/>
                <w:szCs w:val="18"/>
              </w:rPr>
            </w:pPr>
            <w:r w:rsidRPr="00C259FC">
              <w:rPr>
                <w:rFonts w:cs="Arial"/>
                <w:color w:val="000000"/>
                <w:szCs w:val="18"/>
              </w:rPr>
              <w:t>Community Halls</w:t>
            </w:r>
          </w:p>
        </w:tc>
        <w:tc>
          <w:tcPr>
            <w:tcW w:w="1577" w:type="dxa"/>
            <w:tcBorders>
              <w:top w:val="nil"/>
              <w:left w:val="single" w:sz="4" w:space="0" w:color="auto"/>
              <w:bottom w:val="nil"/>
              <w:right w:val="single" w:sz="4" w:space="0" w:color="auto"/>
            </w:tcBorders>
            <w:noWrap/>
            <w:vAlign w:val="center"/>
            <w:hideMark/>
          </w:tcPr>
          <w:p w:rsidR="00AF38C9" w:rsidRPr="00C259FC" w:rsidRDefault="00AF38C9" w:rsidP="00C36B7A">
            <w:pPr>
              <w:keepNext/>
              <w:keepLines/>
              <w:spacing w:before="20" w:after="20"/>
              <w:jc w:val="center"/>
              <w:rPr>
                <w:rFonts w:cs="Arial"/>
                <w:color w:val="000000"/>
                <w:szCs w:val="18"/>
              </w:rPr>
            </w:pPr>
            <w:r w:rsidRPr="00C259FC">
              <w:rPr>
                <w:rFonts w:cs="Arial"/>
                <w:color w:val="000000"/>
                <w:szCs w:val="18"/>
              </w:rPr>
              <w:t>9</w:t>
            </w:r>
          </w:p>
        </w:tc>
        <w:tc>
          <w:tcPr>
            <w:tcW w:w="2268" w:type="dxa"/>
            <w:tcBorders>
              <w:top w:val="nil"/>
              <w:left w:val="single" w:sz="4" w:space="0" w:color="auto"/>
              <w:bottom w:val="nil"/>
              <w:right w:val="single" w:sz="4" w:space="0" w:color="auto"/>
            </w:tcBorders>
            <w:vAlign w:val="center"/>
          </w:tcPr>
          <w:p w:rsidR="00AF38C9" w:rsidRPr="00C259FC" w:rsidRDefault="00AF38C9" w:rsidP="00C36B7A">
            <w:pPr>
              <w:keepNext/>
              <w:keepLines/>
              <w:tabs>
                <w:tab w:val="decimal" w:pos="1562"/>
              </w:tabs>
              <w:spacing w:before="20" w:after="20"/>
              <w:rPr>
                <w:rFonts w:cs="Arial"/>
                <w:color w:val="000000"/>
                <w:szCs w:val="18"/>
              </w:rPr>
            </w:pPr>
            <w:r>
              <w:rPr>
                <w:rFonts w:cs="Arial"/>
                <w:color w:val="000000"/>
                <w:szCs w:val="18"/>
              </w:rPr>
              <w:t>4,103,181</w:t>
            </w:r>
          </w:p>
        </w:tc>
      </w:tr>
      <w:tr w:rsidR="00C36B7A" w:rsidRPr="00C259FC" w:rsidTr="00B277ED">
        <w:trPr>
          <w:trHeight w:val="170"/>
        </w:trPr>
        <w:tc>
          <w:tcPr>
            <w:tcW w:w="4093" w:type="dxa"/>
            <w:tcBorders>
              <w:top w:val="nil"/>
              <w:left w:val="single" w:sz="4" w:space="0" w:color="auto"/>
              <w:bottom w:val="nil"/>
              <w:right w:val="single" w:sz="4" w:space="0" w:color="auto"/>
            </w:tcBorders>
            <w:noWrap/>
            <w:vAlign w:val="center"/>
            <w:hideMark/>
          </w:tcPr>
          <w:p w:rsidR="00AF38C9" w:rsidRPr="00C259FC" w:rsidRDefault="00AF38C9" w:rsidP="00C36B7A">
            <w:pPr>
              <w:keepNext/>
              <w:keepLines/>
              <w:spacing w:before="20" w:after="20"/>
              <w:rPr>
                <w:rFonts w:cs="Arial"/>
                <w:color w:val="000000"/>
                <w:szCs w:val="18"/>
              </w:rPr>
            </w:pPr>
            <w:r w:rsidRPr="00C259FC">
              <w:rPr>
                <w:rFonts w:cs="Arial"/>
                <w:color w:val="000000"/>
                <w:szCs w:val="18"/>
              </w:rPr>
              <w:t>Kindergartens</w:t>
            </w:r>
          </w:p>
        </w:tc>
        <w:tc>
          <w:tcPr>
            <w:tcW w:w="1577" w:type="dxa"/>
            <w:tcBorders>
              <w:top w:val="nil"/>
              <w:left w:val="single" w:sz="4" w:space="0" w:color="auto"/>
              <w:bottom w:val="nil"/>
              <w:right w:val="single" w:sz="4" w:space="0" w:color="auto"/>
            </w:tcBorders>
            <w:noWrap/>
            <w:vAlign w:val="center"/>
            <w:hideMark/>
          </w:tcPr>
          <w:p w:rsidR="00AF38C9" w:rsidRPr="00C259FC" w:rsidRDefault="00AF38C9" w:rsidP="00C36B7A">
            <w:pPr>
              <w:keepNext/>
              <w:keepLines/>
              <w:spacing w:before="20" w:after="20"/>
              <w:jc w:val="center"/>
              <w:rPr>
                <w:rFonts w:cs="Arial"/>
                <w:color w:val="000000"/>
                <w:szCs w:val="18"/>
              </w:rPr>
            </w:pPr>
            <w:r w:rsidRPr="00C259FC">
              <w:rPr>
                <w:rFonts w:cs="Arial"/>
                <w:color w:val="000000"/>
                <w:szCs w:val="18"/>
              </w:rPr>
              <w:t>4</w:t>
            </w:r>
          </w:p>
        </w:tc>
        <w:tc>
          <w:tcPr>
            <w:tcW w:w="2268" w:type="dxa"/>
            <w:tcBorders>
              <w:top w:val="nil"/>
              <w:left w:val="single" w:sz="4" w:space="0" w:color="auto"/>
              <w:bottom w:val="nil"/>
              <w:right w:val="single" w:sz="4" w:space="0" w:color="auto"/>
            </w:tcBorders>
            <w:vAlign w:val="center"/>
          </w:tcPr>
          <w:p w:rsidR="00AF38C9" w:rsidRPr="00C259FC" w:rsidRDefault="00AF38C9" w:rsidP="00C36B7A">
            <w:pPr>
              <w:keepNext/>
              <w:keepLines/>
              <w:tabs>
                <w:tab w:val="decimal" w:pos="1562"/>
              </w:tabs>
              <w:spacing w:before="20" w:after="20"/>
              <w:rPr>
                <w:rFonts w:cs="Arial"/>
                <w:color w:val="000000"/>
                <w:szCs w:val="18"/>
              </w:rPr>
            </w:pPr>
            <w:r>
              <w:rPr>
                <w:rFonts w:cs="Arial"/>
                <w:color w:val="000000"/>
                <w:szCs w:val="18"/>
              </w:rPr>
              <w:t>1,852,974</w:t>
            </w:r>
          </w:p>
        </w:tc>
      </w:tr>
      <w:tr w:rsidR="00C36B7A" w:rsidRPr="00C259FC" w:rsidTr="00B277ED">
        <w:trPr>
          <w:trHeight w:val="170"/>
        </w:trPr>
        <w:tc>
          <w:tcPr>
            <w:tcW w:w="4093" w:type="dxa"/>
            <w:tcBorders>
              <w:top w:val="nil"/>
              <w:left w:val="single" w:sz="4" w:space="0" w:color="auto"/>
              <w:bottom w:val="nil"/>
              <w:right w:val="single" w:sz="4" w:space="0" w:color="auto"/>
            </w:tcBorders>
            <w:noWrap/>
            <w:vAlign w:val="center"/>
            <w:hideMark/>
          </w:tcPr>
          <w:p w:rsidR="00AF38C9" w:rsidRPr="00C259FC" w:rsidRDefault="00AF38C9" w:rsidP="00C36B7A">
            <w:pPr>
              <w:keepNext/>
              <w:keepLines/>
              <w:spacing w:before="20" w:after="20"/>
              <w:rPr>
                <w:rFonts w:cs="Arial"/>
                <w:color w:val="000000"/>
                <w:szCs w:val="18"/>
              </w:rPr>
            </w:pPr>
            <w:r w:rsidRPr="00C259FC">
              <w:rPr>
                <w:rFonts w:cs="Arial"/>
                <w:color w:val="000000"/>
                <w:szCs w:val="18"/>
              </w:rPr>
              <w:t>Libraries</w:t>
            </w:r>
          </w:p>
        </w:tc>
        <w:tc>
          <w:tcPr>
            <w:tcW w:w="1577" w:type="dxa"/>
            <w:tcBorders>
              <w:top w:val="nil"/>
              <w:left w:val="single" w:sz="4" w:space="0" w:color="auto"/>
              <w:bottom w:val="nil"/>
              <w:right w:val="single" w:sz="4" w:space="0" w:color="auto"/>
            </w:tcBorders>
            <w:noWrap/>
            <w:vAlign w:val="center"/>
            <w:hideMark/>
          </w:tcPr>
          <w:p w:rsidR="00AF38C9" w:rsidRPr="00C259FC" w:rsidRDefault="00AF38C9" w:rsidP="00C36B7A">
            <w:pPr>
              <w:keepNext/>
              <w:keepLines/>
              <w:spacing w:before="20" w:after="20"/>
              <w:jc w:val="center"/>
              <w:rPr>
                <w:rFonts w:cs="Arial"/>
                <w:color w:val="000000"/>
                <w:szCs w:val="18"/>
              </w:rPr>
            </w:pPr>
            <w:r w:rsidRPr="00C259FC">
              <w:rPr>
                <w:rFonts w:cs="Arial"/>
                <w:color w:val="000000"/>
                <w:szCs w:val="18"/>
              </w:rPr>
              <w:t>3</w:t>
            </w:r>
          </w:p>
        </w:tc>
        <w:tc>
          <w:tcPr>
            <w:tcW w:w="2268" w:type="dxa"/>
            <w:tcBorders>
              <w:top w:val="nil"/>
              <w:left w:val="single" w:sz="4" w:space="0" w:color="auto"/>
              <w:bottom w:val="nil"/>
              <w:right w:val="single" w:sz="4" w:space="0" w:color="auto"/>
            </w:tcBorders>
            <w:vAlign w:val="center"/>
          </w:tcPr>
          <w:p w:rsidR="00AF38C9" w:rsidRPr="00C259FC" w:rsidRDefault="00AF38C9" w:rsidP="00C36B7A">
            <w:pPr>
              <w:keepNext/>
              <w:keepLines/>
              <w:tabs>
                <w:tab w:val="decimal" w:pos="1562"/>
              </w:tabs>
              <w:spacing w:before="20" w:after="20"/>
              <w:rPr>
                <w:rFonts w:cs="Arial"/>
                <w:color w:val="000000"/>
                <w:szCs w:val="18"/>
              </w:rPr>
            </w:pPr>
            <w:r>
              <w:rPr>
                <w:rFonts w:cs="Arial"/>
                <w:color w:val="000000"/>
                <w:szCs w:val="18"/>
              </w:rPr>
              <w:t>13,090,525</w:t>
            </w:r>
          </w:p>
        </w:tc>
      </w:tr>
      <w:tr w:rsidR="00C36B7A" w:rsidRPr="00C259FC" w:rsidTr="00B277ED">
        <w:trPr>
          <w:trHeight w:val="170"/>
        </w:trPr>
        <w:tc>
          <w:tcPr>
            <w:tcW w:w="4093" w:type="dxa"/>
            <w:tcBorders>
              <w:top w:val="nil"/>
              <w:left w:val="single" w:sz="4" w:space="0" w:color="auto"/>
              <w:bottom w:val="nil"/>
              <w:right w:val="single" w:sz="4" w:space="0" w:color="auto"/>
            </w:tcBorders>
            <w:vAlign w:val="center"/>
            <w:hideMark/>
          </w:tcPr>
          <w:p w:rsidR="00AF38C9" w:rsidRPr="00C259FC" w:rsidRDefault="00AF38C9" w:rsidP="00C36B7A">
            <w:pPr>
              <w:keepNext/>
              <w:keepLines/>
              <w:spacing w:before="20" w:after="20"/>
              <w:rPr>
                <w:rFonts w:cs="Arial"/>
                <w:color w:val="000000"/>
                <w:szCs w:val="18"/>
              </w:rPr>
            </w:pPr>
            <w:r w:rsidRPr="00C259FC">
              <w:rPr>
                <w:rFonts w:cs="Arial"/>
                <w:color w:val="000000"/>
                <w:szCs w:val="18"/>
              </w:rPr>
              <w:t>Maternal &amp; Child Health Centres</w:t>
            </w:r>
          </w:p>
        </w:tc>
        <w:tc>
          <w:tcPr>
            <w:tcW w:w="1577" w:type="dxa"/>
            <w:tcBorders>
              <w:top w:val="nil"/>
              <w:left w:val="single" w:sz="4" w:space="0" w:color="auto"/>
              <w:bottom w:val="nil"/>
              <w:right w:val="single" w:sz="4" w:space="0" w:color="auto"/>
            </w:tcBorders>
            <w:noWrap/>
            <w:vAlign w:val="center"/>
            <w:hideMark/>
          </w:tcPr>
          <w:p w:rsidR="00AF38C9" w:rsidRPr="00C259FC" w:rsidRDefault="00AF38C9" w:rsidP="00C36B7A">
            <w:pPr>
              <w:keepNext/>
              <w:keepLines/>
              <w:spacing w:before="20" w:after="20"/>
              <w:jc w:val="center"/>
              <w:rPr>
                <w:rFonts w:cs="Arial"/>
                <w:color w:val="000000"/>
                <w:szCs w:val="18"/>
              </w:rPr>
            </w:pPr>
            <w:r w:rsidRPr="00C259FC">
              <w:rPr>
                <w:rFonts w:cs="Arial"/>
                <w:color w:val="000000"/>
                <w:szCs w:val="18"/>
              </w:rPr>
              <w:t>5</w:t>
            </w:r>
          </w:p>
        </w:tc>
        <w:tc>
          <w:tcPr>
            <w:tcW w:w="2268" w:type="dxa"/>
            <w:tcBorders>
              <w:top w:val="nil"/>
              <w:left w:val="single" w:sz="4" w:space="0" w:color="auto"/>
              <w:bottom w:val="nil"/>
              <w:right w:val="single" w:sz="4" w:space="0" w:color="auto"/>
            </w:tcBorders>
            <w:vAlign w:val="center"/>
          </w:tcPr>
          <w:p w:rsidR="00AF38C9" w:rsidRPr="00C259FC" w:rsidRDefault="00AF38C9" w:rsidP="00C36B7A">
            <w:pPr>
              <w:keepNext/>
              <w:keepLines/>
              <w:tabs>
                <w:tab w:val="decimal" w:pos="1562"/>
              </w:tabs>
              <w:spacing w:before="20" w:after="20"/>
              <w:rPr>
                <w:rFonts w:cs="Arial"/>
                <w:color w:val="000000"/>
                <w:szCs w:val="18"/>
              </w:rPr>
            </w:pPr>
            <w:r>
              <w:rPr>
                <w:rFonts w:cs="Arial"/>
                <w:color w:val="000000"/>
                <w:szCs w:val="18"/>
              </w:rPr>
              <w:t>2,090,058</w:t>
            </w:r>
          </w:p>
        </w:tc>
      </w:tr>
      <w:tr w:rsidR="00C36B7A" w:rsidRPr="00C259FC" w:rsidTr="00B277ED">
        <w:trPr>
          <w:trHeight w:val="170"/>
        </w:trPr>
        <w:tc>
          <w:tcPr>
            <w:tcW w:w="4093" w:type="dxa"/>
            <w:tcBorders>
              <w:top w:val="nil"/>
              <w:left w:val="single" w:sz="4" w:space="0" w:color="auto"/>
              <w:bottom w:val="nil"/>
              <w:right w:val="single" w:sz="4" w:space="0" w:color="auto"/>
            </w:tcBorders>
            <w:vAlign w:val="center"/>
            <w:hideMark/>
          </w:tcPr>
          <w:p w:rsidR="00AF38C9" w:rsidRPr="00C259FC" w:rsidRDefault="00AF38C9" w:rsidP="00C36B7A">
            <w:pPr>
              <w:keepNext/>
              <w:keepLines/>
              <w:spacing w:before="20" w:after="20"/>
              <w:rPr>
                <w:rFonts w:cs="Arial"/>
                <w:color w:val="000000"/>
                <w:szCs w:val="18"/>
              </w:rPr>
            </w:pPr>
            <w:r w:rsidRPr="00C259FC">
              <w:rPr>
                <w:rFonts w:cs="Arial"/>
                <w:color w:val="000000"/>
                <w:szCs w:val="18"/>
              </w:rPr>
              <w:t>Neighbourhood Houses</w:t>
            </w:r>
          </w:p>
        </w:tc>
        <w:tc>
          <w:tcPr>
            <w:tcW w:w="1577" w:type="dxa"/>
            <w:tcBorders>
              <w:top w:val="nil"/>
              <w:left w:val="single" w:sz="4" w:space="0" w:color="auto"/>
              <w:bottom w:val="nil"/>
              <w:right w:val="single" w:sz="4" w:space="0" w:color="auto"/>
            </w:tcBorders>
            <w:noWrap/>
            <w:vAlign w:val="center"/>
            <w:hideMark/>
          </w:tcPr>
          <w:p w:rsidR="00AF38C9" w:rsidRPr="00C259FC" w:rsidRDefault="00AF38C9" w:rsidP="00C36B7A">
            <w:pPr>
              <w:keepNext/>
              <w:keepLines/>
              <w:spacing w:before="20" w:after="20"/>
              <w:jc w:val="center"/>
              <w:rPr>
                <w:rFonts w:cs="Arial"/>
                <w:color w:val="000000"/>
                <w:szCs w:val="18"/>
              </w:rPr>
            </w:pPr>
            <w:r w:rsidRPr="00C259FC">
              <w:rPr>
                <w:rFonts w:cs="Arial"/>
                <w:color w:val="000000"/>
                <w:szCs w:val="18"/>
              </w:rPr>
              <w:t>5</w:t>
            </w:r>
          </w:p>
        </w:tc>
        <w:tc>
          <w:tcPr>
            <w:tcW w:w="2268" w:type="dxa"/>
            <w:tcBorders>
              <w:top w:val="nil"/>
              <w:left w:val="single" w:sz="4" w:space="0" w:color="auto"/>
              <w:bottom w:val="nil"/>
              <w:right w:val="single" w:sz="4" w:space="0" w:color="auto"/>
            </w:tcBorders>
            <w:vAlign w:val="center"/>
          </w:tcPr>
          <w:p w:rsidR="00AF38C9" w:rsidRPr="00C259FC" w:rsidRDefault="00AF38C9" w:rsidP="00C36B7A">
            <w:pPr>
              <w:keepNext/>
              <w:keepLines/>
              <w:tabs>
                <w:tab w:val="decimal" w:pos="1562"/>
              </w:tabs>
              <w:spacing w:before="20" w:after="20"/>
              <w:rPr>
                <w:rFonts w:cs="Arial"/>
                <w:color w:val="000000"/>
                <w:szCs w:val="18"/>
              </w:rPr>
            </w:pPr>
            <w:r>
              <w:rPr>
                <w:rFonts w:cs="Arial"/>
                <w:color w:val="000000"/>
                <w:szCs w:val="18"/>
              </w:rPr>
              <w:t>1,633,671</w:t>
            </w:r>
          </w:p>
        </w:tc>
      </w:tr>
      <w:tr w:rsidR="00C36B7A" w:rsidRPr="00C259FC" w:rsidTr="00B277ED">
        <w:trPr>
          <w:trHeight w:val="170"/>
        </w:trPr>
        <w:tc>
          <w:tcPr>
            <w:tcW w:w="4093" w:type="dxa"/>
            <w:tcBorders>
              <w:top w:val="nil"/>
              <w:left w:val="single" w:sz="4" w:space="0" w:color="auto"/>
              <w:bottom w:val="nil"/>
              <w:right w:val="single" w:sz="4" w:space="0" w:color="auto"/>
            </w:tcBorders>
            <w:noWrap/>
            <w:vAlign w:val="center"/>
            <w:hideMark/>
          </w:tcPr>
          <w:p w:rsidR="00AF38C9" w:rsidRPr="00C259FC" w:rsidRDefault="00AF38C9" w:rsidP="00C36B7A">
            <w:pPr>
              <w:keepNext/>
              <w:keepLines/>
              <w:spacing w:before="20" w:after="20"/>
              <w:rPr>
                <w:rFonts w:cs="Arial"/>
                <w:color w:val="000000"/>
                <w:szCs w:val="18"/>
              </w:rPr>
            </w:pPr>
            <w:r w:rsidRPr="00C259FC">
              <w:rPr>
                <w:rFonts w:cs="Arial"/>
                <w:color w:val="000000"/>
                <w:szCs w:val="18"/>
              </w:rPr>
              <w:t>Residences</w:t>
            </w:r>
          </w:p>
        </w:tc>
        <w:tc>
          <w:tcPr>
            <w:tcW w:w="1577" w:type="dxa"/>
            <w:tcBorders>
              <w:top w:val="nil"/>
              <w:left w:val="single" w:sz="4" w:space="0" w:color="auto"/>
              <w:bottom w:val="nil"/>
              <w:right w:val="single" w:sz="4" w:space="0" w:color="auto"/>
            </w:tcBorders>
            <w:noWrap/>
            <w:vAlign w:val="center"/>
            <w:hideMark/>
          </w:tcPr>
          <w:p w:rsidR="00AF38C9" w:rsidRPr="00C259FC" w:rsidRDefault="00AF38C9" w:rsidP="00C36B7A">
            <w:pPr>
              <w:keepNext/>
              <w:keepLines/>
              <w:spacing w:before="20" w:after="20"/>
              <w:jc w:val="center"/>
              <w:rPr>
                <w:rFonts w:cs="Arial"/>
                <w:color w:val="000000"/>
                <w:szCs w:val="18"/>
              </w:rPr>
            </w:pPr>
            <w:r w:rsidRPr="00C259FC">
              <w:rPr>
                <w:rFonts w:cs="Arial"/>
                <w:color w:val="000000"/>
                <w:szCs w:val="18"/>
              </w:rPr>
              <w:t>2</w:t>
            </w:r>
          </w:p>
        </w:tc>
        <w:tc>
          <w:tcPr>
            <w:tcW w:w="2268" w:type="dxa"/>
            <w:tcBorders>
              <w:top w:val="nil"/>
              <w:left w:val="single" w:sz="4" w:space="0" w:color="auto"/>
              <w:bottom w:val="nil"/>
              <w:right w:val="single" w:sz="4" w:space="0" w:color="auto"/>
            </w:tcBorders>
            <w:vAlign w:val="center"/>
          </w:tcPr>
          <w:p w:rsidR="00AF38C9" w:rsidRPr="00C259FC" w:rsidRDefault="00AF38C9" w:rsidP="00C36B7A">
            <w:pPr>
              <w:keepNext/>
              <w:keepLines/>
              <w:tabs>
                <w:tab w:val="decimal" w:pos="1562"/>
              </w:tabs>
              <w:spacing w:before="20" w:after="20"/>
              <w:rPr>
                <w:rFonts w:cs="Arial"/>
                <w:color w:val="000000"/>
                <w:szCs w:val="18"/>
              </w:rPr>
            </w:pPr>
            <w:r>
              <w:rPr>
                <w:rFonts w:cs="Arial"/>
                <w:color w:val="000000"/>
                <w:szCs w:val="18"/>
              </w:rPr>
              <w:t>446,105</w:t>
            </w:r>
          </w:p>
        </w:tc>
      </w:tr>
      <w:tr w:rsidR="00C36B7A" w:rsidRPr="00C259FC" w:rsidTr="00B277ED">
        <w:trPr>
          <w:trHeight w:val="170"/>
        </w:trPr>
        <w:tc>
          <w:tcPr>
            <w:tcW w:w="4093" w:type="dxa"/>
            <w:tcBorders>
              <w:top w:val="nil"/>
              <w:left w:val="single" w:sz="4" w:space="0" w:color="auto"/>
              <w:bottom w:val="nil"/>
              <w:right w:val="single" w:sz="4" w:space="0" w:color="auto"/>
            </w:tcBorders>
            <w:noWrap/>
            <w:vAlign w:val="center"/>
            <w:hideMark/>
          </w:tcPr>
          <w:p w:rsidR="00AF38C9" w:rsidRPr="00C259FC" w:rsidRDefault="00AF38C9" w:rsidP="00C36B7A">
            <w:pPr>
              <w:keepNext/>
              <w:keepLines/>
              <w:spacing w:before="20" w:after="20"/>
              <w:rPr>
                <w:rFonts w:cs="Arial"/>
                <w:color w:val="000000"/>
                <w:szCs w:val="18"/>
              </w:rPr>
            </w:pPr>
            <w:r w:rsidRPr="00C259FC">
              <w:rPr>
                <w:rFonts w:cs="Arial"/>
                <w:color w:val="000000"/>
                <w:szCs w:val="18"/>
              </w:rPr>
              <w:t>Seniors Centres</w:t>
            </w:r>
          </w:p>
        </w:tc>
        <w:tc>
          <w:tcPr>
            <w:tcW w:w="1577" w:type="dxa"/>
            <w:tcBorders>
              <w:top w:val="nil"/>
              <w:left w:val="single" w:sz="4" w:space="0" w:color="auto"/>
              <w:bottom w:val="nil"/>
              <w:right w:val="single" w:sz="4" w:space="0" w:color="auto"/>
            </w:tcBorders>
            <w:noWrap/>
            <w:vAlign w:val="center"/>
            <w:hideMark/>
          </w:tcPr>
          <w:p w:rsidR="00AF38C9" w:rsidRPr="00C259FC" w:rsidRDefault="00AF38C9" w:rsidP="00C36B7A">
            <w:pPr>
              <w:keepNext/>
              <w:keepLines/>
              <w:spacing w:before="20" w:after="20"/>
              <w:jc w:val="center"/>
              <w:rPr>
                <w:rFonts w:cs="Arial"/>
                <w:color w:val="000000"/>
                <w:szCs w:val="18"/>
              </w:rPr>
            </w:pPr>
            <w:r w:rsidRPr="00C259FC">
              <w:rPr>
                <w:rFonts w:cs="Arial"/>
                <w:color w:val="000000"/>
                <w:szCs w:val="18"/>
              </w:rPr>
              <w:t>2</w:t>
            </w:r>
          </w:p>
        </w:tc>
        <w:tc>
          <w:tcPr>
            <w:tcW w:w="2268" w:type="dxa"/>
            <w:tcBorders>
              <w:top w:val="nil"/>
              <w:left w:val="single" w:sz="4" w:space="0" w:color="auto"/>
              <w:bottom w:val="nil"/>
              <w:right w:val="single" w:sz="4" w:space="0" w:color="auto"/>
            </w:tcBorders>
            <w:vAlign w:val="center"/>
          </w:tcPr>
          <w:p w:rsidR="00AF38C9" w:rsidRPr="00C259FC" w:rsidRDefault="00AF38C9" w:rsidP="00C36B7A">
            <w:pPr>
              <w:keepNext/>
              <w:keepLines/>
              <w:tabs>
                <w:tab w:val="decimal" w:pos="1562"/>
              </w:tabs>
              <w:spacing w:before="20" w:after="20"/>
              <w:rPr>
                <w:rFonts w:cs="Arial"/>
                <w:color w:val="000000"/>
                <w:szCs w:val="18"/>
              </w:rPr>
            </w:pPr>
            <w:r>
              <w:rPr>
                <w:rFonts w:cs="Arial"/>
                <w:color w:val="000000"/>
                <w:szCs w:val="18"/>
              </w:rPr>
              <w:t>2,234,628</w:t>
            </w:r>
          </w:p>
        </w:tc>
      </w:tr>
      <w:tr w:rsidR="00C36B7A" w:rsidRPr="00C259FC" w:rsidTr="00B277ED">
        <w:trPr>
          <w:trHeight w:val="170"/>
        </w:trPr>
        <w:tc>
          <w:tcPr>
            <w:tcW w:w="4093" w:type="dxa"/>
            <w:tcBorders>
              <w:top w:val="nil"/>
              <w:left w:val="single" w:sz="4" w:space="0" w:color="auto"/>
              <w:bottom w:val="nil"/>
              <w:right w:val="single" w:sz="4" w:space="0" w:color="auto"/>
            </w:tcBorders>
            <w:vAlign w:val="center"/>
            <w:hideMark/>
          </w:tcPr>
          <w:p w:rsidR="00AF38C9" w:rsidRPr="00C259FC" w:rsidRDefault="00AF38C9" w:rsidP="00C36B7A">
            <w:pPr>
              <w:keepNext/>
              <w:keepLines/>
              <w:spacing w:before="20" w:after="20"/>
              <w:rPr>
                <w:rFonts w:cs="Arial"/>
                <w:color w:val="000000"/>
                <w:szCs w:val="18"/>
              </w:rPr>
            </w:pPr>
            <w:r w:rsidRPr="00C259FC">
              <w:rPr>
                <w:rFonts w:cs="Arial"/>
                <w:color w:val="000000"/>
                <w:szCs w:val="18"/>
              </w:rPr>
              <w:t>Stores / Sheds / Garages</w:t>
            </w:r>
          </w:p>
        </w:tc>
        <w:tc>
          <w:tcPr>
            <w:tcW w:w="1577" w:type="dxa"/>
            <w:tcBorders>
              <w:top w:val="nil"/>
              <w:left w:val="single" w:sz="4" w:space="0" w:color="auto"/>
              <w:bottom w:val="nil"/>
              <w:right w:val="single" w:sz="4" w:space="0" w:color="auto"/>
            </w:tcBorders>
            <w:noWrap/>
            <w:vAlign w:val="center"/>
            <w:hideMark/>
          </w:tcPr>
          <w:p w:rsidR="00AF38C9" w:rsidRPr="00C259FC" w:rsidRDefault="00AF38C9" w:rsidP="00C36B7A">
            <w:pPr>
              <w:keepNext/>
              <w:keepLines/>
              <w:spacing w:before="20" w:after="20"/>
              <w:jc w:val="center"/>
              <w:rPr>
                <w:rFonts w:cs="Arial"/>
                <w:color w:val="000000"/>
                <w:szCs w:val="18"/>
              </w:rPr>
            </w:pPr>
            <w:r w:rsidRPr="00C259FC">
              <w:rPr>
                <w:rFonts w:cs="Arial"/>
                <w:color w:val="000000"/>
                <w:szCs w:val="18"/>
              </w:rPr>
              <w:t>2</w:t>
            </w:r>
          </w:p>
        </w:tc>
        <w:tc>
          <w:tcPr>
            <w:tcW w:w="2268" w:type="dxa"/>
            <w:tcBorders>
              <w:top w:val="nil"/>
              <w:left w:val="single" w:sz="4" w:space="0" w:color="auto"/>
              <w:bottom w:val="nil"/>
              <w:right w:val="single" w:sz="4" w:space="0" w:color="auto"/>
            </w:tcBorders>
            <w:vAlign w:val="center"/>
          </w:tcPr>
          <w:p w:rsidR="00AF38C9" w:rsidRPr="00C259FC" w:rsidRDefault="00AF38C9" w:rsidP="00C36B7A">
            <w:pPr>
              <w:keepNext/>
              <w:keepLines/>
              <w:tabs>
                <w:tab w:val="decimal" w:pos="1562"/>
              </w:tabs>
              <w:spacing w:before="20" w:after="20"/>
              <w:jc w:val="left"/>
              <w:rPr>
                <w:rFonts w:cs="Arial"/>
                <w:color w:val="000000"/>
                <w:szCs w:val="18"/>
              </w:rPr>
            </w:pPr>
            <w:r>
              <w:rPr>
                <w:rFonts w:cs="Arial"/>
                <w:color w:val="000000"/>
                <w:szCs w:val="18"/>
              </w:rPr>
              <w:t>15,409</w:t>
            </w:r>
          </w:p>
        </w:tc>
      </w:tr>
      <w:tr w:rsidR="00C36B7A" w:rsidRPr="00C259FC" w:rsidTr="00B277ED">
        <w:trPr>
          <w:trHeight w:val="170"/>
        </w:trPr>
        <w:tc>
          <w:tcPr>
            <w:tcW w:w="4093" w:type="dxa"/>
            <w:tcBorders>
              <w:top w:val="nil"/>
              <w:left w:val="single" w:sz="4" w:space="0" w:color="auto"/>
              <w:bottom w:val="nil"/>
              <w:right w:val="single" w:sz="4" w:space="0" w:color="auto"/>
            </w:tcBorders>
            <w:vAlign w:val="center"/>
            <w:hideMark/>
          </w:tcPr>
          <w:p w:rsidR="00AF38C9" w:rsidRPr="00C259FC" w:rsidRDefault="00AF38C9" w:rsidP="00C36B7A">
            <w:pPr>
              <w:keepNext/>
              <w:keepLines/>
              <w:spacing w:before="20" w:after="20"/>
              <w:rPr>
                <w:rFonts w:cs="Arial"/>
                <w:color w:val="000000"/>
                <w:szCs w:val="18"/>
              </w:rPr>
            </w:pPr>
            <w:r w:rsidRPr="00C259FC">
              <w:rPr>
                <w:rFonts w:cs="Arial"/>
                <w:color w:val="000000"/>
                <w:szCs w:val="18"/>
              </w:rPr>
              <w:t>Structure</w:t>
            </w:r>
          </w:p>
        </w:tc>
        <w:tc>
          <w:tcPr>
            <w:tcW w:w="1577" w:type="dxa"/>
            <w:tcBorders>
              <w:top w:val="nil"/>
              <w:left w:val="single" w:sz="4" w:space="0" w:color="auto"/>
              <w:bottom w:val="nil"/>
              <w:right w:val="single" w:sz="4" w:space="0" w:color="auto"/>
            </w:tcBorders>
            <w:noWrap/>
            <w:vAlign w:val="center"/>
            <w:hideMark/>
          </w:tcPr>
          <w:p w:rsidR="00AF38C9" w:rsidRPr="00C259FC" w:rsidRDefault="00AF38C9" w:rsidP="00C36B7A">
            <w:pPr>
              <w:keepNext/>
              <w:keepLines/>
              <w:spacing w:before="20" w:after="20"/>
              <w:jc w:val="center"/>
              <w:rPr>
                <w:rFonts w:cs="Arial"/>
                <w:color w:val="000000"/>
                <w:szCs w:val="18"/>
              </w:rPr>
            </w:pPr>
            <w:r w:rsidRPr="00C259FC">
              <w:rPr>
                <w:rFonts w:cs="Arial"/>
                <w:color w:val="000000"/>
                <w:szCs w:val="18"/>
              </w:rPr>
              <w:t>1</w:t>
            </w:r>
          </w:p>
        </w:tc>
        <w:tc>
          <w:tcPr>
            <w:tcW w:w="2268" w:type="dxa"/>
            <w:tcBorders>
              <w:top w:val="nil"/>
              <w:left w:val="single" w:sz="4" w:space="0" w:color="auto"/>
              <w:bottom w:val="nil"/>
              <w:right w:val="single" w:sz="4" w:space="0" w:color="auto"/>
            </w:tcBorders>
            <w:vAlign w:val="center"/>
          </w:tcPr>
          <w:p w:rsidR="00AF38C9" w:rsidRPr="00C259FC" w:rsidRDefault="00AF38C9" w:rsidP="00C36B7A">
            <w:pPr>
              <w:keepNext/>
              <w:keepLines/>
              <w:tabs>
                <w:tab w:val="decimal" w:pos="1562"/>
              </w:tabs>
              <w:spacing w:before="20" w:after="20"/>
              <w:jc w:val="left"/>
              <w:rPr>
                <w:rFonts w:cs="Arial"/>
                <w:color w:val="000000"/>
                <w:szCs w:val="18"/>
              </w:rPr>
            </w:pPr>
            <w:r>
              <w:rPr>
                <w:rFonts w:cs="Arial"/>
                <w:color w:val="000000"/>
                <w:szCs w:val="18"/>
              </w:rPr>
              <w:t>57,000</w:t>
            </w:r>
          </w:p>
        </w:tc>
      </w:tr>
      <w:tr w:rsidR="00C36B7A" w:rsidRPr="00C259FC" w:rsidTr="00B277ED">
        <w:trPr>
          <w:trHeight w:val="170"/>
        </w:trPr>
        <w:tc>
          <w:tcPr>
            <w:tcW w:w="4093" w:type="dxa"/>
            <w:tcBorders>
              <w:top w:val="nil"/>
              <w:left w:val="single" w:sz="4" w:space="0" w:color="auto"/>
              <w:bottom w:val="nil"/>
              <w:right w:val="single" w:sz="4" w:space="0" w:color="auto"/>
            </w:tcBorders>
            <w:vAlign w:val="center"/>
            <w:hideMark/>
          </w:tcPr>
          <w:p w:rsidR="00AF38C9" w:rsidRPr="00C259FC" w:rsidRDefault="00AF38C9" w:rsidP="00C36B7A">
            <w:pPr>
              <w:keepNext/>
              <w:keepLines/>
              <w:spacing w:before="20" w:after="20"/>
              <w:rPr>
                <w:rFonts w:cs="Arial"/>
                <w:color w:val="000000"/>
                <w:szCs w:val="18"/>
              </w:rPr>
            </w:pPr>
            <w:r w:rsidRPr="00C259FC">
              <w:rPr>
                <w:rFonts w:cs="Arial"/>
                <w:color w:val="000000"/>
                <w:szCs w:val="18"/>
              </w:rPr>
              <w:t>Theatre</w:t>
            </w:r>
          </w:p>
        </w:tc>
        <w:tc>
          <w:tcPr>
            <w:tcW w:w="1577" w:type="dxa"/>
            <w:tcBorders>
              <w:top w:val="nil"/>
              <w:left w:val="single" w:sz="4" w:space="0" w:color="auto"/>
              <w:bottom w:val="nil"/>
              <w:right w:val="single" w:sz="4" w:space="0" w:color="auto"/>
            </w:tcBorders>
            <w:noWrap/>
            <w:vAlign w:val="center"/>
            <w:hideMark/>
          </w:tcPr>
          <w:p w:rsidR="00AF38C9" w:rsidRPr="00C259FC" w:rsidRDefault="00AF38C9" w:rsidP="00C36B7A">
            <w:pPr>
              <w:keepNext/>
              <w:keepLines/>
              <w:spacing w:before="20" w:after="20"/>
              <w:jc w:val="center"/>
              <w:rPr>
                <w:rFonts w:cs="Arial"/>
                <w:color w:val="000000"/>
                <w:szCs w:val="18"/>
              </w:rPr>
            </w:pPr>
            <w:r w:rsidRPr="00C259FC">
              <w:rPr>
                <w:rFonts w:cs="Arial"/>
                <w:color w:val="000000"/>
                <w:szCs w:val="18"/>
              </w:rPr>
              <w:t>1</w:t>
            </w:r>
          </w:p>
        </w:tc>
        <w:tc>
          <w:tcPr>
            <w:tcW w:w="2268" w:type="dxa"/>
            <w:tcBorders>
              <w:top w:val="nil"/>
              <w:left w:val="single" w:sz="4" w:space="0" w:color="auto"/>
              <w:bottom w:val="nil"/>
              <w:right w:val="single" w:sz="4" w:space="0" w:color="auto"/>
            </w:tcBorders>
            <w:vAlign w:val="center"/>
          </w:tcPr>
          <w:p w:rsidR="00AF38C9" w:rsidRPr="00C259FC" w:rsidRDefault="00AF38C9" w:rsidP="00C36B7A">
            <w:pPr>
              <w:keepNext/>
              <w:keepLines/>
              <w:tabs>
                <w:tab w:val="decimal" w:pos="1562"/>
              </w:tabs>
              <w:spacing w:before="20" w:after="20"/>
              <w:jc w:val="left"/>
              <w:rPr>
                <w:rFonts w:cs="Arial"/>
                <w:color w:val="000000"/>
                <w:szCs w:val="18"/>
              </w:rPr>
            </w:pPr>
            <w:r>
              <w:rPr>
                <w:rFonts w:cs="Arial"/>
                <w:color w:val="000000"/>
                <w:szCs w:val="18"/>
              </w:rPr>
              <w:t>1,771,350</w:t>
            </w:r>
          </w:p>
        </w:tc>
      </w:tr>
      <w:tr w:rsidR="00C36B7A" w:rsidRPr="00C259FC" w:rsidTr="00B277ED">
        <w:trPr>
          <w:trHeight w:val="170"/>
        </w:trPr>
        <w:tc>
          <w:tcPr>
            <w:tcW w:w="4093" w:type="dxa"/>
            <w:tcBorders>
              <w:top w:val="nil"/>
              <w:left w:val="single" w:sz="4" w:space="0" w:color="auto"/>
              <w:bottom w:val="nil"/>
              <w:right w:val="single" w:sz="4" w:space="0" w:color="auto"/>
            </w:tcBorders>
            <w:vAlign w:val="center"/>
            <w:hideMark/>
          </w:tcPr>
          <w:p w:rsidR="00AF38C9" w:rsidRPr="00C259FC" w:rsidRDefault="00AF38C9" w:rsidP="00C36B7A">
            <w:pPr>
              <w:keepNext/>
              <w:keepLines/>
              <w:spacing w:before="20" w:after="20"/>
              <w:rPr>
                <w:rFonts w:cs="Arial"/>
                <w:color w:val="000000"/>
                <w:szCs w:val="18"/>
              </w:rPr>
            </w:pPr>
            <w:r w:rsidRPr="00C259FC">
              <w:rPr>
                <w:rFonts w:cs="Arial"/>
                <w:color w:val="000000"/>
                <w:szCs w:val="18"/>
              </w:rPr>
              <w:t>Youth Centre</w:t>
            </w:r>
          </w:p>
        </w:tc>
        <w:tc>
          <w:tcPr>
            <w:tcW w:w="1577" w:type="dxa"/>
            <w:tcBorders>
              <w:top w:val="nil"/>
              <w:left w:val="single" w:sz="4" w:space="0" w:color="auto"/>
              <w:bottom w:val="single" w:sz="4" w:space="0" w:color="auto"/>
              <w:right w:val="single" w:sz="4" w:space="0" w:color="auto"/>
            </w:tcBorders>
            <w:noWrap/>
            <w:vAlign w:val="center"/>
            <w:hideMark/>
          </w:tcPr>
          <w:p w:rsidR="00AF38C9" w:rsidRPr="00C259FC" w:rsidRDefault="00AF38C9" w:rsidP="00C36B7A">
            <w:pPr>
              <w:keepNext/>
              <w:keepLines/>
              <w:spacing w:before="20" w:after="20"/>
              <w:jc w:val="center"/>
              <w:rPr>
                <w:rFonts w:cs="Arial"/>
                <w:color w:val="000000"/>
                <w:szCs w:val="18"/>
              </w:rPr>
            </w:pPr>
            <w:r w:rsidRPr="00C259FC">
              <w:rPr>
                <w:rFonts w:cs="Arial"/>
                <w:color w:val="000000"/>
                <w:szCs w:val="18"/>
              </w:rPr>
              <w:t>1</w:t>
            </w:r>
          </w:p>
        </w:tc>
        <w:tc>
          <w:tcPr>
            <w:tcW w:w="2268" w:type="dxa"/>
            <w:tcBorders>
              <w:top w:val="nil"/>
              <w:left w:val="single" w:sz="4" w:space="0" w:color="auto"/>
              <w:bottom w:val="single" w:sz="4" w:space="0" w:color="auto"/>
              <w:right w:val="single" w:sz="4" w:space="0" w:color="auto"/>
            </w:tcBorders>
            <w:vAlign w:val="center"/>
          </w:tcPr>
          <w:p w:rsidR="00AF38C9" w:rsidRPr="00C259FC" w:rsidRDefault="00AF38C9" w:rsidP="00C36B7A">
            <w:pPr>
              <w:keepNext/>
              <w:keepLines/>
              <w:tabs>
                <w:tab w:val="decimal" w:pos="1562"/>
              </w:tabs>
              <w:spacing w:before="20" w:after="20"/>
              <w:jc w:val="left"/>
              <w:rPr>
                <w:rFonts w:cs="Arial"/>
                <w:color w:val="000000"/>
                <w:szCs w:val="18"/>
              </w:rPr>
            </w:pPr>
            <w:r>
              <w:rPr>
                <w:rFonts w:cs="Arial"/>
                <w:color w:val="000000"/>
                <w:szCs w:val="18"/>
              </w:rPr>
              <w:t>1,455,300</w:t>
            </w:r>
          </w:p>
        </w:tc>
      </w:tr>
      <w:tr w:rsidR="00C36B7A" w:rsidRPr="00C259FC" w:rsidTr="00B277ED">
        <w:trPr>
          <w:trHeight w:val="288"/>
        </w:trPr>
        <w:tc>
          <w:tcPr>
            <w:tcW w:w="4093" w:type="dxa"/>
            <w:tcBorders>
              <w:top w:val="nil"/>
              <w:left w:val="single" w:sz="4" w:space="0" w:color="auto"/>
              <w:bottom w:val="single" w:sz="4" w:space="0" w:color="auto"/>
              <w:right w:val="single" w:sz="4" w:space="0" w:color="auto"/>
            </w:tcBorders>
            <w:noWrap/>
            <w:vAlign w:val="center"/>
            <w:hideMark/>
          </w:tcPr>
          <w:p w:rsidR="00AF38C9" w:rsidRPr="00C259FC" w:rsidRDefault="00AF38C9" w:rsidP="00C36B7A">
            <w:pPr>
              <w:keepNext/>
              <w:keepLines/>
              <w:tabs>
                <w:tab w:val="left" w:pos="537"/>
              </w:tabs>
              <w:spacing w:before="20" w:after="20"/>
              <w:rPr>
                <w:rFonts w:cs="Arial"/>
                <w:b/>
                <w:color w:val="000000"/>
                <w:szCs w:val="18"/>
              </w:rPr>
            </w:pPr>
            <w:r>
              <w:rPr>
                <w:rFonts w:cs="Arial"/>
                <w:b/>
                <w:color w:val="000000"/>
                <w:szCs w:val="18"/>
              </w:rPr>
              <w:tab/>
              <w:t>Community Services (Total)</w:t>
            </w:r>
          </w:p>
        </w:tc>
        <w:tc>
          <w:tcPr>
            <w:tcW w:w="1577" w:type="dxa"/>
            <w:tcBorders>
              <w:top w:val="single" w:sz="4" w:space="0" w:color="auto"/>
              <w:left w:val="single" w:sz="4" w:space="0" w:color="auto"/>
              <w:bottom w:val="single" w:sz="4" w:space="0" w:color="auto"/>
            </w:tcBorders>
            <w:noWrap/>
            <w:vAlign w:val="center"/>
            <w:hideMark/>
          </w:tcPr>
          <w:p w:rsidR="00AF38C9" w:rsidRPr="00C259FC" w:rsidRDefault="00AF38C9" w:rsidP="00C36B7A">
            <w:pPr>
              <w:keepNext/>
              <w:keepLines/>
              <w:spacing w:before="20" w:after="20"/>
              <w:jc w:val="center"/>
              <w:rPr>
                <w:rFonts w:cs="Arial"/>
                <w:b/>
                <w:color w:val="000000"/>
                <w:szCs w:val="18"/>
              </w:rPr>
            </w:pPr>
            <w:r w:rsidRPr="00C259FC">
              <w:rPr>
                <w:rFonts w:cs="Arial"/>
                <w:b/>
                <w:color w:val="000000"/>
                <w:szCs w:val="18"/>
              </w:rPr>
              <w:t>44</w:t>
            </w:r>
          </w:p>
        </w:tc>
        <w:tc>
          <w:tcPr>
            <w:tcW w:w="2268" w:type="dxa"/>
            <w:tcBorders>
              <w:top w:val="single" w:sz="4" w:space="0" w:color="auto"/>
              <w:bottom w:val="single" w:sz="4" w:space="0" w:color="auto"/>
            </w:tcBorders>
            <w:vAlign w:val="center"/>
          </w:tcPr>
          <w:p w:rsidR="00AF38C9" w:rsidRPr="00C259FC" w:rsidRDefault="00AF38C9" w:rsidP="00C36B7A">
            <w:pPr>
              <w:keepNext/>
              <w:keepLines/>
              <w:tabs>
                <w:tab w:val="decimal" w:pos="1562"/>
              </w:tabs>
              <w:spacing w:before="20" w:after="20"/>
              <w:jc w:val="left"/>
              <w:rPr>
                <w:rFonts w:cs="Arial"/>
                <w:b/>
                <w:color w:val="000000"/>
                <w:szCs w:val="18"/>
              </w:rPr>
            </w:pPr>
            <w:r>
              <w:rPr>
                <w:rFonts w:cs="Arial"/>
                <w:b/>
                <w:color w:val="000000"/>
                <w:szCs w:val="18"/>
              </w:rPr>
              <w:t>35,823,538</w:t>
            </w:r>
          </w:p>
        </w:tc>
      </w:tr>
      <w:tr w:rsidR="00AF38C9" w:rsidRPr="00C259FC" w:rsidTr="00B277ED">
        <w:trPr>
          <w:trHeight w:val="170"/>
        </w:trPr>
        <w:tc>
          <w:tcPr>
            <w:tcW w:w="4093" w:type="dxa"/>
            <w:tcBorders>
              <w:top w:val="single" w:sz="4" w:space="0" w:color="auto"/>
              <w:left w:val="single" w:sz="4" w:space="0" w:color="auto"/>
              <w:bottom w:val="nil"/>
              <w:right w:val="single" w:sz="4" w:space="0" w:color="auto"/>
            </w:tcBorders>
            <w:noWrap/>
            <w:vAlign w:val="center"/>
          </w:tcPr>
          <w:p w:rsidR="00AF38C9" w:rsidRPr="00C259FC" w:rsidRDefault="00AF38C9" w:rsidP="00C36B7A">
            <w:pPr>
              <w:keepNext/>
              <w:keepLines/>
              <w:spacing w:before="20" w:after="20"/>
              <w:rPr>
                <w:rFonts w:cs="Arial"/>
                <w:color w:val="000000"/>
                <w:szCs w:val="18"/>
              </w:rPr>
            </w:pPr>
            <w:r w:rsidRPr="00C259FC">
              <w:rPr>
                <w:rFonts w:cs="Arial"/>
                <w:color w:val="000000"/>
                <w:szCs w:val="18"/>
              </w:rPr>
              <w:t xml:space="preserve">Depot </w:t>
            </w:r>
          </w:p>
        </w:tc>
        <w:tc>
          <w:tcPr>
            <w:tcW w:w="1577" w:type="dxa"/>
            <w:tcBorders>
              <w:top w:val="single" w:sz="4" w:space="0" w:color="auto"/>
              <w:left w:val="single" w:sz="4" w:space="0" w:color="auto"/>
              <w:bottom w:val="nil"/>
              <w:right w:val="single" w:sz="4" w:space="0" w:color="auto"/>
            </w:tcBorders>
            <w:noWrap/>
            <w:vAlign w:val="center"/>
          </w:tcPr>
          <w:p w:rsidR="00AF38C9" w:rsidRPr="00C259FC" w:rsidRDefault="00AF38C9" w:rsidP="00C36B7A">
            <w:pPr>
              <w:keepNext/>
              <w:keepLines/>
              <w:spacing w:before="20" w:after="20"/>
              <w:jc w:val="center"/>
              <w:rPr>
                <w:rFonts w:cs="Arial"/>
                <w:color w:val="000000"/>
                <w:szCs w:val="18"/>
              </w:rPr>
            </w:pPr>
            <w:r w:rsidRPr="00C259FC">
              <w:rPr>
                <w:rFonts w:cs="Arial"/>
                <w:color w:val="000000"/>
                <w:szCs w:val="18"/>
              </w:rPr>
              <w:t>5</w:t>
            </w:r>
          </w:p>
        </w:tc>
        <w:tc>
          <w:tcPr>
            <w:tcW w:w="2268" w:type="dxa"/>
            <w:tcBorders>
              <w:top w:val="single" w:sz="4" w:space="0" w:color="auto"/>
              <w:left w:val="single" w:sz="4" w:space="0" w:color="auto"/>
              <w:bottom w:val="nil"/>
              <w:right w:val="single" w:sz="4" w:space="0" w:color="auto"/>
            </w:tcBorders>
            <w:vAlign w:val="center"/>
          </w:tcPr>
          <w:p w:rsidR="00AF38C9" w:rsidRPr="00C259FC" w:rsidRDefault="00AF38C9" w:rsidP="00C36B7A">
            <w:pPr>
              <w:keepNext/>
              <w:keepLines/>
              <w:tabs>
                <w:tab w:val="decimal" w:pos="1562"/>
              </w:tabs>
              <w:spacing w:before="20" w:after="20"/>
              <w:jc w:val="left"/>
              <w:rPr>
                <w:rFonts w:cs="Arial"/>
                <w:color w:val="000000"/>
                <w:szCs w:val="18"/>
              </w:rPr>
            </w:pPr>
            <w:r>
              <w:rPr>
                <w:rFonts w:cs="Arial"/>
                <w:color w:val="000000"/>
                <w:szCs w:val="18"/>
              </w:rPr>
              <w:t>2,063,435</w:t>
            </w:r>
          </w:p>
        </w:tc>
      </w:tr>
      <w:tr w:rsidR="00AF38C9" w:rsidRPr="00C259FC" w:rsidTr="00B277ED">
        <w:trPr>
          <w:trHeight w:val="170"/>
        </w:trPr>
        <w:tc>
          <w:tcPr>
            <w:tcW w:w="4093" w:type="dxa"/>
            <w:tcBorders>
              <w:top w:val="nil"/>
              <w:left w:val="single" w:sz="4" w:space="0" w:color="auto"/>
              <w:bottom w:val="nil"/>
              <w:right w:val="single" w:sz="4" w:space="0" w:color="auto"/>
            </w:tcBorders>
            <w:noWrap/>
            <w:vAlign w:val="center"/>
          </w:tcPr>
          <w:p w:rsidR="00AF38C9" w:rsidRPr="00C259FC" w:rsidRDefault="00AF38C9" w:rsidP="00C36B7A">
            <w:pPr>
              <w:keepNext/>
              <w:keepLines/>
              <w:spacing w:before="20" w:after="20"/>
              <w:rPr>
                <w:rFonts w:cs="Arial"/>
                <w:color w:val="000000"/>
                <w:szCs w:val="18"/>
              </w:rPr>
            </w:pPr>
            <w:r w:rsidRPr="00C259FC">
              <w:rPr>
                <w:rFonts w:cs="Arial"/>
                <w:color w:val="000000"/>
                <w:szCs w:val="18"/>
              </w:rPr>
              <w:t>Office / Administration</w:t>
            </w:r>
          </w:p>
        </w:tc>
        <w:tc>
          <w:tcPr>
            <w:tcW w:w="1577" w:type="dxa"/>
            <w:tcBorders>
              <w:top w:val="nil"/>
              <w:left w:val="single" w:sz="4" w:space="0" w:color="auto"/>
              <w:bottom w:val="nil"/>
              <w:right w:val="single" w:sz="4" w:space="0" w:color="auto"/>
            </w:tcBorders>
            <w:noWrap/>
            <w:vAlign w:val="center"/>
          </w:tcPr>
          <w:p w:rsidR="00AF38C9" w:rsidRPr="00C259FC" w:rsidRDefault="00AF38C9" w:rsidP="00C36B7A">
            <w:pPr>
              <w:keepNext/>
              <w:keepLines/>
              <w:spacing w:before="20" w:after="20"/>
              <w:jc w:val="center"/>
              <w:rPr>
                <w:rFonts w:cs="Arial"/>
                <w:color w:val="000000"/>
                <w:szCs w:val="18"/>
              </w:rPr>
            </w:pPr>
            <w:r w:rsidRPr="00C259FC">
              <w:rPr>
                <w:rFonts w:cs="Arial"/>
                <w:color w:val="000000"/>
                <w:szCs w:val="18"/>
              </w:rPr>
              <w:t>3</w:t>
            </w:r>
          </w:p>
        </w:tc>
        <w:tc>
          <w:tcPr>
            <w:tcW w:w="2268" w:type="dxa"/>
            <w:tcBorders>
              <w:top w:val="nil"/>
              <w:left w:val="single" w:sz="4" w:space="0" w:color="auto"/>
              <w:bottom w:val="nil"/>
              <w:right w:val="single" w:sz="4" w:space="0" w:color="auto"/>
            </w:tcBorders>
            <w:vAlign w:val="center"/>
          </w:tcPr>
          <w:p w:rsidR="00AF38C9" w:rsidRPr="00C259FC" w:rsidRDefault="00AF38C9" w:rsidP="00C36B7A">
            <w:pPr>
              <w:keepNext/>
              <w:keepLines/>
              <w:tabs>
                <w:tab w:val="decimal" w:pos="1562"/>
              </w:tabs>
              <w:spacing w:before="20" w:after="20"/>
              <w:jc w:val="left"/>
              <w:rPr>
                <w:rFonts w:cs="Arial"/>
                <w:color w:val="000000"/>
                <w:szCs w:val="18"/>
              </w:rPr>
            </w:pPr>
            <w:r>
              <w:rPr>
                <w:rFonts w:cs="Arial"/>
                <w:color w:val="000000"/>
                <w:szCs w:val="18"/>
              </w:rPr>
              <w:t>1,145,514</w:t>
            </w:r>
          </w:p>
        </w:tc>
      </w:tr>
      <w:tr w:rsidR="00AF38C9" w:rsidRPr="00C259FC" w:rsidTr="00B277ED">
        <w:trPr>
          <w:trHeight w:val="170"/>
        </w:trPr>
        <w:tc>
          <w:tcPr>
            <w:tcW w:w="4093" w:type="dxa"/>
            <w:tcBorders>
              <w:top w:val="nil"/>
              <w:left w:val="single" w:sz="4" w:space="0" w:color="auto"/>
              <w:bottom w:val="nil"/>
              <w:right w:val="single" w:sz="4" w:space="0" w:color="auto"/>
            </w:tcBorders>
            <w:noWrap/>
            <w:vAlign w:val="center"/>
          </w:tcPr>
          <w:p w:rsidR="00AF38C9" w:rsidRPr="00C259FC" w:rsidRDefault="00AF38C9" w:rsidP="00C36B7A">
            <w:pPr>
              <w:keepNext/>
              <w:keepLines/>
              <w:spacing w:before="20" w:after="20"/>
              <w:rPr>
                <w:rFonts w:cs="Arial"/>
                <w:color w:val="000000"/>
                <w:szCs w:val="18"/>
              </w:rPr>
            </w:pPr>
            <w:r w:rsidRPr="00C259FC">
              <w:rPr>
                <w:rFonts w:cs="Arial"/>
                <w:color w:val="000000"/>
                <w:szCs w:val="18"/>
              </w:rPr>
              <w:t>Stores / Sheds / Garages</w:t>
            </w:r>
          </w:p>
        </w:tc>
        <w:tc>
          <w:tcPr>
            <w:tcW w:w="1577" w:type="dxa"/>
            <w:tcBorders>
              <w:top w:val="nil"/>
              <w:left w:val="single" w:sz="4" w:space="0" w:color="auto"/>
              <w:bottom w:val="nil"/>
              <w:right w:val="single" w:sz="4" w:space="0" w:color="auto"/>
            </w:tcBorders>
            <w:noWrap/>
            <w:vAlign w:val="center"/>
          </w:tcPr>
          <w:p w:rsidR="00AF38C9" w:rsidRPr="00C259FC" w:rsidRDefault="00AF38C9" w:rsidP="00C36B7A">
            <w:pPr>
              <w:keepNext/>
              <w:keepLines/>
              <w:spacing w:before="20" w:after="20"/>
              <w:jc w:val="center"/>
              <w:rPr>
                <w:rFonts w:cs="Arial"/>
                <w:color w:val="000000"/>
                <w:szCs w:val="18"/>
              </w:rPr>
            </w:pPr>
            <w:r w:rsidRPr="00C259FC">
              <w:rPr>
                <w:rFonts w:cs="Arial"/>
                <w:color w:val="000000"/>
                <w:szCs w:val="18"/>
              </w:rPr>
              <w:t>13</w:t>
            </w:r>
          </w:p>
        </w:tc>
        <w:tc>
          <w:tcPr>
            <w:tcW w:w="2268" w:type="dxa"/>
            <w:tcBorders>
              <w:top w:val="nil"/>
              <w:left w:val="single" w:sz="4" w:space="0" w:color="auto"/>
              <w:bottom w:val="nil"/>
              <w:right w:val="single" w:sz="4" w:space="0" w:color="auto"/>
            </w:tcBorders>
            <w:vAlign w:val="center"/>
          </w:tcPr>
          <w:p w:rsidR="00AF38C9" w:rsidRPr="00C259FC" w:rsidRDefault="00AF38C9" w:rsidP="00C36B7A">
            <w:pPr>
              <w:keepNext/>
              <w:keepLines/>
              <w:tabs>
                <w:tab w:val="decimal" w:pos="1562"/>
              </w:tabs>
              <w:spacing w:before="20" w:after="20"/>
              <w:jc w:val="left"/>
              <w:rPr>
                <w:rFonts w:cs="Arial"/>
                <w:color w:val="000000"/>
                <w:szCs w:val="18"/>
              </w:rPr>
            </w:pPr>
            <w:r>
              <w:rPr>
                <w:rFonts w:cs="Arial"/>
                <w:color w:val="000000"/>
                <w:szCs w:val="18"/>
              </w:rPr>
              <w:t>1,384,786</w:t>
            </w:r>
          </w:p>
        </w:tc>
      </w:tr>
      <w:tr w:rsidR="00AF38C9" w:rsidRPr="00C259FC" w:rsidTr="00B277ED">
        <w:trPr>
          <w:trHeight w:val="170"/>
        </w:trPr>
        <w:tc>
          <w:tcPr>
            <w:tcW w:w="4093" w:type="dxa"/>
            <w:tcBorders>
              <w:top w:val="nil"/>
              <w:left w:val="single" w:sz="4" w:space="0" w:color="auto"/>
              <w:bottom w:val="nil"/>
              <w:right w:val="single" w:sz="4" w:space="0" w:color="auto"/>
            </w:tcBorders>
            <w:noWrap/>
            <w:vAlign w:val="center"/>
          </w:tcPr>
          <w:p w:rsidR="00AF38C9" w:rsidRPr="00C259FC" w:rsidRDefault="00AF38C9" w:rsidP="00C36B7A">
            <w:pPr>
              <w:keepNext/>
              <w:keepLines/>
              <w:spacing w:before="20" w:after="20"/>
              <w:rPr>
                <w:rFonts w:cs="Arial"/>
                <w:color w:val="000000"/>
                <w:szCs w:val="18"/>
              </w:rPr>
            </w:pPr>
            <w:r w:rsidRPr="00C259FC">
              <w:rPr>
                <w:rFonts w:cs="Arial"/>
                <w:color w:val="000000"/>
                <w:szCs w:val="18"/>
              </w:rPr>
              <w:t>Town Halls</w:t>
            </w:r>
          </w:p>
        </w:tc>
        <w:tc>
          <w:tcPr>
            <w:tcW w:w="1577" w:type="dxa"/>
            <w:tcBorders>
              <w:top w:val="nil"/>
              <w:left w:val="single" w:sz="4" w:space="0" w:color="auto"/>
              <w:bottom w:val="single" w:sz="4" w:space="0" w:color="auto"/>
              <w:right w:val="single" w:sz="4" w:space="0" w:color="auto"/>
            </w:tcBorders>
            <w:noWrap/>
            <w:vAlign w:val="center"/>
          </w:tcPr>
          <w:p w:rsidR="00AF38C9" w:rsidRPr="00C259FC" w:rsidRDefault="00AF38C9" w:rsidP="00C36B7A">
            <w:pPr>
              <w:keepNext/>
              <w:keepLines/>
              <w:spacing w:before="20" w:after="20"/>
              <w:jc w:val="center"/>
              <w:rPr>
                <w:rFonts w:cs="Arial"/>
                <w:color w:val="000000"/>
                <w:szCs w:val="18"/>
              </w:rPr>
            </w:pPr>
            <w:r w:rsidRPr="00C259FC">
              <w:rPr>
                <w:rFonts w:cs="Arial"/>
                <w:color w:val="000000"/>
                <w:szCs w:val="18"/>
              </w:rPr>
              <w:t>3</w:t>
            </w:r>
          </w:p>
        </w:tc>
        <w:tc>
          <w:tcPr>
            <w:tcW w:w="2268" w:type="dxa"/>
            <w:tcBorders>
              <w:top w:val="nil"/>
              <w:left w:val="single" w:sz="4" w:space="0" w:color="auto"/>
              <w:bottom w:val="single" w:sz="4" w:space="0" w:color="auto"/>
              <w:right w:val="single" w:sz="4" w:space="0" w:color="auto"/>
            </w:tcBorders>
            <w:vAlign w:val="center"/>
          </w:tcPr>
          <w:p w:rsidR="00AF38C9" w:rsidRPr="00C259FC" w:rsidRDefault="00AF38C9" w:rsidP="00C36B7A">
            <w:pPr>
              <w:keepNext/>
              <w:keepLines/>
              <w:tabs>
                <w:tab w:val="decimal" w:pos="1562"/>
              </w:tabs>
              <w:spacing w:before="20" w:after="20"/>
              <w:jc w:val="left"/>
              <w:rPr>
                <w:rFonts w:cs="Arial"/>
                <w:color w:val="000000"/>
                <w:szCs w:val="18"/>
              </w:rPr>
            </w:pPr>
            <w:r>
              <w:rPr>
                <w:rFonts w:cs="Arial"/>
                <w:color w:val="000000"/>
                <w:szCs w:val="18"/>
              </w:rPr>
              <w:t>101,901,576</w:t>
            </w:r>
          </w:p>
        </w:tc>
      </w:tr>
      <w:tr w:rsidR="00C36B7A" w:rsidRPr="00C259FC" w:rsidTr="00B277ED">
        <w:trPr>
          <w:trHeight w:val="170"/>
        </w:trPr>
        <w:tc>
          <w:tcPr>
            <w:tcW w:w="4093" w:type="dxa"/>
            <w:tcBorders>
              <w:top w:val="nil"/>
              <w:left w:val="single" w:sz="4" w:space="0" w:color="auto"/>
              <w:bottom w:val="single" w:sz="4" w:space="0" w:color="auto"/>
              <w:right w:val="single" w:sz="4" w:space="0" w:color="auto"/>
            </w:tcBorders>
            <w:noWrap/>
            <w:vAlign w:val="center"/>
          </w:tcPr>
          <w:p w:rsidR="00AF38C9" w:rsidRPr="00C259FC" w:rsidRDefault="00AF38C9" w:rsidP="00C36B7A">
            <w:pPr>
              <w:keepNext/>
              <w:keepLines/>
              <w:tabs>
                <w:tab w:val="left" w:pos="537"/>
              </w:tabs>
              <w:spacing w:before="20" w:after="20"/>
              <w:rPr>
                <w:rFonts w:cs="Arial"/>
                <w:b/>
                <w:color w:val="000000"/>
                <w:szCs w:val="18"/>
              </w:rPr>
            </w:pPr>
            <w:r>
              <w:rPr>
                <w:rFonts w:cs="Arial"/>
                <w:b/>
                <w:color w:val="000000"/>
                <w:szCs w:val="18"/>
              </w:rPr>
              <w:tab/>
              <w:t>Council Operations (Total)</w:t>
            </w:r>
          </w:p>
        </w:tc>
        <w:tc>
          <w:tcPr>
            <w:tcW w:w="1577" w:type="dxa"/>
            <w:tcBorders>
              <w:top w:val="single" w:sz="4" w:space="0" w:color="auto"/>
              <w:left w:val="single" w:sz="4" w:space="0" w:color="auto"/>
              <w:bottom w:val="single" w:sz="4" w:space="0" w:color="auto"/>
              <w:right w:val="single" w:sz="4" w:space="0" w:color="auto"/>
            </w:tcBorders>
            <w:noWrap/>
            <w:vAlign w:val="center"/>
          </w:tcPr>
          <w:p w:rsidR="00AF38C9" w:rsidRPr="00C259FC" w:rsidRDefault="00AF38C9" w:rsidP="00C36B7A">
            <w:pPr>
              <w:keepNext/>
              <w:keepLines/>
              <w:spacing w:before="20" w:after="20"/>
              <w:jc w:val="center"/>
              <w:rPr>
                <w:rFonts w:cs="Arial"/>
                <w:b/>
                <w:color w:val="000000"/>
                <w:szCs w:val="18"/>
              </w:rPr>
            </w:pPr>
            <w:r w:rsidRPr="00C259FC">
              <w:rPr>
                <w:rFonts w:cs="Arial"/>
                <w:b/>
                <w:color w:val="000000"/>
                <w:szCs w:val="18"/>
              </w:rPr>
              <w:t>24</w:t>
            </w:r>
          </w:p>
        </w:tc>
        <w:tc>
          <w:tcPr>
            <w:tcW w:w="2268" w:type="dxa"/>
            <w:tcBorders>
              <w:top w:val="single" w:sz="4" w:space="0" w:color="auto"/>
              <w:left w:val="single" w:sz="4" w:space="0" w:color="auto"/>
              <w:bottom w:val="single" w:sz="4" w:space="0" w:color="auto"/>
              <w:right w:val="single" w:sz="4" w:space="0" w:color="auto"/>
            </w:tcBorders>
            <w:vAlign w:val="center"/>
          </w:tcPr>
          <w:p w:rsidR="00AF38C9" w:rsidRPr="00C259FC" w:rsidRDefault="00AF38C9" w:rsidP="00C36B7A">
            <w:pPr>
              <w:keepNext/>
              <w:keepLines/>
              <w:tabs>
                <w:tab w:val="decimal" w:pos="1562"/>
              </w:tabs>
              <w:spacing w:before="20" w:after="20"/>
              <w:jc w:val="left"/>
              <w:rPr>
                <w:rFonts w:cs="Arial"/>
                <w:b/>
                <w:color w:val="000000"/>
                <w:szCs w:val="18"/>
              </w:rPr>
            </w:pPr>
            <w:r>
              <w:rPr>
                <w:rFonts w:cs="Arial"/>
                <w:b/>
                <w:color w:val="000000"/>
                <w:szCs w:val="18"/>
              </w:rPr>
              <w:t>106,495,311</w:t>
            </w:r>
          </w:p>
        </w:tc>
      </w:tr>
      <w:tr w:rsidR="00AF38C9" w:rsidRPr="00C259FC" w:rsidTr="00B277ED">
        <w:trPr>
          <w:trHeight w:val="170"/>
        </w:trPr>
        <w:tc>
          <w:tcPr>
            <w:tcW w:w="4093" w:type="dxa"/>
            <w:tcBorders>
              <w:top w:val="single" w:sz="4" w:space="0" w:color="auto"/>
              <w:left w:val="single" w:sz="4" w:space="0" w:color="auto"/>
              <w:bottom w:val="nil"/>
            </w:tcBorders>
            <w:noWrap/>
            <w:vAlign w:val="center"/>
          </w:tcPr>
          <w:p w:rsidR="00AF38C9" w:rsidRPr="00C259FC" w:rsidRDefault="00AF38C9" w:rsidP="00C36B7A">
            <w:pPr>
              <w:keepNext/>
              <w:keepLines/>
              <w:spacing w:before="20" w:after="20"/>
              <w:rPr>
                <w:rFonts w:cs="Arial"/>
                <w:color w:val="000000"/>
                <w:szCs w:val="18"/>
              </w:rPr>
            </w:pPr>
            <w:r w:rsidRPr="00C259FC">
              <w:rPr>
                <w:rFonts w:cs="Arial"/>
                <w:color w:val="000000"/>
                <w:szCs w:val="18"/>
              </w:rPr>
              <w:t>Leisure Centres</w:t>
            </w:r>
          </w:p>
        </w:tc>
        <w:tc>
          <w:tcPr>
            <w:tcW w:w="1577" w:type="dxa"/>
            <w:tcBorders>
              <w:top w:val="single" w:sz="4" w:space="0" w:color="auto"/>
              <w:bottom w:val="nil"/>
            </w:tcBorders>
            <w:noWrap/>
            <w:vAlign w:val="center"/>
          </w:tcPr>
          <w:p w:rsidR="00AF38C9" w:rsidRPr="00C259FC" w:rsidRDefault="00AF38C9" w:rsidP="00C36B7A">
            <w:pPr>
              <w:keepNext/>
              <w:keepLines/>
              <w:spacing w:before="20" w:after="20"/>
              <w:jc w:val="center"/>
              <w:rPr>
                <w:rFonts w:cs="Arial"/>
                <w:color w:val="000000"/>
                <w:szCs w:val="18"/>
              </w:rPr>
            </w:pPr>
            <w:r w:rsidRPr="00C259FC">
              <w:rPr>
                <w:rFonts w:cs="Arial"/>
                <w:color w:val="000000"/>
                <w:szCs w:val="18"/>
              </w:rPr>
              <w:t>4</w:t>
            </w:r>
          </w:p>
        </w:tc>
        <w:tc>
          <w:tcPr>
            <w:tcW w:w="2268" w:type="dxa"/>
            <w:tcBorders>
              <w:top w:val="single" w:sz="4" w:space="0" w:color="auto"/>
              <w:bottom w:val="nil"/>
              <w:right w:val="single" w:sz="4" w:space="0" w:color="auto"/>
            </w:tcBorders>
            <w:vAlign w:val="center"/>
          </w:tcPr>
          <w:p w:rsidR="00AF38C9" w:rsidRPr="00C259FC" w:rsidRDefault="00AF38C9" w:rsidP="00C36B7A">
            <w:pPr>
              <w:keepNext/>
              <w:keepLines/>
              <w:tabs>
                <w:tab w:val="decimal" w:pos="1562"/>
              </w:tabs>
              <w:spacing w:before="20" w:after="20"/>
              <w:jc w:val="left"/>
              <w:rPr>
                <w:rFonts w:cs="Arial"/>
                <w:color w:val="000000"/>
                <w:szCs w:val="18"/>
              </w:rPr>
            </w:pPr>
            <w:r>
              <w:rPr>
                <w:rFonts w:cs="Arial"/>
                <w:color w:val="000000"/>
                <w:szCs w:val="18"/>
              </w:rPr>
              <w:t>32,876,480</w:t>
            </w:r>
          </w:p>
        </w:tc>
      </w:tr>
      <w:tr w:rsidR="00AF38C9" w:rsidRPr="00C259FC" w:rsidTr="00B277ED">
        <w:trPr>
          <w:trHeight w:val="170"/>
        </w:trPr>
        <w:tc>
          <w:tcPr>
            <w:tcW w:w="4093" w:type="dxa"/>
            <w:tcBorders>
              <w:top w:val="nil"/>
              <w:left w:val="single" w:sz="4" w:space="0" w:color="auto"/>
              <w:bottom w:val="nil"/>
            </w:tcBorders>
            <w:noWrap/>
            <w:vAlign w:val="center"/>
          </w:tcPr>
          <w:p w:rsidR="00AF38C9" w:rsidRPr="00C259FC" w:rsidRDefault="00AF38C9" w:rsidP="00C36B7A">
            <w:pPr>
              <w:keepNext/>
              <w:keepLines/>
              <w:spacing w:before="20" w:after="20"/>
              <w:rPr>
                <w:rFonts w:cs="Arial"/>
                <w:color w:val="000000"/>
                <w:szCs w:val="18"/>
              </w:rPr>
            </w:pPr>
            <w:r w:rsidRPr="00C259FC">
              <w:rPr>
                <w:rFonts w:cs="Arial"/>
                <w:color w:val="000000"/>
                <w:szCs w:val="18"/>
              </w:rPr>
              <w:t>Offices /Administration</w:t>
            </w:r>
          </w:p>
        </w:tc>
        <w:tc>
          <w:tcPr>
            <w:tcW w:w="1577" w:type="dxa"/>
            <w:tcBorders>
              <w:top w:val="nil"/>
              <w:bottom w:val="nil"/>
            </w:tcBorders>
            <w:noWrap/>
            <w:vAlign w:val="center"/>
          </w:tcPr>
          <w:p w:rsidR="00AF38C9" w:rsidRPr="00C259FC" w:rsidRDefault="00AF38C9" w:rsidP="00C36B7A">
            <w:pPr>
              <w:keepNext/>
              <w:keepLines/>
              <w:spacing w:before="20" w:after="20"/>
              <w:jc w:val="center"/>
              <w:rPr>
                <w:rFonts w:cs="Arial"/>
                <w:color w:val="000000"/>
                <w:szCs w:val="18"/>
              </w:rPr>
            </w:pPr>
            <w:r w:rsidRPr="00C259FC">
              <w:rPr>
                <w:rFonts w:cs="Arial"/>
                <w:color w:val="000000"/>
                <w:szCs w:val="18"/>
              </w:rPr>
              <w:t>1</w:t>
            </w:r>
          </w:p>
        </w:tc>
        <w:tc>
          <w:tcPr>
            <w:tcW w:w="2268" w:type="dxa"/>
            <w:tcBorders>
              <w:top w:val="nil"/>
              <w:bottom w:val="nil"/>
              <w:right w:val="single" w:sz="4" w:space="0" w:color="auto"/>
            </w:tcBorders>
            <w:vAlign w:val="center"/>
          </w:tcPr>
          <w:p w:rsidR="00AF38C9" w:rsidRPr="00C259FC" w:rsidRDefault="00AF38C9" w:rsidP="00C36B7A">
            <w:pPr>
              <w:keepNext/>
              <w:keepLines/>
              <w:tabs>
                <w:tab w:val="decimal" w:pos="1562"/>
              </w:tabs>
              <w:spacing w:before="20" w:after="20"/>
              <w:jc w:val="left"/>
              <w:rPr>
                <w:rFonts w:cs="Arial"/>
                <w:color w:val="000000"/>
                <w:szCs w:val="18"/>
              </w:rPr>
            </w:pPr>
            <w:r>
              <w:rPr>
                <w:rFonts w:cs="Arial"/>
                <w:color w:val="000000"/>
                <w:szCs w:val="18"/>
              </w:rPr>
              <w:t>1,290,000</w:t>
            </w:r>
          </w:p>
        </w:tc>
      </w:tr>
      <w:tr w:rsidR="00AF38C9" w:rsidRPr="00C259FC" w:rsidTr="00B277ED">
        <w:trPr>
          <w:trHeight w:val="170"/>
        </w:trPr>
        <w:tc>
          <w:tcPr>
            <w:tcW w:w="4093" w:type="dxa"/>
            <w:tcBorders>
              <w:top w:val="nil"/>
              <w:left w:val="single" w:sz="4" w:space="0" w:color="auto"/>
              <w:bottom w:val="nil"/>
            </w:tcBorders>
            <w:noWrap/>
            <w:vAlign w:val="center"/>
          </w:tcPr>
          <w:p w:rsidR="00AF38C9" w:rsidRPr="00C259FC" w:rsidRDefault="00AF38C9" w:rsidP="00C36B7A">
            <w:pPr>
              <w:keepNext/>
              <w:keepLines/>
              <w:spacing w:before="20" w:after="20"/>
              <w:rPr>
                <w:rFonts w:cs="Arial"/>
                <w:color w:val="000000"/>
                <w:szCs w:val="18"/>
              </w:rPr>
            </w:pPr>
            <w:r w:rsidRPr="00C259FC">
              <w:rPr>
                <w:rFonts w:cs="Arial"/>
                <w:color w:val="000000"/>
                <w:szCs w:val="18"/>
              </w:rPr>
              <w:t>Stores / Sheds / Garages</w:t>
            </w:r>
          </w:p>
        </w:tc>
        <w:tc>
          <w:tcPr>
            <w:tcW w:w="1577" w:type="dxa"/>
            <w:tcBorders>
              <w:top w:val="nil"/>
              <w:bottom w:val="single" w:sz="4" w:space="0" w:color="auto"/>
            </w:tcBorders>
            <w:noWrap/>
            <w:vAlign w:val="center"/>
          </w:tcPr>
          <w:p w:rsidR="00AF38C9" w:rsidRPr="00C259FC" w:rsidRDefault="00AF38C9" w:rsidP="00C36B7A">
            <w:pPr>
              <w:keepNext/>
              <w:keepLines/>
              <w:spacing w:before="20" w:after="20"/>
              <w:jc w:val="center"/>
              <w:rPr>
                <w:rFonts w:cs="Arial"/>
                <w:color w:val="000000"/>
                <w:szCs w:val="18"/>
              </w:rPr>
            </w:pPr>
            <w:r w:rsidRPr="00C259FC">
              <w:rPr>
                <w:rFonts w:cs="Arial"/>
                <w:color w:val="000000"/>
                <w:szCs w:val="18"/>
              </w:rPr>
              <w:t>4</w:t>
            </w:r>
          </w:p>
        </w:tc>
        <w:tc>
          <w:tcPr>
            <w:tcW w:w="2268" w:type="dxa"/>
            <w:tcBorders>
              <w:top w:val="nil"/>
              <w:bottom w:val="single" w:sz="4" w:space="0" w:color="auto"/>
              <w:right w:val="single" w:sz="4" w:space="0" w:color="auto"/>
            </w:tcBorders>
            <w:vAlign w:val="center"/>
          </w:tcPr>
          <w:p w:rsidR="00AF38C9" w:rsidRPr="00C259FC" w:rsidRDefault="00AF38C9" w:rsidP="00C36B7A">
            <w:pPr>
              <w:keepNext/>
              <w:keepLines/>
              <w:tabs>
                <w:tab w:val="decimal" w:pos="1562"/>
              </w:tabs>
              <w:spacing w:before="20" w:after="20"/>
              <w:jc w:val="left"/>
              <w:rPr>
                <w:rFonts w:cs="Arial"/>
                <w:color w:val="000000"/>
                <w:szCs w:val="18"/>
              </w:rPr>
            </w:pPr>
            <w:r>
              <w:rPr>
                <w:rFonts w:cs="Arial"/>
                <w:color w:val="000000"/>
                <w:szCs w:val="18"/>
              </w:rPr>
              <w:t>305,038</w:t>
            </w:r>
          </w:p>
        </w:tc>
      </w:tr>
      <w:tr w:rsidR="00C36B7A" w:rsidRPr="00C259FC" w:rsidTr="00B277ED">
        <w:trPr>
          <w:trHeight w:val="170"/>
        </w:trPr>
        <w:tc>
          <w:tcPr>
            <w:tcW w:w="4093" w:type="dxa"/>
            <w:tcBorders>
              <w:top w:val="nil"/>
              <w:left w:val="single" w:sz="4" w:space="0" w:color="auto"/>
              <w:bottom w:val="single" w:sz="4" w:space="0" w:color="auto"/>
            </w:tcBorders>
            <w:noWrap/>
            <w:vAlign w:val="center"/>
          </w:tcPr>
          <w:p w:rsidR="00AF38C9" w:rsidRPr="00C259FC" w:rsidRDefault="00AF38C9" w:rsidP="00C36B7A">
            <w:pPr>
              <w:keepNext/>
              <w:keepLines/>
              <w:tabs>
                <w:tab w:val="left" w:pos="537"/>
              </w:tabs>
              <w:spacing w:before="20" w:after="20"/>
              <w:rPr>
                <w:rFonts w:cs="Arial"/>
                <w:b/>
                <w:color w:val="000000"/>
                <w:szCs w:val="18"/>
              </w:rPr>
            </w:pPr>
            <w:r>
              <w:rPr>
                <w:rFonts w:cs="Arial"/>
                <w:b/>
                <w:color w:val="000000"/>
                <w:szCs w:val="18"/>
              </w:rPr>
              <w:tab/>
              <w:t>Leisure Services (Total)</w:t>
            </w:r>
          </w:p>
        </w:tc>
        <w:tc>
          <w:tcPr>
            <w:tcW w:w="1577" w:type="dxa"/>
            <w:tcBorders>
              <w:top w:val="single" w:sz="4" w:space="0" w:color="auto"/>
              <w:bottom w:val="single" w:sz="4" w:space="0" w:color="auto"/>
            </w:tcBorders>
            <w:noWrap/>
            <w:vAlign w:val="center"/>
          </w:tcPr>
          <w:p w:rsidR="00AF38C9" w:rsidRPr="00C259FC" w:rsidRDefault="00AF38C9" w:rsidP="00C36B7A">
            <w:pPr>
              <w:keepNext/>
              <w:keepLines/>
              <w:spacing w:before="20" w:after="20"/>
              <w:jc w:val="center"/>
              <w:rPr>
                <w:rFonts w:cs="Arial"/>
                <w:b/>
                <w:color w:val="000000"/>
                <w:szCs w:val="18"/>
              </w:rPr>
            </w:pPr>
            <w:r w:rsidRPr="00C259FC">
              <w:rPr>
                <w:rFonts w:cs="Arial"/>
                <w:b/>
                <w:color w:val="000000"/>
                <w:szCs w:val="18"/>
              </w:rPr>
              <w:t>9</w:t>
            </w:r>
          </w:p>
        </w:tc>
        <w:tc>
          <w:tcPr>
            <w:tcW w:w="2268" w:type="dxa"/>
            <w:tcBorders>
              <w:top w:val="single" w:sz="4" w:space="0" w:color="auto"/>
              <w:bottom w:val="single" w:sz="4" w:space="0" w:color="auto"/>
              <w:right w:val="single" w:sz="4" w:space="0" w:color="auto"/>
            </w:tcBorders>
            <w:vAlign w:val="center"/>
          </w:tcPr>
          <w:p w:rsidR="00AF38C9" w:rsidRPr="00C259FC" w:rsidRDefault="00AF38C9" w:rsidP="00C36B7A">
            <w:pPr>
              <w:keepNext/>
              <w:keepLines/>
              <w:tabs>
                <w:tab w:val="decimal" w:pos="1562"/>
              </w:tabs>
              <w:spacing w:before="20" w:after="20"/>
              <w:jc w:val="left"/>
              <w:rPr>
                <w:rFonts w:cs="Arial"/>
                <w:b/>
                <w:color w:val="000000"/>
                <w:szCs w:val="18"/>
              </w:rPr>
            </w:pPr>
            <w:r>
              <w:rPr>
                <w:rFonts w:cs="Arial"/>
                <w:b/>
                <w:color w:val="000000"/>
                <w:szCs w:val="18"/>
              </w:rPr>
              <w:t>34,471,518</w:t>
            </w:r>
          </w:p>
        </w:tc>
      </w:tr>
      <w:tr w:rsidR="00C36B7A" w:rsidRPr="00C259FC" w:rsidTr="00B277ED">
        <w:trPr>
          <w:trHeight w:val="170"/>
        </w:trPr>
        <w:tc>
          <w:tcPr>
            <w:tcW w:w="4093" w:type="dxa"/>
            <w:tcBorders>
              <w:top w:val="single" w:sz="4" w:space="0" w:color="auto"/>
              <w:left w:val="single" w:sz="4" w:space="0" w:color="auto"/>
              <w:bottom w:val="nil"/>
              <w:right w:val="single" w:sz="4" w:space="0" w:color="auto"/>
            </w:tcBorders>
            <w:noWrap/>
            <w:vAlign w:val="center"/>
          </w:tcPr>
          <w:p w:rsidR="00AF38C9" w:rsidRPr="00C259FC" w:rsidRDefault="00AF38C9" w:rsidP="00C36B7A">
            <w:pPr>
              <w:keepNext/>
              <w:keepLines/>
              <w:spacing w:before="20" w:after="20"/>
              <w:rPr>
                <w:rFonts w:cs="Arial"/>
                <w:color w:val="000000"/>
                <w:szCs w:val="18"/>
              </w:rPr>
            </w:pPr>
            <w:r w:rsidRPr="00C259FC">
              <w:rPr>
                <w:rFonts w:cs="Arial"/>
                <w:color w:val="000000"/>
                <w:szCs w:val="18"/>
              </w:rPr>
              <w:t>Bowling Club</w:t>
            </w:r>
          </w:p>
        </w:tc>
        <w:tc>
          <w:tcPr>
            <w:tcW w:w="1577" w:type="dxa"/>
            <w:tcBorders>
              <w:top w:val="single" w:sz="4" w:space="0" w:color="auto"/>
              <w:left w:val="single" w:sz="4" w:space="0" w:color="auto"/>
              <w:bottom w:val="nil"/>
              <w:right w:val="single" w:sz="4" w:space="0" w:color="auto"/>
            </w:tcBorders>
            <w:noWrap/>
            <w:vAlign w:val="center"/>
          </w:tcPr>
          <w:p w:rsidR="00AF38C9" w:rsidRPr="00C259FC" w:rsidRDefault="00AF38C9" w:rsidP="00C36B7A">
            <w:pPr>
              <w:keepNext/>
              <w:keepLines/>
              <w:spacing w:before="20" w:after="20"/>
              <w:jc w:val="center"/>
              <w:rPr>
                <w:rFonts w:cs="Arial"/>
                <w:color w:val="000000"/>
                <w:szCs w:val="18"/>
              </w:rPr>
            </w:pPr>
            <w:r w:rsidRPr="00C259FC">
              <w:rPr>
                <w:rFonts w:cs="Arial"/>
                <w:color w:val="000000"/>
                <w:szCs w:val="18"/>
              </w:rPr>
              <w:t>2</w:t>
            </w:r>
          </w:p>
        </w:tc>
        <w:tc>
          <w:tcPr>
            <w:tcW w:w="2268" w:type="dxa"/>
            <w:tcBorders>
              <w:top w:val="single" w:sz="4" w:space="0" w:color="auto"/>
              <w:left w:val="single" w:sz="4" w:space="0" w:color="auto"/>
              <w:bottom w:val="nil"/>
              <w:right w:val="single" w:sz="4" w:space="0" w:color="auto"/>
            </w:tcBorders>
            <w:vAlign w:val="center"/>
          </w:tcPr>
          <w:p w:rsidR="00AF38C9" w:rsidRPr="00C259FC" w:rsidRDefault="00AF38C9" w:rsidP="00C36B7A">
            <w:pPr>
              <w:keepNext/>
              <w:keepLines/>
              <w:tabs>
                <w:tab w:val="decimal" w:pos="1562"/>
              </w:tabs>
              <w:spacing w:before="20" w:after="20"/>
              <w:jc w:val="left"/>
              <w:rPr>
                <w:rFonts w:cs="Arial"/>
                <w:color w:val="000000"/>
                <w:szCs w:val="18"/>
              </w:rPr>
            </w:pPr>
            <w:r>
              <w:rPr>
                <w:rFonts w:cs="Arial"/>
                <w:color w:val="000000"/>
                <w:szCs w:val="18"/>
              </w:rPr>
              <w:t>4,012,444</w:t>
            </w:r>
          </w:p>
        </w:tc>
      </w:tr>
      <w:tr w:rsidR="00AF38C9" w:rsidRPr="00C259FC" w:rsidTr="00B277ED">
        <w:trPr>
          <w:trHeight w:val="170"/>
        </w:trPr>
        <w:tc>
          <w:tcPr>
            <w:tcW w:w="4093" w:type="dxa"/>
            <w:tcBorders>
              <w:top w:val="nil"/>
              <w:left w:val="single" w:sz="4" w:space="0" w:color="auto"/>
              <w:bottom w:val="nil"/>
              <w:right w:val="single" w:sz="4" w:space="0" w:color="auto"/>
            </w:tcBorders>
            <w:noWrap/>
            <w:vAlign w:val="center"/>
          </w:tcPr>
          <w:p w:rsidR="00AF38C9" w:rsidRPr="00C259FC" w:rsidRDefault="00AF38C9" w:rsidP="00C36B7A">
            <w:pPr>
              <w:keepNext/>
              <w:keepLines/>
              <w:spacing w:before="20" w:after="20"/>
              <w:rPr>
                <w:rFonts w:cs="Arial"/>
                <w:color w:val="000000"/>
                <w:szCs w:val="18"/>
              </w:rPr>
            </w:pPr>
            <w:r w:rsidRPr="00C259FC">
              <w:rPr>
                <w:rFonts w:cs="Arial"/>
                <w:color w:val="000000"/>
                <w:szCs w:val="18"/>
              </w:rPr>
              <w:t>Pavilions / Clubrooms / Change rooms</w:t>
            </w:r>
          </w:p>
        </w:tc>
        <w:tc>
          <w:tcPr>
            <w:tcW w:w="1577" w:type="dxa"/>
            <w:tcBorders>
              <w:top w:val="nil"/>
              <w:left w:val="single" w:sz="4" w:space="0" w:color="auto"/>
              <w:bottom w:val="nil"/>
              <w:right w:val="single" w:sz="4" w:space="0" w:color="auto"/>
            </w:tcBorders>
            <w:noWrap/>
            <w:vAlign w:val="center"/>
          </w:tcPr>
          <w:p w:rsidR="00AF38C9" w:rsidRPr="00C259FC" w:rsidRDefault="00AF38C9" w:rsidP="00C36B7A">
            <w:pPr>
              <w:keepNext/>
              <w:keepLines/>
              <w:spacing w:before="20" w:after="20"/>
              <w:jc w:val="center"/>
              <w:rPr>
                <w:rFonts w:cs="Arial"/>
                <w:color w:val="000000"/>
                <w:szCs w:val="18"/>
              </w:rPr>
            </w:pPr>
            <w:r w:rsidRPr="00C259FC">
              <w:rPr>
                <w:rFonts w:cs="Arial"/>
                <w:color w:val="000000"/>
                <w:szCs w:val="18"/>
              </w:rPr>
              <w:t>21</w:t>
            </w:r>
          </w:p>
        </w:tc>
        <w:tc>
          <w:tcPr>
            <w:tcW w:w="2268" w:type="dxa"/>
            <w:tcBorders>
              <w:top w:val="nil"/>
              <w:left w:val="single" w:sz="4" w:space="0" w:color="auto"/>
              <w:bottom w:val="nil"/>
              <w:right w:val="single" w:sz="4" w:space="0" w:color="auto"/>
            </w:tcBorders>
            <w:vAlign w:val="center"/>
          </w:tcPr>
          <w:p w:rsidR="00AF38C9" w:rsidRPr="00C259FC" w:rsidRDefault="00AF38C9" w:rsidP="00C36B7A">
            <w:pPr>
              <w:keepNext/>
              <w:keepLines/>
              <w:tabs>
                <w:tab w:val="decimal" w:pos="1562"/>
              </w:tabs>
              <w:spacing w:before="20" w:after="20"/>
              <w:jc w:val="left"/>
              <w:rPr>
                <w:rFonts w:cs="Arial"/>
                <w:color w:val="000000"/>
                <w:szCs w:val="18"/>
              </w:rPr>
            </w:pPr>
            <w:r>
              <w:rPr>
                <w:rFonts w:cs="Arial"/>
                <w:color w:val="000000"/>
                <w:szCs w:val="18"/>
              </w:rPr>
              <w:t>21,767,790</w:t>
            </w:r>
          </w:p>
        </w:tc>
      </w:tr>
      <w:tr w:rsidR="00AF38C9" w:rsidRPr="00C259FC" w:rsidTr="00B277ED">
        <w:trPr>
          <w:trHeight w:val="170"/>
        </w:trPr>
        <w:tc>
          <w:tcPr>
            <w:tcW w:w="4093" w:type="dxa"/>
            <w:tcBorders>
              <w:top w:val="nil"/>
              <w:left w:val="single" w:sz="4" w:space="0" w:color="auto"/>
              <w:bottom w:val="nil"/>
              <w:right w:val="single" w:sz="4" w:space="0" w:color="auto"/>
            </w:tcBorders>
            <w:noWrap/>
            <w:vAlign w:val="center"/>
          </w:tcPr>
          <w:p w:rsidR="00AF38C9" w:rsidRPr="00C259FC" w:rsidRDefault="00AF38C9" w:rsidP="00C36B7A">
            <w:pPr>
              <w:keepNext/>
              <w:keepLines/>
              <w:spacing w:before="20" w:after="20"/>
              <w:rPr>
                <w:rFonts w:cs="Arial"/>
                <w:color w:val="000000"/>
                <w:szCs w:val="18"/>
              </w:rPr>
            </w:pPr>
            <w:r w:rsidRPr="00C259FC">
              <w:rPr>
                <w:rFonts w:cs="Arial"/>
                <w:color w:val="000000"/>
                <w:szCs w:val="18"/>
              </w:rPr>
              <w:t>Public Toilets</w:t>
            </w:r>
          </w:p>
        </w:tc>
        <w:tc>
          <w:tcPr>
            <w:tcW w:w="1577" w:type="dxa"/>
            <w:tcBorders>
              <w:top w:val="nil"/>
              <w:left w:val="single" w:sz="4" w:space="0" w:color="auto"/>
              <w:bottom w:val="nil"/>
              <w:right w:val="single" w:sz="4" w:space="0" w:color="auto"/>
            </w:tcBorders>
            <w:noWrap/>
            <w:vAlign w:val="center"/>
          </w:tcPr>
          <w:p w:rsidR="00AF38C9" w:rsidRPr="00C259FC" w:rsidRDefault="00AF38C9" w:rsidP="00C36B7A">
            <w:pPr>
              <w:keepNext/>
              <w:keepLines/>
              <w:spacing w:before="20" w:after="20"/>
              <w:jc w:val="center"/>
              <w:rPr>
                <w:rFonts w:cs="Arial"/>
                <w:color w:val="000000"/>
                <w:szCs w:val="18"/>
              </w:rPr>
            </w:pPr>
            <w:r w:rsidRPr="00C259FC">
              <w:rPr>
                <w:rFonts w:cs="Arial"/>
                <w:color w:val="000000"/>
                <w:szCs w:val="18"/>
              </w:rPr>
              <w:t>11</w:t>
            </w:r>
          </w:p>
        </w:tc>
        <w:tc>
          <w:tcPr>
            <w:tcW w:w="2268" w:type="dxa"/>
            <w:tcBorders>
              <w:top w:val="nil"/>
              <w:left w:val="single" w:sz="4" w:space="0" w:color="auto"/>
              <w:bottom w:val="nil"/>
              <w:right w:val="single" w:sz="4" w:space="0" w:color="auto"/>
            </w:tcBorders>
            <w:vAlign w:val="center"/>
          </w:tcPr>
          <w:p w:rsidR="00AF38C9" w:rsidRPr="00C259FC" w:rsidRDefault="00AF38C9" w:rsidP="00C36B7A">
            <w:pPr>
              <w:keepNext/>
              <w:keepLines/>
              <w:tabs>
                <w:tab w:val="decimal" w:pos="1562"/>
              </w:tabs>
              <w:spacing w:before="20" w:after="20"/>
              <w:rPr>
                <w:rFonts w:cs="Arial"/>
                <w:color w:val="000000"/>
                <w:szCs w:val="18"/>
              </w:rPr>
            </w:pPr>
            <w:r w:rsidRPr="00C259FC">
              <w:rPr>
                <w:rFonts w:cs="Arial"/>
                <w:color w:val="000000"/>
                <w:szCs w:val="18"/>
              </w:rPr>
              <w:t xml:space="preserve"> </w:t>
            </w:r>
            <w:r>
              <w:rPr>
                <w:rFonts w:cs="Arial"/>
                <w:color w:val="000000"/>
                <w:szCs w:val="18"/>
              </w:rPr>
              <w:t>1,757,224</w:t>
            </w:r>
          </w:p>
        </w:tc>
      </w:tr>
      <w:tr w:rsidR="00AF38C9" w:rsidRPr="00C259FC" w:rsidTr="00B277ED">
        <w:trPr>
          <w:trHeight w:val="170"/>
        </w:trPr>
        <w:tc>
          <w:tcPr>
            <w:tcW w:w="4093" w:type="dxa"/>
            <w:tcBorders>
              <w:top w:val="nil"/>
              <w:left w:val="single" w:sz="4" w:space="0" w:color="auto"/>
              <w:bottom w:val="nil"/>
              <w:right w:val="single" w:sz="4" w:space="0" w:color="auto"/>
            </w:tcBorders>
            <w:noWrap/>
            <w:vAlign w:val="center"/>
          </w:tcPr>
          <w:p w:rsidR="00AF38C9" w:rsidRPr="00C259FC" w:rsidRDefault="00AF38C9" w:rsidP="00C36B7A">
            <w:pPr>
              <w:keepNext/>
              <w:keepLines/>
              <w:spacing w:before="20" w:after="20"/>
              <w:rPr>
                <w:rFonts w:cs="Arial"/>
                <w:color w:val="000000"/>
                <w:szCs w:val="18"/>
              </w:rPr>
            </w:pPr>
            <w:r w:rsidRPr="00C259FC">
              <w:rPr>
                <w:rFonts w:cs="Arial"/>
                <w:color w:val="000000"/>
                <w:szCs w:val="18"/>
              </w:rPr>
              <w:t>Rotundas</w:t>
            </w:r>
          </w:p>
        </w:tc>
        <w:tc>
          <w:tcPr>
            <w:tcW w:w="1577" w:type="dxa"/>
            <w:tcBorders>
              <w:top w:val="nil"/>
              <w:left w:val="single" w:sz="4" w:space="0" w:color="auto"/>
              <w:bottom w:val="nil"/>
              <w:right w:val="single" w:sz="4" w:space="0" w:color="auto"/>
            </w:tcBorders>
            <w:noWrap/>
            <w:vAlign w:val="center"/>
          </w:tcPr>
          <w:p w:rsidR="00AF38C9" w:rsidRPr="00C259FC" w:rsidRDefault="00AF38C9" w:rsidP="00C36B7A">
            <w:pPr>
              <w:keepNext/>
              <w:keepLines/>
              <w:spacing w:before="20" w:after="20"/>
              <w:jc w:val="center"/>
              <w:rPr>
                <w:rFonts w:cs="Arial"/>
                <w:color w:val="000000"/>
                <w:szCs w:val="18"/>
              </w:rPr>
            </w:pPr>
            <w:r w:rsidRPr="00C259FC">
              <w:rPr>
                <w:rFonts w:cs="Arial"/>
                <w:color w:val="000000"/>
                <w:szCs w:val="18"/>
              </w:rPr>
              <w:t>10</w:t>
            </w:r>
          </w:p>
        </w:tc>
        <w:tc>
          <w:tcPr>
            <w:tcW w:w="2268" w:type="dxa"/>
            <w:tcBorders>
              <w:top w:val="nil"/>
              <w:left w:val="single" w:sz="4" w:space="0" w:color="auto"/>
              <w:bottom w:val="nil"/>
              <w:right w:val="single" w:sz="4" w:space="0" w:color="auto"/>
            </w:tcBorders>
            <w:vAlign w:val="center"/>
          </w:tcPr>
          <w:p w:rsidR="00AF38C9" w:rsidRPr="00C259FC" w:rsidRDefault="00AF38C9" w:rsidP="00C36B7A">
            <w:pPr>
              <w:keepNext/>
              <w:keepLines/>
              <w:tabs>
                <w:tab w:val="decimal" w:pos="1562"/>
              </w:tabs>
              <w:spacing w:before="20" w:after="20"/>
              <w:rPr>
                <w:rFonts w:cs="Arial"/>
                <w:color w:val="000000"/>
                <w:szCs w:val="18"/>
              </w:rPr>
            </w:pPr>
            <w:r w:rsidRPr="00C259FC">
              <w:rPr>
                <w:rFonts w:cs="Arial"/>
                <w:color w:val="000000"/>
                <w:szCs w:val="18"/>
              </w:rPr>
              <w:t xml:space="preserve"> </w:t>
            </w:r>
            <w:r>
              <w:rPr>
                <w:rFonts w:cs="Arial"/>
                <w:color w:val="000000"/>
                <w:szCs w:val="18"/>
              </w:rPr>
              <w:t>568,675</w:t>
            </w:r>
            <w:r w:rsidRPr="00C259FC">
              <w:rPr>
                <w:rFonts w:cs="Arial"/>
                <w:color w:val="000000"/>
                <w:szCs w:val="18"/>
              </w:rPr>
              <w:t xml:space="preserve"> </w:t>
            </w:r>
          </w:p>
        </w:tc>
      </w:tr>
      <w:tr w:rsidR="00AF38C9" w:rsidRPr="00C259FC" w:rsidTr="00B277ED">
        <w:trPr>
          <w:trHeight w:val="170"/>
        </w:trPr>
        <w:tc>
          <w:tcPr>
            <w:tcW w:w="4093" w:type="dxa"/>
            <w:tcBorders>
              <w:top w:val="nil"/>
              <w:left w:val="single" w:sz="4" w:space="0" w:color="auto"/>
              <w:bottom w:val="nil"/>
              <w:right w:val="single" w:sz="4" w:space="0" w:color="auto"/>
            </w:tcBorders>
            <w:noWrap/>
            <w:vAlign w:val="center"/>
          </w:tcPr>
          <w:p w:rsidR="00AF38C9" w:rsidRPr="00811E35" w:rsidRDefault="00AF38C9" w:rsidP="00C36B7A">
            <w:pPr>
              <w:keepNext/>
              <w:keepLines/>
              <w:spacing w:before="20" w:after="20"/>
              <w:rPr>
                <w:rFonts w:cs="Arial"/>
                <w:color w:val="000000"/>
                <w:szCs w:val="18"/>
              </w:rPr>
            </w:pPr>
            <w:r w:rsidRPr="00811E35">
              <w:rPr>
                <w:rFonts w:cs="Arial"/>
                <w:color w:val="000000"/>
                <w:szCs w:val="18"/>
              </w:rPr>
              <w:t>Stores / Sheds / Garages</w:t>
            </w:r>
          </w:p>
        </w:tc>
        <w:tc>
          <w:tcPr>
            <w:tcW w:w="1577" w:type="dxa"/>
            <w:tcBorders>
              <w:top w:val="nil"/>
              <w:left w:val="single" w:sz="4" w:space="0" w:color="auto"/>
              <w:bottom w:val="nil"/>
              <w:right w:val="single" w:sz="4" w:space="0" w:color="auto"/>
            </w:tcBorders>
            <w:noWrap/>
            <w:vAlign w:val="center"/>
          </w:tcPr>
          <w:p w:rsidR="00AF38C9" w:rsidRPr="00811E35" w:rsidRDefault="00AF38C9" w:rsidP="00C36B7A">
            <w:pPr>
              <w:keepNext/>
              <w:keepLines/>
              <w:spacing w:before="20" w:after="20"/>
              <w:jc w:val="center"/>
              <w:rPr>
                <w:rFonts w:cs="Arial"/>
                <w:color w:val="000000"/>
                <w:szCs w:val="18"/>
              </w:rPr>
            </w:pPr>
            <w:r w:rsidRPr="00811E35">
              <w:rPr>
                <w:rFonts w:cs="Arial"/>
                <w:color w:val="000000"/>
                <w:szCs w:val="18"/>
              </w:rPr>
              <w:t>5</w:t>
            </w:r>
          </w:p>
        </w:tc>
        <w:tc>
          <w:tcPr>
            <w:tcW w:w="2268" w:type="dxa"/>
            <w:tcBorders>
              <w:top w:val="nil"/>
              <w:left w:val="single" w:sz="4" w:space="0" w:color="auto"/>
              <w:bottom w:val="nil"/>
              <w:right w:val="single" w:sz="4" w:space="0" w:color="auto"/>
            </w:tcBorders>
            <w:vAlign w:val="center"/>
          </w:tcPr>
          <w:p w:rsidR="00AF38C9" w:rsidRPr="00C259FC" w:rsidRDefault="00AF38C9" w:rsidP="00C36B7A">
            <w:pPr>
              <w:keepNext/>
              <w:keepLines/>
              <w:tabs>
                <w:tab w:val="decimal" w:pos="1562"/>
              </w:tabs>
              <w:spacing w:before="20" w:after="20"/>
              <w:jc w:val="left"/>
              <w:rPr>
                <w:rFonts w:cs="Arial"/>
                <w:color w:val="000000"/>
                <w:szCs w:val="18"/>
              </w:rPr>
            </w:pPr>
            <w:r>
              <w:rPr>
                <w:rFonts w:cs="Arial"/>
                <w:color w:val="000000"/>
                <w:szCs w:val="18"/>
              </w:rPr>
              <w:t>201,970</w:t>
            </w:r>
          </w:p>
        </w:tc>
      </w:tr>
      <w:tr w:rsidR="00C36B7A" w:rsidRPr="00C259FC" w:rsidTr="00B277ED">
        <w:trPr>
          <w:trHeight w:val="170"/>
        </w:trPr>
        <w:tc>
          <w:tcPr>
            <w:tcW w:w="4093" w:type="dxa"/>
            <w:tcBorders>
              <w:top w:val="nil"/>
              <w:left w:val="single" w:sz="4" w:space="0" w:color="auto"/>
              <w:bottom w:val="nil"/>
              <w:right w:val="single" w:sz="4" w:space="0" w:color="auto"/>
            </w:tcBorders>
            <w:noWrap/>
            <w:vAlign w:val="center"/>
          </w:tcPr>
          <w:p w:rsidR="00AF38C9" w:rsidRPr="00811E35" w:rsidRDefault="00AF38C9" w:rsidP="00C36B7A">
            <w:pPr>
              <w:keepNext/>
              <w:keepLines/>
              <w:spacing w:before="20" w:after="20"/>
              <w:rPr>
                <w:rFonts w:cs="Arial"/>
                <w:color w:val="000000"/>
                <w:szCs w:val="18"/>
              </w:rPr>
            </w:pPr>
            <w:r w:rsidRPr="00811E35">
              <w:rPr>
                <w:rFonts w:cs="Arial"/>
                <w:color w:val="000000"/>
                <w:szCs w:val="18"/>
              </w:rPr>
              <w:t>Structures</w:t>
            </w:r>
          </w:p>
        </w:tc>
        <w:tc>
          <w:tcPr>
            <w:tcW w:w="1577" w:type="dxa"/>
            <w:tcBorders>
              <w:top w:val="nil"/>
              <w:left w:val="single" w:sz="4" w:space="0" w:color="auto"/>
              <w:bottom w:val="single" w:sz="4" w:space="0" w:color="auto"/>
              <w:right w:val="single" w:sz="4" w:space="0" w:color="auto"/>
            </w:tcBorders>
            <w:noWrap/>
            <w:vAlign w:val="center"/>
          </w:tcPr>
          <w:p w:rsidR="00AF38C9" w:rsidRPr="00811E35" w:rsidRDefault="00AF38C9" w:rsidP="00C36B7A">
            <w:pPr>
              <w:keepNext/>
              <w:keepLines/>
              <w:spacing w:before="20" w:after="20"/>
              <w:jc w:val="center"/>
              <w:rPr>
                <w:rFonts w:cs="Arial"/>
                <w:color w:val="000000"/>
                <w:szCs w:val="18"/>
              </w:rPr>
            </w:pPr>
            <w:r w:rsidRPr="00811E35">
              <w:rPr>
                <w:rFonts w:cs="Arial"/>
                <w:color w:val="000000"/>
                <w:szCs w:val="18"/>
              </w:rPr>
              <w:t>6</w:t>
            </w:r>
          </w:p>
        </w:tc>
        <w:tc>
          <w:tcPr>
            <w:tcW w:w="2268" w:type="dxa"/>
            <w:tcBorders>
              <w:top w:val="nil"/>
              <w:left w:val="single" w:sz="4" w:space="0" w:color="auto"/>
              <w:bottom w:val="single" w:sz="4" w:space="0" w:color="auto"/>
              <w:right w:val="single" w:sz="4" w:space="0" w:color="auto"/>
            </w:tcBorders>
            <w:vAlign w:val="center"/>
          </w:tcPr>
          <w:p w:rsidR="00AF38C9" w:rsidRPr="00C259FC" w:rsidRDefault="00AF38C9" w:rsidP="00C36B7A">
            <w:pPr>
              <w:keepNext/>
              <w:keepLines/>
              <w:tabs>
                <w:tab w:val="decimal" w:pos="1562"/>
              </w:tabs>
              <w:spacing w:before="20" w:after="20"/>
              <w:jc w:val="left"/>
              <w:rPr>
                <w:rFonts w:cs="Arial"/>
                <w:color w:val="000000"/>
                <w:szCs w:val="18"/>
              </w:rPr>
            </w:pPr>
            <w:r w:rsidRPr="00C259FC">
              <w:rPr>
                <w:rFonts w:cs="Arial"/>
                <w:color w:val="000000"/>
                <w:szCs w:val="18"/>
              </w:rPr>
              <w:t>1</w:t>
            </w:r>
            <w:r>
              <w:rPr>
                <w:rFonts w:cs="Arial"/>
                <w:color w:val="000000"/>
                <w:szCs w:val="18"/>
              </w:rPr>
              <w:t>77,775</w:t>
            </w:r>
          </w:p>
        </w:tc>
      </w:tr>
      <w:tr w:rsidR="00C36B7A" w:rsidRPr="00C259FC" w:rsidTr="00B277ED">
        <w:trPr>
          <w:trHeight w:val="170"/>
        </w:trPr>
        <w:tc>
          <w:tcPr>
            <w:tcW w:w="4093" w:type="dxa"/>
            <w:tcBorders>
              <w:top w:val="nil"/>
              <w:left w:val="single" w:sz="4" w:space="0" w:color="auto"/>
              <w:bottom w:val="single" w:sz="4" w:space="0" w:color="auto"/>
              <w:right w:val="single" w:sz="4" w:space="0" w:color="auto"/>
            </w:tcBorders>
            <w:noWrap/>
            <w:vAlign w:val="center"/>
          </w:tcPr>
          <w:p w:rsidR="00AF38C9" w:rsidRPr="00C259FC" w:rsidRDefault="00AF38C9" w:rsidP="00C36B7A">
            <w:pPr>
              <w:keepNext/>
              <w:keepLines/>
              <w:tabs>
                <w:tab w:val="left" w:pos="537"/>
              </w:tabs>
              <w:spacing w:before="20" w:after="20"/>
              <w:rPr>
                <w:rFonts w:cs="Arial"/>
                <w:b/>
                <w:color w:val="000000"/>
                <w:szCs w:val="18"/>
              </w:rPr>
            </w:pPr>
            <w:r>
              <w:rPr>
                <w:rFonts w:cs="Arial"/>
                <w:b/>
                <w:color w:val="000000"/>
                <w:szCs w:val="18"/>
              </w:rPr>
              <w:tab/>
              <w:t>Recreation &amp; Open Space (Total)</w:t>
            </w:r>
          </w:p>
        </w:tc>
        <w:tc>
          <w:tcPr>
            <w:tcW w:w="1577" w:type="dxa"/>
            <w:tcBorders>
              <w:top w:val="single" w:sz="4" w:space="0" w:color="auto"/>
              <w:left w:val="single" w:sz="4" w:space="0" w:color="auto"/>
              <w:bottom w:val="single" w:sz="4" w:space="0" w:color="auto"/>
              <w:right w:val="single" w:sz="4" w:space="0" w:color="auto"/>
            </w:tcBorders>
            <w:noWrap/>
            <w:vAlign w:val="center"/>
          </w:tcPr>
          <w:p w:rsidR="00AF38C9" w:rsidRPr="00C259FC" w:rsidRDefault="00AF38C9" w:rsidP="00C36B7A">
            <w:pPr>
              <w:keepNext/>
              <w:keepLines/>
              <w:spacing w:before="20" w:after="20"/>
              <w:jc w:val="center"/>
              <w:rPr>
                <w:rFonts w:cs="Arial"/>
                <w:b/>
                <w:color w:val="000000"/>
                <w:szCs w:val="18"/>
              </w:rPr>
            </w:pPr>
            <w:r w:rsidRPr="00C259FC">
              <w:rPr>
                <w:rFonts w:cs="Arial"/>
                <w:b/>
                <w:color w:val="000000"/>
                <w:szCs w:val="18"/>
              </w:rPr>
              <w:t>55</w:t>
            </w:r>
          </w:p>
        </w:tc>
        <w:tc>
          <w:tcPr>
            <w:tcW w:w="2268" w:type="dxa"/>
            <w:tcBorders>
              <w:top w:val="single" w:sz="4" w:space="0" w:color="auto"/>
              <w:left w:val="single" w:sz="4" w:space="0" w:color="auto"/>
              <w:bottom w:val="single" w:sz="4" w:space="0" w:color="auto"/>
              <w:right w:val="single" w:sz="4" w:space="0" w:color="auto"/>
            </w:tcBorders>
            <w:vAlign w:val="center"/>
          </w:tcPr>
          <w:p w:rsidR="00AF38C9" w:rsidRPr="00C259FC" w:rsidRDefault="00AF38C9" w:rsidP="00C36B7A">
            <w:pPr>
              <w:keepNext/>
              <w:keepLines/>
              <w:tabs>
                <w:tab w:val="decimal" w:pos="1562"/>
              </w:tabs>
              <w:spacing w:before="20" w:after="20"/>
              <w:jc w:val="left"/>
              <w:rPr>
                <w:rFonts w:cs="Arial"/>
                <w:b/>
                <w:color w:val="000000"/>
                <w:szCs w:val="18"/>
              </w:rPr>
            </w:pPr>
            <w:r w:rsidRPr="00C259FC">
              <w:rPr>
                <w:rFonts w:cs="Arial"/>
                <w:b/>
                <w:color w:val="000000"/>
                <w:szCs w:val="18"/>
              </w:rPr>
              <w:t>28,4</w:t>
            </w:r>
            <w:r>
              <w:rPr>
                <w:rFonts w:cs="Arial"/>
                <w:b/>
                <w:color w:val="000000"/>
                <w:szCs w:val="18"/>
              </w:rPr>
              <w:t>85,878</w:t>
            </w:r>
          </w:p>
        </w:tc>
      </w:tr>
      <w:tr w:rsidR="00554054" w:rsidRPr="00C259FC" w:rsidTr="00B277ED">
        <w:trPr>
          <w:trHeight w:val="170"/>
        </w:trPr>
        <w:tc>
          <w:tcPr>
            <w:tcW w:w="4093" w:type="dxa"/>
            <w:tcBorders>
              <w:top w:val="single" w:sz="4" w:space="0" w:color="auto"/>
              <w:left w:val="single" w:sz="4" w:space="0" w:color="auto"/>
              <w:bottom w:val="nil"/>
              <w:right w:val="single" w:sz="4" w:space="0" w:color="auto"/>
            </w:tcBorders>
            <w:noWrap/>
            <w:vAlign w:val="center"/>
          </w:tcPr>
          <w:p w:rsidR="00AF38C9" w:rsidRPr="00C259FC" w:rsidRDefault="00AF38C9" w:rsidP="00C36B7A">
            <w:pPr>
              <w:keepNext/>
              <w:keepLines/>
              <w:spacing w:before="20" w:after="20"/>
              <w:rPr>
                <w:rFonts w:cs="Arial"/>
                <w:color w:val="000000"/>
                <w:szCs w:val="18"/>
              </w:rPr>
            </w:pPr>
            <w:r w:rsidRPr="00C259FC">
              <w:rPr>
                <w:rFonts w:cs="Arial"/>
                <w:color w:val="000000"/>
                <w:szCs w:val="18"/>
              </w:rPr>
              <w:t>Public Toilets</w:t>
            </w:r>
          </w:p>
        </w:tc>
        <w:tc>
          <w:tcPr>
            <w:tcW w:w="1577" w:type="dxa"/>
            <w:tcBorders>
              <w:top w:val="single" w:sz="4" w:space="0" w:color="auto"/>
              <w:left w:val="single" w:sz="4" w:space="0" w:color="auto"/>
              <w:bottom w:val="single" w:sz="4" w:space="0" w:color="auto"/>
              <w:right w:val="single" w:sz="4" w:space="0" w:color="auto"/>
            </w:tcBorders>
            <w:noWrap/>
            <w:vAlign w:val="center"/>
          </w:tcPr>
          <w:p w:rsidR="00AF38C9" w:rsidRPr="007532D0" w:rsidRDefault="00AF38C9" w:rsidP="00C36B7A">
            <w:pPr>
              <w:keepNext/>
              <w:keepLines/>
              <w:spacing w:before="20" w:after="20"/>
              <w:jc w:val="center"/>
              <w:rPr>
                <w:rFonts w:cs="Arial"/>
                <w:color w:val="000000"/>
                <w:szCs w:val="18"/>
              </w:rPr>
            </w:pPr>
            <w:r w:rsidRPr="007532D0">
              <w:rPr>
                <w:rFonts w:cs="Arial"/>
                <w:color w:val="000000"/>
                <w:szCs w:val="18"/>
              </w:rPr>
              <w:t>9</w:t>
            </w:r>
          </w:p>
        </w:tc>
        <w:tc>
          <w:tcPr>
            <w:tcW w:w="2268" w:type="dxa"/>
            <w:tcBorders>
              <w:top w:val="single" w:sz="4" w:space="0" w:color="auto"/>
              <w:left w:val="single" w:sz="4" w:space="0" w:color="auto"/>
              <w:bottom w:val="single" w:sz="4" w:space="0" w:color="auto"/>
              <w:right w:val="single" w:sz="4" w:space="0" w:color="auto"/>
            </w:tcBorders>
            <w:vAlign w:val="center"/>
          </w:tcPr>
          <w:p w:rsidR="00AF38C9" w:rsidRPr="007532D0" w:rsidRDefault="00AF38C9" w:rsidP="00C36B7A">
            <w:pPr>
              <w:keepNext/>
              <w:keepLines/>
              <w:tabs>
                <w:tab w:val="decimal" w:pos="1562"/>
              </w:tabs>
              <w:spacing w:before="20" w:after="20"/>
              <w:jc w:val="left"/>
              <w:rPr>
                <w:rFonts w:cs="Arial"/>
                <w:color w:val="000000"/>
                <w:szCs w:val="18"/>
              </w:rPr>
            </w:pPr>
            <w:r w:rsidRPr="007532D0">
              <w:rPr>
                <w:rFonts w:cs="Arial"/>
                <w:color w:val="000000"/>
                <w:szCs w:val="18"/>
              </w:rPr>
              <w:t>1,232,148</w:t>
            </w:r>
          </w:p>
        </w:tc>
      </w:tr>
      <w:tr w:rsidR="00554054" w:rsidRPr="00C259FC" w:rsidTr="00B277ED">
        <w:trPr>
          <w:trHeight w:val="170"/>
        </w:trPr>
        <w:tc>
          <w:tcPr>
            <w:tcW w:w="4093" w:type="dxa"/>
            <w:tcBorders>
              <w:top w:val="nil"/>
              <w:left w:val="single" w:sz="4" w:space="0" w:color="auto"/>
              <w:bottom w:val="single" w:sz="4" w:space="0" w:color="auto"/>
              <w:right w:val="single" w:sz="4" w:space="0" w:color="auto"/>
            </w:tcBorders>
            <w:noWrap/>
            <w:vAlign w:val="center"/>
          </w:tcPr>
          <w:p w:rsidR="00AF38C9" w:rsidRPr="00C259FC" w:rsidRDefault="00AF38C9" w:rsidP="00C36B7A">
            <w:pPr>
              <w:keepNext/>
              <w:keepLines/>
              <w:tabs>
                <w:tab w:val="left" w:pos="537"/>
              </w:tabs>
              <w:spacing w:before="20" w:after="20"/>
              <w:rPr>
                <w:rFonts w:cs="Arial"/>
                <w:b/>
                <w:color w:val="000000"/>
                <w:szCs w:val="18"/>
              </w:rPr>
            </w:pPr>
            <w:r>
              <w:rPr>
                <w:rFonts w:cs="Arial"/>
                <w:b/>
                <w:color w:val="000000"/>
                <w:szCs w:val="18"/>
              </w:rPr>
              <w:tab/>
              <w:t>Amenity (Total)</w:t>
            </w:r>
          </w:p>
        </w:tc>
        <w:tc>
          <w:tcPr>
            <w:tcW w:w="1577" w:type="dxa"/>
            <w:tcBorders>
              <w:top w:val="single" w:sz="4" w:space="0" w:color="auto"/>
              <w:left w:val="single" w:sz="4" w:space="0" w:color="auto"/>
              <w:bottom w:val="single" w:sz="4" w:space="0" w:color="auto"/>
              <w:right w:val="single" w:sz="4" w:space="0" w:color="auto"/>
            </w:tcBorders>
            <w:noWrap/>
            <w:vAlign w:val="center"/>
          </w:tcPr>
          <w:p w:rsidR="00AF38C9" w:rsidRPr="00C259FC" w:rsidRDefault="00AF38C9" w:rsidP="00C36B7A">
            <w:pPr>
              <w:keepNext/>
              <w:keepLines/>
              <w:spacing w:before="20" w:after="20"/>
              <w:jc w:val="center"/>
              <w:rPr>
                <w:rFonts w:cs="Arial"/>
                <w:b/>
                <w:color w:val="000000"/>
                <w:szCs w:val="18"/>
              </w:rPr>
            </w:pPr>
            <w:r w:rsidRPr="00C259FC">
              <w:rPr>
                <w:rFonts w:cs="Arial"/>
                <w:b/>
                <w:color w:val="000000"/>
                <w:szCs w:val="18"/>
              </w:rPr>
              <w:t>9</w:t>
            </w:r>
          </w:p>
        </w:tc>
        <w:tc>
          <w:tcPr>
            <w:tcW w:w="2268" w:type="dxa"/>
            <w:tcBorders>
              <w:top w:val="single" w:sz="4" w:space="0" w:color="auto"/>
              <w:left w:val="single" w:sz="4" w:space="0" w:color="auto"/>
              <w:bottom w:val="single" w:sz="4" w:space="0" w:color="auto"/>
              <w:right w:val="single" w:sz="4" w:space="0" w:color="auto"/>
            </w:tcBorders>
            <w:vAlign w:val="center"/>
          </w:tcPr>
          <w:p w:rsidR="00AF38C9" w:rsidRPr="00C259FC" w:rsidRDefault="00AF38C9" w:rsidP="00C36B7A">
            <w:pPr>
              <w:keepNext/>
              <w:keepLines/>
              <w:tabs>
                <w:tab w:val="decimal" w:pos="1562"/>
              </w:tabs>
              <w:spacing w:before="20" w:after="20"/>
              <w:jc w:val="left"/>
              <w:rPr>
                <w:rFonts w:cs="Arial"/>
                <w:b/>
                <w:color w:val="000000"/>
                <w:szCs w:val="18"/>
              </w:rPr>
            </w:pPr>
            <w:r>
              <w:rPr>
                <w:rFonts w:cs="Arial"/>
                <w:b/>
                <w:color w:val="000000"/>
                <w:szCs w:val="18"/>
              </w:rPr>
              <w:t>1,232,148</w:t>
            </w:r>
          </w:p>
        </w:tc>
      </w:tr>
      <w:tr w:rsidR="00554054" w:rsidRPr="00C259FC" w:rsidTr="00B277ED">
        <w:trPr>
          <w:trHeight w:val="170"/>
        </w:trPr>
        <w:tc>
          <w:tcPr>
            <w:tcW w:w="4093" w:type="dxa"/>
            <w:tcBorders>
              <w:top w:val="single" w:sz="4" w:space="0" w:color="auto"/>
              <w:left w:val="single" w:sz="4" w:space="0" w:color="auto"/>
              <w:bottom w:val="nil"/>
              <w:right w:val="single" w:sz="4" w:space="0" w:color="auto"/>
            </w:tcBorders>
            <w:noWrap/>
            <w:vAlign w:val="center"/>
          </w:tcPr>
          <w:p w:rsidR="00AF38C9" w:rsidRPr="00811E35" w:rsidRDefault="00AF38C9" w:rsidP="00C36B7A">
            <w:pPr>
              <w:keepNext/>
              <w:keepLines/>
              <w:spacing w:before="20" w:after="20"/>
              <w:rPr>
                <w:rFonts w:cs="Arial"/>
                <w:color w:val="000000"/>
                <w:szCs w:val="18"/>
              </w:rPr>
            </w:pPr>
            <w:r w:rsidRPr="00811E35">
              <w:rPr>
                <w:rFonts w:cs="Arial"/>
                <w:color w:val="000000"/>
                <w:szCs w:val="18"/>
              </w:rPr>
              <w:t>Structures</w:t>
            </w:r>
          </w:p>
        </w:tc>
        <w:tc>
          <w:tcPr>
            <w:tcW w:w="1577" w:type="dxa"/>
            <w:tcBorders>
              <w:top w:val="single" w:sz="4" w:space="0" w:color="auto"/>
              <w:left w:val="single" w:sz="4" w:space="0" w:color="auto"/>
              <w:bottom w:val="single" w:sz="4" w:space="0" w:color="auto"/>
              <w:right w:val="single" w:sz="4" w:space="0" w:color="auto"/>
            </w:tcBorders>
            <w:noWrap/>
            <w:vAlign w:val="center"/>
          </w:tcPr>
          <w:p w:rsidR="00AF38C9" w:rsidRPr="00811E35" w:rsidRDefault="00AF38C9" w:rsidP="00C36B7A">
            <w:pPr>
              <w:keepNext/>
              <w:keepLines/>
              <w:spacing w:before="20" w:after="20"/>
              <w:jc w:val="center"/>
              <w:rPr>
                <w:rFonts w:cs="Arial"/>
                <w:color w:val="000000"/>
                <w:szCs w:val="18"/>
              </w:rPr>
            </w:pPr>
            <w:r w:rsidRPr="00811E35">
              <w:rPr>
                <w:rFonts w:cs="Arial"/>
                <w:color w:val="000000"/>
                <w:szCs w:val="18"/>
              </w:rPr>
              <w:t>6</w:t>
            </w:r>
          </w:p>
        </w:tc>
        <w:tc>
          <w:tcPr>
            <w:tcW w:w="2268" w:type="dxa"/>
            <w:tcBorders>
              <w:top w:val="single" w:sz="4" w:space="0" w:color="auto"/>
              <w:left w:val="single" w:sz="4" w:space="0" w:color="auto"/>
              <w:bottom w:val="single" w:sz="4" w:space="0" w:color="auto"/>
              <w:right w:val="single" w:sz="4" w:space="0" w:color="auto"/>
            </w:tcBorders>
            <w:vAlign w:val="center"/>
          </w:tcPr>
          <w:p w:rsidR="00AF38C9" w:rsidRPr="007532D0" w:rsidRDefault="00AF38C9" w:rsidP="00C36B7A">
            <w:pPr>
              <w:keepNext/>
              <w:keepLines/>
              <w:tabs>
                <w:tab w:val="decimal" w:pos="1562"/>
              </w:tabs>
              <w:spacing w:before="20" w:after="20"/>
              <w:jc w:val="left"/>
              <w:rPr>
                <w:rFonts w:cs="Arial"/>
                <w:color w:val="000000"/>
                <w:szCs w:val="18"/>
              </w:rPr>
            </w:pPr>
            <w:r w:rsidRPr="007532D0">
              <w:rPr>
                <w:rFonts w:cs="Arial"/>
                <w:color w:val="000000"/>
                <w:szCs w:val="18"/>
              </w:rPr>
              <w:t>240,000</w:t>
            </w:r>
          </w:p>
        </w:tc>
      </w:tr>
      <w:tr w:rsidR="00554054" w:rsidRPr="00C259FC" w:rsidTr="00B277ED">
        <w:trPr>
          <w:trHeight w:val="170"/>
        </w:trPr>
        <w:tc>
          <w:tcPr>
            <w:tcW w:w="4093" w:type="dxa"/>
            <w:tcBorders>
              <w:top w:val="nil"/>
              <w:left w:val="single" w:sz="4" w:space="0" w:color="auto"/>
              <w:bottom w:val="single" w:sz="4" w:space="0" w:color="auto"/>
              <w:right w:val="single" w:sz="4" w:space="0" w:color="auto"/>
            </w:tcBorders>
            <w:noWrap/>
            <w:vAlign w:val="center"/>
          </w:tcPr>
          <w:p w:rsidR="00AF38C9" w:rsidRPr="00811E35" w:rsidRDefault="00AF38C9" w:rsidP="00C36B7A">
            <w:pPr>
              <w:keepNext/>
              <w:keepLines/>
              <w:tabs>
                <w:tab w:val="left" w:pos="537"/>
              </w:tabs>
              <w:spacing w:before="20" w:after="20"/>
              <w:rPr>
                <w:rFonts w:cs="Arial"/>
                <w:b/>
                <w:color w:val="000000"/>
                <w:szCs w:val="18"/>
              </w:rPr>
            </w:pPr>
            <w:r w:rsidRPr="00811E35">
              <w:rPr>
                <w:rFonts w:cs="Arial"/>
                <w:b/>
                <w:color w:val="000000"/>
                <w:szCs w:val="18"/>
              </w:rPr>
              <w:tab/>
              <w:t>Miscellaneous (Total)</w:t>
            </w:r>
          </w:p>
        </w:tc>
        <w:tc>
          <w:tcPr>
            <w:tcW w:w="1577" w:type="dxa"/>
            <w:tcBorders>
              <w:top w:val="single" w:sz="4" w:space="0" w:color="auto"/>
              <w:left w:val="single" w:sz="4" w:space="0" w:color="auto"/>
              <w:bottom w:val="single" w:sz="4" w:space="0" w:color="auto"/>
              <w:right w:val="single" w:sz="4" w:space="0" w:color="auto"/>
            </w:tcBorders>
            <w:noWrap/>
            <w:vAlign w:val="center"/>
          </w:tcPr>
          <w:p w:rsidR="00AF38C9" w:rsidRPr="00811E35" w:rsidRDefault="00AF38C9" w:rsidP="00C36B7A">
            <w:pPr>
              <w:keepNext/>
              <w:keepLines/>
              <w:spacing w:before="20" w:after="20"/>
              <w:jc w:val="center"/>
              <w:rPr>
                <w:rFonts w:cs="Arial"/>
                <w:b/>
                <w:color w:val="000000"/>
                <w:szCs w:val="18"/>
              </w:rPr>
            </w:pPr>
            <w:r w:rsidRPr="00811E35">
              <w:rPr>
                <w:rFonts w:cs="Arial"/>
                <w:b/>
                <w:color w:val="000000"/>
                <w:szCs w:val="18"/>
              </w:rPr>
              <w:t>6</w:t>
            </w:r>
          </w:p>
        </w:tc>
        <w:tc>
          <w:tcPr>
            <w:tcW w:w="2268" w:type="dxa"/>
            <w:tcBorders>
              <w:top w:val="single" w:sz="4" w:space="0" w:color="auto"/>
              <w:left w:val="single" w:sz="4" w:space="0" w:color="auto"/>
              <w:bottom w:val="single" w:sz="4" w:space="0" w:color="auto"/>
              <w:right w:val="single" w:sz="4" w:space="0" w:color="auto"/>
            </w:tcBorders>
            <w:vAlign w:val="center"/>
          </w:tcPr>
          <w:p w:rsidR="00AF38C9" w:rsidRPr="00C259FC" w:rsidRDefault="00AF38C9" w:rsidP="00C36B7A">
            <w:pPr>
              <w:keepNext/>
              <w:keepLines/>
              <w:tabs>
                <w:tab w:val="decimal" w:pos="1562"/>
              </w:tabs>
              <w:spacing w:before="20" w:after="20"/>
              <w:jc w:val="left"/>
              <w:rPr>
                <w:rFonts w:cs="Arial"/>
                <w:b/>
                <w:color w:val="000000"/>
                <w:szCs w:val="18"/>
              </w:rPr>
            </w:pPr>
            <w:r w:rsidRPr="00C259FC">
              <w:rPr>
                <w:rFonts w:cs="Arial"/>
                <w:b/>
                <w:color w:val="000000"/>
                <w:szCs w:val="18"/>
              </w:rPr>
              <w:t>24</w:t>
            </w:r>
            <w:r>
              <w:rPr>
                <w:rFonts w:cs="Arial"/>
                <w:b/>
                <w:color w:val="000000"/>
                <w:szCs w:val="18"/>
              </w:rPr>
              <w:t>0,000</w:t>
            </w:r>
          </w:p>
        </w:tc>
      </w:tr>
      <w:tr w:rsidR="00554054" w:rsidRPr="00C259FC" w:rsidTr="00B277ED">
        <w:trPr>
          <w:trHeight w:val="170"/>
        </w:trPr>
        <w:tc>
          <w:tcPr>
            <w:tcW w:w="4093" w:type="dxa"/>
            <w:tcBorders>
              <w:top w:val="single" w:sz="4" w:space="0" w:color="auto"/>
              <w:left w:val="nil"/>
              <w:bottom w:val="nil"/>
              <w:right w:val="single" w:sz="4" w:space="0" w:color="auto"/>
            </w:tcBorders>
            <w:noWrap/>
            <w:vAlign w:val="center"/>
          </w:tcPr>
          <w:p w:rsidR="00AF38C9" w:rsidRPr="00C259FC" w:rsidRDefault="00AF38C9" w:rsidP="00554054">
            <w:pPr>
              <w:keepNext/>
              <w:keepLines/>
              <w:tabs>
                <w:tab w:val="left" w:pos="537"/>
              </w:tabs>
              <w:spacing w:before="20" w:after="20"/>
              <w:rPr>
                <w:rFonts w:cs="Arial"/>
                <w:b/>
                <w:color w:val="000000"/>
                <w:szCs w:val="18"/>
              </w:rPr>
            </w:pPr>
            <w:r>
              <w:rPr>
                <w:rFonts w:cs="Arial"/>
                <w:b/>
                <w:color w:val="000000"/>
                <w:szCs w:val="18"/>
              </w:rPr>
              <w:tab/>
            </w:r>
          </w:p>
        </w:tc>
        <w:tc>
          <w:tcPr>
            <w:tcW w:w="1577" w:type="dxa"/>
            <w:tcBorders>
              <w:top w:val="single" w:sz="4" w:space="0" w:color="auto"/>
              <w:left w:val="single" w:sz="4" w:space="0" w:color="auto"/>
              <w:bottom w:val="double" w:sz="4" w:space="0" w:color="auto"/>
            </w:tcBorders>
            <w:noWrap/>
            <w:vAlign w:val="center"/>
          </w:tcPr>
          <w:p w:rsidR="00AF38C9" w:rsidRPr="00C259FC" w:rsidRDefault="00AF38C9" w:rsidP="00C36B7A">
            <w:pPr>
              <w:keepNext/>
              <w:keepLines/>
              <w:spacing w:before="20" w:after="20"/>
              <w:jc w:val="center"/>
              <w:rPr>
                <w:rFonts w:cs="Arial"/>
                <w:b/>
                <w:color w:val="000000"/>
                <w:szCs w:val="18"/>
              </w:rPr>
            </w:pPr>
            <w:r w:rsidRPr="00C259FC">
              <w:rPr>
                <w:rFonts w:cs="Arial"/>
                <w:b/>
                <w:color w:val="000000"/>
                <w:szCs w:val="18"/>
              </w:rPr>
              <w:t>159</w:t>
            </w:r>
          </w:p>
        </w:tc>
        <w:tc>
          <w:tcPr>
            <w:tcW w:w="2268" w:type="dxa"/>
            <w:tcBorders>
              <w:top w:val="single" w:sz="4" w:space="0" w:color="auto"/>
              <w:bottom w:val="double" w:sz="4" w:space="0" w:color="auto"/>
            </w:tcBorders>
            <w:vAlign w:val="center"/>
          </w:tcPr>
          <w:p w:rsidR="00AF38C9" w:rsidRPr="00C259FC" w:rsidRDefault="00AF38C9" w:rsidP="00C36B7A">
            <w:pPr>
              <w:keepNext/>
              <w:keepLines/>
              <w:tabs>
                <w:tab w:val="decimal" w:pos="1562"/>
              </w:tabs>
              <w:spacing w:before="20" w:after="20"/>
              <w:jc w:val="left"/>
              <w:rPr>
                <w:rFonts w:cs="Arial"/>
                <w:b/>
                <w:color w:val="000000"/>
                <w:szCs w:val="18"/>
              </w:rPr>
            </w:pPr>
            <w:r w:rsidRPr="00C259FC">
              <w:rPr>
                <w:rFonts w:cs="Arial"/>
                <w:b/>
                <w:color w:val="000000"/>
                <w:szCs w:val="18"/>
              </w:rPr>
              <w:t>228,0</w:t>
            </w:r>
            <w:r>
              <w:rPr>
                <w:rFonts w:cs="Arial"/>
                <w:b/>
                <w:color w:val="000000"/>
                <w:szCs w:val="18"/>
              </w:rPr>
              <w:t>46,837</w:t>
            </w:r>
          </w:p>
        </w:tc>
      </w:tr>
    </w:tbl>
    <w:p w:rsidR="00FB2B94" w:rsidRPr="0024611A" w:rsidRDefault="00FB2B94" w:rsidP="00C36B7A">
      <w:pPr>
        <w:pStyle w:val="Caption"/>
        <w:keepNext/>
        <w:keepLines/>
        <w:spacing w:before="240" w:after="240"/>
        <w:ind w:left="720"/>
        <w:jc w:val="center"/>
        <w:rPr>
          <w:rFonts w:ascii="Arial" w:hAnsi="Arial"/>
          <w:i w:val="0"/>
          <w:iCs w:val="0"/>
          <w:sz w:val="20"/>
          <w:lang w:val="en-AU"/>
        </w:rPr>
      </w:pPr>
      <w:bookmarkStart w:id="449" w:name="_Toc364945433"/>
      <w:r w:rsidRPr="0024611A">
        <w:rPr>
          <w:rFonts w:ascii="Arial" w:hAnsi="Arial"/>
          <w:i w:val="0"/>
          <w:iCs w:val="0"/>
          <w:sz w:val="20"/>
          <w:lang w:val="en-AU"/>
        </w:rPr>
        <w:t xml:space="preserve">Table </w:t>
      </w:r>
      <w:r w:rsidR="0090414C" w:rsidRPr="0024611A">
        <w:rPr>
          <w:rFonts w:ascii="Arial" w:hAnsi="Arial"/>
          <w:i w:val="0"/>
          <w:iCs w:val="0"/>
          <w:sz w:val="20"/>
          <w:lang w:val="en-AU"/>
        </w:rPr>
        <w:fldChar w:fldCharType="begin"/>
      </w:r>
      <w:r w:rsidRPr="0024611A">
        <w:rPr>
          <w:rFonts w:ascii="Arial" w:hAnsi="Arial"/>
          <w:i w:val="0"/>
          <w:iCs w:val="0"/>
          <w:sz w:val="20"/>
          <w:lang w:val="en-AU"/>
        </w:rPr>
        <w:instrText xml:space="preserve"> SEQ Table \* ARABIC </w:instrText>
      </w:r>
      <w:r w:rsidR="0090414C" w:rsidRPr="0024611A">
        <w:rPr>
          <w:rFonts w:ascii="Arial" w:hAnsi="Arial"/>
          <w:i w:val="0"/>
          <w:iCs w:val="0"/>
          <w:sz w:val="20"/>
          <w:lang w:val="en-AU"/>
        </w:rPr>
        <w:fldChar w:fldCharType="separate"/>
      </w:r>
      <w:r w:rsidR="00751CEC">
        <w:rPr>
          <w:rFonts w:ascii="Arial" w:hAnsi="Arial"/>
          <w:i w:val="0"/>
          <w:iCs w:val="0"/>
          <w:noProof/>
          <w:sz w:val="20"/>
          <w:lang w:val="en-AU"/>
        </w:rPr>
        <w:t>29</w:t>
      </w:r>
      <w:r w:rsidR="0090414C" w:rsidRPr="0024611A">
        <w:rPr>
          <w:rFonts w:ascii="Arial" w:hAnsi="Arial"/>
          <w:i w:val="0"/>
          <w:iCs w:val="0"/>
          <w:sz w:val="20"/>
          <w:lang w:val="en-AU"/>
        </w:rPr>
        <w:fldChar w:fldCharType="end"/>
      </w:r>
      <w:r w:rsidRPr="0024611A">
        <w:rPr>
          <w:rFonts w:ascii="Arial" w:hAnsi="Arial"/>
          <w:i w:val="0"/>
          <w:iCs w:val="0"/>
          <w:sz w:val="20"/>
          <w:lang w:val="en-AU"/>
        </w:rPr>
        <w:t xml:space="preserve">:  </w:t>
      </w:r>
      <w:r w:rsidR="00D60852" w:rsidRPr="0024611A">
        <w:rPr>
          <w:rFonts w:ascii="Arial" w:hAnsi="Arial"/>
          <w:i w:val="0"/>
          <w:iCs w:val="0"/>
          <w:sz w:val="20"/>
          <w:lang w:val="en-AU"/>
        </w:rPr>
        <w:t>Buildings Primary Use and Replacement Value</w:t>
      </w:r>
      <w:bookmarkEnd w:id="449"/>
    </w:p>
    <w:p w:rsidR="00386247" w:rsidRPr="00B8638C" w:rsidRDefault="00386247" w:rsidP="00C36B7A">
      <w:pPr>
        <w:pStyle w:val="StyleHeading3Heading3Char10ptBefore6pt"/>
        <w:keepLines/>
        <w:pageBreakBefore/>
      </w:pPr>
      <w:bookmarkStart w:id="450" w:name="_Toc364945288"/>
      <w:r>
        <w:t>Asset Hierarchy and Attributes</w:t>
      </w:r>
      <w:bookmarkEnd w:id="450"/>
    </w:p>
    <w:p w:rsidR="00386247" w:rsidRPr="00F068FC" w:rsidRDefault="00386247" w:rsidP="00C36B7A">
      <w:pPr>
        <w:widowControl w:val="0"/>
        <w:ind w:left="720"/>
        <w:rPr>
          <w:u w:val="single"/>
        </w:rPr>
      </w:pPr>
      <w:r w:rsidRPr="00F068FC">
        <w:rPr>
          <w:u w:val="single"/>
        </w:rPr>
        <w:t>Building (Asset) Hierarchy</w:t>
      </w:r>
    </w:p>
    <w:p w:rsidR="00F068FC" w:rsidRDefault="00F068FC" w:rsidP="00C36B7A">
      <w:pPr>
        <w:widowControl w:val="0"/>
        <w:ind w:left="720"/>
      </w:pPr>
    </w:p>
    <w:p w:rsidR="00386247" w:rsidRDefault="00386247" w:rsidP="00C36B7A">
      <w:pPr>
        <w:widowControl w:val="0"/>
        <w:ind w:left="720"/>
      </w:pPr>
      <w:r w:rsidRPr="0062287A">
        <w:t>The most fundamental feature of a building is its function.</w:t>
      </w:r>
      <w:r w:rsidR="00DA0D16">
        <w:t xml:space="preserve"> The f</w:t>
      </w:r>
      <w:r w:rsidRPr="0062287A">
        <w:t>unction d</w:t>
      </w:r>
      <w:r w:rsidR="00DA0D16">
        <w:t>ictate</w:t>
      </w:r>
      <w:r w:rsidRPr="0062287A">
        <w:t>s strategic importa</w:t>
      </w:r>
      <w:r w:rsidR="00F068FC">
        <w:t>nce.</w:t>
      </w:r>
    </w:p>
    <w:p w:rsidR="00F068FC" w:rsidRPr="0062287A" w:rsidRDefault="00F068FC" w:rsidP="00C36B7A">
      <w:pPr>
        <w:widowControl w:val="0"/>
        <w:ind w:left="720"/>
      </w:pPr>
    </w:p>
    <w:p w:rsidR="00386247" w:rsidRDefault="00386247" w:rsidP="00C36B7A">
      <w:pPr>
        <w:widowControl w:val="0"/>
        <w:ind w:left="720"/>
      </w:pPr>
      <w:r w:rsidRPr="0062287A">
        <w:t>A priority ranking to classify buildings recognises that buildings perform a range of functions and have differing levels of importance. A key objective of creating this hierarchy is to achieve more efficient management of Council buildings, with potential to allow, where appropriate, different delivery standards to be applied across relevant levels in future.</w:t>
      </w:r>
    </w:p>
    <w:p w:rsidR="00F068FC" w:rsidRPr="0062287A" w:rsidRDefault="00F068FC" w:rsidP="00C36B7A">
      <w:pPr>
        <w:widowControl w:val="0"/>
        <w:ind w:left="720"/>
      </w:pPr>
    </w:p>
    <w:p w:rsidR="00386247" w:rsidRDefault="00386247" w:rsidP="00C36B7A">
      <w:pPr>
        <w:widowControl w:val="0"/>
        <w:ind w:left="720"/>
      </w:pPr>
      <w:r w:rsidRPr="0062287A">
        <w:t>For example, the community expects, and good risk management practice demands, that a critical infrastructure asset such as the Collingwood Town Hall is given the highest level of strategic importance. It provides substantial historical and heritage benefits, and the consequences of a major failure would be disastrous. This is taken into account so informed judgements can be made about the priority of each building in terms of levels of service provided such as the condition standard, maintenance response, and the renewal program.</w:t>
      </w:r>
    </w:p>
    <w:p w:rsidR="00F068FC" w:rsidRPr="0062287A" w:rsidRDefault="00F068FC" w:rsidP="00F068FC">
      <w:pPr>
        <w:ind w:left="720"/>
      </w:pPr>
    </w:p>
    <w:p w:rsidR="00386247" w:rsidRDefault="00386247" w:rsidP="00F068FC">
      <w:pPr>
        <w:ind w:left="720"/>
      </w:pPr>
      <w:r w:rsidRPr="0062287A">
        <w:t>Building Hierarchy is used to guide maintenance and capital project decisions by grouping building by similar levels of importance and priority.  Historically these decisions have been regularly made in the absence of any hierarchy based on interpretation of past practices.  Establishing a Hierarchy sets standards against which these decisions are taken and thus reduces variance due</w:t>
      </w:r>
      <w:r w:rsidR="00F068FC">
        <w:t xml:space="preserve"> to individual interpretation. </w:t>
      </w:r>
    </w:p>
    <w:p w:rsidR="00F068FC" w:rsidRPr="0062287A" w:rsidRDefault="00F068FC" w:rsidP="00F068FC">
      <w:pPr>
        <w:ind w:left="720"/>
      </w:pPr>
    </w:p>
    <w:p w:rsidR="00386247" w:rsidRDefault="00386247" w:rsidP="00F068FC">
      <w:pPr>
        <w:ind w:left="720"/>
      </w:pPr>
      <w:r w:rsidRPr="0062287A">
        <w:t xml:space="preserve">Typical examples of the types of </w:t>
      </w:r>
      <w:r w:rsidR="00DA0D16">
        <w:t>decisions guided by a building h</w:t>
      </w:r>
      <w:r w:rsidRPr="0062287A">
        <w:t>ierarchy are:</w:t>
      </w:r>
    </w:p>
    <w:p w:rsidR="00F068FC" w:rsidRPr="0062287A" w:rsidRDefault="00F068FC" w:rsidP="00F068FC">
      <w:pPr>
        <w:ind w:left="720"/>
      </w:pPr>
    </w:p>
    <w:p w:rsidR="00386247" w:rsidRPr="00F068FC" w:rsidRDefault="00386247" w:rsidP="008348B5">
      <w:pPr>
        <w:pStyle w:val="ListParagraph"/>
        <w:numPr>
          <w:ilvl w:val="0"/>
          <w:numId w:val="78"/>
        </w:numPr>
        <w:rPr>
          <w:rFonts w:ascii="Arial" w:hAnsi="Arial" w:cs="Arial"/>
          <w:sz w:val="20"/>
        </w:rPr>
      </w:pPr>
      <w:r w:rsidRPr="00F068FC">
        <w:rPr>
          <w:rFonts w:ascii="Arial" w:hAnsi="Arial" w:cs="Arial"/>
          <w:sz w:val="20"/>
        </w:rPr>
        <w:t>Prioritising which building receives attention first when two or more buildings have faults of equal importance and resources are limited.</w:t>
      </w:r>
    </w:p>
    <w:p w:rsidR="00386247" w:rsidRPr="00F068FC" w:rsidRDefault="00386247" w:rsidP="008348B5">
      <w:pPr>
        <w:pStyle w:val="ListParagraph"/>
        <w:numPr>
          <w:ilvl w:val="0"/>
          <w:numId w:val="78"/>
        </w:numPr>
        <w:rPr>
          <w:rFonts w:ascii="Arial" w:hAnsi="Arial" w:cs="Arial"/>
          <w:sz w:val="20"/>
        </w:rPr>
      </w:pPr>
      <w:r w:rsidRPr="00F068FC">
        <w:rPr>
          <w:rFonts w:ascii="Arial" w:hAnsi="Arial" w:cs="Arial"/>
          <w:sz w:val="20"/>
        </w:rPr>
        <w:t xml:space="preserve">Allocating different maximum response times for particular types of building faults depending on building importance (e.g. 2 days for high use buildings, 10 days for vacant buildings). </w:t>
      </w:r>
    </w:p>
    <w:p w:rsidR="00386247" w:rsidRPr="00F068FC" w:rsidRDefault="00386247" w:rsidP="008348B5">
      <w:pPr>
        <w:pStyle w:val="ListParagraph"/>
        <w:numPr>
          <w:ilvl w:val="0"/>
          <w:numId w:val="78"/>
        </w:numPr>
        <w:rPr>
          <w:rFonts w:ascii="Arial" w:hAnsi="Arial" w:cs="Arial"/>
          <w:sz w:val="20"/>
        </w:rPr>
      </w:pPr>
      <w:r w:rsidRPr="00F068FC">
        <w:rPr>
          <w:rFonts w:ascii="Arial" w:hAnsi="Arial" w:cs="Arial"/>
          <w:sz w:val="20"/>
        </w:rPr>
        <w:t xml:space="preserve">Interior repainted determined on a time basis (e.g. every 6 years) for highly significant buildings (e.g. Town Hall) and condition basis for all other buildings. </w:t>
      </w:r>
    </w:p>
    <w:p w:rsidR="00386247" w:rsidRPr="00F068FC" w:rsidRDefault="00386247" w:rsidP="008348B5">
      <w:pPr>
        <w:pStyle w:val="ListParagraph"/>
        <w:numPr>
          <w:ilvl w:val="0"/>
          <w:numId w:val="78"/>
        </w:numPr>
        <w:rPr>
          <w:rFonts w:ascii="Arial" w:hAnsi="Arial" w:cs="Arial"/>
          <w:sz w:val="20"/>
        </w:rPr>
      </w:pPr>
      <w:r w:rsidRPr="00F068FC">
        <w:rPr>
          <w:rFonts w:ascii="Arial" w:hAnsi="Arial" w:cs="Arial"/>
          <w:sz w:val="20"/>
        </w:rPr>
        <w:t>Varying Capital Renewal project triggers with building importance (e.g. Condition 3 for high priority buil</w:t>
      </w:r>
      <w:r w:rsidR="00A377F1">
        <w:rPr>
          <w:rFonts w:ascii="Arial" w:hAnsi="Arial" w:cs="Arial"/>
          <w:sz w:val="20"/>
        </w:rPr>
        <w:t>dings, Condition 4 for mid-</w:t>
      </w:r>
      <w:r w:rsidRPr="00F068FC">
        <w:rPr>
          <w:rFonts w:ascii="Arial" w:hAnsi="Arial" w:cs="Arial"/>
          <w:sz w:val="20"/>
        </w:rPr>
        <w:t>range buildings and Condition 5 for low priority buildings).</w:t>
      </w:r>
    </w:p>
    <w:p w:rsidR="00386247" w:rsidRPr="0062287A" w:rsidRDefault="00386247" w:rsidP="00F068FC">
      <w:pPr>
        <w:ind w:left="720"/>
      </w:pPr>
    </w:p>
    <w:p w:rsidR="00386247" w:rsidRPr="0062287A" w:rsidRDefault="00386247" w:rsidP="00F068FC">
      <w:pPr>
        <w:ind w:left="720"/>
      </w:pPr>
      <w:r w:rsidRPr="0062287A">
        <w:t xml:space="preserve">There are </w:t>
      </w:r>
      <w:r w:rsidR="00DA0D16">
        <w:t>many options available in both h</w:t>
      </w:r>
      <w:r w:rsidRPr="0062287A">
        <w:t xml:space="preserve">ierarchy structure and method of allocation.  The choice of options is driven by the needs of the organisation and the maturity of its asset management practices.  There is no value in adopting a Building Hierarchy more complex than is needed.  </w:t>
      </w:r>
    </w:p>
    <w:p w:rsidR="00386247" w:rsidRPr="0062287A" w:rsidRDefault="00386247" w:rsidP="003E5B9F">
      <w:pPr>
        <w:pStyle w:val="StyleHeading3Heading3Char10ptBefore6pt"/>
      </w:pPr>
      <w:bookmarkStart w:id="451" w:name="_Toc364945289"/>
      <w:r w:rsidRPr="0062287A">
        <w:t>Basic Building Hierarchy</w:t>
      </w:r>
      <w:bookmarkEnd w:id="451"/>
    </w:p>
    <w:p w:rsidR="00386247" w:rsidRDefault="00DA0D16" w:rsidP="00412181">
      <w:pPr>
        <w:ind w:left="720"/>
      </w:pPr>
      <w:r>
        <w:t>The basic building h</w:t>
      </w:r>
      <w:r w:rsidR="00386247" w:rsidRPr="0062287A">
        <w:t>ierarchy set</w:t>
      </w:r>
      <w:r>
        <w:t>s</w:t>
      </w:r>
      <w:r w:rsidR="00386247" w:rsidRPr="0062287A">
        <w:t xml:space="preserve"> out to classify each </w:t>
      </w:r>
      <w:r w:rsidR="00E27317">
        <w:t xml:space="preserve">building </w:t>
      </w:r>
      <w:r w:rsidR="00386247" w:rsidRPr="0062287A">
        <w:t>into a single ranking level</w:t>
      </w:r>
      <w:r w:rsidR="00E27317">
        <w:t>. This will assist to the Buildings and Property Branch to prioritise maintenance response times and renew</w:t>
      </w:r>
      <w:r w:rsidR="0067277B">
        <w:t>al and upgrade decision-</w:t>
      </w:r>
      <w:r w:rsidR="00412181">
        <w:t>making.</w:t>
      </w:r>
    </w:p>
    <w:p w:rsidR="00412181" w:rsidRPr="0062287A" w:rsidRDefault="00412181" w:rsidP="00412181">
      <w:pPr>
        <w:ind w:left="720"/>
      </w:pPr>
    </w:p>
    <w:p w:rsidR="00386247" w:rsidRDefault="00386247" w:rsidP="00412181">
      <w:pPr>
        <w:ind w:left="720"/>
      </w:pPr>
      <w:r w:rsidRPr="0062287A">
        <w:t>At the basic level, buildings are ranked according to their use (building class).  Where a building has multiple uses that span different ranking levels, the building structure is usually given the ranking of the most important use while the internal areas are given the ra</w:t>
      </w:r>
      <w:r w:rsidR="00412181">
        <w:t xml:space="preserve">nkings of each particular use. </w:t>
      </w:r>
    </w:p>
    <w:p w:rsidR="00412181" w:rsidRPr="0062287A" w:rsidRDefault="00412181" w:rsidP="00412181">
      <w:pPr>
        <w:ind w:left="720"/>
      </w:pPr>
    </w:p>
    <w:p w:rsidR="00E27317" w:rsidRDefault="00E27317" w:rsidP="00412181">
      <w:pPr>
        <w:ind w:left="720"/>
      </w:pPr>
      <w:r>
        <w:t>A three</w:t>
      </w:r>
      <w:r w:rsidR="00DA0D16">
        <w:t xml:space="preserve"> </w:t>
      </w:r>
      <w:r w:rsidR="00386247" w:rsidRPr="0062287A">
        <w:t xml:space="preserve">level building hierarchy </w:t>
      </w:r>
      <w:r w:rsidR="00DA0D16">
        <w:t>has been adopted</w:t>
      </w:r>
      <w:r w:rsidR="00386247" w:rsidRPr="0062287A">
        <w:t xml:space="preserve">. The position of a building </w:t>
      </w:r>
      <w:r>
        <w:t xml:space="preserve">within the hierarchy depends on </w:t>
      </w:r>
      <w:r w:rsidR="00386247" w:rsidRPr="0062287A">
        <w:t>its</w:t>
      </w:r>
      <w:r>
        <w:t xml:space="preserve"> requirement for service delivery to the community and its</w:t>
      </w:r>
      <w:r w:rsidR="00412181">
        <w:t xml:space="preserve"> relative strategic importance.</w:t>
      </w:r>
    </w:p>
    <w:p w:rsidR="00E27317" w:rsidRDefault="00E27317" w:rsidP="00412181">
      <w:pPr>
        <w:ind w:left="720"/>
      </w:pPr>
    </w:p>
    <w:p w:rsidR="00386247" w:rsidRDefault="00386247" w:rsidP="00412181">
      <w:pPr>
        <w:keepNext/>
        <w:keepLines/>
        <w:ind w:left="720"/>
      </w:pPr>
      <w:r w:rsidRPr="0062287A">
        <w:t>The table below provides a simple way of defining the buildin</w:t>
      </w:r>
      <w:r w:rsidR="00412181">
        <w:t>g hierarchy by the building use:</w:t>
      </w:r>
    </w:p>
    <w:p w:rsidR="00386247" w:rsidRPr="0062287A" w:rsidRDefault="00386247" w:rsidP="00412181">
      <w:pPr>
        <w:keepNext/>
        <w:keepLines/>
        <w:ind w:left="720"/>
      </w:pPr>
    </w:p>
    <w:tbl>
      <w:tblPr>
        <w:tblW w:w="0" w:type="auto"/>
        <w:jc w:val="right"/>
        <w:tblBorders>
          <w:top w:val="single" w:sz="4"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30" w:type="dxa"/>
          <w:right w:w="30" w:type="dxa"/>
        </w:tblCellMar>
        <w:tblLook w:val="0000" w:firstRow="0" w:lastRow="0" w:firstColumn="0" w:lastColumn="0" w:noHBand="0" w:noVBand="0"/>
      </w:tblPr>
      <w:tblGrid>
        <w:gridCol w:w="992"/>
        <w:gridCol w:w="3969"/>
        <w:gridCol w:w="3430"/>
      </w:tblGrid>
      <w:tr w:rsidR="00386247" w:rsidRPr="0062287A" w:rsidTr="008938D3">
        <w:trPr>
          <w:cantSplit/>
          <w:jc w:val="right"/>
        </w:trPr>
        <w:tc>
          <w:tcPr>
            <w:tcW w:w="992" w:type="dxa"/>
            <w:tcBorders>
              <w:top w:val="single" w:sz="4" w:space="0" w:color="auto"/>
              <w:left w:val="single" w:sz="4" w:space="0" w:color="auto"/>
              <w:bottom w:val="single" w:sz="4" w:space="0" w:color="auto"/>
              <w:right w:val="single" w:sz="4" w:space="0" w:color="auto"/>
            </w:tcBorders>
            <w:shd w:val="clear" w:color="auto" w:fill="95B3D7" w:themeFill="accent1" w:themeFillTint="99"/>
          </w:tcPr>
          <w:p w:rsidR="00386247" w:rsidRPr="00412181" w:rsidRDefault="00386247" w:rsidP="00412181">
            <w:pPr>
              <w:keepNext/>
              <w:keepLines/>
              <w:spacing w:before="120" w:after="120"/>
              <w:jc w:val="center"/>
              <w:rPr>
                <w:rFonts w:eastAsia="Calibri"/>
                <w:b/>
              </w:rPr>
            </w:pPr>
            <w:r w:rsidRPr="00412181">
              <w:rPr>
                <w:rFonts w:eastAsia="Calibri"/>
                <w:b/>
              </w:rPr>
              <w:t>Hierarchy</w:t>
            </w:r>
          </w:p>
        </w:tc>
        <w:tc>
          <w:tcPr>
            <w:tcW w:w="3969" w:type="dxa"/>
            <w:tcBorders>
              <w:top w:val="single" w:sz="4" w:space="0" w:color="auto"/>
              <w:left w:val="single" w:sz="4" w:space="0" w:color="auto"/>
              <w:bottom w:val="single" w:sz="4" w:space="0" w:color="auto"/>
              <w:right w:val="single" w:sz="4" w:space="0" w:color="auto"/>
            </w:tcBorders>
            <w:shd w:val="clear" w:color="auto" w:fill="95B3D7" w:themeFill="accent1" w:themeFillTint="99"/>
          </w:tcPr>
          <w:p w:rsidR="00386247" w:rsidRPr="006F599F" w:rsidRDefault="00386247" w:rsidP="00412181">
            <w:pPr>
              <w:keepNext/>
              <w:keepLines/>
              <w:spacing w:before="120" w:after="120"/>
              <w:jc w:val="left"/>
              <w:rPr>
                <w:rFonts w:eastAsia="Calibri"/>
                <w:b/>
              </w:rPr>
            </w:pPr>
            <w:r w:rsidRPr="006F599F">
              <w:rPr>
                <w:rFonts w:eastAsia="Calibri"/>
                <w:b/>
              </w:rPr>
              <w:t>Building Significance</w:t>
            </w:r>
          </w:p>
        </w:tc>
        <w:tc>
          <w:tcPr>
            <w:tcW w:w="3430" w:type="dxa"/>
            <w:tcBorders>
              <w:top w:val="single" w:sz="4" w:space="0" w:color="auto"/>
              <w:left w:val="single" w:sz="4" w:space="0" w:color="auto"/>
              <w:bottom w:val="single" w:sz="4" w:space="0" w:color="auto"/>
              <w:right w:val="single" w:sz="4" w:space="0" w:color="auto"/>
            </w:tcBorders>
            <w:shd w:val="clear" w:color="auto" w:fill="95B3D7" w:themeFill="accent1" w:themeFillTint="99"/>
          </w:tcPr>
          <w:p w:rsidR="00386247" w:rsidRPr="006F599F" w:rsidRDefault="00386247" w:rsidP="00412181">
            <w:pPr>
              <w:keepNext/>
              <w:keepLines/>
              <w:spacing w:before="120" w:after="120"/>
              <w:jc w:val="left"/>
              <w:rPr>
                <w:rFonts w:eastAsia="Calibri"/>
                <w:b/>
              </w:rPr>
            </w:pPr>
            <w:r w:rsidRPr="006F599F">
              <w:rPr>
                <w:rFonts w:eastAsia="Calibri"/>
                <w:b/>
              </w:rPr>
              <w:t>Buildings Included</w:t>
            </w:r>
          </w:p>
        </w:tc>
      </w:tr>
      <w:tr w:rsidR="00386247" w:rsidRPr="00412181" w:rsidTr="008938D3">
        <w:trPr>
          <w:cantSplit/>
          <w:jc w:val="right"/>
        </w:trPr>
        <w:tc>
          <w:tcPr>
            <w:tcW w:w="992" w:type="dxa"/>
            <w:tcBorders>
              <w:top w:val="single" w:sz="4" w:space="0" w:color="auto"/>
            </w:tcBorders>
          </w:tcPr>
          <w:p w:rsidR="00386247" w:rsidRPr="00412181" w:rsidRDefault="00E27317" w:rsidP="008938D3">
            <w:pPr>
              <w:pStyle w:val="TableText1"/>
              <w:keepNext/>
              <w:keepLines/>
              <w:spacing w:before="120" w:after="120"/>
              <w:jc w:val="center"/>
              <w:rPr>
                <w:rFonts w:eastAsia="Calibri"/>
                <w:snapToGrid w:val="0"/>
                <w:sz w:val="20"/>
              </w:rPr>
            </w:pPr>
            <w:r w:rsidRPr="00412181">
              <w:rPr>
                <w:rFonts w:eastAsia="Calibri"/>
                <w:snapToGrid w:val="0"/>
                <w:sz w:val="20"/>
              </w:rPr>
              <w:t>1</w:t>
            </w:r>
          </w:p>
        </w:tc>
        <w:tc>
          <w:tcPr>
            <w:tcW w:w="3969" w:type="dxa"/>
            <w:tcBorders>
              <w:top w:val="single" w:sz="4" w:space="0" w:color="auto"/>
            </w:tcBorders>
          </w:tcPr>
          <w:p w:rsidR="00386247" w:rsidRPr="00412181" w:rsidRDefault="00E27317" w:rsidP="008938D3">
            <w:pPr>
              <w:pStyle w:val="TableText1"/>
              <w:keepNext/>
              <w:keepLines/>
              <w:spacing w:before="120" w:after="120"/>
              <w:jc w:val="left"/>
              <w:rPr>
                <w:rFonts w:eastAsia="Calibri"/>
                <w:snapToGrid w:val="0"/>
                <w:sz w:val="20"/>
              </w:rPr>
            </w:pPr>
            <w:r w:rsidRPr="00412181">
              <w:rPr>
                <w:rFonts w:eastAsia="Calibri"/>
                <w:snapToGrid w:val="0"/>
                <w:sz w:val="20"/>
              </w:rPr>
              <w:t xml:space="preserve">Facilities that serve the wider community; </w:t>
            </w:r>
            <w:r w:rsidR="00386247" w:rsidRPr="00412181">
              <w:rPr>
                <w:rFonts w:eastAsia="Calibri"/>
                <w:snapToGrid w:val="0"/>
                <w:sz w:val="20"/>
              </w:rPr>
              <w:t>th</w:t>
            </w:r>
            <w:r w:rsidRPr="00412181">
              <w:rPr>
                <w:rFonts w:eastAsia="Calibri"/>
                <w:snapToGrid w:val="0"/>
                <w:sz w:val="20"/>
              </w:rPr>
              <w:t>at are a critical service</w:t>
            </w:r>
            <w:r w:rsidR="00386247" w:rsidRPr="00412181">
              <w:rPr>
                <w:rFonts w:eastAsia="Calibri"/>
                <w:snapToGrid w:val="0"/>
                <w:sz w:val="20"/>
              </w:rPr>
              <w:t>.</w:t>
            </w:r>
          </w:p>
        </w:tc>
        <w:tc>
          <w:tcPr>
            <w:tcW w:w="3430" w:type="dxa"/>
            <w:tcBorders>
              <w:top w:val="single" w:sz="4" w:space="0" w:color="auto"/>
            </w:tcBorders>
            <w:shd w:val="solid" w:color="FFFFFF" w:fill="auto"/>
          </w:tcPr>
          <w:p w:rsidR="00386247" w:rsidRPr="00412181" w:rsidRDefault="008938D3" w:rsidP="008938D3">
            <w:pPr>
              <w:pStyle w:val="TableText1"/>
              <w:keepNext/>
              <w:keepLines/>
              <w:spacing w:before="120" w:after="120"/>
              <w:jc w:val="left"/>
              <w:rPr>
                <w:rFonts w:eastAsia="Calibri"/>
                <w:snapToGrid w:val="0"/>
                <w:sz w:val="20"/>
              </w:rPr>
            </w:pPr>
            <w:r>
              <w:rPr>
                <w:rFonts w:eastAsia="Calibri"/>
                <w:snapToGrid w:val="0"/>
                <w:sz w:val="20"/>
              </w:rPr>
              <w:t>Child Care Centres/</w:t>
            </w:r>
            <w:r w:rsidR="00386247" w:rsidRPr="00412181">
              <w:rPr>
                <w:rFonts w:eastAsia="Calibri"/>
                <w:snapToGrid w:val="0"/>
                <w:sz w:val="20"/>
              </w:rPr>
              <w:t>Kindergartens</w:t>
            </w:r>
          </w:p>
          <w:p w:rsidR="00386247" w:rsidRPr="00412181" w:rsidRDefault="00386247" w:rsidP="008938D3">
            <w:pPr>
              <w:pStyle w:val="TableText1"/>
              <w:keepNext/>
              <w:keepLines/>
              <w:spacing w:before="120" w:after="120"/>
              <w:jc w:val="left"/>
              <w:rPr>
                <w:rFonts w:eastAsia="Calibri"/>
                <w:snapToGrid w:val="0"/>
                <w:sz w:val="20"/>
              </w:rPr>
            </w:pPr>
            <w:r w:rsidRPr="00412181">
              <w:rPr>
                <w:rFonts w:eastAsia="Calibri"/>
                <w:snapToGrid w:val="0"/>
                <w:sz w:val="20"/>
              </w:rPr>
              <w:t>Leisure Centres</w:t>
            </w:r>
          </w:p>
          <w:p w:rsidR="00386247" w:rsidRPr="00412181" w:rsidRDefault="008938D3" w:rsidP="008938D3">
            <w:pPr>
              <w:pStyle w:val="TableText1"/>
              <w:keepNext/>
              <w:keepLines/>
              <w:spacing w:before="120" w:after="120"/>
              <w:jc w:val="left"/>
              <w:rPr>
                <w:rFonts w:eastAsia="Calibri"/>
                <w:snapToGrid w:val="0"/>
                <w:sz w:val="20"/>
              </w:rPr>
            </w:pPr>
            <w:r>
              <w:rPr>
                <w:rFonts w:eastAsia="Calibri"/>
                <w:snapToGrid w:val="0"/>
                <w:sz w:val="20"/>
              </w:rPr>
              <w:t>Maternal and</w:t>
            </w:r>
            <w:r w:rsidR="00386247" w:rsidRPr="00412181">
              <w:rPr>
                <w:rFonts w:eastAsia="Calibri"/>
                <w:snapToGrid w:val="0"/>
                <w:sz w:val="20"/>
              </w:rPr>
              <w:t xml:space="preserve"> Child Health Centres</w:t>
            </w:r>
          </w:p>
          <w:p w:rsidR="00386247" w:rsidRPr="00412181" w:rsidRDefault="00386247" w:rsidP="008938D3">
            <w:pPr>
              <w:pStyle w:val="TableText1"/>
              <w:keepNext/>
              <w:keepLines/>
              <w:spacing w:before="120" w:after="120"/>
              <w:jc w:val="left"/>
              <w:rPr>
                <w:rFonts w:eastAsia="Calibri"/>
                <w:snapToGrid w:val="0"/>
                <w:sz w:val="20"/>
              </w:rPr>
            </w:pPr>
            <w:r w:rsidRPr="00412181">
              <w:rPr>
                <w:rFonts w:eastAsia="Calibri"/>
                <w:snapToGrid w:val="0"/>
                <w:sz w:val="20"/>
              </w:rPr>
              <w:t>Libraries</w:t>
            </w:r>
            <w:r w:rsidR="00E27317" w:rsidRPr="00412181">
              <w:rPr>
                <w:rFonts w:eastAsia="Calibri"/>
                <w:snapToGrid w:val="0"/>
                <w:sz w:val="20"/>
              </w:rPr>
              <w:t>, Public Toilets</w:t>
            </w:r>
          </w:p>
          <w:p w:rsidR="00E27317" w:rsidRPr="00412181" w:rsidRDefault="00E27317" w:rsidP="008938D3">
            <w:pPr>
              <w:pStyle w:val="TableText1"/>
              <w:keepNext/>
              <w:keepLines/>
              <w:spacing w:before="120" w:after="120"/>
              <w:jc w:val="left"/>
              <w:rPr>
                <w:rFonts w:eastAsia="Calibri"/>
                <w:snapToGrid w:val="0"/>
                <w:sz w:val="20"/>
              </w:rPr>
            </w:pPr>
            <w:r w:rsidRPr="00412181">
              <w:rPr>
                <w:rFonts w:eastAsia="Calibri"/>
                <w:snapToGrid w:val="0"/>
                <w:sz w:val="20"/>
              </w:rPr>
              <w:t xml:space="preserve">Seniors </w:t>
            </w:r>
            <w:r w:rsidR="00386247" w:rsidRPr="00412181">
              <w:rPr>
                <w:rFonts w:eastAsia="Calibri"/>
                <w:snapToGrid w:val="0"/>
                <w:sz w:val="20"/>
              </w:rPr>
              <w:t>Centres</w:t>
            </w:r>
            <w:r w:rsidRPr="00412181">
              <w:rPr>
                <w:rFonts w:eastAsia="Calibri"/>
                <w:snapToGrid w:val="0"/>
                <w:sz w:val="20"/>
              </w:rPr>
              <w:t>, Youth Centres</w:t>
            </w:r>
          </w:p>
          <w:p w:rsidR="00E27317" w:rsidRPr="00412181" w:rsidRDefault="00E27317" w:rsidP="008938D3">
            <w:pPr>
              <w:pStyle w:val="TableText1"/>
              <w:keepNext/>
              <w:keepLines/>
              <w:spacing w:before="120" w:after="120"/>
              <w:jc w:val="left"/>
              <w:rPr>
                <w:rFonts w:eastAsia="Calibri"/>
                <w:snapToGrid w:val="0"/>
                <w:sz w:val="20"/>
              </w:rPr>
            </w:pPr>
            <w:r w:rsidRPr="00412181">
              <w:rPr>
                <w:rFonts w:eastAsia="Calibri"/>
                <w:snapToGrid w:val="0"/>
                <w:sz w:val="20"/>
              </w:rPr>
              <w:t>Neighbourhood Houses</w:t>
            </w:r>
          </w:p>
        </w:tc>
      </w:tr>
      <w:tr w:rsidR="00E27317" w:rsidRPr="00412181" w:rsidTr="008938D3">
        <w:trPr>
          <w:cantSplit/>
          <w:jc w:val="right"/>
        </w:trPr>
        <w:tc>
          <w:tcPr>
            <w:tcW w:w="992" w:type="dxa"/>
          </w:tcPr>
          <w:p w:rsidR="00E27317" w:rsidRPr="00412181" w:rsidRDefault="00E27317" w:rsidP="008938D3">
            <w:pPr>
              <w:pStyle w:val="TableText1"/>
              <w:spacing w:before="120" w:after="120"/>
              <w:jc w:val="center"/>
              <w:rPr>
                <w:rFonts w:eastAsia="Calibri"/>
                <w:snapToGrid w:val="0"/>
                <w:sz w:val="20"/>
              </w:rPr>
            </w:pPr>
            <w:r w:rsidRPr="00412181">
              <w:rPr>
                <w:rFonts w:eastAsia="Calibri"/>
                <w:snapToGrid w:val="0"/>
                <w:sz w:val="20"/>
              </w:rPr>
              <w:t>2</w:t>
            </w:r>
          </w:p>
        </w:tc>
        <w:tc>
          <w:tcPr>
            <w:tcW w:w="3969" w:type="dxa"/>
          </w:tcPr>
          <w:p w:rsidR="00E27317" w:rsidRPr="00412181" w:rsidRDefault="00E27317" w:rsidP="008938D3">
            <w:pPr>
              <w:pStyle w:val="TableText1"/>
              <w:spacing w:before="120" w:after="120"/>
              <w:jc w:val="left"/>
              <w:rPr>
                <w:rFonts w:eastAsia="Calibri"/>
                <w:snapToGrid w:val="0"/>
                <w:sz w:val="20"/>
              </w:rPr>
            </w:pPr>
            <w:r w:rsidRPr="00412181">
              <w:rPr>
                <w:rFonts w:eastAsia="Calibri"/>
                <w:snapToGrid w:val="0"/>
                <w:sz w:val="20"/>
              </w:rPr>
              <w:t>Facilities required for Council operations or with heritage and cultural significance.</w:t>
            </w:r>
          </w:p>
          <w:p w:rsidR="00E27317" w:rsidRPr="00412181" w:rsidRDefault="00E27317" w:rsidP="008938D3">
            <w:pPr>
              <w:pStyle w:val="TableText1"/>
              <w:spacing w:before="120" w:after="120"/>
              <w:jc w:val="left"/>
              <w:rPr>
                <w:rFonts w:eastAsia="Calibri"/>
                <w:snapToGrid w:val="0"/>
                <w:sz w:val="20"/>
              </w:rPr>
            </w:pPr>
            <w:r w:rsidRPr="00412181">
              <w:rPr>
                <w:rFonts w:eastAsia="Calibri"/>
                <w:snapToGrid w:val="0"/>
                <w:sz w:val="20"/>
              </w:rPr>
              <w:t>Facilities that support passive and active recreation.</w:t>
            </w:r>
          </w:p>
        </w:tc>
        <w:tc>
          <w:tcPr>
            <w:tcW w:w="3430" w:type="dxa"/>
            <w:shd w:val="solid" w:color="FFFFFF" w:fill="auto"/>
          </w:tcPr>
          <w:p w:rsidR="00E27317" w:rsidRPr="00412181" w:rsidRDefault="00E27317" w:rsidP="008938D3">
            <w:pPr>
              <w:pStyle w:val="TableText1"/>
              <w:spacing w:before="120" w:after="120"/>
              <w:jc w:val="left"/>
              <w:rPr>
                <w:rFonts w:eastAsia="Calibri"/>
                <w:snapToGrid w:val="0"/>
                <w:sz w:val="20"/>
              </w:rPr>
            </w:pPr>
            <w:r w:rsidRPr="00412181">
              <w:rPr>
                <w:rFonts w:eastAsia="Calibri"/>
                <w:snapToGrid w:val="0"/>
                <w:sz w:val="20"/>
              </w:rPr>
              <w:t>Town Halls, Depot Administration Buildings, Heritage Buildings</w:t>
            </w:r>
          </w:p>
          <w:p w:rsidR="00E27317" w:rsidRPr="00412181" w:rsidRDefault="008938D3" w:rsidP="00A03CCD">
            <w:pPr>
              <w:pStyle w:val="TableText1"/>
              <w:spacing w:before="120" w:after="120"/>
              <w:jc w:val="left"/>
              <w:rPr>
                <w:rFonts w:eastAsia="Calibri"/>
                <w:snapToGrid w:val="0"/>
                <w:sz w:val="20"/>
              </w:rPr>
            </w:pPr>
            <w:r>
              <w:rPr>
                <w:rFonts w:eastAsia="Calibri"/>
                <w:snapToGrid w:val="0"/>
                <w:sz w:val="20"/>
              </w:rPr>
              <w:t>Community Halls/</w:t>
            </w:r>
            <w:r w:rsidR="00A03CCD">
              <w:rPr>
                <w:rFonts w:eastAsia="Calibri"/>
                <w:snapToGrid w:val="0"/>
                <w:sz w:val="20"/>
              </w:rPr>
              <w:t xml:space="preserve">Pavilions/ </w:t>
            </w:r>
            <w:r w:rsidR="00E27317" w:rsidRPr="00412181">
              <w:rPr>
                <w:rFonts w:eastAsia="Calibri"/>
                <w:snapToGrid w:val="0"/>
                <w:sz w:val="20"/>
              </w:rPr>
              <w:t xml:space="preserve">Grandstands </w:t>
            </w:r>
          </w:p>
        </w:tc>
      </w:tr>
      <w:tr w:rsidR="00E27317" w:rsidRPr="00412181" w:rsidTr="008938D3">
        <w:trPr>
          <w:cantSplit/>
          <w:jc w:val="right"/>
        </w:trPr>
        <w:tc>
          <w:tcPr>
            <w:tcW w:w="992" w:type="dxa"/>
          </w:tcPr>
          <w:p w:rsidR="00E27317" w:rsidRPr="00412181" w:rsidRDefault="00E27317" w:rsidP="008938D3">
            <w:pPr>
              <w:pStyle w:val="TableText1"/>
              <w:spacing w:before="120" w:after="120"/>
              <w:jc w:val="center"/>
              <w:rPr>
                <w:rFonts w:eastAsia="Calibri"/>
                <w:snapToGrid w:val="0"/>
                <w:sz w:val="20"/>
              </w:rPr>
            </w:pPr>
            <w:r w:rsidRPr="00412181">
              <w:rPr>
                <w:rFonts w:eastAsia="Calibri"/>
                <w:snapToGrid w:val="0"/>
                <w:sz w:val="20"/>
              </w:rPr>
              <w:t>3</w:t>
            </w:r>
          </w:p>
        </w:tc>
        <w:tc>
          <w:tcPr>
            <w:tcW w:w="3969" w:type="dxa"/>
          </w:tcPr>
          <w:p w:rsidR="00E27317" w:rsidRPr="00412181" w:rsidRDefault="00E27317" w:rsidP="008938D3">
            <w:pPr>
              <w:pStyle w:val="TableText1"/>
              <w:spacing w:before="120" w:after="120"/>
              <w:jc w:val="left"/>
              <w:rPr>
                <w:rFonts w:eastAsia="Calibri"/>
                <w:snapToGrid w:val="0"/>
                <w:sz w:val="20"/>
              </w:rPr>
            </w:pPr>
            <w:r w:rsidRPr="00412181">
              <w:rPr>
                <w:rFonts w:eastAsia="Calibri"/>
                <w:snapToGrid w:val="0"/>
                <w:sz w:val="20"/>
              </w:rPr>
              <w:t xml:space="preserve">Non critical assets where purely functional performance is acceptable. </w:t>
            </w:r>
          </w:p>
        </w:tc>
        <w:tc>
          <w:tcPr>
            <w:tcW w:w="3430" w:type="dxa"/>
            <w:shd w:val="solid" w:color="FFFFFF" w:fill="auto"/>
          </w:tcPr>
          <w:p w:rsidR="00E27317" w:rsidRPr="00412181" w:rsidRDefault="008938D3" w:rsidP="008938D3">
            <w:pPr>
              <w:pStyle w:val="TableText1"/>
              <w:spacing w:before="120" w:after="120"/>
              <w:jc w:val="left"/>
              <w:rPr>
                <w:rFonts w:eastAsia="Calibri"/>
                <w:snapToGrid w:val="0"/>
                <w:sz w:val="20"/>
              </w:rPr>
            </w:pPr>
            <w:r>
              <w:rPr>
                <w:rFonts w:eastAsia="Calibri"/>
                <w:snapToGrid w:val="0"/>
                <w:sz w:val="20"/>
              </w:rPr>
              <w:t>Storage sheds</w:t>
            </w:r>
            <w:r w:rsidR="00E27317" w:rsidRPr="00412181">
              <w:rPr>
                <w:rFonts w:eastAsia="Calibri"/>
                <w:snapToGrid w:val="0"/>
                <w:sz w:val="20"/>
              </w:rPr>
              <w:t>/garages</w:t>
            </w:r>
          </w:p>
          <w:p w:rsidR="00E27317" w:rsidRPr="00412181" w:rsidRDefault="008938D3" w:rsidP="008938D3">
            <w:pPr>
              <w:pStyle w:val="TableText1"/>
              <w:spacing w:before="120" w:after="120"/>
              <w:jc w:val="left"/>
              <w:rPr>
                <w:rFonts w:eastAsia="Calibri"/>
                <w:snapToGrid w:val="0"/>
                <w:sz w:val="20"/>
              </w:rPr>
            </w:pPr>
            <w:r>
              <w:rPr>
                <w:rFonts w:eastAsia="Calibri"/>
                <w:snapToGrid w:val="0"/>
                <w:sz w:val="20"/>
              </w:rPr>
              <w:t>Rotunda</w:t>
            </w:r>
            <w:r w:rsidR="00E27317" w:rsidRPr="00412181">
              <w:rPr>
                <w:rFonts w:eastAsia="Calibri"/>
                <w:snapToGrid w:val="0"/>
                <w:sz w:val="20"/>
              </w:rPr>
              <w:t>/Gazebos/Shelters</w:t>
            </w:r>
          </w:p>
          <w:p w:rsidR="00E27317" w:rsidRPr="00412181" w:rsidRDefault="008938D3" w:rsidP="008938D3">
            <w:pPr>
              <w:pStyle w:val="TableText1"/>
              <w:spacing w:before="120" w:after="120"/>
              <w:jc w:val="left"/>
              <w:rPr>
                <w:rFonts w:eastAsia="Calibri"/>
                <w:snapToGrid w:val="0"/>
                <w:sz w:val="20"/>
              </w:rPr>
            </w:pPr>
            <w:r>
              <w:rPr>
                <w:rFonts w:eastAsia="Calibri"/>
                <w:snapToGrid w:val="0"/>
                <w:sz w:val="20"/>
              </w:rPr>
              <w:t>Ticket box</w:t>
            </w:r>
            <w:r w:rsidR="00E27317" w:rsidRPr="00412181">
              <w:rPr>
                <w:rFonts w:eastAsia="Calibri"/>
                <w:snapToGrid w:val="0"/>
                <w:sz w:val="20"/>
              </w:rPr>
              <w:t>/scoreboards</w:t>
            </w:r>
          </w:p>
        </w:tc>
      </w:tr>
    </w:tbl>
    <w:p w:rsidR="008C5B9E" w:rsidRPr="0024611A" w:rsidRDefault="008C5B9E" w:rsidP="008C5B9E">
      <w:pPr>
        <w:pStyle w:val="Caption"/>
        <w:spacing w:before="240" w:after="240"/>
        <w:ind w:left="720"/>
        <w:jc w:val="center"/>
        <w:rPr>
          <w:rFonts w:ascii="Arial" w:hAnsi="Arial"/>
          <w:i w:val="0"/>
          <w:iCs w:val="0"/>
          <w:sz w:val="20"/>
          <w:lang w:val="en-AU"/>
        </w:rPr>
      </w:pPr>
      <w:bookmarkStart w:id="452" w:name="_Toc364945434"/>
      <w:r w:rsidRPr="0024611A">
        <w:rPr>
          <w:rFonts w:ascii="Arial" w:hAnsi="Arial"/>
          <w:i w:val="0"/>
          <w:iCs w:val="0"/>
          <w:sz w:val="20"/>
          <w:lang w:val="en-AU"/>
        </w:rPr>
        <w:t xml:space="preserve">Table </w:t>
      </w:r>
      <w:r w:rsidR="0090414C" w:rsidRPr="0024611A">
        <w:rPr>
          <w:rFonts w:ascii="Arial" w:hAnsi="Arial"/>
          <w:i w:val="0"/>
          <w:iCs w:val="0"/>
          <w:sz w:val="20"/>
          <w:lang w:val="en-AU"/>
        </w:rPr>
        <w:fldChar w:fldCharType="begin"/>
      </w:r>
      <w:r w:rsidRPr="0024611A">
        <w:rPr>
          <w:rFonts w:ascii="Arial" w:hAnsi="Arial"/>
          <w:i w:val="0"/>
          <w:iCs w:val="0"/>
          <w:sz w:val="20"/>
          <w:lang w:val="en-AU"/>
        </w:rPr>
        <w:instrText xml:space="preserve"> SEQ Table \* ARABIC </w:instrText>
      </w:r>
      <w:r w:rsidR="0090414C" w:rsidRPr="0024611A">
        <w:rPr>
          <w:rFonts w:ascii="Arial" w:hAnsi="Arial"/>
          <w:i w:val="0"/>
          <w:iCs w:val="0"/>
          <w:sz w:val="20"/>
          <w:lang w:val="en-AU"/>
        </w:rPr>
        <w:fldChar w:fldCharType="separate"/>
      </w:r>
      <w:r w:rsidR="00751CEC">
        <w:rPr>
          <w:rFonts w:ascii="Arial" w:hAnsi="Arial"/>
          <w:i w:val="0"/>
          <w:iCs w:val="0"/>
          <w:noProof/>
          <w:sz w:val="20"/>
          <w:lang w:val="en-AU"/>
        </w:rPr>
        <w:t>30</w:t>
      </w:r>
      <w:r w:rsidR="0090414C" w:rsidRPr="0024611A">
        <w:rPr>
          <w:rFonts w:ascii="Arial" w:hAnsi="Arial"/>
          <w:i w:val="0"/>
          <w:iCs w:val="0"/>
          <w:sz w:val="20"/>
          <w:lang w:val="en-AU"/>
        </w:rPr>
        <w:fldChar w:fldCharType="end"/>
      </w:r>
      <w:r w:rsidRPr="0024611A">
        <w:rPr>
          <w:rFonts w:ascii="Arial" w:hAnsi="Arial"/>
          <w:i w:val="0"/>
          <w:iCs w:val="0"/>
          <w:sz w:val="20"/>
          <w:lang w:val="en-AU"/>
        </w:rPr>
        <w:t>:  Building Significance Hierarchy</w:t>
      </w:r>
      <w:bookmarkEnd w:id="452"/>
    </w:p>
    <w:p w:rsidR="00C51FF9" w:rsidRPr="00636348" w:rsidRDefault="00C51FF9" w:rsidP="003E5B9F">
      <w:pPr>
        <w:pStyle w:val="StyleHeading3Heading3Char10ptBefore6pt"/>
      </w:pPr>
      <w:bookmarkStart w:id="453" w:name="_Toc364945290"/>
      <w:r w:rsidRPr="00636348">
        <w:t>Critical Assets</w:t>
      </w:r>
      <w:bookmarkEnd w:id="453"/>
      <w:r w:rsidRPr="00636348">
        <w:t xml:space="preserve"> </w:t>
      </w:r>
    </w:p>
    <w:p w:rsidR="00C51FF9" w:rsidRDefault="00C51FF9" w:rsidP="00C2374A">
      <w:pPr>
        <w:ind w:left="720"/>
      </w:pPr>
      <w:r w:rsidRPr="00E65525">
        <w:t xml:space="preserve">It is important to identify </w:t>
      </w:r>
      <w:r w:rsidRPr="00E1108C">
        <w:t>Critical Building Assets</w:t>
      </w:r>
      <w:r w:rsidRPr="00E65525">
        <w:t xml:space="preserve"> and the risk associated with maintaining those critical assets.</w:t>
      </w:r>
      <w:r w:rsidRPr="00E65525">
        <w:rPr>
          <w:b/>
        </w:rPr>
        <w:t xml:space="preserve"> </w:t>
      </w:r>
      <w:r w:rsidRPr="00E65525">
        <w:t>Critical assets are defined as those assets that are maintained by the Building Maintenance Branch which have a high consequence if they fail, but not necessarily a high probability of failure. By identifying these critical assets (and critical failure modes) the Branch can develop inspection regimes’, maintenance plans and capital works programs for those critical assets.</w:t>
      </w:r>
    </w:p>
    <w:p w:rsidR="00C2374A" w:rsidRPr="00E65525" w:rsidRDefault="00C2374A" w:rsidP="00C2374A">
      <w:pPr>
        <w:ind w:left="720"/>
      </w:pPr>
    </w:p>
    <w:p w:rsidR="00C51FF9" w:rsidRDefault="00C51FF9" w:rsidP="00C2374A">
      <w:pPr>
        <w:ind w:left="720"/>
      </w:pPr>
      <w:r w:rsidRPr="00E65525">
        <w:t>Council’s policy on significance identifies heritage listed buildings as part of the council’s strategic assets. These assets must be preserved at all costs for future generations and, by default, are critical assets.</w:t>
      </w:r>
    </w:p>
    <w:p w:rsidR="00C2374A" w:rsidRPr="00E65525" w:rsidRDefault="00C2374A" w:rsidP="00C2374A">
      <w:pPr>
        <w:ind w:left="720"/>
      </w:pPr>
    </w:p>
    <w:p w:rsidR="00C51FF9" w:rsidRDefault="00C51FF9" w:rsidP="00C2374A">
      <w:pPr>
        <w:ind w:left="720"/>
      </w:pPr>
      <w:r w:rsidRPr="00E65525">
        <w:t>For the purpose of this Plan other building assets can be considered as critical even though they may not be significant from the perspective of heritage, historical or cultural value.</w:t>
      </w:r>
    </w:p>
    <w:p w:rsidR="00C2374A" w:rsidRPr="00E65525" w:rsidRDefault="00C2374A" w:rsidP="00C2374A">
      <w:pPr>
        <w:ind w:left="720"/>
      </w:pPr>
    </w:p>
    <w:p w:rsidR="00C51FF9" w:rsidRPr="002B10A6" w:rsidRDefault="00C51FF9" w:rsidP="00C2374A">
      <w:pPr>
        <w:ind w:left="720"/>
        <w:rPr>
          <w:rFonts w:cs="Arial"/>
        </w:rPr>
      </w:pPr>
      <w:r w:rsidRPr="002B10A6">
        <w:rPr>
          <w:rFonts w:cs="Arial"/>
        </w:rPr>
        <w:t>Heritage places are important for enriching our lives and our communities. Buildings, areas, landscapes and other places of heritage value provide a window to the past and to the very origins of our communities. Heritage places also add character, appeal and interest to our cities, towns and countryside. They are irreplaceable and precious.</w:t>
      </w:r>
    </w:p>
    <w:p w:rsidR="00C51FF9" w:rsidRPr="002B10A6" w:rsidRDefault="00C51FF9" w:rsidP="00C2374A">
      <w:pPr>
        <w:ind w:left="720"/>
        <w:rPr>
          <w:rFonts w:cs="Arial"/>
        </w:rPr>
      </w:pPr>
    </w:p>
    <w:p w:rsidR="00C51FF9" w:rsidRPr="002B10A6" w:rsidRDefault="00C51FF9" w:rsidP="00C2374A">
      <w:pPr>
        <w:ind w:left="720"/>
        <w:rPr>
          <w:rFonts w:cs="Arial"/>
        </w:rPr>
      </w:pPr>
      <w:r w:rsidRPr="002B10A6">
        <w:rPr>
          <w:rFonts w:cs="Arial"/>
        </w:rPr>
        <w:t xml:space="preserve">Council owns or manages </w:t>
      </w:r>
      <w:r w:rsidR="00D90FDE">
        <w:rPr>
          <w:rFonts w:cs="Arial"/>
        </w:rPr>
        <w:t>eight</w:t>
      </w:r>
      <w:r w:rsidRPr="002B10A6">
        <w:rPr>
          <w:rFonts w:cs="Arial"/>
        </w:rPr>
        <w:t xml:space="preserve"> heritage listed buildings which represent</w:t>
      </w:r>
      <w:r w:rsidR="00D90FDE">
        <w:rPr>
          <w:rFonts w:cs="Arial"/>
        </w:rPr>
        <w:t xml:space="preserve"> significant values as part of the</w:t>
      </w:r>
      <w:r w:rsidRPr="002B10A6">
        <w:rPr>
          <w:rFonts w:cs="Arial"/>
        </w:rPr>
        <w:t xml:space="preserve"> building portfolio.</w:t>
      </w:r>
    </w:p>
    <w:p w:rsidR="00C51FF9" w:rsidRPr="002B10A6" w:rsidRDefault="00C51FF9" w:rsidP="00C2374A">
      <w:pPr>
        <w:ind w:left="720"/>
        <w:rPr>
          <w:rFonts w:cs="Arial"/>
        </w:rPr>
      </w:pPr>
    </w:p>
    <w:p w:rsidR="00C51FF9" w:rsidRPr="002B10A6" w:rsidRDefault="00C51FF9" w:rsidP="00C2374A">
      <w:pPr>
        <w:ind w:left="720"/>
        <w:rPr>
          <w:rFonts w:cs="Arial"/>
        </w:rPr>
      </w:pPr>
      <w:r w:rsidRPr="002B10A6">
        <w:rPr>
          <w:rFonts w:cs="Arial"/>
        </w:rPr>
        <w:t>Heritage listed buildings are managed within a Heritage Overlay. The purpose of the Overlay is to protect the heritage significance of a building, place or area.</w:t>
      </w:r>
    </w:p>
    <w:p w:rsidR="00C51FF9" w:rsidRPr="002B10A6" w:rsidRDefault="00C51FF9" w:rsidP="00C2374A">
      <w:pPr>
        <w:ind w:left="720"/>
        <w:rPr>
          <w:rFonts w:cs="Arial"/>
        </w:rPr>
      </w:pPr>
    </w:p>
    <w:p w:rsidR="00C51FF9" w:rsidRDefault="00C51FF9" w:rsidP="00C2374A">
      <w:pPr>
        <w:ind w:left="720"/>
        <w:rPr>
          <w:rFonts w:cs="Arial"/>
        </w:rPr>
      </w:pPr>
      <w:r w:rsidRPr="002B10A6">
        <w:rPr>
          <w:rFonts w:cs="Arial"/>
        </w:rPr>
        <w:t>Under the Heritage Overlay a planning permit is required from the council to:</w:t>
      </w:r>
    </w:p>
    <w:p w:rsidR="00C2374A" w:rsidRPr="002B10A6" w:rsidRDefault="00C2374A" w:rsidP="00C2374A">
      <w:pPr>
        <w:ind w:left="720"/>
        <w:rPr>
          <w:rFonts w:cs="Arial"/>
        </w:rPr>
      </w:pPr>
    </w:p>
    <w:p w:rsidR="00C51FF9" w:rsidRPr="00C2374A" w:rsidRDefault="00C51FF9" w:rsidP="008348B5">
      <w:pPr>
        <w:pStyle w:val="ListParagraph"/>
        <w:numPr>
          <w:ilvl w:val="0"/>
          <w:numId w:val="79"/>
        </w:numPr>
        <w:rPr>
          <w:rFonts w:ascii="Arial" w:hAnsi="Arial" w:cs="Arial"/>
          <w:sz w:val="20"/>
        </w:rPr>
      </w:pPr>
      <w:r w:rsidRPr="00C2374A">
        <w:rPr>
          <w:rFonts w:ascii="Arial" w:hAnsi="Arial" w:cs="Arial"/>
          <w:sz w:val="20"/>
        </w:rPr>
        <w:t>Subdivide or consolidate land;</w:t>
      </w:r>
    </w:p>
    <w:p w:rsidR="00C51FF9" w:rsidRPr="00C2374A" w:rsidRDefault="00C51FF9" w:rsidP="008348B5">
      <w:pPr>
        <w:pStyle w:val="ListParagraph"/>
        <w:numPr>
          <w:ilvl w:val="0"/>
          <w:numId w:val="79"/>
        </w:numPr>
        <w:rPr>
          <w:rFonts w:ascii="Arial" w:hAnsi="Arial" w:cs="Arial"/>
          <w:sz w:val="20"/>
        </w:rPr>
      </w:pPr>
      <w:r w:rsidRPr="00C2374A">
        <w:rPr>
          <w:rFonts w:ascii="Arial" w:hAnsi="Arial" w:cs="Arial"/>
          <w:sz w:val="20"/>
        </w:rPr>
        <w:t>Demolish or remove a building (including part of a building);</w:t>
      </w:r>
    </w:p>
    <w:p w:rsidR="00C51FF9" w:rsidRPr="00C2374A" w:rsidRDefault="00C51FF9" w:rsidP="008348B5">
      <w:pPr>
        <w:pStyle w:val="ListParagraph"/>
        <w:numPr>
          <w:ilvl w:val="0"/>
          <w:numId w:val="79"/>
        </w:numPr>
        <w:rPr>
          <w:rFonts w:ascii="Arial" w:hAnsi="Arial" w:cs="Arial"/>
          <w:sz w:val="20"/>
        </w:rPr>
      </w:pPr>
      <w:r w:rsidRPr="00C2374A">
        <w:rPr>
          <w:rFonts w:ascii="Arial" w:hAnsi="Arial" w:cs="Arial"/>
          <w:sz w:val="20"/>
        </w:rPr>
        <w:t>Construct a building (including part of a building, or a fence);</w:t>
      </w:r>
    </w:p>
    <w:p w:rsidR="00C51FF9" w:rsidRPr="00C2374A" w:rsidRDefault="00C51FF9" w:rsidP="008348B5">
      <w:pPr>
        <w:pStyle w:val="ListParagraph"/>
        <w:numPr>
          <w:ilvl w:val="0"/>
          <w:numId w:val="79"/>
        </w:numPr>
        <w:rPr>
          <w:rFonts w:ascii="Arial" w:hAnsi="Arial" w:cs="Arial"/>
          <w:sz w:val="20"/>
        </w:rPr>
      </w:pPr>
      <w:r w:rsidRPr="00C2374A">
        <w:rPr>
          <w:rFonts w:ascii="Arial" w:hAnsi="Arial" w:cs="Arial"/>
          <w:sz w:val="20"/>
        </w:rPr>
        <w:t>Externally alter a building;</w:t>
      </w:r>
    </w:p>
    <w:p w:rsidR="00C51FF9" w:rsidRPr="00C2374A" w:rsidRDefault="00C51FF9" w:rsidP="008348B5">
      <w:pPr>
        <w:pStyle w:val="ListParagraph"/>
        <w:numPr>
          <w:ilvl w:val="0"/>
          <w:numId w:val="79"/>
        </w:numPr>
        <w:rPr>
          <w:rFonts w:ascii="Arial" w:hAnsi="Arial" w:cs="Arial"/>
          <w:sz w:val="20"/>
        </w:rPr>
      </w:pPr>
      <w:r w:rsidRPr="00C2374A">
        <w:rPr>
          <w:rFonts w:ascii="Arial" w:hAnsi="Arial" w:cs="Arial"/>
          <w:sz w:val="20"/>
        </w:rPr>
        <w:t>Construct or carry out works;</w:t>
      </w:r>
    </w:p>
    <w:p w:rsidR="00C51FF9" w:rsidRPr="00C2374A" w:rsidRDefault="00C51FF9" w:rsidP="008348B5">
      <w:pPr>
        <w:pStyle w:val="ListParagraph"/>
        <w:numPr>
          <w:ilvl w:val="0"/>
          <w:numId w:val="79"/>
        </w:numPr>
        <w:rPr>
          <w:rFonts w:ascii="Arial" w:hAnsi="Arial" w:cs="Arial"/>
          <w:sz w:val="20"/>
        </w:rPr>
      </w:pPr>
      <w:r w:rsidRPr="00C2374A">
        <w:rPr>
          <w:rFonts w:ascii="Arial" w:hAnsi="Arial" w:cs="Arial"/>
          <w:sz w:val="20"/>
        </w:rPr>
        <w:t>Construct or display a sign;</w:t>
      </w:r>
    </w:p>
    <w:p w:rsidR="00C51FF9" w:rsidRPr="00C2374A" w:rsidRDefault="00C51FF9" w:rsidP="008348B5">
      <w:pPr>
        <w:pStyle w:val="ListParagraph"/>
        <w:numPr>
          <w:ilvl w:val="0"/>
          <w:numId w:val="79"/>
        </w:numPr>
        <w:rPr>
          <w:rFonts w:ascii="Arial" w:hAnsi="Arial" w:cs="Arial"/>
          <w:sz w:val="20"/>
        </w:rPr>
      </w:pPr>
      <w:r w:rsidRPr="00C2374A">
        <w:rPr>
          <w:rFonts w:ascii="Arial" w:hAnsi="Arial" w:cs="Arial"/>
          <w:sz w:val="20"/>
        </w:rPr>
        <w:t>Externally paint an unpainted surface; and</w:t>
      </w:r>
    </w:p>
    <w:p w:rsidR="00C51FF9" w:rsidRPr="00C2374A" w:rsidRDefault="00C51FF9" w:rsidP="008348B5">
      <w:pPr>
        <w:pStyle w:val="ListParagraph"/>
        <w:numPr>
          <w:ilvl w:val="0"/>
          <w:numId w:val="79"/>
        </w:numPr>
        <w:rPr>
          <w:rFonts w:ascii="Arial" w:hAnsi="Arial" w:cs="Arial"/>
          <w:sz w:val="20"/>
        </w:rPr>
      </w:pPr>
      <w:r w:rsidRPr="00C2374A">
        <w:rPr>
          <w:rFonts w:ascii="Arial" w:hAnsi="Arial" w:cs="Arial"/>
          <w:sz w:val="20"/>
        </w:rPr>
        <w:t>Externally paint a building if the painting constitutes an advertisement.</w:t>
      </w:r>
    </w:p>
    <w:p w:rsidR="00C51FF9" w:rsidRPr="002B10A6" w:rsidRDefault="00C51FF9" w:rsidP="00C2374A">
      <w:pPr>
        <w:ind w:left="720"/>
        <w:rPr>
          <w:rFonts w:cs="Arial"/>
        </w:rPr>
      </w:pPr>
    </w:p>
    <w:p w:rsidR="00C51FF9" w:rsidRPr="002B10A6" w:rsidRDefault="00C51FF9" w:rsidP="00C2374A">
      <w:pPr>
        <w:ind w:left="720"/>
        <w:rPr>
          <w:rFonts w:cs="Arial"/>
        </w:rPr>
      </w:pPr>
      <w:r w:rsidRPr="002B10A6">
        <w:rPr>
          <w:rFonts w:cs="Arial"/>
        </w:rPr>
        <w:t xml:space="preserve">In some instances, external paint and internal alteration controls also apply. The Schedule to the Heritage Overlay will identify whether these additional controls apply. </w:t>
      </w:r>
    </w:p>
    <w:p w:rsidR="00C51FF9" w:rsidRPr="002B10A6" w:rsidRDefault="00C51FF9" w:rsidP="00C2374A">
      <w:pPr>
        <w:ind w:left="720"/>
        <w:rPr>
          <w:rFonts w:cs="Arial"/>
        </w:rPr>
      </w:pPr>
    </w:p>
    <w:p w:rsidR="00C51FF9" w:rsidRPr="002B10A6" w:rsidRDefault="00C51FF9" w:rsidP="00C2374A">
      <w:pPr>
        <w:ind w:left="720"/>
        <w:rPr>
          <w:rFonts w:cs="Arial"/>
        </w:rPr>
      </w:pPr>
      <w:r w:rsidRPr="002B10A6">
        <w:rPr>
          <w:rFonts w:cs="Arial"/>
        </w:rPr>
        <w:t xml:space="preserve">When planning any building work on Buildings and Property </w:t>
      </w:r>
      <w:r w:rsidR="005C38DE">
        <w:rPr>
          <w:rFonts w:cs="Arial"/>
        </w:rPr>
        <w:t xml:space="preserve">Branch </w:t>
      </w:r>
      <w:r w:rsidRPr="002B10A6">
        <w:rPr>
          <w:rFonts w:cs="Arial"/>
        </w:rPr>
        <w:t>staff check to determine if the building is heritage listed or is of community or cultural significance. Checks are also made to determine if the building is within a Heritage Overlay and has particular controls that must be met. Permits are obtained from Heritage Victoria or Council’s planning department prior to work being carried out.</w:t>
      </w:r>
    </w:p>
    <w:p w:rsidR="00C51FF9" w:rsidRPr="00E65525" w:rsidRDefault="00C51FF9" w:rsidP="00C2374A">
      <w:pPr>
        <w:ind w:left="720"/>
      </w:pPr>
    </w:p>
    <w:p w:rsidR="00C51FF9" w:rsidRDefault="00C51FF9" w:rsidP="00C2374A">
      <w:pPr>
        <w:ind w:left="720"/>
      </w:pPr>
      <w:r w:rsidRPr="00E65525">
        <w:t xml:space="preserve">Council manages its </w:t>
      </w:r>
      <w:r w:rsidR="00622DC3">
        <w:t>heritage buildings through the Y</w:t>
      </w:r>
      <w:r w:rsidRPr="00E65525">
        <w:t>arra</w:t>
      </w:r>
      <w:r w:rsidR="00622DC3">
        <w:t xml:space="preserve"> City Council</w:t>
      </w:r>
      <w:r w:rsidRPr="00E65525">
        <w:t xml:space="preserve"> Development Guidelines for Heritage Places (1999). </w:t>
      </w:r>
      <w:r w:rsidR="00811E35">
        <w:t>Attachment C provides a full list of properties with some form of heritage protection.</w:t>
      </w:r>
      <w:r w:rsidR="0041272D">
        <w:t xml:space="preserve"> The table below depicts the significant heritage listed buildings:</w:t>
      </w:r>
    </w:p>
    <w:p w:rsidR="00C912AB" w:rsidRDefault="00C912AB" w:rsidP="00C912AB">
      <w:pPr>
        <w:ind w:left="720"/>
      </w:pPr>
    </w:p>
    <w:tbl>
      <w:tblPr>
        <w:tblStyle w:val="TableGrid"/>
        <w:tblW w:w="8138" w:type="dxa"/>
        <w:tblInd w:w="954" w:type="dxa"/>
        <w:tblLook w:val="04A0" w:firstRow="1" w:lastRow="0" w:firstColumn="1" w:lastColumn="0" w:noHBand="0" w:noVBand="1"/>
      </w:tblPr>
      <w:tblGrid>
        <w:gridCol w:w="6295"/>
        <w:gridCol w:w="1843"/>
      </w:tblGrid>
      <w:tr w:rsidR="00DD7221" w:rsidRPr="00852F5D" w:rsidTr="00DD7221">
        <w:tc>
          <w:tcPr>
            <w:tcW w:w="6295" w:type="dxa"/>
            <w:shd w:val="clear" w:color="auto" w:fill="95B3D7" w:themeFill="accent1" w:themeFillTint="99"/>
            <w:vAlign w:val="center"/>
          </w:tcPr>
          <w:p w:rsidR="00C912AB" w:rsidRPr="00852F5D" w:rsidRDefault="00C912AB" w:rsidP="00DD7221">
            <w:pPr>
              <w:rPr>
                <w:b/>
              </w:rPr>
            </w:pPr>
            <w:r w:rsidRPr="00852F5D">
              <w:rPr>
                <w:b/>
              </w:rPr>
              <w:t>Site</w:t>
            </w:r>
          </w:p>
        </w:tc>
        <w:tc>
          <w:tcPr>
            <w:tcW w:w="1843" w:type="dxa"/>
            <w:shd w:val="clear" w:color="auto" w:fill="95B3D7" w:themeFill="accent1" w:themeFillTint="99"/>
            <w:vAlign w:val="center"/>
          </w:tcPr>
          <w:p w:rsidR="00C912AB" w:rsidRPr="00852F5D" w:rsidRDefault="00C912AB" w:rsidP="00C912AB">
            <w:pPr>
              <w:jc w:val="center"/>
              <w:rPr>
                <w:b/>
              </w:rPr>
            </w:pPr>
            <w:r w:rsidRPr="00852F5D">
              <w:rPr>
                <w:b/>
              </w:rPr>
              <w:t>Heritage Reference Number</w:t>
            </w:r>
          </w:p>
        </w:tc>
      </w:tr>
      <w:tr w:rsidR="00DD7221" w:rsidTr="00DD7221">
        <w:tc>
          <w:tcPr>
            <w:tcW w:w="6295" w:type="dxa"/>
          </w:tcPr>
          <w:p w:rsidR="00C912AB" w:rsidRDefault="00C912AB" w:rsidP="00C912AB">
            <w:r>
              <w:t>‘Aqua Profonda’ sign, Fitzroy Pool</w:t>
            </w:r>
          </w:p>
        </w:tc>
        <w:tc>
          <w:tcPr>
            <w:tcW w:w="1843" w:type="dxa"/>
          </w:tcPr>
          <w:p w:rsidR="00C912AB" w:rsidRDefault="00C912AB" w:rsidP="00C912AB">
            <w:pPr>
              <w:jc w:val="center"/>
            </w:pPr>
            <w:r>
              <w:t>H1687</w:t>
            </w:r>
          </w:p>
        </w:tc>
      </w:tr>
      <w:tr w:rsidR="00DD7221" w:rsidTr="00DD7221">
        <w:tc>
          <w:tcPr>
            <w:tcW w:w="6295" w:type="dxa"/>
          </w:tcPr>
          <w:p w:rsidR="00C912AB" w:rsidRDefault="00C912AB" w:rsidP="00C912AB">
            <w:r>
              <w:t>Collingwood Town Hall</w:t>
            </w:r>
          </w:p>
        </w:tc>
        <w:tc>
          <w:tcPr>
            <w:tcW w:w="1843" w:type="dxa"/>
          </w:tcPr>
          <w:p w:rsidR="00C912AB" w:rsidRDefault="00C912AB" w:rsidP="00C912AB">
            <w:pPr>
              <w:jc w:val="center"/>
            </w:pPr>
            <w:r>
              <w:t>H0140</w:t>
            </w:r>
          </w:p>
        </w:tc>
      </w:tr>
      <w:tr w:rsidR="00DD7221" w:rsidTr="00DD7221">
        <w:tc>
          <w:tcPr>
            <w:tcW w:w="6295" w:type="dxa"/>
          </w:tcPr>
          <w:p w:rsidR="00C912AB" w:rsidRDefault="00C912AB" w:rsidP="00C912AB">
            <w:r>
              <w:t>Dights Falls Mill Site</w:t>
            </w:r>
          </w:p>
        </w:tc>
        <w:tc>
          <w:tcPr>
            <w:tcW w:w="1843" w:type="dxa"/>
          </w:tcPr>
          <w:p w:rsidR="00C912AB" w:rsidRDefault="00C912AB" w:rsidP="00C912AB">
            <w:pPr>
              <w:jc w:val="center"/>
            </w:pPr>
            <w:r>
              <w:t>H1522</w:t>
            </w:r>
          </w:p>
        </w:tc>
      </w:tr>
      <w:tr w:rsidR="00DD7221" w:rsidTr="00DD7221">
        <w:tc>
          <w:tcPr>
            <w:tcW w:w="6295" w:type="dxa"/>
          </w:tcPr>
          <w:p w:rsidR="00C912AB" w:rsidRDefault="00C912AB" w:rsidP="00C912AB">
            <w:r>
              <w:t>Fitzroy Football Club Grandstand (W. Peterson Oval, Edinburgh Gardens)</w:t>
            </w:r>
          </w:p>
        </w:tc>
        <w:tc>
          <w:tcPr>
            <w:tcW w:w="1843" w:type="dxa"/>
          </w:tcPr>
          <w:p w:rsidR="00C912AB" w:rsidRDefault="00C912AB" w:rsidP="00C912AB">
            <w:pPr>
              <w:jc w:val="center"/>
            </w:pPr>
            <w:r>
              <w:t>H0751</w:t>
            </w:r>
          </w:p>
        </w:tc>
      </w:tr>
      <w:tr w:rsidR="00DD7221" w:rsidTr="00DD7221">
        <w:tc>
          <w:tcPr>
            <w:tcW w:w="6295" w:type="dxa"/>
          </w:tcPr>
          <w:p w:rsidR="00C912AB" w:rsidRDefault="00C912AB" w:rsidP="00C912AB">
            <w:r>
              <w:t>Fitzroy Town Hall</w:t>
            </w:r>
          </w:p>
        </w:tc>
        <w:tc>
          <w:tcPr>
            <w:tcW w:w="1843" w:type="dxa"/>
          </w:tcPr>
          <w:p w:rsidR="00C912AB" w:rsidRDefault="00C912AB" w:rsidP="00C912AB">
            <w:pPr>
              <w:jc w:val="center"/>
            </w:pPr>
            <w:r>
              <w:t>H0147</w:t>
            </w:r>
          </w:p>
        </w:tc>
      </w:tr>
      <w:tr w:rsidR="00DD7221" w:rsidTr="00DD7221">
        <w:tc>
          <w:tcPr>
            <w:tcW w:w="6295" w:type="dxa"/>
          </w:tcPr>
          <w:p w:rsidR="00C912AB" w:rsidRDefault="00C912AB" w:rsidP="00C912AB">
            <w:r>
              <w:t>Collingwood Library</w:t>
            </w:r>
            <w:r w:rsidR="0041272D">
              <w:t xml:space="preserve"> (Former Church of Christ</w:t>
            </w:r>
            <w:r>
              <w:t>)</w:t>
            </w:r>
          </w:p>
        </w:tc>
        <w:tc>
          <w:tcPr>
            <w:tcW w:w="1843" w:type="dxa"/>
          </w:tcPr>
          <w:p w:rsidR="00C912AB" w:rsidRDefault="00C912AB" w:rsidP="00C912AB">
            <w:pPr>
              <w:jc w:val="center"/>
            </w:pPr>
            <w:r>
              <w:t>H0141</w:t>
            </w:r>
          </w:p>
        </w:tc>
      </w:tr>
      <w:tr w:rsidR="00DD7221" w:rsidTr="00DD7221">
        <w:tc>
          <w:tcPr>
            <w:tcW w:w="6295" w:type="dxa"/>
          </w:tcPr>
          <w:p w:rsidR="00C912AB" w:rsidRDefault="00C912AB" w:rsidP="00C912AB">
            <w:r>
              <w:t>Victoria Park</w:t>
            </w:r>
          </w:p>
        </w:tc>
        <w:tc>
          <w:tcPr>
            <w:tcW w:w="1843" w:type="dxa"/>
          </w:tcPr>
          <w:p w:rsidR="00C912AB" w:rsidRDefault="00C912AB" w:rsidP="00C912AB">
            <w:pPr>
              <w:jc w:val="center"/>
            </w:pPr>
            <w:r>
              <w:t>H0075</w:t>
            </w:r>
          </w:p>
        </w:tc>
      </w:tr>
    </w:tbl>
    <w:p w:rsidR="00C912AB" w:rsidRPr="0024611A" w:rsidRDefault="00C912AB" w:rsidP="00C912AB">
      <w:pPr>
        <w:pStyle w:val="Caption"/>
        <w:spacing w:before="240" w:after="240"/>
        <w:ind w:left="720"/>
        <w:jc w:val="center"/>
        <w:rPr>
          <w:rFonts w:ascii="Arial" w:hAnsi="Arial"/>
          <w:i w:val="0"/>
          <w:iCs w:val="0"/>
          <w:sz w:val="20"/>
          <w:lang w:val="en-AU"/>
        </w:rPr>
      </w:pPr>
      <w:bookmarkStart w:id="454" w:name="_Toc364945435"/>
      <w:r w:rsidRPr="0024611A">
        <w:rPr>
          <w:rFonts w:ascii="Arial" w:hAnsi="Arial"/>
          <w:i w:val="0"/>
          <w:iCs w:val="0"/>
          <w:sz w:val="20"/>
          <w:lang w:val="en-AU"/>
        </w:rPr>
        <w:t xml:space="preserve">Table </w:t>
      </w:r>
      <w:r w:rsidRPr="0024611A">
        <w:rPr>
          <w:rFonts w:ascii="Arial" w:hAnsi="Arial"/>
          <w:i w:val="0"/>
          <w:iCs w:val="0"/>
          <w:sz w:val="20"/>
          <w:lang w:val="en-AU"/>
        </w:rPr>
        <w:fldChar w:fldCharType="begin"/>
      </w:r>
      <w:r w:rsidRPr="0024611A">
        <w:rPr>
          <w:rFonts w:ascii="Arial" w:hAnsi="Arial"/>
          <w:i w:val="0"/>
          <w:iCs w:val="0"/>
          <w:sz w:val="20"/>
          <w:lang w:val="en-AU"/>
        </w:rPr>
        <w:instrText xml:space="preserve"> SEQ Table \* ARABIC </w:instrText>
      </w:r>
      <w:r w:rsidRPr="0024611A">
        <w:rPr>
          <w:rFonts w:ascii="Arial" w:hAnsi="Arial"/>
          <w:i w:val="0"/>
          <w:iCs w:val="0"/>
          <w:sz w:val="20"/>
          <w:lang w:val="en-AU"/>
        </w:rPr>
        <w:fldChar w:fldCharType="separate"/>
      </w:r>
      <w:r w:rsidR="00751CEC">
        <w:rPr>
          <w:rFonts w:ascii="Arial" w:hAnsi="Arial"/>
          <w:i w:val="0"/>
          <w:iCs w:val="0"/>
          <w:noProof/>
          <w:sz w:val="20"/>
          <w:lang w:val="en-AU"/>
        </w:rPr>
        <w:t>31</w:t>
      </w:r>
      <w:r w:rsidRPr="0024611A">
        <w:rPr>
          <w:rFonts w:ascii="Arial" w:hAnsi="Arial"/>
          <w:i w:val="0"/>
          <w:iCs w:val="0"/>
          <w:sz w:val="20"/>
          <w:lang w:val="en-AU"/>
        </w:rPr>
        <w:fldChar w:fldCharType="end"/>
      </w:r>
      <w:r w:rsidRPr="0024611A">
        <w:rPr>
          <w:rFonts w:ascii="Arial" w:hAnsi="Arial"/>
          <w:i w:val="0"/>
          <w:iCs w:val="0"/>
          <w:sz w:val="20"/>
          <w:lang w:val="en-AU"/>
        </w:rPr>
        <w:t xml:space="preserve">:  </w:t>
      </w:r>
      <w:r>
        <w:rPr>
          <w:rFonts w:ascii="Arial" w:hAnsi="Arial"/>
          <w:i w:val="0"/>
          <w:iCs w:val="0"/>
          <w:sz w:val="20"/>
          <w:lang w:val="en-AU"/>
        </w:rPr>
        <w:t>Heritage Listed Buildings</w:t>
      </w:r>
      <w:bookmarkEnd w:id="454"/>
    </w:p>
    <w:p w:rsidR="009C3B60" w:rsidRPr="00CF2212" w:rsidRDefault="00C2374A" w:rsidP="00CF2212">
      <w:pPr>
        <w:pStyle w:val="Heading2"/>
      </w:pPr>
      <w:bookmarkStart w:id="455" w:name="_Toc346740150"/>
      <w:bookmarkStart w:id="456" w:name="_Toc364945291"/>
      <w:r>
        <w:t>Key Lifecycle Management I</w:t>
      </w:r>
      <w:r w:rsidR="009C3B60" w:rsidRPr="00CF2212">
        <w:t>ssues</w:t>
      </w:r>
      <w:bookmarkEnd w:id="455"/>
      <w:bookmarkEnd w:id="456"/>
    </w:p>
    <w:p w:rsidR="009C3B60" w:rsidRDefault="009C3B60" w:rsidP="00C2374A">
      <w:r w:rsidRPr="004A5546">
        <w:t>The key issues are:</w:t>
      </w:r>
    </w:p>
    <w:p w:rsidR="00C2374A" w:rsidRPr="004A5546" w:rsidRDefault="00C2374A" w:rsidP="00C2374A"/>
    <w:p w:rsidR="009C3B60" w:rsidRPr="00C2374A" w:rsidRDefault="009C3B60" w:rsidP="008348B5">
      <w:pPr>
        <w:pStyle w:val="ListParagraph"/>
        <w:numPr>
          <w:ilvl w:val="0"/>
          <w:numId w:val="80"/>
        </w:numPr>
        <w:rPr>
          <w:rFonts w:ascii="Arial" w:hAnsi="Arial" w:cs="Arial"/>
          <w:sz w:val="20"/>
        </w:rPr>
      </w:pPr>
      <w:r w:rsidRPr="00C2374A">
        <w:rPr>
          <w:rFonts w:ascii="Arial" w:hAnsi="Arial" w:cs="Arial"/>
          <w:sz w:val="20"/>
        </w:rPr>
        <w:t xml:space="preserve">Understanding the condition, utilisation and serviceability of buildings; </w:t>
      </w:r>
    </w:p>
    <w:p w:rsidR="009C3B60" w:rsidRPr="00C2374A" w:rsidRDefault="009C3B60" w:rsidP="008348B5">
      <w:pPr>
        <w:pStyle w:val="ListParagraph"/>
        <w:numPr>
          <w:ilvl w:val="0"/>
          <w:numId w:val="80"/>
        </w:numPr>
        <w:rPr>
          <w:rFonts w:ascii="Arial" w:hAnsi="Arial" w:cs="Arial"/>
          <w:sz w:val="20"/>
        </w:rPr>
      </w:pPr>
      <w:r w:rsidRPr="00C2374A">
        <w:rPr>
          <w:rFonts w:ascii="Arial" w:hAnsi="Arial" w:cs="Arial"/>
          <w:sz w:val="20"/>
        </w:rPr>
        <w:t>Understanding community expectations and levels of service;</w:t>
      </w:r>
    </w:p>
    <w:p w:rsidR="009C3B60" w:rsidRPr="00C2374A" w:rsidRDefault="009C3B60" w:rsidP="008348B5">
      <w:pPr>
        <w:pStyle w:val="ListParagraph"/>
        <w:numPr>
          <w:ilvl w:val="0"/>
          <w:numId w:val="80"/>
        </w:numPr>
        <w:rPr>
          <w:rFonts w:ascii="Arial" w:hAnsi="Arial" w:cs="Arial"/>
          <w:sz w:val="20"/>
        </w:rPr>
      </w:pPr>
      <w:r w:rsidRPr="00C2374A">
        <w:rPr>
          <w:rFonts w:ascii="Arial" w:hAnsi="Arial" w:cs="Arial"/>
          <w:sz w:val="20"/>
        </w:rPr>
        <w:t>Assessing the viability of all buildings in the portfolio;</w:t>
      </w:r>
    </w:p>
    <w:p w:rsidR="009C3B60" w:rsidRPr="00C2374A" w:rsidRDefault="009C3B60" w:rsidP="008348B5">
      <w:pPr>
        <w:pStyle w:val="ListParagraph"/>
        <w:numPr>
          <w:ilvl w:val="0"/>
          <w:numId w:val="80"/>
        </w:numPr>
        <w:rPr>
          <w:rFonts w:ascii="Arial" w:hAnsi="Arial" w:cs="Arial"/>
          <w:sz w:val="20"/>
        </w:rPr>
      </w:pPr>
      <w:r w:rsidRPr="00C2374A">
        <w:rPr>
          <w:rFonts w:ascii="Arial" w:hAnsi="Arial" w:cs="Arial"/>
          <w:sz w:val="20"/>
        </w:rPr>
        <w:t>Forecasting the impact of Yarra’s growth rate on building needs; and</w:t>
      </w:r>
    </w:p>
    <w:p w:rsidR="009C3B60" w:rsidRPr="00C2374A" w:rsidRDefault="009C3B60" w:rsidP="008348B5">
      <w:pPr>
        <w:pStyle w:val="ListParagraph"/>
        <w:numPr>
          <w:ilvl w:val="0"/>
          <w:numId w:val="80"/>
        </w:numPr>
        <w:rPr>
          <w:rFonts w:ascii="Arial" w:hAnsi="Arial" w:cs="Arial"/>
          <w:sz w:val="20"/>
        </w:rPr>
      </w:pPr>
      <w:r w:rsidRPr="00C2374A">
        <w:rPr>
          <w:rFonts w:ascii="Arial" w:hAnsi="Arial" w:cs="Arial"/>
          <w:sz w:val="20"/>
        </w:rPr>
        <w:t>Addressing any renewal funding gap.</w:t>
      </w:r>
    </w:p>
    <w:p w:rsidR="009C3B60" w:rsidRPr="00776EB5" w:rsidRDefault="009C3B60" w:rsidP="00C2374A"/>
    <w:p w:rsidR="009C3B60" w:rsidRPr="004A5546" w:rsidRDefault="009C3B60" w:rsidP="00C2374A">
      <w:r w:rsidRPr="004A5546">
        <w:t>These issues and, where it sits within its intended lifecycle, need to be considered when determining the most appropriate course of action for the asset. The choices to be considered by the asset manager include;</w:t>
      </w:r>
    </w:p>
    <w:p w:rsidR="009C3B60" w:rsidRDefault="009C3B60" w:rsidP="00C2374A"/>
    <w:p w:rsidR="009C3B60" w:rsidRPr="00C2374A" w:rsidRDefault="009C3B60" w:rsidP="008348B5">
      <w:pPr>
        <w:pStyle w:val="ListParagraph"/>
        <w:numPr>
          <w:ilvl w:val="0"/>
          <w:numId w:val="81"/>
        </w:numPr>
        <w:rPr>
          <w:rFonts w:ascii="Arial" w:hAnsi="Arial" w:cs="Arial"/>
          <w:sz w:val="20"/>
        </w:rPr>
      </w:pPr>
      <w:r w:rsidRPr="00C2374A">
        <w:rPr>
          <w:rFonts w:ascii="Arial" w:hAnsi="Arial" w:cs="Arial"/>
          <w:b/>
          <w:sz w:val="20"/>
          <w:szCs w:val="20"/>
        </w:rPr>
        <w:t>Creation</w:t>
      </w:r>
      <w:r w:rsidR="00DE5F00">
        <w:rPr>
          <w:rFonts w:ascii="Arial" w:hAnsi="Arial" w:cs="Arial"/>
          <w:b/>
          <w:sz w:val="20"/>
          <w:szCs w:val="20"/>
        </w:rPr>
        <w:t xml:space="preserve"> and</w:t>
      </w:r>
      <w:r w:rsidRPr="00C2374A">
        <w:rPr>
          <w:rFonts w:ascii="Arial" w:hAnsi="Arial" w:cs="Arial"/>
          <w:b/>
          <w:sz w:val="20"/>
          <w:szCs w:val="20"/>
        </w:rPr>
        <w:t xml:space="preserve"> Acquisition (Capital New Works </w:t>
      </w:r>
      <w:r w:rsidR="00927AFA">
        <w:rPr>
          <w:rFonts w:ascii="Arial" w:hAnsi="Arial" w:cs="Arial"/>
          <w:b/>
          <w:sz w:val="20"/>
          <w:szCs w:val="20"/>
        </w:rPr>
        <w:t>and</w:t>
      </w:r>
      <w:r w:rsidRPr="00C2374A">
        <w:rPr>
          <w:rFonts w:ascii="Arial" w:hAnsi="Arial" w:cs="Arial"/>
          <w:b/>
          <w:sz w:val="20"/>
          <w:szCs w:val="20"/>
        </w:rPr>
        <w:t xml:space="preserve"> Upgrade) </w:t>
      </w:r>
      <w:r w:rsidRPr="00C2374A">
        <w:rPr>
          <w:rFonts w:ascii="Arial" w:hAnsi="Arial" w:cs="Arial"/>
          <w:sz w:val="20"/>
        </w:rPr>
        <w:t>This includes the creation of a new asset to provide a new service or the upgrading of an existing building;</w:t>
      </w:r>
    </w:p>
    <w:p w:rsidR="009C3B60" w:rsidRPr="00C2374A" w:rsidRDefault="009C3B60" w:rsidP="008348B5">
      <w:pPr>
        <w:pStyle w:val="ListParagraph"/>
        <w:numPr>
          <w:ilvl w:val="0"/>
          <w:numId w:val="81"/>
        </w:numPr>
        <w:rPr>
          <w:rFonts w:ascii="Arial" w:hAnsi="Arial" w:cs="Arial"/>
          <w:b/>
          <w:sz w:val="20"/>
          <w:szCs w:val="20"/>
        </w:rPr>
      </w:pPr>
      <w:r w:rsidRPr="00C2374A">
        <w:rPr>
          <w:rFonts w:ascii="Arial" w:hAnsi="Arial" w:cs="Arial"/>
          <w:b/>
          <w:sz w:val="20"/>
          <w:szCs w:val="20"/>
        </w:rPr>
        <w:t xml:space="preserve">Operations </w:t>
      </w:r>
      <w:r w:rsidRPr="00C2374A">
        <w:rPr>
          <w:rFonts w:ascii="Arial" w:hAnsi="Arial" w:cs="Arial"/>
          <w:sz w:val="20"/>
        </w:rPr>
        <w:t>Activities undertaken to ensure efficient operation and serviceability of the assets such as cleaning and running costs;</w:t>
      </w:r>
    </w:p>
    <w:p w:rsidR="009C3B60" w:rsidRPr="00C2374A" w:rsidRDefault="009C3B60" w:rsidP="008348B5">
      <w:pPr>
        <w:pStyle w:val="ListParagraph"/>
        <w:numPr>
          <w:ilvl w:val="0"/>
          <w:numId w:val="81"/>
        </w:numPr>
        <w:rPr>
          <w:rFonts w:ascii="Arial" w:hAnsi="Arial" w:cs="Arial"/>
          <w:sz w:val="20"/>
        </w:rPr>
      </w:pPr>
      <w:r w:rsidRPr="00C2374A">
        <w:rPr>
          <w:rFonts w:ascii="Arial" w:hAnsi="Arial" w:cs="Arial"/>
          <w:b/>
          <w:sz w:val="20"/>
          <w:szCs w:val="20"/>
        </w:rPr>
        <w:t>Maintenance</w:t>
      </w:r>
      <w:r w:rsidRPr="00C2374A">
        <w:rPr>
          <w:rFonts w:ascii="Arial" w:hAnsi="Arial" w:cs="Arial"/>
          <w:sz w:val="20"/>
        </w:rPr>
        <w:t xml:space="preserve"> Reactive and routine activities undertaken to ensure efficient operation and serviceability of the assets, and therefore that assets retain their service potential over their useful life;</w:t>
      </w:r>
    </w:p>
    <w:p w:rsidR="009C3B60" w:rsidRPr="00C2374A" w:rsidRDefault="009C3B60" w:rsidP="008348B5">
      <w:pPr>
        <w:pStyle w:val="ListParagraph"/>
        <w:numPr>
          <w:ilvl w:val="0"/>
          <w:numId w:val="81"/>
        </w:numPr>
        <w:rPr>
          <w:rFonts w:ascii="Arial" w:hAnsi="Arial" w:cs="Arial"/>
          <w:sz w:val="20"/>
        </w:rPr>
      </w:pPr>
      <w:r w:rsidRPr="00C2374A">
        <w:rPr>
          <w:rFonts w:ascii="Arial" w:hAnsi="Arial" w:cs="Arial"/>
          <w:b/>
          <w:sz w:val="20"/>
          <w:szCs w:val="20"/>
        </w:rPr>
        <w:t>Re</w:t>
      </w:r>
      <w:r w:rsidR="00915C99" w:rsidRPr="00C2374A">
        <w:rPr>
          <w:rFonts w:ascii="Arial" w:hAnsi="Arial" w:cs="Arial"/>
          <w:b/>
          <w:sz w:val="20"/>
          <w:szCs w:val="20"/>
        </w:rPr>
        <w:t>newal (Re</w:t>
      </w:r>
      <w:r w:rsidRPr="00C2374A">
        <w:rPr>
          <w:rFonts w:ascii="Arial" w:hAnsi="Arial" w:cs="Arial"/>
          <w:b/>
          <w:sz w:val="20"/>
          <w:szCs w:val="20"/>
        </w:rPr>
        <w:t>habili</w:t>
      </w:r>
      <w:r w:rsidR="00915C99" w:rsidRPr="00C2374A">
        <w:rPr>
          <w:rFonts w:ascii="Arial" w:hAnsi="Arial" w:cs="Arial"/>
          <w:b/>
          <w:sz w:val="20"/>
          <w:szCs w:val="20"/>
        </w:rPr>
        <w:t>tation, Replacement</w:t>
      </w:r>
      <w:r w:rsidRPr="00C2374A">
        <w:rPr>
          <w:rFonts w:ascii="Arial" w:hAnsi="Arial" w:cs="Arial"/>
          <w:b/>
          <w:sz w:val="20"/>
          <w:szCs w:val="20"/>
        </w:rPr>
        <w:t xml:space="preserve">) </w:t>
      </w:r>
      <w:r w:rsidRPr="00C2374A">
        <w:rPr>
          <w:rFonts w:ascii="Arial" w:hAnsi="Arial" w:cs="Arial"/>
          <w:sz w:val="20"/>
        </w:rPr>
        <w:t>To provide for the progre</w:t>
      </w:r>
      <w:r w:rsidR="00915C99" w:rsidRPr="00C2374A">
        <w:rPr>
          <w:rFonts w:ascii="Arial" w:hAnsi="Arial" w:cs="Arial"/>
          <w:sz w:val="20"/>
        </w:rPr>
        <w:t xml:space="preserve">ssive replacement of </w:t>
      </w:r>
      <w:r w:rsidRPr="00C2374A">
        <w:rPr>
          <w:rFonts w:ascii="Arial" w:hAnsi="Arial" w:cs="Arial"/>
          <w:sz w:val="20"/>
        </w:rPr>
        <w:t xml:space="preserve">assets </w:t>
      </w:r>
      <w:r w:rsidR="000D3674" w:rsidRPr="00C2374A">
        <w:rPr>
          <w:rFonts w:ascii="Arial" w:hAnsi="Arial" w:cs="Arial"/>
          <w:sz w:val="20"/>
        </w:rPr>
        <w:t xml:space="preserve">or components </w:t>
      </w:r>
      <w:r w:rsidRPr="00C2374A">
        <w:rPr>
          <w:rFonts w:ascii="Arial" w:hAnsi="Arial" w:cs="Arial"/>
          <w:sz w:val="20"/>
        </w:rPr>
        <w:t xml:space="preserve">which have reached </w:t>
      </w:r>
      <w:r w:rsidR="000D3674" w:rsidRPr="00C2374A">
        <w:rPr>
          <w:rFonts w:ascii="Arial" w:hAnsi="Arial" w:cs="Arial"/>
          <w:sz w:val="20"/>
        </w:rPr>
        <w:t xml:space="preserve">or nearing </w:t>
      </w:r>
      <w:r w:rsidRPr="00C2374A">
        <w:rPr>
          <w:rFonts w:ascii="Arial" w:hAnsi="Arial" w:cs="Arial"/>
          <w:sz w:val="20"/>
        </w:rPr>
        <w:t>the end of their useful life</w:t>
      </w:r>
      <w:r w:rsidR="00915C99" w:rsidRPr="00C2374A">
        <w:rPr>
          <w:rFonts w:ascii="Arial" w:hAnsi="Arial" w:cs="Arial"/>
          <w:sz w:val="20"/>
        </w:rPr>
        <w:t>,</w:t>
      </w:r>
      <w:r w:rsidRPr="00C2374A">
        <w:rPr>
          <w:rFonts w:ascii="Arial" w:hAnsi="Arial" w:cs="Arial"/>
          <w:sz w:val="20"/>
        </w:rPr>
        <w:t>. Deteriorating asset condition pri</w:t>
      </w:r>
      <w:r w:rsidR="00915C99" w:rsidRPr="00C2374A">
        <w:rPr>
          <w:rFonts w:ascii="Arial" w:hAnsi="Arial" w:cs="Arial"/>
          <w:sz w:val="20"/>
        </w:rPr>
        <w:t>marily drives renewal needs</w:t>
      </w:r>
      <w:r w:rsidR="000D3674" w:rsidRPr="00C2374A">
        <w:rPr>
          <w:rFonts w:ascii="Arial" w:hAnsi="Arial" w:cs="Arial"/>
          <w:sz w:val="20"/>
        </w:rPr>
        <w:t>. Renewal activities bring the asset back to its original condition prolonging the life of the asset</w:t>
      </w:r>
      <w:r w:rsidR="00915C99" w:rsidRPr="00C2374A">
        <w:rPr>
          <w:rFonts w:ascii="Arial" w:hAnsi="Arial" w:cs="Arial"/>
          <w:sz w:val="20"/>
        </w:rPr>
        <w:t>;</w:t>
      </w:r>
      <w:r w:rsidR="000D3674" w:rsidRPr="00C2374A">
        <w:rPr>
          <w:rFonts w:ascii="Arial" w:hAnsi="Arial" w:cs="Arial"/>
          <w:sz w:val="20"/>
        </w:rPr>
        <w:t xml:space="preserve"> and</w:t>
      </w:r>
    </w:p>
    <w:p w:rsidR="009C3B60" w:rsidRPr="00C2374A" w:rsidRDefault="009C3B60" w:rsidP="008348B5">
      <w:pPr>
        <w:pStyle w:val="ListParagraph"/>
        <w:numPr>
          <w:ilvl w:val="0"/>
          <w:numId w:val="81"/>
        </w:numPr>
        <w:rPr>
          <w:rFonts w:ascii="Arial" w:hAnsi="Arial" w:cs="Arial"/>
          <w:sz w:val="20"/>
        </w:rPr>
      </w:pPr>
      <w:r w:rsidRPr="00C2374A">
        <w:rPr>
          <w:rFonts w:ascii="Arial" w:hAnsi="Arial" w:cs="Arial"/>
          <w:b/>
          <w:sz w:val="20"/>
          <w:szCs w:val="20"/>
        </w:rPr>
        <w:t xml:space="preserve">Rationalisation </w:t>
      </w:r>
      <w:r w:rsidRPr="00C2374A">
        <w:rPr>
          <w:rFonts w:ascii="Arial" w:hAnsi="Arial" w:cs="Arial"/>
          <w:sz w:val="20"/>
        </w:rPr>
        <w:t>Considers the process undertaken to dispose or r</w:t>
      </w:r>
      <w:r w:rsidR="000D3674" w:rsidRPr="00C2374A">
        <w:rPr>
          <w:rFonts w:ascii="Arial" w:hAnsi="Arial" w:cs="Arial"/>
          <w:sz w:val="20"/>
        </w:rPr>
        <w:t xml:space="preserve">ationalise of Council buildings. </w:t>
      </w:r>
    </w:p>
    <w:p w:rsidR="000D3674" w:rsidRPr="009C3B60" w:rsidRDefault="000D3674" w:rsidP="00C2374A"/>
    <w:p w:rsidR="00376754" w:rsidRDefault="000D3674" w:rsidP="004B0D5B">
      <w:pPr>
        <w:keepNext/>
        <w:keepLines/>
      </w:pPr>
      <w:r>
        <w:t>Additionally when considering the management of an asset through its life cycle asset managers also consider;</w:t>
      </w:r>
    </w:p>
    <w:p w:rsidR="00C2374A" w:rsidRPr="00376754" w:rsidRDefault="00C2374A" w:rsidP="004B0D5B">
      <w:pPr>
        <w:keepNext/>
        <w:keepLines/>
      </w:pPr>
    </w:p>
    <w:p w:rsidR="000504D3" w:rsidRPr="00C2374A" w:rsidRDefault="00B8638C" w:rsidP="004B0D5B">
      <w:pPr>
        <w:pStyle w:val="ListParagraph"/>
        <w:keepNext/>
        <w:keepLines/>
        <w:numPr>
          <w:ilvl w:val="0"/>
          <w:numId w:val="82"/>
        </w:numPr>
        <w:rPr>
          <w:rFonts w:ascii="Arial" w:hAnsi="Arial" w:cs="Arial"/>
          <w:sz w:val="20"/>
        </w:rPr>
      </w:pPr>
      <w:r w:rsidRPr="00C2374A">
        <w:rPr>
          <w:rFonts w:ascii="Arial" w:hAnsi="Arial" w:cs="Arial"/>
          <w:b/>
          <w:sz w:val="20"/>
        </w:rPr>
        <w:t>M</w:t>
      </w:r>
      <w:r w:rsidR="000504D3" w:rsidRPr="00C2374A">
        <w:rPr>
          <w:rFonts w:ascii="Arial" w:hAnsi="Arial" w:cs="Arial"/>
          <w:b/>
          <w:sz w:val="20"/>
        </w:rPr>
        <w:t>anaging risk</w:t>
      </w:r>
      <w:r w:rsidR="000504D3" w:rsidRPr="00C2374A">
        <w:rPr>
          <w:rFonts w:ascii="Arial" w:hAnsi="Arial" w:cs="Arial"/>
          <w:sz w:val="20"/>
        </w:rPr>
        <w:t xml:space="preserve"> – a formal risk management strategy (based on ISO 31000 principles and guidelines) that takes an enterprise wide approach to managing risks and opportunities by evaluating and treating risks across each asset group</w:t>
      </w:r>
      <w:r w:rsidR="00915C99" w:rsidRPr="00C2374A">
        <w:rPr>
          <w:rFonts w:ascii="Arial" w:hAnsi="Arial" w:cs="Arial"/>
          <w:sz w:val="20"/>
        </w:rPr>
        <w:t>;</w:t>
      </w:r>
    </w:p>
    <w:p w:rsidR="000504D3" w:rsidRPr="00C2374A" w:rsidRDefault="00B8638C" w:rsidP="008348B5">
      <w:pPr>
        <w:pStyle w:val="ListParagraph"/>
        <w:numPr>
          <w:ilvl w:val="0"/>
          <w:numId w:val="82"/>
        </w:numPr>
        <w:rPr>
          <w:rFonts w:ascii="Arial" w:hAnsi="Arial" w:cs="Arial"/>
          <w:sz w:val="20"/>
        </w:rPr>
      </w:pPr>
      <w:r w:rsidRPr="00C2374A">
        <w:rPr>
          <w:rFonts w:ascii="Arial" w:hAnsi="Arial" w:cs="Arial"/>
          <w:b/>
          <w:sz w:val="20"/>
        </w:rPr>
        <w:t>P</w:t>
      </w:r>
      <w:r w:rsidR="000504D3" w:rsidRPr="00C2374A">
        <w:rPr>
          <w:rFonts w:ascii="Arial" w:hAnsi="Arial" w:cs="Arial"/>
          <w:b/>
          <w:sz w:val="20"/>
        </w:rPr>
        <w:t>roject prioritisation</w:t>
      </w:r>
      <w:r w:rsidR="000504D3" w:rsidRPr="00C2374A">
        <w:rPr>
          <w:rFonts w:ascii="Arial" w:hAnsi="Arial" w:cs="Arial"/>
          <w:sz w:val="20"/>
        </w:rPr>
        <w:t xml:space="preserve"> – a systemic process that impr</w:t>
      </w:r>
      <w:r w:rsidR="0067277B">
        <w:rPr>
          <w:rFonts w:ascii="Arial" w:hAnsi="Arial" w:cs="Arial"/>
          <w:sz w:val="20"/>
        </w:rPr>
        <w:t>oves the visibility of decision-</w:t>
      </w:r>
      <w:r w:rsidR="000504D3" w:rsidRPr="00C2374A">
        <w:rPr>
          <w:rFonts w:ascii="Arial" w:hAnsi="Arial" w:cs="Arial"/>
          <w:sz w:val="20"/>
        </w:rPr>
        <w:t>making and provides a focus on strategic project outcomes to ensure we are funding the right projects and that they are affordable and deliverable (future state design – process under development)</w:t>
      </w:r>
      <w:r w:rsidR="00915C99" w:rsidRPr="00C2374A">
        <w:rPr>
          <w:rFonts w:ascii="Arial" w:hAnsi="Arial" w:cs="Arial"/>
          <w:sz w:val="20"/>
        </w:rPr>
        <w:t>;</w:t>
      </w:r>
    </w:p>
    <w:p w:rsidR="000504D3" w:rsidRPr="00C2374A" w:rsidRDefault="00B8638C" w:rsidP="008348B5">
      <w:pPr>
        <w:pStyle w:val="ListParagraph"/>
        <w:numPr>
          <w:ilvl w:val="0"/>
          <w:numId w:val="82"/>
        </w:numPr>
        <w:rPr>
          <w:rFonts w:ascii="Arial" w:hAnsi="Arial" w:cs="Arial"/>
          <w:sz w:val="20"/>
        </w:rPr>
      </w:pPr>
      <w:r w:rsidRPr="00C2374A">
        <w:rPr>
          <w:rFonts w:ascii="Arial" w:hAnsi="Arial" w:cs="Arial"/>
          <w:b/>
          <w:sz w:val="20"/>
        </w:rPr>
        <w:t>C</w:t>
      </w:r>
      <w:r w:rsidR="000504D3" w:rsidRPr="00C2374A">
        <w:rPr>
          <w:rFonts w:ascii="Arial" w:hAnsi="Arial" w:cs="Arial"/>
          <w:b/>
          <w:sz w:val="20"/>
        </w:rPr>
        <w:t>ontinuous improvement</w:t>
      </w:r>
      <w:r w:rsidR="000504D3" w:rsidRPr="00C2374A">
        <w:rPr>
          <w:rFonts w:ascii="Arial" w:hAnsi="Arial" w:cs="Arial"/>
          <w:sz w:val="20"/>
        </w:rPr>
        <w:t xml:space="preserve"> – a commitment to continually improve asset data and information and implementation of a process for </w:t>
      </w:r>
      <w:r w:rsidR="00915C99" w:rsidRPr="00C2374A">
        <w:rPr>
          <w:rFonts w:ascii="Arial" w:hAnsi="Arial" w:cs="Arial"/>
          <w:sz w:val="20"/>
        </w:rPr>
        <w:t>monitoring improvement program</w:t>
      </w:r>
      <w:r w:rsidR="000504D3" w:rsidRPr="00C2374A">
        <w:rPr>
          <w:rFonts w:ascii="Arial" w:hAnsi="Arial" w:cs="Arial"/>
          <w:sz w:val="20"/>
        </w:rPr>
        <w:t xml:space="preserve"> </w:t>
      </w:r>
      <w:r w:rsidR="000504D3" w:rsidRPr="006F6C17">
        <w:rPr>
          <w:rFonts w:ascii="Arial" w:hAnsi="Arial" w:cs="Arial"/>
          <w:sz w:val="20"/>
        </w:rPr>
        <w:t xml:space="preserve">(refer to </w:t>
      </w:r>
      <w:r w:rsidR="00B12904" w:rsidRPr="006F6C17">
        <w:rPr>
          <w:rFonts w:ascii="Arial" w:hAnsi="Arial" w:cs="Arial"/>
          <w:sz w:val="20"/>
        </w:rPr>
        <w:t>S</w:t>
      </w:r>
      <w:r w:rsidR="000504D3" w:rsidRPr="006F6C17">
        <w:rPr>
          <w:rFonts w:ascii="Arial" w:hAnsi="Arial" w:cs="Arial"/>
          <w:sz w:val="20"/>
        </w:rPr>
        <w:t xml:space="preserve">ection </w:t>
      </w:r>
      <w:r w:rsidR="006F6C17" w:rsidRPr="006F6C17">
        <w:rPr>
          <w:rFonts w:ascii="Arial" w:hAnsi="Arial" w:cs="Arial"/>
          <w:sz w:val="20"/>
        </w:rPr>
        <w:t>9</w:t>
      </w:r>
      <w:r w:rsidR="000504D3" w:rsidRPr="006F6C17">
        <w:rPr>
          <w:rFonts w:ascii="Arial" w:hAnsi="Arial" w:cs="Arial"/>
          <w:sz w:val="20"/>
        </w:rPr>
        <w:t>)</w:t>
      </w:r>
      <w:r w:rsidR="00915C99" w:rsidRPr="006F6C17">
        <w:rPr>
          <w:rFonts w:ascii="Arial" w:hAnsi="Arial" w:cs="Arial"/>
          <w:sz w:val="20"/>
        </w:rPr>
        <w:t>;</w:t>
      </w:r>
      <w:r w:rsidR="00915C99" w:rsidRPr="00C2374A">
        <w:rPr>
          <w:rFonts w:ascii="Arial" w:hAnsi="Arial" w:cs="Arial"/>
          <w:sz w:val="20"/>
        </w:rPr>
        <w:t xml:space="preserve"> and</w:t>
      </w:r>
    </w:p>
    <w:p w:rsidR="000504D3" w:rsidRPr="00C2374A" w:rsidRDefault="00B8638C" w:rsidP="008348B5">
      <w:pPr>
        <w:pStyle w:val="ListParagraph"/>
        <w:numPr>
          <w:ilvl w:val="0"/>
          <w:numId w:val="82"/>
        </w:numPr>
        <w:rPr>
          <w:rFonts w:ascii="Arial" w:hAnsi="Arial" w:cs="Arial"/>
          <w:sz w:val="20"/>
        </w:rPr>
      </w:pPr>
      <w:r w:rsidRPr="00C2374A">
        <w:rPr>
          <w:rFonts w:ascii="Arial" w:hAnsi="Arial" w:cs="Arial"/>
          <w:b/>
          <w:sz w:val="20"/>
        </w:rPr>
        <w:t>I</w:t>
      </w:r>
      <w:r w:rsidR="000504D3" w:rsidRPr="00C2374A">
        <w:rPr>
          <w:rFonts w:ascii="Arial" w:hAnsi="Arial" w:cs="Arial"/>
          <w:b/>
          <w:sz w:val="20"/>
        </w:rPr>
        <w:t>nfrastructure sustainability</w:t>
      </w:r>
      <w:r w:rsidR="000504D3" w:rsidRPr="00C2374A">
        <w:rPr>
          <w:rFonts w:ascii="Arial" w:hAnsi="Arial" w:cs="Arial"/>
          <w:sz w:val="20"/>
        </w:rPr>
        <w:t xml:space="preserve"> – from an asset management perspective, sustainability is critical, as many assets have a long lifespan and the asset itself and any externalities must be ‘future-proofed’ in order to meet the needs and exp</w:t>
      </w:r>
      <w:r w:rsidR="00915C99" w:rsidRPr="00C2374A">
        <w:rPr>
          <w:rFonts w:ascii="Arial" w:hAnsi="Arial" w:cs="Arial"/>
          <w:sz w:val="20"/>
        </w:rPr>
        <w:t>ectations of future generations.</w:t>
      </w:r>
    </w:p>
    <w:p w:rsidR="009C3B60" w:rsidRPr="00D363CC" w:rsidRDefault="009C3B60" w:rsidP="003E5B9F">
      <w:pPr>
        <w:pStyle w:val="StyleHeading3Heading3Char10ptBefore6pt"/>
      </w:pPr>
      <w:bookmarkStart w:id="457" w:name="_Toc346740149"/>
      <w:bookmarkStart w:id="458" w:name="_Toc364945292"/>
      <w:r w:rsidRPr="00D363CC">
        <w:t>Components of a Building</w:t>
      </w:r>
      <w:bookmarkEnd w:id="457"/>
      <w:bookmarkEnd w:id="458"/>
    </w:p>
    <w:p w:rsidR="009C3B60" w:rsidRDefault="009C3B60" w:rsidP="00C2374A">
      <w:pPr>
        <w:ind w:left="720"/>
      </w:pPr>
      <w:r w:rsidRPr="004A5546">
        <w:t>When managing the building portfolio, it is necessary to understand the assets, components and sub-components that form part of the buildings. The reason for this is that while the building structure is generally sound until the latter part of its life, it is the components and s</w:t>
      </w:r>
      <w:r w:rsidR="00B12904">
        <w:t>ub-components with shorter life</w:t>
      </w:r>
      <w:r w:rsidRPr="004A5546">
        <w:t xml:space="preserve">spans that invariably impact on the condition and performance of the building and therefore the maintenance and renewal of the asset. </w:t>
      </w:r>
    </w:p>
    <w:p w:rsidR="00386247" w:rsidRPr="004A5546" w:rsidRDefault="00386247" w:rsidP="00C2374A">
      <w:pPr>
        <w:ind w:left="720"/>
      </w:pPr>
    </w:p>
    <w:p w:rsidR="009C3B60" w:rsidRDefault="009C3B60" w:rsidP="00C2374A">
      <w:pPr>
        <w:ind w:left="720"/>
      </w:pPr>
      <w:r w:rsidRPr="004A5546">
        <w:t>The diagram below provides the components and the relat</w:t>
      </w:r>
      <w:r w:rsidR="008C5B9E">
        <w:t>ionships that support this plan:</w:t>
      </w:r>
    </w:p>
    <w:p w:rsidR="00C2374A" w:rsidRPr="004A5546" w:rsidRDefault="00C2374A" w:rsidP="00C2374A">
      <w:pPr>
        <w:ind w:left="720"/>
      </w:pPr>
    </w:p>
    <w:p w:rsidR="009C3B60" w:rsidRPr="004A5546" w:rsidRDefault="00385418" w:rsidP="002F775C">
      <w:r>
        <w:object w:dxaOrig="13386" w:dyaOrig="8067">
          <v:shape id="_x0000_i1032" type="#_x0000_t75" style="width:452.25pt;height:273.75pt" o:ole="">
            <v:imagedata r:id="rId45" o:title=""/>
          </v:shape>
          <o:OLEObject Type="Embed" ProgID="Visio.Drawing.11" ShapeID="_x0000_i1032" DrawAspect="Content" ObjectID="_1607929762" r:id="rId46"/>
        </w:object>
      </w:r>
    </w:p>
    <w:p w:rsidR="009C3B60" w:rsidRPr="0024611A" w:rsidRDefault="009C3B60" w:rsidP="00D17B90">
      <w:pPr>
        <w:pStyle w:val="Caption"/>
        <w:spacing w:before="240" w:after="240"/>
        <w:ind w:left="720"/>
        <w:jc w:val="center"/>
        <w:rPr>
          <w:rFonts w:ascii="Arial" w:hAnsi="Arial"/>
          <w:i w:val="0"/>
          <w:iCs w:val="0"/>
          <w:sz w:val="20"/>
          <w:lang w:val="en-AU"/>
        </w:rPr>
      </w:pPr>
      <w:bookmarkStart w:id="459" w:name="_Toc346740212"/>
      <w:bookmarkStart w:id="460" w:name="_Toc364945386"/>
      <w:r w:rsidRPr="0024611A">
        <w:rPr>
          <w:rFonts w:ascii="Arial" w:hAnsi="Arial"/>
          <w:i w:val="0"/>
          <w:iCs w:val="0"/>
          <w:sz w:val="20"/>
          <w:lang w:val="en-AU"/>
        </w:rPr>
        <w:t xml:space="preserve">Figure </w:t>
      </w:r>
      <w:r w:rsidR="0090414C" w:rsidRPr="0024611A">
        <w:rPr>
          <w:rFonts w:ascii="Arial" w:hAnsi="Arial"/>
          <w:i w:val="0"/>
          <w:iCs w:val="0"/>
          <w:sz w:val="20"/>
          <w:lang w:val="en-AU"/>
        </w:rPr>
        <w:fldChar w:fldCharType="begin"/>
      </w:r>
      <w:r w:rsidR="00CC614F" w:rsidRPr="0024611A">
        <w:rPr>
          <w:rFonts w:ascii="Arial" w:hAnsi="Arial"/>
          <w:i w:val="0"/>
          <w:iCs w:val="0"/>
          <w:sz w:val="20"/>
          <w:lang w:val="en-AU"/>
        </w:rPr>
        <w:instrText xml:space="preserve"> SEQ Figure \* ARABIC </w:instrText>
      </w:r>
      <w:r w:rsidR="0090414C" w:rsidRPr="0024611A">
        <w:rPr>
          <w:rFonts w:ascii="Arial" w:hAnsi="Arial"/>
          <w:i w:val="0"/>
          <w:iCs w:val="0"/>
          <w:sz w:val="20"/>
          <w:lang w:val="en-AU"/>
        </w:rPr>
        <w:fldChar w:fldCharType="separate"/>
      </w:r>
      <w:r w:rsidR="00751CEC">
        <w:rPr>
          <w:rFonts w:ascii="Arial" w:hAnsi="Arial"/>
          <w:i w:val="0"/>
          <w:iCs w:val="0"/>
          <w:noProof/>
          <w:sz w:val="20"/>
          <w:lang w:val="en-AU"/>
        </w:rPr>
        <w:t>22</w:t>
      </w:r>
      <w:r w:rsidR="0090414C" w:rsidRPr="0024611A">
        <w:rPr>
          <w:rFonts w:ascii="Arial" w:hAnsi="Arial"/>
          <w:i w:val="0"/>
          <w:iCs w:val="0"/>
          <w:sz w:val="20"/>
          <w:lang w:val="en-AU"/>
        </w:rPr>
        <w:fldChar w:fldCharType="end"/>
      </w:r>
      <w:r w:rsidR="00C2374A" w:rsidRPr="0024611A">
        <w:rPr>
          <w:rFonts w:ascii="Arial" w:hAnsi="Arial"/>
          <w:i w:val="0"/>
          <w:iCs w:val="0"/>
          <w:sz w:val="20"/>
          <w:lang w:val="en-AU"/>
        </w:rPr>
        <w:t xml:space="preserve">:  </w:t>
      </w:r>
      <w:r w:rsidRPr="0024611A">
        <w:rPr>
          <w:rFonts w:ascii="Arial" w:hAnsi="Arial"/>
          <w:i w:val="0"/>
          <w:iCs w:val="0"/>
          <w:sz w:val="20"/>
          <w:lang w:val="en-AU"/>
        </w:rPr>
        <w:t xml:space="preserve">Building </w:t>
      </w:r>
      <w:bookmarkEnd w:id="459"/>
      <w:r w:rsidRPr="0024611A">
        <w:rPr>
          <w:rFonts w:ascii="Arial" w:hAnsi="Arial"/>
          <w:i w:val="0"/>
          <w:iCs w:val="0"/>
          <w:sz w:val="20"/>
          <w:lang w:val="en-AU"/>
        </w:rPr>
        <w:t>Components</w:t>
      </w:r>
      <w:bookmarkEnd w:id="460"/>
    </w:p>
    <w:p w:rsidR="009C3B60" w:rsidRPr="00CF2212" w:rsidRDefault="009C3B60" w:rsidP="004B0D5B">
      <w:pPr>
        <w:pStyle w:val="Heading2"/>
        <w:keepLines/>
      </w:pPr>
      <w:bookmarkStart w:id="461" w:name="_Toc346740153"/>
      <w:bookmarkStart w:id="462" w:name="_Toc364945293"/>
      <w:r w:rsidRPr="00CF2212">
        <w:t xml:space="preserve">Building </w:t>
      </w:r>
      <w:r w:rsidR="00B12904" w:rsidRPr="00CF2212">
        <w:t>P</w:t>
      </w:r>
      <w:r w:rsidRPr="00CF2212">
        <w:t>erformance</w:t>
      </w:r>
      <w:bookmarkEnd w:id="461"/>
      <w:bookmarkEnd w:id="462"/>
    </w:p>
    <w:p w:rsidR="009C3B60" w:rsidRPr="00E65525" w:rsidRDefault="009C3B60" w:rsidP="004B0D5B">
      <w:pPr>
        <w:keepNext/>
        <w:keepLines/>
      </w:pPr>
      <w:r w:rsidRPr="00E65525">
        <w:t xml:space="preserve">In addition to building condition the performance of a building is generally assessed based on </w:t>
      </w:r>
      <w:r w:rsidR="00B12904">
        <w:t>f</w:t>
      </w:r>
      <w:r w:rsidRPr="00E65525">
        <w:t>it</w:t>
      </w:r>
      <w:r w:rsidR="00B12904">
        <w:t>ness</w:t>
      </w:r>
      <w:r w:rsidRPr="00E65525">
        <w:t xml:space="preserve"> for purpose. When determining fit</w:t>
      </w:r>
      <w:r w:rsidR="00B12904">
        <w:t>ness for purpose A</w:t>
      </w:r>
      <w:r w:rsidRPr="00E65525">
        <w:t xml:space="preserve">sset </w:t>
      </w:r>
      <w:r w:rsidR="00B12904">
        <w:t>M</w:t>
      </w:r>
      <w:r w:rsidRPr="00E65525">
        <w:t>anagers need to obtain feedback from Service Managers that the building is meeting the service needs. The building is th</w:t>
      </w:r>
      <w:r w:rsidR="00B12904">
        <w:t>en rated and scored for by the S</w:t>
      </w:r>
      <w:r w:rsidRPr="00E65525">
        <w:t xml:space="preserve">ervice </w:t>
      </w:r>
      <w:r w:rsidR="00B12904">
        <w:t>M</w:t>
      </w:r>
      <w:r w:rsidRPr="00E65525">
        <w:t>anager under the following categories:</w:t>
      </w:r>
    </w:p>
    <w:p w:rsidR="009C3B60" w:rsidRPr="00E65525" w:rsidRDefault="009C3B60" w:rsidP="004B0D5B">
      <w:pPr>
        <w:keepNext/>
        <w:keepLines/>
      </w:pPr>
    </w:p>
    <w:tbl>
      <w:tblPr>
        <w:tblStyle w:val="TableGrid"/>
        <w:tblW w:w="0" w:type="auto"/>
        <w:jc w:val="center"/>
        <w:tblLook w:val="04A0" w:firstRow="1" w:lastRow="0" w:firstColumn="1" w:lastColumn="0" w:noHBand="0" w:noVBand="1"/>
      </w:tblPr>
      <w:tblGrid>
        <w:gridCol w:w="2541"/>
        <w:gridCol w:w="2539"/>
      </w:tblGrid>
      <w:tr w:rsidR="007015DD" w:rsidRPr="00A03CCD" w:rsidTr="0077464F">
        <w:trPr>
          <w:cantSplit/>
          <w:jc w:val="center"/>
        </w:trPr>
        <w:tc>
          <w:tcPr>
            <w:tcW w:w="5080" w:type="dxa"/>
            <w:gridSpan w:val="2"/>
            <w:shd w:val="clear" w:color="auto" w:fill="95B3D7" w:themeFill="accent1" w:themeFillTint="99"/>
          </w:tcPr>
          <w:p w:rsidR="007015DD" w:rsidRPr="00A03CCD" w:rsidRDefault="007015DD" w:rsidP="004B0D5B">
            <w:pPr>
              <w:keepNext/>
              <w:keepLines/>
              <w:spacing w:before="120" w:after="120"/>
              <w:jc w:val="center"/>
              <w:rPr>
                <w:b/>
                <w:sz w:val="20"/>
              </w:rPr>
            </w:pPr>
            <w:r w:rsidRPr="00A03CCD">
              <w:rPr>
                <w:b/>
                <w:sz w:val="20"/>
              </w:rPr>
              <w:t>Fit</w:t>
            </w:r>
            <w:r w:rsidR="00DE5F00" w:rsidRPr="00A03CCD">
              <w:rPr>
                <w:b/>
                <w:sz w:val="20"/>
              </w:rPr>
              <w:t>ness</w:t>
            </w:r>
            <w:r w:rsidRPr="00A03CCD">
              <w:rPr>
                <w:b/>
                <w:sz w:val="20"/>
              </w:rPr>
              <w:t xml:space="preserve"> For Purpose Criteria</w:t>
            </w:r>
          </w:p>
        </w:tc>
      </w:tr>
      <w:tr w:rsidR="009C3B60" w:rsidRPr="00A03CCD" w:rsidTr="0077464F">
        <w:trPr>
          <w:cantSplit/>
          <w:jc w:val="center"/>
        </w:trPr>
        <w:tc>
          <w:tcPr>
            <w:tcW w:w="2541" w:type="dxa"/>
          </w:tcPr>
          <w:p w:rsidR="009C3B60" w:rsidRPr="00A03CCD" w:rsidRDefault="009C3B60" w:rsidP="004B0D5B">
            <w:pPr>
              <w:keepNext/>
              <w:keepLines/>
              <w:spacing w:before="120" w:after="120"/>
              <w:rPr>
                <w:sz w:val="20"/>
              </w:rPr>
            </w:pPr>
            <w:r w:rsidRPr="00A03CCD">
              <w:rPr>
                <w:sz w:val="20"/>
              </w:rPr>
              <w:t>Location</w:t>
            </w:r>
          </w:p>
        </w:tc>
        <w:tc>
          <w:tcPr>
            <w:tcW w:w="2539" w:type="dxa"/>
          </w:tcPr>
          <w:p w:rsidR="009C3B60" w:rsidRPr="00A03CCD" w:rsidRDefault="009C3B60" w:rsidP="004B0D5B">
            <w:pPr>
              <w:keepNext/>
              <w:keepLines/>
              <w:spacing w:before="120" w:after="120"/>
              <w:rPr>
                <w:sz w:val="20"/>
              </w:rPr>
            </w:pPr>
            <w:r w:rsidRPr="00A03CCD">
              <w:rPr>
                <w:sz w:val="20"/>
              </w:rPr>
              <w:t>Accessibility</w:t>
            </w:r>
          </w:p>
        </w:tc>
      </w:tr>
      <w:tr w:rsidR="009C3B60" w:rsidRPr="00A03CCD" w:rsidTr="0077464F">
        <w:trPr>
          <w:cantSplit/>
          <w:jc w:val="center"/>
        </w:trPr>
        <w:tc>
          <w:tcPr>
            <w:tcW w:w="2541" w:type="dxa"/>
          </w:tcPr>
          <w:p w:rsidR="009C3B60" w:rsidRPr="00A03CCD" w:rsidRDefault="009C3B60" w:rsidP="004B0D5B">
            <w:pPr>
              <w:keepNext/>
              <w:keepLines/>
              <w:spacing w:before="120" w:after="120"/>
              <w:rPr>
                <w:sz w:val="20"/>
              </w:rPr>
            </w:pPr>
            <w:r w:rsidRPr="00A03CCD">
              <w:rPr>
                <w:sz w:val="20"/>
              </w:rPr>
              <w:t>Capacity</w:t>
            </w:r>
          </w:p>
        </w:tc>
        <w:tc>
          <w:tcPr>
            <w:tcW w:w="2539" w:type="dxa"/>
          </w:tcPr>
          <w:p w:rsidR="009C3B60" w:rsidRPr="00A03CCD" w:rsidRDefault="009C3B60" w:rsidP="004B0D5B">
            <w:pPr>
              <w:keepNext/>
              <w:keepLines/>
              <w:spacing w:before="120" w:after="120"/>
              <w:rPr>
                <w:sz w:val="20"/>
              </w:rPr>
            </w:pPr>
            <w:r w:rsidRPr="00A03CCD">
              <w:rPr>
                <w:sz w:val="20"/>
              </w:rPr>
              <w:t>Quality</w:t>
            </w:r>
          </w:p>
        </w:tc>
      </w:tr>
      <w:tr w:rsidR="009C3B60" w:rsidRPr="00A03CCD" w:rsidTr="0077464F">
        <w:trPr>
          <w:cantSplit/>
          <w:jc w:val="center"/>
        </w:trPr>
        <w:tc>
          <w:tcPr>
            <w:tcW w:w="2541" w:type="dxa"/>
          </w:tcPr>
          <w:p w:rsidR="009C3B60" w:rsidRPr="00A03CCD" w:rsidRDefault="009C3B60" w:rsidP="004B0D5B">
            <w:pPr>
              <w:keepNext/>
              <w:keepLines/>
              <w:spacing w:before="120" w:after="120"/>
              <w:rPr>
                <w:sz w:val="20"/>
              </w:rPr>
            </w:pPr>
            <w:r w:rsidRPr="00A03CCD">
              <w:rPr>
                <w:sz w:val="20"/>
              </w:rPr>
              <w:t>Comfort</w:t>
            </w:r>
          </w:p>
        </w:tc>
        <w:tc>
          <w:tcPr>
            <w:tcW w:w="2539" w:type="dxa"/>
          </w:tcPr>
          <w:p w:rsidR="009C3B60" w:rsidRPr="00A03CCD" w:rsidRDefault="009C3B60" w:rsidP="004B0D5B">
            <w:pPr>
              <w:keepNext/>
              <w:keepLines/>
              <w:spacing w:before="120" w:after="120"/>
              <w:rPr>
                <w:sz w:val="20"/>
              </w:rPr>
            </w:pPr>
            <w:r w:rsidRPr="00A03CCD">
              <w:rPr>
                <w:sz w:val="20"/>
              </w:rPr>
              <w:t xml:space="preserve">Health </w:t>
            </w:r>
            <w:r w:rsidR="00927AFA">
              <w:rPr>
                <w:sz w:val="20"/>
              </w:rPr>
              <w:t>and</w:t>
            </w:r>
            <w:r w:rsidRPr="00A03CCD">
              <w:rPr>
                <w:sz w:val="20"/>
              </w:rPr>
              <w:t xml:space="preserve"> Safety</w:t>
            </w:r>
          </w:p>
        </w:tc>
      </w:tr>
      <w:tr w:rsidR="009C3B60" w:rsidRPr="00A03CCD" w:rsidTr="0077464F">
        <w:trPr>
          <w:cantSplit/>
          <w:jc w:val="center"/>
        </w:trPr>
        <w:tc>
          <w:tcPr>
            <w:tcW w:w="2541" w:type="dxa"/>
          </w:tcPr>
          <w:p w:rsidR="009C3B60" w:rsidRPr="00A03CCD" w:rsidRDefault="009C3B60" w:rsidP="004B0D5B">
            <w:pPr>
              <w:keepNext/>
              <w:keepLines/>
              <w:spacing w:before="120" w:after="120"/>
              <w:rPr>
                <w:sz w:val="20"/>
              </w:rPr>
            </w:pPr>
            <w:r w:rsidRPr="00A03CCD">
              <w:rPr>
                <w:sz w:val="20"/>
              </w:rPr>
              <w:t>Functionality</w:t>
            </w:r>
          </w:p>
        </w:tc>
        <w:tc>
          <w:tcPr>
            <w:tcW w:w="2539" w:type="dxa"/>
          </w:tcPr>
          <w:p w:rsidR="009C3B60" w:rsidRPr="00A03CCD" w:rsidRDefault="009C3B60" w:rsidP="004B0D5B">
            <w:pPr>
              <w:keepNext/>
              <w:keepLines/>
              <w:spacing w:before="120" w:after="120"/>
              <w:rPr>
                <w:sz w:val="20"/>
              </w:rPr>
            </w:pPr>
          </w:p>
        </w:tc>
      </w:tr>
    </w:tbl>
    <w:p w:rsidR="008C5B9E" w:rsidRPr="0091425F" w:rsidRDefault="008C5B9E" w:rsidP="004B0D5B">
      <w:pPr>
        <w:pStyle w:val="Caption"/>
        <w:keepNext/>
        <w:keepLines/>
        <w:spacing w:before="240" w:after="240"/>
        <w:ind w:left="0"/>
        <w:jc w:val="center"/>
        <w:rPr>
          <w:rFonts w:ascii="Arial" w:hAnsi="Arial"/>
          <w:i w:val="0"/>
          <w:iCs w:val="0"/>
          <w:sz w:val="20"/>
          <w:lang w:val="en-AU"/>
        </w:rPr>
      </w:pPr>
      <w:bookmarkStart w:id="463" w:name="_Toc364945436"/>
      <w:bookmarkStart w:id="464" w:name="_Toc346740154"/>
      <w:r w:rsidRPr="0091425F">
        <w:rPr>
          <w:rFonts w:ascii="Arial" w:hAnsi="Arial"/>
          <w:i w:val="0"/>
          <w:iCs w:val="0"/>
          <w:sz w:val="20"/>
          <w:lang w:val="en-AU"/>
        </w:rPr>
        <w:t xml:space="preserve">Table </w:t>
      </w:r>
      <w:r w:rsidR="0090414C" w:rsidRPr="0091425F">
        <w:rPr>
          <w:rFonts w:ascii="Arial" w:hAnsi="Arial"/>
          <w:i w:val="0"/>
          <w:iCs w:val="0"/>
          <w:sz w:val="20"/>
          <w:lang w:val="en-AU"/>
        </w:rPr>
        <w:fldChar w:fldCharType="begin"/>
      </w:r>
      <w:r w:rsidRPr="0091425F">
        <w:rPr>
          <w:rFonts w:ascii="Arial" w:hAnsi="Arial"/>
          <w:i w:val="0"/>
          <w:iCs w:val="0"/>
          <w:sz w:val="20"/>
          <w:lang w:val="en-AU"/>
        </w:rPr>
        <w:instrText xml:space="preserve"> SEQ Table \* ARABIC </w:instrText>
      </w:r>
      <w:r w:rsidR="0090414C" w:rsidRPr="0091425F">
        <w:rPr>
          <w:rFonts w:ascii="Arial" w:hAnsi="Arial"/>
          <w:i w:val="0"/>
          <w:iCs w:val="0"/>
          <w:sz w:val="20"/>
          <w:lang w:val="en-AU"/>
        </w:rPr>
        <w:fldChar w:fldCharType="separate"/>
      </w:r>
      <w:r w:rsidR="00751CEC">
        <w:rPr>
          <w:rFonts w:ascii="Arial" w:hAnsi="Arial"/>
          <w:i w:val="0"/>
          <w:iCs w:val="0"/>
          <w:noProof/>
          <w:sz w:val="20"/>
          <w:lang w:val="en-AU"/>
        </w:rPr>
        <w:t>32</w:t>
      </w:r>
      <w:r w:rsidR="0090414C" w:rsidRPr="0091425F">
        <w:rPr>
          <w:rFonts w:ascii="Arial" w:hAnsi="Arial"/>
          <w:i w:val="0"/>
          <w:iCs w:val="0"/>
          <w:sz w:val="20"/>
          <w:lang w:val="en-AU"/>
        </w:rPr>
        <w:fldChar w:fldCharType="end"/>
      </w:r>
      <w:r w:rsidRPr="0091425F">
        <w:rPr>
          <w:rFonts w:ascii="Arial" w:hAnsi="Arial"/>
          <w:i w:val="0"/>
          <w:iCs w:val="0"/>
          <w:sz w:val="20"/>
          <w:lang w:val="en-AU"/>
        </w:rPr>
        <w:t>:  Fitness for Purpose Criteria</w:t>
      </w:r>
      <w:bookmarkEnd w:id="463"/>
    </w:p>
    <w:p w:rsidR="00F32C90" w:rsidRPr="00E65525" w:rsidRDefault="00F32C90" w:rsidP="003E5B9F">
      <w:pPr>
        <w:pStyle w:val="StyleHeading3Heading3Char10ptBefore6pt"/>
      </w:pPr>
      <w:bookmarkStart w:id="465" w:name="_Toc346740152"/>
      <w:bookmarkStart w:id="466" w:name="_Toc364945294"/>
      <w:bookmarkEnd w:id="464"/>
      <w:r w:rsidRPr="00E65525">
        <w:t>Building Condition Profile</w:t>
      </w:r>
      <w:bookmarkEnd w:id="465"/>
      <w:bookmarkEnd w:id="466"/>
    </w:p>
    <w:p w:rsidR="00F32C90" w:rsidRPr="00E65525" w:rsidRDefault="00F32C90" w:rsidP="0077464F">
      <w:pPr>
        <w:ind w:left="720"/>
      </w:pPr>
      <w:r w:rsidRPr="00E65525">
        <w:t xml:space="preserve">A building condition assessment is a technical inspection completed by a </w:t>
      </w:r>
      <w:r>
        <w:t xml:space="preserve">suitably qualified and experienced </w:t>
      </w:r>
      <w:r w:rsidRPr="00E65525">
        <w:t>assessor to evaluate the physical state of the building elements and services.  Council uses independent building consultants and its experienced buildings maintenance officers for this task.</w:t>
      </w:r>
    </w:p>
    <w:p w:rsidR="00F32C90" w:rsidRDefault="00F32C90" w:rsidP="0077464F">
      <w:pPr>
        <w:ind w:left="720"/>
      </w:pPr>
    </w:p>
    <w:p w:rsidR="00F32C90" w:rsidRDefault="00F32C90" w:rsidP="0077464F">
      <w:pPr>
        <w:ind w:left="720"/>
      </w:pPr>
      <w:r w:rsidRPr="00E65525">
        <w:t xml:space="preserve">The overall condition of a building is determined by separately assessing the condition of the </w:t>
      </w:r>
      <w:r>
        <w:t xml:space="preserve">key </w:t>
      </w:r>
      <w:r w:rsidRPr="00E65525">
        <w:t xml:space="preserve">components of the building. </w:t>
      </w:r>
      <w:r>
        <w:t xml:space="preserve">To enable more accurate modelling and determination of renewal needs over time the following general criteria is used to determine condition. Generally 0 is new and 10 the building is no long suitable for use and is a major safety risk. </w:t>
      </w:r>
    </w:p>
    <w:p w:rsidR="00F32C90" w:rsidRDefault="00F32C90" w:rsidP="0077464F">
      <w:pPr>
        <w:ind w:left="720"/>
      </w:pPr>
    </w:p>
    <w:tbl>
      <w:tblPr>
        <w:tblStyle w:val="TableGrid"/>
        <w:tblW w:w="8363" w:type="dxa"/>
        <w:tblInd w:w="817" w:type="dxa"/>
        <w:tblLook w:val="04A0" w:firstRow="1" w:lastRow="0" w:firstColumn="1" w:lastColumn="0" w:noHBand="0" w:noVBand="1"/>
      </w:tblPr>
      <w:tblGrid>
        <w:gridCol w:w="1150"/>
        <w:gridCol w:w="7213"/>
      </w:tblGrid>
      <w:tr w:rsidR="007015DD" w:rsidRPr="00A03CCD" w:rsidTr="008C5B9E">
        <w:trPr>
          <w:cantSplit/>
        </w:trPr>
        <w:tc>
          <w:tcPr>
            <w:tcW w:w="1056" w:type="dxa"/>
            <w:shd w:val="clear" w:color="auto" w:fill="95B3D7" w:themeFill="accent1" w:themeFillTint="99"/>
            <w:vAlign w:val="center"/>
          </w:tcPr>
          <w:p w:rsidR="007015DD" w:rsidRPr="00A03CCD" w:rsidRDefault="007015DD" w:rsidP="0077464F">
            <w:pPr>
              <w:keepNext/>
              <w:keepLines/>
              <w:spacing w:before="120" w:after="120"/>
              <w:jc w:val="center"/>
              <w:rPr>
                <w:b/>
                <w:sz w:val="20"/>
              </w:rPr>
            </w:pPr>
            <w:r w:rsidRPr="00A03CCD">
              <w:rPr>
                <w:b/>
                <w:sz w:val="20"/>
              </w:rPr>
              <w:t>Condition</w:t>
            </w:r>
            <w:r w:rsidR="0077464F" w:rsidRPr="00A03CCD">
              <w:rPr>
                <w:b/>
                <w:sz w:val="20"/>
              </w:rPr>
              <w:br/>
            </w:r>
            <w:r w:rsidRPr="00A03CCD">
              <w:rPr>
                <w:b/>
                <w:sz w:val="20"/>
              </w:rPr>
              <w:t>0-10</w:t>
            </w:r>
          </w:p>
        </w:tc>
        <w:tc>
          <w:tcPr>
            <w:tcW w:w="7307" w:type="dxa"/>
            <w:shd w:val="clear" w:color="auto" w:fill="95B3D7" w:themeFill="accent1" w:themeFillTint="99"/>
            <w:vAlign w:val="center"/>
          </w:tcPr>
          <w:p w:rsidR="007015DD" w:rsidRPr="00A03CCD" w:rsidRDefault="007015DD" w:rsidP="0077464F">
            <w:pPr>
              <w:keepNext/>
              <w:keepLines/>
              <w:spacing w:before="120" w:after="120"/>
              <w:rPr>
                <w:b/>
                <w:sz w:val="20"/>
              </w:rPr>
            </w:pPr>
            <w:r w:rsidRPr="00A03CCD">
              <w:rPr>
                <w:b/>
                <w:sz w:val="20"/>
              </w:rPr>
              <w:t>Generalised Generic Description of Asset Condition</w:t>
            </w:r>
          </w:p>
        </w:tc>
      </w:tr>
      <w:tr w:rsidR="007015DD" w:rsidRPr="00A03CCD" w:rsidTr="008C5B9E">
        <w:trPr>
          <w:cantSplit/>
        </w:trPr>
        <w:tc>
          <w:tcPr>
            <w:tcW w:w="1056" w:type="dxa"/>
          </w:tcPr>
          <w:p w:rsidR="007015DD" w:rsidRPr="00A03CCD" w:rsidRDefault="007015DD" w:rsidP="0077464F">
            <w:pPr>
              <w:keepNext/>
              <w:keepLines/>
              <w:spacing w:before="120" w:after="120"/>
              <w:jc w:val="center"/>
              <w:rPr>
                <w:sz w:val="20"/>
              </w:rPr>
            </w:pPr>
            <w:r w:rsidRPr="00A03CCD">
              <w:rPr>
                <w:sz w:val="20"/>
              </w:rPr>
              <w:t>0</w:t>
            </w:r>
          </w:p>
        </w:tc>
        <w:tc>
          <w:tcPr>
            <w:tcW w:w="7307" w:type="dxa"/>
          </w:tcPr>
          <w:p w:rsidR="007015DD" w:rsidRPr="00A03CCD" w:rsidRDefault="007015DD" w:rsidP="0077464F">
            <w:pPr>
              <w:keepNext/>
              <w:keepLines/>
              <w:spacing w:before="120" w:after="120"/>
              <w:jc w:val="left"/>
              <w:rPr>
                <w:sz w:val="20"/>
              </w:rPr>
            </w:pPr>
            <w:r w:rsidRPr="00A03CCD">
              <w:rPr>
                <w:sz w:val="20"/>
              </w:rPr>
              <w:t>A new asset or an asset rehabilitated back to new condition.</w:t>
            </w:r>
          </w:p>
        </w:tc>
      </w:tr>
      <w:tr w:rsidR="007015DD" w:rsidRPr="00A03CCD" w:rsidTr="008C5B9E">
        <w:trPr>
          <w:cantSplit/>
        </w:trPr>
        <w:tc>
          <w:tcPr>
            <w:tcW w:w="1056" w:type="dxa"/>
          </w:tcPr>
          <w:p w:rsidR="007015DD" w:rsidRPr="00A03CCD" w:rsidRDefault="007015DD" w:rsidP="0077464F">
            <w:pPr>
              <w:keepNext/>
              <w:keepLines/>
              <w:spacing w:before="120" w:after="120"/>
              <w:jc w:val="center"/>
              <w:rPr>
                <w:sz w:val="20"/>
              </w:rPr>
            </w:pPr>
            <w:r w:rsidRPr="00A03CCD">
              <w:rPr>
                <w:sz w:val="20"/>
              </w:rPr>
              <w:t>1</w:t>
            </w:r>
          </w:p>
        </w:tc>
        <w:tc>
          <w:tcPr>
            <w:tcW w:w="7307" w:type="dxa"/>
          </w:tcPr>
          <w:p w:rsidR="007015DD" w:rsidRPr="00A03CCD" w:rsidRDefault="007015DD" w:rsidP="0077464F">
            <w:pPr>
              <w:keepNext/>
              <w:keepLines/>
              <w:spacing w:before="120" w:after="120"/>
              <w:jc w:val="left"/>
              <w:rPr>
                <w:sz w:val="20"/>
              </w:rPr>
            </w:pPr>
            <w:r w:rsidRPr="00A03CCD">
              <w:rPr>
                <w:sz w:val="20"/>
              </w:rPr>
              <w:t>A near new asset with no visible signs of deterioration based on time since construction rather than condition decline.</w:t>
            </w:r>
          </w:p>
        </w:tc>
      </w:tr>
      <w:tr w:rsidR="007015DD" w:rsidRPr="00A03CCD" w:rsidTr="008C5B9E">
        <w:trPr>
          <w:cantSplit/>
        </w:trPr>
        <w:tc>
          <w:tcPr>
            <w:tcW w:w="1056" w:type="dxa"/>
          </w:tcPr>
          <w:p w:rsidR="007015DD" w:rsidRPr="00A03CCD" w:rsidRDefault="007015DD" w:rsidP="0077464F">
            <w:pPr>
              <w:keepNext/>
              <w:keepLines/>
              <w:spacing w:before="120" w:after="120"/>
              <w:jc w:val="center"/>
              <w:rPr>
                <w:sz w:val="20"/>
              </w:rPr>
            </w:pPr>
            <w:r w:rsidRPr="00A03CCD">
              <w:rPr>
                <w:sz w:val="20"/>
              </w:rPr>
              <w:t>2</w:t>
            </w:r>
          </w:p>
        </w:tc>
        <w:tc>
          <w:tcPr>
            <w:tcW w:w="7307" w:type="dxa"/>
          </w:tcPr>
          <w:p w:rsidR="007015DD" w:rsidRPr="00A03CCD" w:rsidRDefault="007015DD" w:rsidP="0077464F">
            <w:pPr>
              <w:keepNext/>
              <w:keepLines/>
              <w:spacing w:before="120" w:after="120"/>
              <w:jc w:val="left"/>
              <w:rPr>
                <w:sz w:val="20"/>
              </w:rPr>
            </w:pPr>
            <w:r w:rsidRPr="00A03CCD">
              <w:rPr>
                <w:sz w:val="20"/>
              </w:rPr>
              <w:t>An asset in excellent overall condition. There would be only very slight condition decline but it would be obvious that the asset was no longer in new condition.</w:t>
            </w:r>
          </w:p>
        </w:tc>
      </w:tr>
      <w:tr w:rsidR="007015DD" w:rsidRPr="00A03CCD" w:rsidTr="008C5B9E">
        <w:trPr>
          <w:cantSplit/>
        </w:trPr>
        <w:tc>
          <w:tcPr>
            <w:tcW w:w="1056" w:type="dxa"/>
          </w:tcPr>
          <w:p w:rsidR="007015DD" w:rsidRPr="00A03CCD" w:rsidRDefault="007015DD" w:rsidP="0077464F">
            <w:pPr>
              <w:keepNext/>
              <w:keepLines/>
              <w:spacing w:before="120" w:after="120"/>
              <w:jc w:val="center"/>
              <w:rPr>
                <w:sz w:val="20"/>
              </w:rPr>
            </w:pPr>
            <w:r w:rsidRPr="00A03CCD">
              <w:rPr>
                <w:sz w:val="20"/>
              </w:rPr>
              <w:t>3</w:t>
            </w:r>
          </w:p>
        </w:tc>
        <w:tc>
          <w:tcPr>
            <w:tcW w:w="7307" w:type="dxa"/>
          </w:tcPr>
          <w:p w:rsidR="007015DD" w:rsidRPr="00A03CCD" w:rsidRDefault="007015DD" w:rsidP="0077464F">
            <w:pPr>
              <w:keepNext/>
              <w:keepLines/>
              <w:spacing w:before="120" w:after="120"/>
              <w:jc w:val="left"/>
              <w:rPr>
                <w:sz w:val="20"/>
              </w:rPr>
            </w:pPr>
            <w:r w:rsidRPr="00A03CCD">
              <w:rPr>
                <w:sz w:val="20"/>
              </w:rPr>
              <w:t>An asset in very good overall condition but with some early stages of deterioration still minor in nat</w:t>
            </w:r>
            <w:r w:rsidR="00885310" w:rsidRPr="00A03CCD">
              <w:rPr>
                <w:sz w:val="20"/>
              </w:rPr>
              <w:t>ure and causing no service</w:t>
            </w:r>
            <w:r w:rsidRPr="00A03CCD">
              <w:rPr>
                <w:sz w:val="20"/>
              </w:rPr>
              <w:t>ability problems.</w:t>
            </w:r>
          </w:p>
        </w:tc>
      </w:tr>
      <w:tr w:rsidR="007015DD" w:rsidRPr="00A03CCD" w:rsidTr="008C5B9E">
        <w:trPr>
          <w:cantSplit/>
        </w:trPr>
        <w:tc>
          <w:tcPr>
            <w:tcW w:w="1056" w:type="dxa"/>
          </w:tcPr>
          <w:p w:rsidR="007015DD" w:rsidRPr="00A03CCD" w:rsidRDefault="007015DD" w:rsidP="0077464F">
            <w:pPr>
              <w:keepNext/>
              <w:keepLines/>
              <w:spacing w:before="120" w:after="120"/>
              <w:jc w:val="center"/>
              <w:rPr>
                <w:sz w:val="20"/>
              </w:rPr>
            </w:pPr>
            <w:r w:rsidRPr="00A03CCD">
              <w:rPr>
                <w:sz w:val="20"/>
              </w:rPr>
              <w:t>4</w:t>
            </w:r>
          </w:p>
        </w:tc>
        <w:tc>
          <w:tcPr>
            <w:tcW w:w="7307" w:type="dxa"/>
          </w:tcPr>
          <w:p w:rsidR="007015DD" w:rsidRPr="00A03CCD" w:rsidRDefault="007015DD" w:rsidP="0077464F">
            <w:pPr>
              <w:keepNext/>
              <w:keepLines/>
              <w:spacing w:before="120" w:after="120"/>
              <w:jc w:val="left"/>
              <w:rPr>
                <w:sz w:val="20"/>
              </w:rPr>
            </w:pPr>
            <w:r w:rsidRPr="00A03CCD">
              <w:rPr>
                <w:sz w:val="20"/>
              </w:rPr>
              <w:t>An asset in good overall condition but with some obvious deterioration evident service</w:t>
            </w:r>
            <w:r w:rsidR="00885310" w:rsidRPr="00A03CCD">
              <w:rPr>
                <w:sz w:val="20"/>
              </w:rPr>
              <w:t>ability would be impaired slightly.</w:t>
            </w:r>
          </w:p>
        </w:tc>
      </w:tr>
      <w:tr w:rsidR="007015DD" w:rsidRPr="00A03CCD" w:rsidTr="008C5B9E">
        <w:trPr>
          <w:cantSplit/>
        </w:trPr>
        <w:tc>
          <w:tcPr>
            <w:tcW w:w="1056" w:type="dxa"/>
          </w:tcPr>
          <w:p w:rsidR="007015DD" w:rsidRPr="00A03CCD" w:rsidRDefault="007015DD" w:rsidP="0077464F">
            <w:pPr>
              <w:keepNext/>
              <w:keepLines/>
              <w:spacing w:before="120" w:after="120"/>
              <w:jc w:val="center"/>
              <w:rPr>
                <w:sz w:val="20"/>
              </w:rPr>
            </w:pPr>
            <w:r w:rsidRPr="00A03CCD">
              <w:rPr>
                <w:sz w:val="20"/>
              </w:rPr>
              <w:t>5</w:t>
            </w:r>
          </w:p>
        </w:tc>
        <w:tc>
          <w:tcPr>
            <w:tcW w:w="7307" w:type="dxa"/>
          </w:tcPr>
          <w:p w:rsidR="007015DD" w:rsidRPr="00A03CCD" w:rsidRDefault="00885310" w:rsidP="0077464F">
            <w:pPr>
              <w:keepNext/>
              <w:keepLines/>
              <w:spacing w:before="120" w:after="120"/>
              <w:jc w:val="left"/>
              <w:rPr>
                <w:sz w:val="20"/>
              </w:rPr>
            </w:pPr>
            <w:r w:rsidRPr="00A03CCD">
              <w:rPr>
                <w:sz w:val="20"/>
              </w:rPr>
              <w:t>An asset in fair overall condition deterioration in condition would be obvious and there would be some serviceability loss.</w:t>
            </w:r>
          </w:p>
        </w:tc>
      </w:tr>
      <w:tr w:rsidR="007015DD" w:rsidRPr="00A03CCD" w:rsidTr="008C5B9E">
        <w:trPr>
          <w:cantSplit/>
        </w:trPr>
        <w:tc>
          <w:tcPr>
            <w:tcW w:w="1056" w:type="dxa"/>
          </w:tcPr>
          <w:p w:rsidR="007015DD" w:rsidRPr="00A03CCD" w:rsidRDefault="007015DD" w:rsidP="0077464F">
            <w:pPr>
              <w:keepNext/>
              <w:keepLines/>
              <w:spacing w:before="120" w:after="120"/>
              <w:jc w:val="center"/>
              <w:rPr>
                <w:sz w:val="20"/>
              </w:rPr>
            </w:pPr>
            <w:r w:rsidRPr="00A03CCD">
              <w:rPr>
                <w:sz w:val="20"/>
              </w:rPr>
              <w:t>6</w:t>
            </w:r>
          </w:p>
        </w:tc>
        <w:tc>
          <w:tcPr>
            <w:tcW w:w="7307" w:type="dxa"/>
          </w:tcPr>
          <w:p w:rsidR="007015DD" w:rsidRPr="00A03CCD" w:rsidRDefault="00885310" w:rsidP="0077464F">
            <w:pPr>
              <w:keepNext/>
              <w:keepLines/>
              <w:spacing w:before="120" w:after="120"/>
              <w:jc w:val="left"/>
              <w:rPr>
                <w:sz w:val="20"/>
              </w:rPr>
            </w:pPr>
            <w:r w:rsidRPr="00A03CCD">
              <w:rPr>
                <w:sz w:val="20"/>
              </w:rPr>
              <w:t>An asset in fair to poor overall condition. The condition deterioration would be quite obvious. Asset serviceability would now be affected and maintenance costs would be rising.</w:t>
            </w:r>
          </w:p>
        </w:tc>
      </w:tr>
      <w:tr w:rsidR="007015DD" w:rsidRPr="00A03CCD" w:rsidTr="008C5B9E">
        <w:trPr>
          <w:cantSplit/>
        </w:trPr>
        <w:tc>
          <w:tcPr>
            <w:tcW w:w="1056" w:type="dxa"/>
          </w:tcPr>
          <w:p w:rsidR="007015DD" w:rsidRPr="00A03CCD" w:rsidRDefault="007015DD" w:rsidP="0077464F">
            <w:pPr>
              <w:keepNext/>
              <w:keepLines/>
              <w:spacing w:before="120" w:after="120"/>
              <w:jc w:val="center"/>
              <w:rPr>
                <w:sz w:val="20"/>
              </w:rPr>
            </w:pPr>
            <w:r w:rsidRPr="00A03CCD">
              <w:rPr>
                <w:sz w:val="20"/>
              </w:rPr>
              <w:t>7</w:t>
            </w:r>
          </w:p>
        </w:tc>
        <w:tc>
          <w:tcPr>
            <w:tcW w:w="7307" w:type="dxa"/>
          </w:tcPr>
          <w:p w:rsidR="007015DD" w:rsidRPr="00A03CCD" w:rsidRDefault="00885310" w:rsidP="0077464F">
            <w:pPr>
              <w:keepNext/>
              <w:keepLines/>
              <w:spacing w:before="120" w:after="120"/>
              <w:jc w:val="left"/>
              <w:rPr>
                <w:sz w:val="20"/>
              </w:rPr>
            </w:pPr>
            <w:r w:rsidRPr="00A03CCD">
              <w:rPr>
                <w:sz w:val="20"/>
              </w:rPr>
              <w:t>An asset in poor overall condition deterioration would be quite severe and would be starting to limit the serviceability of the asset. Maintenance costs would be high.</w:t>
            </w:r>
          </w:p>
        </w:tc>
      </w:tr>
      <w:tr w:rsidR="007015DD" w:rsidRPr="00A03CCD" w:rsidTr="008C5B9E">
        <w:trPr>
          <w:cantSplit/>
        </w:trPr>
        <w:tc>
          <w:tcPr>
            <w:tcW w:w="1056" w:type="dxa"/>
          </w:tcPr>
          <w:p w:rsidR="007015DD" w:rsidRPr="00A03CCD" w:rsidRDefault="007015DD" w:rsidP="0077464F">
            <w:pPr>
              <w:keepNext/>
              <w:keepLines/>
              <w:spacing w:before="120" w:after="120"/>
              <w:jc w:val="center"/>
              <w:rPr>
                <w:sz w:val="20"/>
              </w:rPr>
            </w:pPr>
            <w:r w:rsidRPr="00A03CCD">
              <w:rPr>
                <w:sz w:val="20"/>
              </w:rPr>
              <w:t>8</w:t>
            </w:r>
          </w:p>
        </w:tc>
        <w:tc>
          <w:tcPr>
            <w:tcW w:w="7307" w:type="dxa"/>
          </w:tcPr>
          <w:p w:rsidR="007015DD" w:rsidRPr="00A03CCD" w:rsidRDefault="00885310" w:rsidP="0077464F">
            <w:pPr>
              <w:keepNext/>
              <w:keepLines/>
              <w:spacing w:before="120" w:after="120"/>
              <w:jc w:val="left"/>
              <w:rPr>
                <w:sz w:val="20"/>
              </w:rPr>
            </w:pPr>
            <w:r w:rsidRPr="00A03CCD">
              <w:rPr>
                <w:sz w:val="20"/>
              </w:rPr>
              <w:t>An asset in very poor overall condition with serviceability now being heavily impacted upon by the poor condition. Maintenance costs would be very high and the asset would be at a point where it needed to be rehabilitated.</w:t>
            </w:r>
          </w:p>
        </w:tc>
      </w:tr>
      <w:tr w:rsidR="007015DD" w:rsidRPr="00A03CCD" w:rsidTr="008C5B9E">
        <w:trPr>
          <w:cantSplit/>
        </w:trPr>
        <w:tc>
          <w:tcPr>
            <w:tcW w:w="1056" w:type="dxa"/>
          </w:tcPr>
          <w:p w:rsidR="007015DD" w:rsidRPr="00A03CCD" w:rsidRDefault="007015DD" w:rsidP="0077464F">
            <w:pPr>
              <w:keepNext/>
              <w:keepLines/>
              <w:spacing w:before="120" w:after="120"/>
              <w:jc w:val="center"/>
              <w:rPr>
                <w:sz w:val="20"/>
              </w:rPr>
            </w:pPr>
            <w:r w:rsidRPr="00A03CCD">
              <w:rPr>
                <w:sz w:val="20"/>
              </w:rPr>
              <w:t>9</w:t>
            </w:r>
          </w:p>
        </w:tc>
        <w:tc>
          <w:tcPr>
            <w:tcW w:w="7307" w:type="dxa"/>
          </w:tcPr>
          <w:p w:rsidR="007015DD" w:rsidRPr="00A03CCD" w:rsidRDefault="00885310" w:rsidP="0077464F">
            <w:pPr>
              <w:keepNext/>
              <w:keepLines/>
              <w:spacing w:before="120" w:after="120"/>
              <w:jc w:val="left"/>
              <w:rPr>
                <w:sz w:val="20"/>
              </w:rPr>
            </w:pPr>
            <w:r w:rsidRPr="00A03CCD">
              <w:rPr>
                <w:sz w:val="20"/>
              </w:rPr>
              <w:t>An asset in extremely poor condition with severe serviceability problems and needing rehabilitation immediately. Could also be a risk to remain in service.</w:t>
            </w:r>
          </w:p>
        </w:tc>
      </w:tr>
      <w:tr w:rsidR="007015DD" w:rsidRPr="00A03CCD" w:rsidTr="008C5B9E">
        <w:trPr>
          <w:cantSplit/>
        </w:trPr>
        <w:tc>
          <w:tcPr>
            <w:tcW w:w="1056" w:type="dxa"/>
          </w:tcPr>
          <w:p w:rsidR="007015DD" w:rsidRPr="00A03CCD" w:rsidRDefault="007015DD" w:rsidP="0077464F">
            <w:pPr>
              <w:keepNext/>
              <w:keepLines/>
              <w:spacing w:before="120" w:after="120"/>
              <w:jc w:val="center"/>
              <w:rPr>
                <w:sz w:val="20"/>
              </w:rPr>
            </w:pPr>
            <w:r w:rsidRPr="00A03CCD">
              <w:rPr>
                <w:sz w:val="20"/>
              </w:rPr>
              <w:t>10</w:t>
            </w:r>
          </w:p>
        </w:tc>
        <w:tc>
          <w:tcPr>
            <w:tcW w:w="7307" w:type="dxa"/>
          </w:tcPr>
          <w:p w:rsidR="007015DD" w:rsidRPr="00A03CCD" w:rsidRDefault="00885310" w:rsidP="0077464F">
            <w:pPr>
              <w:keepNext/>
              <w:keepLines/>
              <w:spacing w:before="120" w:after="120"/>
              <w:jc w:val="left"/>
              <w:rPr>
                <w:sz w:val="20"/>
              </w:rPr>
            </w:pPr>
            <w:r w:rsidRPr="00A03CCD">
              <w:rPr>
                <w:sz w:val="20"/>
              </w:rPr>
              <w:t>An asset that has failed is no longer serviceable and should not remain in service. There would be extreme risk</w:t>
            </w:r>
            <w:r w:rsidR="00DA4425" w:rsidRPr="00A03CCD">
              <w:rPr>
                <w:sz w:val="20"/>
              </w:rPr>
              <w:t xml:space="preserve"> in leaving the asset in service.</w:t>
            </w:r>
          </w:p>
        </w:tc>
      </w:tr>
    </w:tbl>
    <w:p w:rsidR="008C5B9E" w:rsidRPr="0024611A" w:rsidRDefault="008C5B9E" w:rsidP="008C5B9E">
      <w:pPr>
        <w:pStyle w:val="Caption"/>
        <w:spacing w:before="240" w:after="240"/>
        <w:ind w:left="720"/>
        <w:jc w:val="center"/>
        <w:rPr>
          <w:rFonts w:ascii="Arial" w:hAnsi="Arial"/>
          <w:i w:val="0"/>
          <w:iCs w:val="0"/>
          <w:sz w:val="20"/>
          <w:lang w:val="en-AU"/>
        </w:rPr>
      </w:pPr>
      <w:bookmarkStart w:id="467" w:name="_Toc364945437"/>
      <w:r w:rsidRPr="0024611A">
        <w:rPr>
          <w:rFonts w:ascii="Arial" w:hAnsi="Arial"/>
          <w:i w:val="0"/>
          <w:iCs w:val="0"/>
          <w:sz w:val="20"/>
          <w:lang w:val="en-AU"/>
        </w:rPr>
        <w:t xml:space="preserve">Table </w:t>
      </w:r>
      <w:r w:rsidR="0090414C" w:rsidRPr="0024611A">
        <w:rPr>
          <w:rFonts w:ascii="Arial" w:hAnsi="Arial"/>
          <w:i w:val="0"/>
          <w:iCs w:val="0"/>
          <w:sz w:val="20"/>
          <w:lang w:val="en-AU"/>
        </w:rPr>
        <w:fldChar w:fldCharType="begin"/>
      </w:r>
      <w:r w:rsidRPr="0024611A">
        <w:rPr>
          <w:rFonts w:ascii="Arial" w:hAnsi="Arial"/>
          <w:i w:val="0"/>
          <w:iCs w:val="0"/>
          <w:sz w:val="20"/>
          <w:lang w:val="en-AU"/>
        </w:rPr>
        <w:instrText xml:space="preserve"> SEQ Table \* ARABIC </w:instrText>
      </w:r>
      <w:r w:rsidR="0090414C" w:rsidRPr="0024611A">
        <w:rPr>
          <w:rFonts w:ascii="Arial" w:hAnsi="Arial"/>
          <w:i w:val="0"/>
          <w:iCs w:val="0"/>
          <w:sz w:val="20"/>
          <w:lang w:val="en-AU"/>
        </w:rPr>
        <w:fldChar w:fldCharType="separate"/>
      </w:r>
      <w:r w:rsidR="00751CEC">
        <w:rPr>
          <w:rFonts w:ascii="Arial" w:hAnsi="Arial"/>
          <w:i w:val="0"/>
          <w:iCs w:val="0"/>
          <w:noProof/>
          <w:sz w:val="20"/>
          <w:lang w:val="en-AU"/>
        </w:rPr>
        <w:t>33</w:t>
      </w:r>
      <w:r w:rsidR="0090414C" w:rsidRPr="0024611A">
        <w:rPr>
          <w:rFonts w:ascii="Arial" w:hAnsi="Arial"/>
          <w:i w:val="0"/>
          <w:iCs w:val="0"/>
          <w:sz w:val="20"/>
          <w:lang w:val="en-AU"/>
        </w:rPr>
        <w:fldChar w:fldCharType="end"/>
      </w:r>
      <w:r w:rsidRPr="0024611A">
        <w:rPr>
          <w:rFonts w:ascii="Arial" w:hAnsi="Arial"/>
          <w:i w:val="0"/>
          <w:iCs w:val="0"/>
          <w:sz w:val="20"/>
          <w:lang w:val="en-AU"/>
        </w:rPr>
        <w:t>:  Generalised Generic Description of Asset Condition</w:t>
      </w:r>
      <w:bookmarkEnd w:id="467"/>
    </w:p>
    <w:p w:rsidR="00F32C90" w:rsidRDefault="00F32C90" w:rsidP="0077464F">
      <w:pPr>
        <w:ind w:left="720"/>
      </w:pPr>
      <w:r w:rsidRPr="00E65525">
        <w:t>The condition rating is one of the key considerations in planning future renewal and replacement works. Industry standards require building assets to be scored at a component level then the scores aggregated and weighted to give a total building score.</w:t>
      </w:r>
      <w:r>
        <w:t xml:space="preserve"> Assets are categorised ranging from as </w:t>
      </w:r>
      <w:r w:rsidRPr="00E65525">
        <w:t xml:space="preserve">being </w:t>
      </w:r>
      <w:r>
        <w:t xml:space="preserve">as </w:t>
      </w:r>
      <w:r w:rsidRPr="00E65525">
        <w:t xml:space="preserve">new </w:t>
      </w:r>
      <w:r>
        <w:t xml:space="preserve">in </w:t>
      </w:r>
      <w:r w:rsidRPr="00E65525">
        <w:t xml:space="preserve">excellent condition </w:t>
      </w:r>
      <w:r>
        <w:t xml:space="preserve">through to </w:t>
      </w:r>
      <w:r w:rsidRPr="00E65525">
        <w:t xml:space="preserve">poor </w:t>
      </w:r>
      <w:r>
        <w:t xml:space="preserve">in an </w:t>
      </w:r>
      <w:r w:rsidRPr="00E65525">
        <w:t>unserviceable condition.</w:t>
      </w:r>
      <w:r>
        <w:t xml:space="preserve"> </w:t>
      </w:r>
    </w:p>
    <w:p w:rsidR="00F32C90" w:rsidRDefault="00F32C90" w:rsidP="0077464F">
      <w:pPr>
        <w:ind w:left="720"/>
      </w:pPr>
    </w:p>
    <w:p w:rsidR="00F32C90" w:rsidRDefault="00F32C90" w:rsidP="00CE11FC">
      <w:pPr>
        <w:widowControl w:val="0"/>
        <w:ind w:left="720"/>
      </w:pPr>
      <w:r>
        <w:t>The following chart provides a breakdown of the average current condition ratings of all Council</w:t>
      </w:r>
      <w:r w:rsidR="00DE5F00">
        <w:t>’</w:t>
      </w:r>
      <w:r>
        <w:t xml:space="preserve">s buildings taking into account the condition ratings of the various components and then using weighted attributes determining an average condition. It shows that a small percentage of assets are in a very poor condition and that the majority of assets are in </w:t>
      </w:r>
      <w:r w:rsidR="00E27317">
        <w:t xml:space="preserve">fair to </w:t>
      </w:r>
      <w:r>
        <w:t xml:space="preserve">good condition. </w:t>
      </w:r>
      <w:r w:rsidR="00E27317">
        <w:t xml:space="preserve">The priority for the Buildings and Property Branch is to address the buildings that have failed or are extremely poor. The </w:t>
      </w:r>
      <w:r>
        <w:t>assets that are</w:t>
      </w:r>
      <w:r w:rsidR="00E27317">
        <w:t xml:space="preserve"> in Fair to Poor condition will have an impact on future </w:t>
      </w:r>
      <w:r>
        <w:t>renewal program</w:t>
      </w:r>
      <w:r w:rsidR="00E27317">
        <w:t>s. These assets are structurally sound but require refurbishment to the fit out, (painting, carpets, plumbing, etc</w:t>
      </w:r>
      <w:r w:rsidR="00D90FDE">
        <w:t>.</w:t>
      </w:r>
      <w:r w:rsidR="00E27317">
        <w:t>) to improve their amenity and serviceability.</w:t>
      </w:r>
    </w:p>
    <w:p w:rsidR="00EF3253" w:rsidRDefault="00EF3253" w:rsidP="0077464F">
      <w:pPr>
        <w:keepNext/>
        <w:keepLines/>
        <w:ind w:left="720"/>
      </w:pPr>
    </w:p>
    <w:p w:rsidR="00F32C90" w:rsidRDefault="00EF3253" w:rsidP="0077464F">
      <w:pPr>
        <w:keepNext/>
        <w:keepLines/>
        <w:ind w:left="720"/>
        <w:jc w:val="center"/>
        <w:rPr>
          <w:highlight w:val="yellow"/>
        </w:rPr>
      </w:pPr>
      <w:r>
        <w:rPr>
          <w:noProof/>
        </w:rPr>
        <w:drawing>
          <wp:inline distT="0" distB="0" distL="0" distR="0" wp14:anchorId="3CB7EB5B" wp14:editId="76CCE8C8">
            <wp:extent cx="5232953" cy="3244132"/>
            <wp:effectExtent l="19050" t="0" r="5797"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7" cstate="print"/>
                    <a:srcRect/>
                    <a:stretch>
                      <a:fillRect/>
                    </a:stretch>
                  </pic:blipFill>
                  <pic:spPr bwMode="auto">
                    <a:xfrm>
                      <a:off x="0" y="0"/>
                      <a:ext cx="5234940" cy="3245364"/>
                    </a:xfrm>
                    <a:prstGeom prst="rect">
                      <a:avLst/>
                    </a:prstGeom>
                    <a:noFill/>
                  </pic:spPr>
                </pic:pic>
              </a:graphicData>
            </a:graphic>
          </wp:inline>
        </w:drawing>
      </w:r>
    </w:p>
    <w:p w:rsidR="008C5B9E" w:rsidRPr="0024611A" w:rsidRDefault="008C5B9E" w:rsidP="008C5B9E">
      <w:pPr>
        <w:pStyle w:val="Caption"/>
        <w:spacing w:before="240" w:after="240"/>
        <w:ind w:left="720"/>
        <w:jc w:val="center"/>
        <w:rPr>
          <w:rFonts w:ascii="Arial" w:hAnsi="Arial"/>
          <w:i w:val="0"/>
          <w:iCs w:val="0"/>
          <w:sz w:val="20"/>
          <w:lang w:val="en-AU"/>
        </w:rPr>
      </w:pPr>
      <w:bookmarkStart w:id="468" w:name="_Toc364945387"/>
      <w:r w:rsidRPr="0024611A">
        <w:rPr>
          <w:rFonts w:ascii="Arial" w:hAnsi="Arial"/>
          <w:i w:val="0"/>
          <w:iCs w:val="0"/>
          <w:sz w:val="20"/>
          <w:lang w:val="en-AU"/>
        </w:rPr>
        <w:t xml:space="preserve">Figure </w:t>
      </w:r>
      <w:r w:rsidR="0090414C" w:rsidRPr="0024611A">
        <w:rPr>
          <w:rFonts w:ascii="Arial" w:hAnsi="Arial"/>
          <w:i w:val="0"/>
          <w:iCs w:val="0"/>
          <w:sz w:val="20"/>
          <w:lang w:val="en-AU"/>
        </w:rPr>
        <w:fldChar w:fldCharType="begin"/>
      </w:r>
      <w:r w:rsidRPr="0024611A">
        <w:rPr>
          <w:rFonts w:ascii="Arial" w:hAnsi="Arial"/>
          <w:i w:val="0"/>
          <w:iCs w:val="0"/>
          <w:sz w:val="20"/>
          <w:lang w:val="en-AU"/>
        </w:rPr>
        <w:instrText xml:space="preserve"> SEQ Figure \* ARABIC </w:instrText>
      </w:r>
      <w:r w:rsidR="0090414C" w:rsidRPr="0024611A">
        <w:rPr>
          <w:rFonts w:ascii="Arial" w:hAnsi="Arial"/>
          <w:i w:val="0"/>
          <w:iCs w:val="0"/>
          <w:sz w:val="20"/>
          <w:lang w:val="en-AU"/>
        </w:rPr>
        <w:fldChar w:fldCharType="separate"/>
      </w:r>
      <w:r w:rsidR="00751CEC">
        <w:rPr>
          <w:rFonts w:ascii="Arial" w:hAnsi="Arial"/>
          <w:i w:val="0"/>
          <w:iCs w:val="0"/>
          <w:noProof/>
          <w:sz w:val="20"/>
          <w:lang w:val="en-AU"/>
        </w:rPr>
        <w:t>23</w:t>
      </w:r>
      <w:r w:rsidR="0090414C" w:rsidRPr="0024611A">
        <w:rPr>
          <w:rFonts w:ascii="Arial" w:hAnsi="Arial"/>
          <w:i w:val="0"/>
          <w:iCs w:val="0"/>
          <w:sz w:val="20"/>
          <w:lang w:val="en-AU"/>
        </w:rPr>
        <w:fldChar w:fldCharType="end"/>
      </w:r>
      <w:r w:rsidRPr="0024611A">
        <w:rPr>
          <w:rFonts w:ascii="Arial" w:hAnsi="Arial"/>
          <w:i w:val="0"/>
          <w:iCs w:val="0"/>
          <w:sz w:val="20"/>
          <w:lang w:val="en-AU"/>
        </w:rPr>
        <w:t>:  Buildings Condition Profile</w:t>
      </w:r>
      <w:bookmarkEnd w:id="468"/>
    </w:p>
    <w:p w:rsidR="00FF69BF" w:rsidRDefault="00FF69BF" w:rsidP="0077464F">
      <w:pPr>
        <w:ind w:left="720"/>
      </w:pPr>
      <w:r w:rsidRPr="00214CFE">
        <w:t>The condition information for the majority of the</w:t>
      </w:r>
      <w:r w:rsidR="00BE6EC1">
        <w:t xml:space="preserve"> buildings was obtained from an</w:t>
      </w:r>
      <w:r w:rsidRPr="00214CFE">
        <w:t xml:space="preserve"> Independent condition audit</w:t>
      </w:r>
      <w:r w:rsidR="00BE6EC1">
        <w:t xml:space="preserve"> carried out in 2012.</w:t>
      </w:r>
      <w:r w:rsidRPr="00214CFE">
        <w:t xml:space="preserve"> The results of this were then </w:t>
      </w:r>
      <w:r w:rsidR="00BE6EC1">
        <w:t xml:space="preserve">incorporated into </w:t>
      </w:r>
      <w:r w:rsidR="00F32C90">
        <w:t xml:space="preserve">a </w:t>
      </w:r>
      <w:r w:rsidR="00BE6EC1">
        <w:t xml:space="preserve">system </w:t>
      </w:r>
      <w:r w:rsidRPr="00214CFE">
        <w:t xml:space="preserve">used </w:t>
      </w:r>
      <w:r w:rsidR="00BE6EC1">
        <w:t xml:space="preserve">by local government for asset management and renewal </w:t>
      </w:r>
      <w:r w:rsidRPr="00214CFE">
        <w:t xml:space="preserve">modelling. For the smaller short life structures, not included in the formal audit, previous condition information and local knowledge were used to determine the overall condition of these buildings and their key components. </w:t>
      </w:r>
    </w:p>
    <w:p w:rsidR="0077464F" w:rsidRPr="00214CFE" w:rsidRDefault="0077464F" w:rsidP="0077464F">
      <w:pPr>
        <w:ind w:left="720"/>
      </w:pPr>
    </w:p>
    <w:p w:rsidR="00FF69BF" w:rsidRDefault="00FF69BF" w:rsidP="0077464F">
      <w:pPr>
        <w:ind w:left="720"/>
      </w:pPr>
      <w:r w:rsidRPr="00214CFE">
        <w:t xml:space="preserve">The condition audit information was collated into 5 key categories </w:t>
      </w:r>
      <w:r w:rsidR="006E3CE2">
        <w:t xml:space="preserve">having regard to the components identified </w:t>
      </w:r>
      <w:r w:rsidR="006E3CE2" w:rsidRPr="006F6C17">
        <w:t>within Section 5.3.1.</w:t>
      </w:r>
      <w:r w:rsidR="006E3CE2">
        <w:t xml:space="preserve"> </w:t>
      </w:r>
      <w:r w:rsidRPr="00214CFE">
        <w:t>as follows:</w:t>
      </w:r>
    </w:p>
    <w:p w:rsidR="0077464F" w:rsidRPr="00214CFE" w:rsidRDefault="0077464F" w:rsidP="0077464F">
      <w:pPr>
        <w:ind w:left="720"/>
      </w:pPr>
    </w:p>
    <w:p w:rsidR="00FF69BF" w:rsidRPr="0077464F" w:rsidRDefault="00B55424" w:rsidP="008348B5">
      <w:pPr>
        <w:pStyle w:val="ListParagraph"/>
        <w:numPr>
          <w:ilvl w:val="0"/>
          <w:numId w:val="83"/>
        </w:numPr>
        <w:rPr>
          <w:rFonts w:ascii="Arial" w:hAnsi="Arial" w:cs="Arial"/>
          <w:sz w:val="20"/>
          <w:szCs w:val="20"/>
        </w:rPr>
      </w:pPr>
      <w:r w:rsidRPr="0077464F">
        <w:rPr>
          <w:rFonts w:ascii="Arial" w:hAnsi="Arial" w:cs="Arial"/>
          <w:sz w:val="20"/>
          <w:szCs w:val="20"/>
        </w:rPr>
        <w:t xml:space="preserve">Structure </w:t>
      </w:r>
      <w:r w:rsidR="00793A9E" w:rsidRPr="0077464F">
        <w:rPr>
          <w:rFonts w:ascii="Arial" w:hAnsi="Arial" w:cs="Arial"/>
          <w:sz w:val="20"/>
          <w:szCs w:val="20"/>
        </w:rPr>
        <w:t>(Walls , floors ceiling);</w:t>
      </w:r>
    </w:p>
    <w:p w:rsidR="0077464F" w:rsidRPr="0077464F" w:rsidRDefault="00FF69BF" w:rsidP="008348B5">
      <w:pPr>
        <w:pStyle w:val="ListParagraph"/>
        <w:numPr>
          <w:ilvl w:val="0"/>
          <w:numId w:val="83"/>
        </w:numPr>
        <w:rPr>
          <w:rFonts w:ascii="Arial" w:hAnsi="Arial" w:cs="Arial"/>
          <w:sz w:val="20"/>
          <w:szCs w:val="20"/>
        </w:rPr>
      </w:pPr>
      <w:r w:rsidRPr="0077464F">
        <w:rPr>
          <w:rFonts w:ascii="Arial" w:hAnsi="Arial" w:cs="Arial"/>
          <w:sz w:val="20"/>
          <w:szCs w:val="20"/>
        </w:rPr>
        <w:t>Roof</w:t>
      </w:r>
      <w:r w:rsidR="00B55424" w:rsidRPr="0077464F">
        <w:rPr>
          <w:rFonts w:ascii="Arial" w:hAnsi="Arial" w:cs="Arial"/>
          <w:sz w:val="20"/>
          <w:szCs w:val="20"/>
        </w:rPr>
        <w:t xml:space="preserve"> </w:t>
      </w:r>
      <w:r w:rsidR="00793A9E" w:rsidRPr="0077464F">
        <w:rPr>
          <w:rFonts w:ascii="Arial" w:hAnsi="Arial" w:cs="Arial"/>
          <w:sz w:val="20"/>
          <w:szCs w:val="20"/>
        </w:rPr>
        <w:t>(External framework and finish);</w:t>
      </w:r>
    </w:p>
    <w:p w:rsidR="0077464F" w:rsidRPr="0077464F" w:rsidRDefault="00FF69BF" w:rsidP="008348B5">
      <w:pPr>
        <w:pStyle w:val="ListParagraph"/>
        <w:numPr>
          <w:ilvl w:val="0"/>
          <w:numId w:val="83"/>
        </w:numPr>
        <w:rPr>
          <w:rFonts w:ascii="Arial" w:hAnsi="Arial" w:cs="Arial"/>
          <w:sz w:val="20"/>
          <w:szCs w:val="20"/>
        </w:rPr>
      </w:pPr>
      <w:r w:rsidRPr="0077464F">
        <w:rPr>
          <w:rFonts w:ascii="Arial" w:hAnsi="Arial" w:cs="Arial"/>
          <w:sz w:val="20"/>
          <w:szCs w:val="20"/>
        </w:rPr>
        <w:t>Mechanical Services</w:t>
      </w:r>
      <w:r w:rsidR="00793A9E" w:rsidRPr="0077464F">
        <w:rPr>
          <w:rFonts w:ascii="Arial" w:hAnsi="Arial" w:cs="Arial"/>
          <w:sz w:val="20"/>
          <w:szCs w:val="20"/>
        </w:rPr>
        <w:t xml:space="preserve"> (air-conditioning, lifts);</w:t>
      </w:r>
    </w:p>
    <w:p w:rsidR="0077464F" w:rsidRPr="0077464F" w:rsidRDefault="00FF69BF" w:rsidP="008348B5">
      <w:pPr>
        <w:pStyle w:val="ListParagraph"/>
        <w:numPr>
          <w:ilvl w:val="0"/>
          <w:numId w:val="83"/>
        </w:numPr>
        <w:rPr>
          <w:rFonts w:ascii="Arial" w:hAnsi="Arial" w:cs="Arial"/>
          <w:sz w:val="20"/>
          <w:szCs w:val="20"/>
        </w:rPr>
      </w:pPr>
      <w:r w:rsidRPr="0077464F">
        <w:rPr>
          <w:rFonts w:ascii="Arial" w:hAnsi="Arial" w:cs="Arial"/>
          <w:sz w:val="20"/>
          <w:szCs w:val="20"/>
        </w:rPr>
        <w:t>Electrical Services</w:t>
      </w:r>
      <w:r w:rsidR="00793A9E" w:rsidRPr="0077464F">
        <w:rPr>
          <w:rFonts w:ascii="Arial" w:hAnsi="Arial" w:cs="Arial"/>
          <w:sz w:val="20"/>
          <w:szCs w:val="20"/>
        </w:rPr>
        <w:t xml:space="preserve"> (wiring, fixtures and fittings) ; and</w:t>
      </w:r>
    </w:p>
    <w:p w:rsidR="00FF69BF" w:rsidRPr="0077464F" w:rsidRDefault="00FF69BF" w:rsidP="008348B5">
      <w:pPr>
        <w:pStyle w:val="ListParagraph"/>
        <w:numPr>
          <w:ilvl w:val="0"/>
          <w:numId w:val="83"/>
        </w:numPr>
        <w:rPr>
          <w:rFonts w:ascii="Arial" w:hAnsi="Arial" w:cs="Arial"/>
          <w:sz w:val="20"/>
          <w:szCs w:val="20"/>
        </w:rPr>
      </w:pPr>
      <w:r w:rsidRPr="0077464F">
        <w:rPr>
          <w:rFonts w:ascii="Arial" w:hAnsi="Arial" w:cs="Arial"/>
          <w:sz w:val="20"/>
          <w:szCs w:val="20"/>
        </w:rPr>
        <w:t>Fitout</w:t>
      </w:r>
      <w:r w:rsidR="00B55424" w:rsidRPr="0077464F">
        <w:rPr>
          <w:rFonts w:ascii="Arial" w:hAnsi="Arial" w:cs="Arial"/>
          <w:sz w:val="20"/>
          <w:szCs w:val="20"/>
        </w:rPr>
        <w:t xml:space="preserve"> </w:t>
      </w:r>
      <w:r w:rsidR="00793A9E" w:rsidRPr="0077464F">
        <w:rPr>
          <w:rFonts w:ascii="Arial" w:hAnsi="Arial" w:cs="Arial"/>
          <w:sz w:val="20"/>
          <w:szCs w:val="20"/>
        </w:rPr>
        <w:t>( painting, carpet, furniture, doors , windows)</w:t>
      </w:r>
    </w:p>
    <w:p w:rsidR="0077464F" w:rsidRDefault="0077464F" w:rsidP="0077464F">
      <w:pPr>
        <w:ind w:left="720"/>
      </w:pPr>
    </w:p>
    <w:p w:rsidR="00C816DF" w:rsidRDefault="00C816DF" w:rsidP="0077464F">
      <w:pPr>
        <w:ind w:left="720"/>
      </w:pPr>
      <w:r>
        <w:t>The two key components that affect the overall condition of a buil</w:t>
      </w:r>
      <w:r w:rsidR="00B55424">
        <w:t>ding are the structure and the f</w:t>
      </w:r>
      <w:r>
        <w:t>itout.</w:t>
      </w:r>
    </w:p>
    <w:p w:rsidR="0077464F" w:rsidRDefault="0077464F" w:rsidP="0077464F">
      <w:pPr>
        <w:ind w:left="720"/>
      </w:pPr>
    </w:p>
    <w:p w:rsidR="00C816DF" w:rsidRDefault="00F32C90" w:rsidP="0077464F">
      <w:pPr>
        <w:ind w:left="720"/>
      </w:pPr>
      <w:r>
        <w:t>As previously identified</w:t>
      </w:r>
      <w:r w:rsidR="008B4178">
        <w:t xml:space="preserve">, the </w:t>
      </w:r>
      <w:r>
        <w:t>buildings were categorised into 2 key categories</w:t>
      </w:r>
      <w:r w:rsidR="008B4178">
        <w:t>, Complex and Other buildings. The other buildings were further analysed based on their structure life. This was undertaken to ensure shorter life assets such as sheds, public toilets were considered based on their practical life rather than compare them to more substantial and longer term building assets such as pavilions etc.</w:t>
      </w:r>
      <w:r>
        <w:t>:</w:t>
      </w:r>
    </w:p>
    <w:p w:rsidR="0077464F" w:rsidRDefault="0077464F" w:rsidP="0077464F">
      <w:pPr>
        <w:ind w:left="720"/>
      </w:pPr>
    </w:p>
    <w:p w:rsidR="00F32C90" w:rsidRPr="0077464F" w:rsidRDefault="00B55424" w:rsidP="008348B5">
      <w:pPr>
        <w:pStyle w:val="ListParagraph"/>
        <w:numPr>
          <w:ilvl w:val="0"/>
          <w:numId w:val="84"/>
        </w:numPr>
        <w:rPr>
          <w:rFonts w:ascii="Arial" w:hAnsi="Arial" w:cs="Arial"/>
          <w:sz w:val="20"/>
        </w:rPr>
      </w:pPr>
      <w:r w:rsidRPr="0077464F">
        <w:rPr>
          <w:rFonts w:ascii="Arial" w:hAnsi="Arial" w:cs="Arial"/>
          <w:sz w:val="20"/>
        </w:rPr>
        <w:t xml:space="preserve">Complex Buildings </w:t>
      </w:r>
      <w:r w:rsidR="00F32C90" w:rsidRPr="0077464F">
        <w:rPr>
          <w:rFonts w:ascii="Arial" w:hAnsi="Arial" w:cs="Arial"/>
          <w:sz w:val="20"/>
        </w:rPr>
        <w:t>e</w:t>
      </w:r>
      <w:r w:rsidRPr="0077464F">
        <w:rPr>
          <w:rFonts w:ascii="Arial" w:hAnsi="Arial" w:cs="Arial"/>
          <w:sz w:val="20"/>
        </w:rPr>
        <w:t>.</w:t>
      </w:r>
      <w:r w:rsidR="00F32C90" w:rsidRPr="0077464F">
        <w:rPr>
          <w:rFonts w:ascii="Arial" w:hAnsi="Arial" w:cs="Arial"/>
          <w:sz w:val="20"/>
        </w:rPr>
        <w:t>g</w:t>
      </w:r>
      <w:r w:rsidRPr="0077464F">
        <w:rPr>
          <w:rFonts w:ascii="Arial" w:hAnsi="Arial" w:cs="Arial"/>
          <w:sz w:val="20"/>
        </w:rPr>
        <w:t>.</w:t>
      </w:r>
      <w:r w:rsidR="00F32C90" w:rsidRPr="0077464F">
        <w:rPr>
          <w:rFonts w:ascii="Arial" w:hAnsi="Arial" w:cs="Arial"/>
          <w:sz w:val="20"/>
        </w:rPr>
        <w:t xml:space="preserve"> Town Halls, Leisure and Recreation centres);</w:t>
      </w:r>
    </w:p>
    <w:p w:rsidR="00F32C90" w:rsidRPr="0077464F" w:rsidRDefault="00F32C90" w:rsidP="008348B5">
      <w:pPr>
        <w:pStyle w:val="ListParagraph"/>
        <w:numPr>
          <w:ilvl w:val="0"/>
          <w:numId w:val="84"/>
        </w:numPr>
        <w:rPr>
          <w:rFonts w:ascii="Arial" w:hAnsi="Arial" w:cs="Arial"/>
          <w:sz w:val="20"/>
        </w:rPr>
      </w:pPr>
      <w:r w:rsidRPr="0077464F">
        <w:rPr>
          <w:rFonts w:ascii="Arial" w:hAnsi="Arial" w:cs="Arial"/>
          <w:sz w:val="20"/>
        </w:rPr>
        <w:t>Other Buildings</w:t>
      </w:r>
      <w:r w:rsidR="008B4178" w:rsidRPr="0077464F">
        <w:rPr>
          <w:rFonts w:ascii="Arial" w:hAnsi="Arial" w:cs="Arial"/>
          <w:sz w:val="20"/>
        </w:rPr>
        <w:t>;</w:t>
      </w:r>
    </w:p>
    <w:p w:rsidR="008B4178" w:rsidRPr="0077464F" w:rsidRDefault="008B4178" w:rsidP="008348B5">
      <w:pPr>
        <w:pStyle w:val="ListParagraph"/>
        <w:numPr>
          <w:ilvl w:val="1"/>
          <w:numId w:val="84"/>
        </w:numPr>
        <w:rPr>
          <w:rFonts w:ascii="Arial" w:hAnsi="Arial" w:cs="Arial"/>
          <w:sz w:val="20"/>
        </w:rPr>
      </w:pPr>
      <w:r w:rsidRPr="0077464F">
        <w:rPr>
          <w:rFonts w:ascii="Arial" w:hAnsi="Arial" w:cs="Arial"/>
          <w:sz w:val="20"/>
        </w:rPr>
        <w:t>Long Life Structures (e</w:t>
      </w:r>
      <w:r w:rsidR="00B55424" w:rsidRPr="0077464F">
        <w:rPr>
          <w:rFonts w:ascii="Arial" w:hAnsi="Arial" w:cs="Arial"/>
          <w:sz w:val="20"/>
        </w:rPr>
        <w:t>.</w:t>
      </w:r>
      <w:r w:rsidRPr="0077464F">
        <w:rPr>
          <w:rFonts w:ascii="Arial" w:hAnsi="Arial" w:cs="Arial"/>
          <w:sz w:val="20"/>
        </w:rPr>
        <w:t>g</w:t>
      </w:r>
      <w:r w:rsidR="00B55424" w:rsidRPr="0077464F">
        <w:rPr>
          <w:rFonts w:ascii="Arial" w:hAnsi="Arial" w:cs="Arial"/>
          <w:sz w:val="20"/>
        </w:rPr>
        <w:t>. p</w:t>
      </w:r>
      <w:r w:rsidRPr="0077464F">
        <w:rPr>
          <w:rFonts w:ascii="Arial" w:hAnsi="Arial" w:cs="Arial"/>
          <w:sz w:val="20"/>
        </w:rPr>
        <w:t>avilions</w:t>
      </w:r>
      <w:r w:rsidR="00D90FDE">
        <w:rPr>
          <w:rFonts w:ascii="Arial" w:hAnsi="Arial" w:cs="Arial"/>
          <w:sz w:val="20"/>
        </w:rPr>
        <w:t>, grandstands</w:t>
      </w:r>
      <w:r w:rsidRPr="0077464F">
        <w:rPr>
          <w:rFonts w:ascii="Arial" w:hAnsi="Arial" w:cs="Arial"/>
          <w:sz w:val="20"/>
        </w:rPr>
        <w:t xml:space="preserve"> etc</w:t>
      </w:r>
      <w:r w:rsidR="00D90FDE">
        <w:rPr>
          <w:rFonts w:ascii="Arial" w:hAnsi="Arial" w:cs="Arial"/>
          <w:sz w:val="20"/>
        </w:rPr>
        <w:t>.</w:t>
      </w:r>
      <w:r w:rsidRPr="0077464F">
        <w:rPr>
          <w:rFonts w:ascii="Arial" w:hAnsi="Arial" w:cs="Arial"/>
          <w:sz w:val="20"/>
        </w:rPr>
        <w:t>)</w:t>
      </w:r>
    </w:p>
    <w:p w:rsidR="008B4178" w:rsidRDefault="008B4178" w:rsidP="008348B5">
      <w:pPr>
        <w:pStyle w:val="ListParagraph"/>
        <w:numPr>
          <w:ilvl w:val="1"/>
          <w:numId w:val="84"/>
        </w:numPr>
        <w:rPr>
          <w:rFonts w:ascii="Arial" w:hAnsi="Arial" w:cs="Arial"/>
          <w:sz w:val="20"/>
        </w:rPr>
      </w:pPr>
      <w:r w:rsidRPr="0077464F">
        <w:rPr>
          <w:rFonts w:ascii="Arial" w:hAnsi="Arial" w:cs="Arial"/>
          <w:sz w:val="20"/>
        </w:rPr>
        <w:t>Short Life Structures (</w:t>
      </w:r>
      <w:r w:rsidR="00B55424" w:rsidRPr="0077464F">
        <w:rPr>
          <w:rFonts w:ascii="Arial" w:hAnsi="Arial" w:cs="Arial"/>
          <w:sz w:val="20"/>
        </w:rPr>
        <w:t xml:space="preserve">e.g. </w:t>
      </w:r>
      <w:r w:rsidRPr="0077464F">
        <w:rPr>
          <w:rFonts w:ascii="Arial" w:hAnsi="Arial" w:cs="Arial"/>
          <w:sz w:val="20"/>
        </w:rPr>
        <w:t>sheds, lighter frame and public toilets)</w:t>
      </w:r>
    </w:p>
    <w:p w:rsidR="008C5B9E" w:rsidRPr="0077464F" w:rsidRDefault="008C5B9E" w:rsidP="008C5B9E">
      <w:pPr>
        <w:pStyle w:val="ListParagraph"/>
        <w:ind w:left="1800"/>
        <w:rPr>
          <w:rFonts w:ascii="Arial" w:hAnsi="Arial" w:cs="Arial"/>
          <w:sz w:val="20"/>
        </w:rPr>
      </w:pPr>
    </w:p>
    <w:p w:rsidR="003037B9" w:rsidRPr="0077464F" w:rsidRDefault="008B4178" w:rsidP="007A23AE">
      <w:pPr>
        <w:keepNext/>
        <w:keepLines/>
        <w:ind w:left="720"/>
        <w:rPr>
          <w:u w:val="single"/>
        </w:rPr>
      </w:pPr>
      <w:r w:rsidRPr="00DE5F00">
        <w:rPr>
          <w:u w:val="single"/>
        </w:rPr>
        <w:t>Complex Buildin</w:t>
      </w:r>
      <w:r w:rsidR="006E3CE2" w:rsidRPr="00DE5F00">
        <w:rPr>
          <w:u w:val="single"/>
        </w:rPr>
        <w:t>gs</w:t>
      </w:r>
      <w:r w:rsidR="006E3CE2" w:rsidRPr="0077464F">
        <w:rPr>
          <w:u w:val="single"/>
        </w:rPr>
        <w:t xml:space="preserve"> </w:t>
      </w:r>
    </w:p>
    <w:p w:rsidR="0077464F" w:rsidRPr="006E3CE2" w:rsidRDefault="0077464F" w:rsidP="007A23AE">
      <w:pPr>
        <w:keepNext/>
        <w:keepLines/>
        <w:ind w:left="720"/>
      </w:pPr>
    </w:p>
    <w:p w:rsidR="006E3CE2" w:rsidRDefault="006E3CE2" w:rsidP="007A23AE">
      <w:pPr>
        <w:keepNext/>
        <w:keepLines/>
        <w:ind w:left="720"/>
      </w:pPr>
      <w:r>
        <w:t xml:space="preserve">Generally these buildings are in good condition except for </w:t>
      </w:r>
      <w:r w:rsidR="00EC1078">
        <w:t>the works to be undertaken at Collingwood Town Hall to bring</w:t>
      </w:r>
      <w:r w:rsidR="0077464F">
        <w:t xml:space="preserve"> it back to new/good condition.</w:t>
      </w:r>
    </w:p>
    <w:p w:rsidR="0077464F" w:rsidRDefault="0077464F" w:rsidP="007A23AE">
      <w:pPr>
        <w:keepNext/>
        <w:keepLines/>
        <w:ind w:left="720"/>
      </w:pPr>
    </w:p>
    <w:tbl>
      <w:tblPr>
        <w:tblStyle w:val="TableGrid"/>
        <w:tblW w:w="8744" w:type="dxa"/>
        <w:tblInd w:w="720" w:type="dxa"/>
        <w:tblLayout w:type="fixed"/>
        <w:tblLook w:val="04A0" w:firstRow="1" w:lastRow="0" w:firstColumn="1" w:lastColumn="0" w:noHBand="0" w:noVBand="1"/>
      </w:tblPr>
      <w:tblGrid>
        <w:gridCol w:w="4350"/>
        <w:gridCol w:w="4394"/>
      </w:tblGrid>
      <w:tr w:rsidR="007A23AE" w:rsidRPr="00D6236F" w:rsidTr="008C5B9E">
        <w:tc>
          <w:tcPr>
            <w:tcW w:w="4350" w:type="dxa"/>
          </w:tcPr>
          <w:p w:rsidR="007A23AE" w:rsidRPr="007A23AE" w:rsidRDefault="000E22E0" w:rsidP="000E22E0">
            <w:pPr>
              <w:spacing w:before="120" w:after="120"/>
              <w:jc w:val="left"/>
              <w:rPr>
                <w:b/>
              </w:rPr>
            </w:pPr>
            <w:r>
              <w:rPr>
                <w:b/>
              </w:rPr>
              <w:t>Structure</w:t>
            </w:r>
          </w:p>
          <w:p w:rsidR="007A23AE" w:rsidRPr="007A23AE" w:rsidRDefault="007A23AE" w:rsidP="000E22E0">
            <w:pPr>
              <w:spacing w:before="120" w:after="120"/>
              <w:jc w:val="left"/>
            </w:pPr>
            <w:r w:rsidRPr="007A23AE">
              <w:t xml:space="preserve">Generally the complex building structures are in good to very good condition. </w:t>
            </w:r>
          </w:p>
          <w:p w:rsidR="007A23AE" w:rsidRPr="007A23AE" w:rsidRDefault="007A23AE" w:rsidP="000E22E0">
            <w:pPr>
              <w:spacing w:before="120" w:after="120"/>
              <w:jc w:val="left"/>
            </w:pPr>
            <w:r w:rsidRPr="007A23AE">
              <w:t xml:space="preserve">The following chart identifies the condition noting that approximately 1% of the value of the complex buildings is rated 8, this reflects the work to be done in the 2013/14 Capital Works program on the Collingwood Town Hall. </w:t>
            </w:r>
          </w:p>
        </w:tc>
        <w:tc>
          <w:tcPr>
            <w:tcW w:w="4394" w:type="dxa"/>
          </w:tcPr>
          <w:p w:rsidR="007A23AE" w:rsidRPr="007A23AE" w:rsidRDefault="007A23AE" w:rsidP="00A03CCD">
            <w:pPr>
              <w:jc w:val="center"/>
              <w:rPr>
                <w:b/>
              </w:rPr>
            </w:pPr>
            <w:r>
              <w:rPr>
                <w:noProof/>
              </w:rPr>
              <w:drawing>
                <wp:inline distT="0" distB="0" distL="0" distR="0" wp14:anchorId="2E0B41FC" wp14:editId="00EF27A8">
                  <wp:extent cx="2671200" cy="1652400"/>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671200" cy="1652400"/>
                          </a:xfrm>
                          <a:prstGeom prst="rect">
                            <a:avLst/>
                          </a:prstGeom>
                          <a:noFill/>
                        </pic:spPr>
                      </pic:pic>
                    </a:graphicData>
                  </a:graphic>
                </wp:inline>
              </w:drawing>
            </w:r>
          </w:p>
        </w:tc>
      </w:tr>
      <w:tr w:rsidR="006F599F" w:rsidRPr="00D6236F" w:rsidTr="008C5B9E">
        <w:tc>
          <w:tcPr>
            <w:tcW w:w="4350" w:type="dxa"/>
          </w:tcPr>
          <w:p w:rsidR="004E49AD" w:rsidRPr="007A23AE" w:rsidRDefault="000E22E0" w:rsidP="000E22E0">
            <w:pPr>
              <w:spacing w:before="120" w:after="120"/>
              <w:jc w:val="left"/>
              <w:rPr>
                <w:b/>
              </w:rPr>
            </w:pPr>
            <w:r>
              <w:rPr>
                <w:b/>
              </w:rPr>
              <w:t>Roof</w:t>
            </w:r>
          </w:p>
          <w:p w:rsidR="004E49AD" w:rsidRPr="00D6236F" w:rsidRDefault="004E49AD" w:rsidP="000E22E0">
            <w:pPr>
              <w:spacing w:before="120" w:after="120"/>
              <w:jc w:val="left"/>
            </w:pPr>
            <w:r w:rsidRPr="00D6236F">
              <w:t>Overall in good condition with work on Collingwood Town Hall reflected.</w:t>
            </w:r>
          </w:p>
          <w:p w:rsidR="004E49AD" w:rsidRPr="00D6236F" w:rsidRDefault="004E49AD" w:rsidP="00A03CCD">
            <w:pPr>
              <w:spacing w:before="120" w:after="120"/>
              <w:jc w:val="center"/>
            </w:pPr>
            <w:r w:rsidRPr="00D6236F">
              <w:rPr>
                <w:noProof/>
              </w:rPr>
              <w:drawing>
                <wp:inline distT="0" distB="0" distL="0" distR="0" wp14:anchorId="71D119F7" wp14:editId="7DDE12F0">
                  <wp:extent cx="2671200" cy="1652400"/>
                  <wp:effectExtent l="0" t="0" r="0" b="5080"/>
                  <wp:docPr id="2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9" cstate="print"/>
                          <a:srcRect/>
                          <a:stretch>
                            <a:fillRect/>
                          </a:stretch>
                        </pic:blipFill>
                        <pic:spPr bwMode="auto">
                          <a:xfrm>
                            <a:off x="0" y="0"/>
                            <a:ext cx="2671200" cy="1652400"/>
                          </a:xfrm>
                          <a:prstGeom prst="rect">
                            <a:avLst/>
                          </a:prstGeom>
                          <a:noFill/>
                          <a:ln w="9525">
                            <a:noFill/>
                            <a:miter lim="800000"/>
                            <a:headEnd/>
                            <a:tailEnd/>
                          </a:ln>
                        </pic:spPr>
                      </pic:pic>
                    </a:graphicData>
                  </a:graphic>
                </wp:inline>
              </w:drawing>
            </w:r>
          </w:p>
        </w:tc>
        <w:tc>
          <w:tcPr>
            <w:tcW w:w="4394" w:type="dxa"/>
          </w:tcPr>
          <w:p w:rsidR="004E49AD" w:rsidRPr="007A23AE" w:rsidRDefault="000E22E0" w:rsidP="000E22E0">
            <w:pPr>
              <w:spacing w:before="120" w:after="120"/>
              <w:jc w:val="left"/>
              <w:rPr>
                <w:b/>
              </w:rPr>
            </w:pPr>
            <w:r>
              <w:rPr>
                <w:b/>
              </w:rPr>
              <w:t>Mechanical</w:t>
            </w:r>
          </w:p>
          <w:p w:rsidR="004E49AD" w:rsidRPr="00D6236F" w:rsidRDefault="004E49AD" w:rsidP="000E22E0">
            <w:pPr>
              <w:spacing w:before="120" w:after="120"/>
              <w:jc w:val="left"/>
            </w:pPr>
            <w:r w:rsidRPr="00D6236F">
              <w:t xml:space="preserve">Rated as in overall very good condition with work at Collingwood Town Hall reflected. </w:t>
            </w:r>
          </w:p>
          <w:p w:rsidR="004E49AD" w:rsidRPr="00D6236F" w:rsidRDefault="004E49AD" w:rsidP="00A03CCD">
            <w:pPr>
              <w:spacing w:before="120" w:after="120"/>
              <w:jc w:val="center"/>
            </w:pPr>
            <w:r w:rsidRPr="00D6236F">
              <w:rPr>
                <w:noProof/>
              </w:rPr>
              <w:drawing>
                <wp:inline distT="0" distB="0" distL="0" distR="0" wp14:anchorId="4B89704E" wp14:editId="72A6488F">
                  <wp:extent cx="2671200" cy="1652400"/>
                  <wp:effectExtent l="0" t="0" r="0" b="5080"/>
                  <wp:docPr id="2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0" cstate="print"/>
                          <a:srcRect/>
                          <a:stretch>
                            <a:fillRect/>
                          </a:stretch>
                        </pic:blipFill>
                        <pic:spPr bwMode="auto">
                          <a:xfrm>
                            <a:off x="0" y="0"/>
                            <a:ext cx="2671200" cy="1652400"/>
                          </a:xfrm>
                          <a:prstGeom prst="rect">
                            <a:avLst/>
                          </a:prstGeom>
                          <a:noFill/>
                          <a:ln w="9525">
                            <a:noFill/>
                            <a:miter lim="800000"/>
                            <a:headEnd/>
                            <a:tailEnd/>
                          </a:ln>
                        </pic:spPr>
                      </pic:pic>
                    </a:graphicData>
                  </a:graphic>
                </wp:inline>
              </w:drawing>
            </w:r>
          </w:p>
        </w:tc>
      </w:tr>
      <w:tr w:rsidR="006F599F" w:rsidRPr="00D6236F" w:rsidTr="008C5B9E">
        <w:tc>
          <w:tcPr>
            <w:tcW w:w="4350" w:type="dxa"/>
          </w:tcPr>
          <w:p w:rsidR="004E49AD" w:rsidRPr="007A23AE" w:rsidRDefault="000E22E0" w:rsidP="000E22E0">
            <w:pPr>
              <w:spacing w:before="120" w:after="120"/>
              <w:jc w:val="left"/>
              <w:rPr>
                <w:b/>
              </w:rPr>
            </w:pPr>
            <w:r>
              <w:rPr>
                <w:b/>
              </w:rPr>
              <w:t>Electrical</w:t>
            </w:r>
          </w:p>
          <w:p w:rsidR="004E49AD" w:rsidRPr="00D6236F" w:rsidRDefault="004E49AD" w:rsidP="000E22E0">
            <w:pPr>
              <w:spacing w:before="120" w:after="120"/>
              <w:jc w:val="left"/>
            </w:pPr>
            <w:r w:rsidRPr="00D6236F">
              <w:t>Overall in good condition with work on Collingwood Town Hall reflected.</w:t>
            </w:r>
          </w:p>
          <w:p w:rsidR="004E49AD" w:rsidRPr="00D6236F" w:rsidRDefault="004E49AD" w:rsidP="00A03CCD">
            <w:pPr>
              <w:spacing w:before="120" w:after="120"/>
              <w:jc w:val="center"/>
            </w:pPr>
            <w:r w:rsidRPr="00D6236F">
              <w:rPr>
                <w:noProof/>
              </w:rPr>
              <w:drawing>
                <wp:inline distT="0" distB="0" distL="0" distR="0" wp14:anchorId="703A8930" wp14:editId="10ADDE37">
                  <wp:extent cx="2671200" cy="1652400"/>
                  <wp:effectExtent l="0" t="0" r="0" b="5080"/>
                  <wp:docPr id="22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1" cstate="print"/>
                          <a:srcRect/>
                          <a:stretch>
                            <a:fillRect/>
                          </a:stretch>
                        </pic:blipFill>
                        <pic:spPr bwMode="auto">
                          <a:xfrm>
                            <a:off x="0" y="0"/>
                            <a:ext cx="2671200" cy="1652400"/>
                          </a:xfrm>
                          <a:prstGeom prst="rect">
                            <a:avLst/>
                          </a:prstGeom>
                          <a:noFill/>
                          <a:ln w="9525">
                            <a:noFill/>
                            <a:miter lim="800000"/>
                            <a:headEnd/>
                            <a:tailEnd/>
                          </a:ln>
                        </pic:spPr>
                      </pic:pic>
                    </a:graphicData>
                  </a:graphic>
                </wp:inline>
              </w:drawing>
            </w:r>
          </w:p>
        </w:tc>
        <w:tc>
          <w:tcPr>
            <w:tcW w:w="4394" w:type="dxa"/>
          </w:tcPr>
          <w:p w:rsidR="004E49AD" w:rsidRPr="007A23AE" w:rsidRDefault="000E22E0" w:rsidP="000E22E0">
            <w:pPr>
              <w:spacing w:before="120" w:after="120"/>
              <w:jc w:val="left"/>
              <w:rPr>
                <w:b/>
              </w:rPr>
            </w:pPr>
            <w:r>
              <w:rPr>
                <w:b/>
              </w:rPr>
              <w:t>Fitout</w:t>
            </w:r>
          </w:p>
          <w:p w:rsidR="004E49AD" w:rsidRPr="00D6236F" w:rsidRDefault="004E49AD" w:rsidP="000E22E0">
            <w:pPr>
              <w:spacing w:before="120" w:after="120"/>
              <w:jc w:val="left"/>
            </w:pPr>
            <w:r w:rsidRPr="00D6236F">
              <w:t xml:space="preserve">Rated as in overall </w:t>
            </w:r>
            <w:r w:rsidR="00EC1078" w:rsidRPr="00D6236F">
              <w:t xml:space="preserve">good to average condition </w:t>
            </w:r>
            <w:r w:rsidRPr="00D6236F">
              <w:t xml:space="preserve">with work at Collingwood Town Hall reflected. </w:t>
            </w:r>
          </w:p>
          <w:p w:rsidR="004E49AD" w:rsidRPr="00050793" w:rsidRDefault="004E49AD" w:rsidP="00A03CCD">
            <w:pPr>
              <w:spacing w:before="120" w:after="120"/>
              <w:ind w:left="802" w:hanging="802"/>
              <w:jc w:val="center"/>
            </w:pPr>
            <w:r w:rsidRPr="00050793">
              <w:rPr>
                <w:noProof/>
              </w:rPr>
              <w:drawing>
                <wp:inline distT="0" distB="0" distL="0" distR="0" wp14:anchorId="7932AD7B" wp14:editId="28364F28">
                  <wp:extent cx="2671200" cy="1652400"/>
                  <wp:effectExtent l="0" t="0" r="0" b="5080"/>
                  <wp:docPr id="22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2" cstate="print"/>
                          <a:srcRect/>
                          <a:stretch>
                            <a:fillRect/>
                          </a:stretch>
                        </pic:blipFill>
                        <pic:spPr bwMode="auto">
                          <a:xfrm>
                            <a:off x="0" y="0"/>
                            <a:ext cx="2671200" cy="1652400"/>
                          </a:xfrm>
                          <a:prstGeom prst="rect">
                            <a:avLst/>
                          </a:prstGeom>
                          <a:noFill/>
                          <a:ln w="9525">
                            <a:noFill/>
                            <a:miter lim="800000"/>
                            <a:headEnd/>
                            <a:tailEnd/>
                          </a:ln>
                        </pic:spPr>
                      </pic:pic>
                    </a:graphicData>
                  </a:graphic>
                </wp:inline>
              </w:drawing>
            </w:r>
          </w:p>
        </w:tc>
      </w:tr>
    </w:tbl>
    <w:p w:rsidR="007A23AE" w:rsidRDefault="007A23AE" w:rsidP="007A23AE">
      <w:pPr>
        <w:ind w:left="720"/>
        <w:rPr>
          <w:u w:val="single"/>
        </w:rPr>
      </w:pPr>
    </w:p>
    <w:p w:rsidR="00EC1078" w:rsidRPr="007A23AE" w:rsidRDefault="00EC1078" w:rsidP="007A23AE">
      <w:pPr>
        <w:ind w:left="720"/>
        <w:rPr>
          <w:u w:val="single"/>
        </w:rPr>
      </w:pPr>
      <w:r w:rsidRPr="007A23AE">
        <w:rPr>
          <w:u w:val="single"/>
        </w:rPr>
        <w:t xml:space="preserve">Other Buildings </w:t>
      </w:r>
    </w:p>
    <w:p w:rsidR="007A23AE" w:rsidRDefault="007A23AE" w:rsidP="007A23AE">
      <w:pPr>
        <w:ind w:left="720"/>
      </w:pPr>
    </w:p>
    <w:p w:rsidR="00EC1078" w:rsidRDefault="00EC1078" w:rsidP="007A23AE">
      <w:pPr>
        <w:ind w:left="720"/>
      </w:pPr>
      <w:r>
        <w:t>As detailed above, these buildings were assessed as undertake for the complex buildings. The only difference was that the structures were separated between long</w:t>
      </w:r>
      <w:r w:rsidR="003461D0">
        <w:t>-</w:t>
      </w:r>
      <w:r>
        <w:t>life (100 year life) to short</w:t>
      </w:r>
      <w:r w:rsidR="003461D0">
        <w:t>-</w:t>
      </w:r>
      <w:r>
        <w:t xml:space="preserve">life structures (40 year life). The other components of Electrical, </w:t>
      </w:r>
      <w:r w:rsidR="003438FD">
        <w:t>R</w:t>
      </w:r>
      <w:r>
        <w:t xml:space="preserve">oof, Mechanical and Fitout have the same life regardless of the type of structure. </w:t>
      </w:r>
    </w:p>
    <w:p w:rsidR="00430953" w:rsidRDefault="00430953" w:rsidP="007A23AE">
      <w:pPr>
        <w:ind w:left="720"/>
      </w:pPr>
    </w:p>
    <w:p w:rsidR="00EC1078" w:rsidRDefault="003438FD" w:rsidP="007A23AE">
      <w:pPr>
        <w:ind w:left="720"/>
      </w:pPr>
      <w:r>
        <w:t>Generally these buildings w</w:t>
      </w:r>
      <w:r w:rsidR="00EC1078">
        <w:t>e</w:t>
      </w:r>
      <w:r>
        <w:t>r</w:t>
      </w:r>
      <w:r w:rsidR="00EC1078">
        <w:t xml:space="preserve">e not in as good a condition as the complex buildings with many buildings needing urgent renewal works if these buildings are to provide services for Council. </w:t>
      </w:r>
    </w:p>
    <w:p w:rsidR="007A23AE" w:rsidRDefault="007A23AE" w:rsidP="007A23AE">
      <w:pPr>
        <w:ind w:left="720"/>
      </w:pPr>
    </w:p>
    <w:tbl>
      <w:tblPr>
        <w:tblStyle w:val="TableGrid"/>
        <w:tblW w:w="8744" w:type="dxa"/>
        <w:tblInd w:w="720" w:type="dxa"/>
        <w:tblLayout w:type="fixed"/>
        <w:tblLook w:val="04A0" w:firstRow="1" w:lastRow="0" w:firstColumn="1" w:lastColumn="0" w:noHBand="0" w:noVBand="1"/>
      </w:tblPr>
      <w:tblGrid>
        <w:gridCol w:w="4349"/>
        <w:gridCol w:w="4395"/>
      </w:tblGrid>
      <w:tr w:rsidR="00DA4425" w:rsidRPr="007A23AE" w:rsidTr="009B244A">
        <w:trPr>
          <w:cantSplit/>
        </w:trPr>
        <w:tc>
          <w:tcPr>
            <w:tcW w:w="4349" w:type="dxa"/>
          </w:tcPr>
          <w:p w:rsidR="00DA4425" w:rsidRPr="000E22E0" w:rsidRDefault="00DA4425" w:rsidP="000E22E0">
            <w:pPr>
              <w:jc w:val="left"/>
              <w:rPr>
                <w:rFonts w:cs="Arial"/>
                <w:b/>
                <w:szCs w:val="18"/>
              </w:rPr>
            </w:pPr>
            <w:r w:rsidRPr="000E22E0">
              <w:rPr>
                <w:rFonts w:cs="Arial"/>
                <w:b/>
                <w:szCs w:val="18"/>
              </w:rPr>
              <w:t>Long Life Structure</w:t>
            </w:r>
          </w:p>
          <w:p w:rsidR="00DA4425" w:rsidRPr="007A23AE" w:rsidRDefault="00DA4425" w:rsidP="000E22E0">
            <w:pPr>
              <w:jc w:val="left"/>
              <w:rPr>
                <w:rFonts w:cs="Arial"/>
                <w:szCs w:val="18"/>
              </w:rPr>
            </w:pPr>
            <w:r w:rsidRPr="007A23AE">
              <w:rPr>
                <w:rFonts w:cs="Arial"/>
                <w:szCs w:val="18"/>
              </w:rPr>
              <w:t>Overall in average condition but major renewal works required at</w:t>
            </w:r>
            <w:r w:rsidR="000E22E0">
              <w:rPr>
                <w:rFonts w:cs="Arial"/>
                <w:szCs w:val="18"/>
              </w:rPr>
              <w:t>:</w:t>
            </w:r>
          </w:p>
          <w:p w:rsidR="00DA4425" w:rsidRPr="007A23AE" w:rsidRDefault="00DA4425" w:rsidP="008348B5">
            <w:pPr>
              <w:pStyle w:val="ListParagraph"/>
              <w:numPr>
                <w:ilvl w:val="0"/>
                <w:numId w:val="37"/>
              </w:numPr>
              <w:ind w:left="360"/>
              <w:jc w:val="left"/>
              <w:rPr>
                <w:rFonts w:ascii="Arial" w:hAnsi="Arial" w:cs="Arial"/>
                <w:sz w:val="18"/>
                <w:szCs w:val="18"/>
              </w:rPr>
            </w:pPr>
            <w:r w:rsidRPr="007A23AE">
              <w:rPr>
                <w:rFonts w:ascii="Arial" w:hAnsi="Arial" w:cs="Arial"/>
                <w:sz w:val="18"/>
                <w:szCs w:val="18"/>
              </w:rPr>
              <w:t>Lady Gowrie Child Health Administration (ex North Carlton MCHC)</w:t>
            </w:r>
          </w:p>
          <w:p w:rsidR="00DA4425" w:rsidRPr="007A23AE" w:rsidRDefault="00DA4425" w:rsidP="008348B5">
            <w:pPr>
              <w:pStyle w:val="ListParagraph"/>
              <w:numPr>
                <w:ilvl w:val="0"/>
                <w:numId w:val="37"/>
              </w:numPr>
              <w:ind w:left="360"/>
              <w:jc w:val="left"/>
              <w:rPr>
                <w:rFonts w:ascii="Arial" w:hAnsi="Arial" w:cs="Arial"/>
                <w:sz w:val="18"/>
                <w:szCs w:val="18"/>
              </w:rPr>
            </w:pPr>
            <w:r w:rsidRPr="007A23AE">
              <w:rPr>
                <w:rFonts w:ascii="Arial" w:hAnsi="Arial" w:cs="Arial"/>
                <w:sz w:val="18"/>
                <w:szCs w:val="18"/>
              </w:rPr>
              <w:t xml:space="preserve">Pioneers Hall Multi Cultural Citizens Centre </w:t>
            </w:r>
          </w:p>
          <w:p w:rsidR="009A496D" w:rsidRPr="000E22E0" w:rsidRDefault="00DA4425" w:rsidP="008348B5">
            <w:pPr>
              <w:pStyle w:val="ListParagraph"/>
              <w:numPr>
                <w:ilvl w:val="0"/>
                <w:numId w:val="37"/>
              </w:numPr>
              <w:ind w:left="360"/>
              <w:jc w:val="left"/>
              <w:rPr>
                <w:rFonts w:ascii="Arial" w:hAnsi="Arial" w:cs="Arial"/>
                <w:sz w:val="18"/>
                <w:szCs w:val="18"/>
              </w:rPr>
            </w:pPr>
            <w:r w:rsidRPr="000E22E0">
              <w:rPr>
                <w:rFonts w:ascii="Arial" w:hAnsi="Arial" w:cs="Arial"/>
                <w:sz w:val="18"/>
                <w:szCs w:val="18"/>
              </w:rPr>
              <w:t>Residence behind Memorial Hall (ex RSL</w:t>
            </w:r>
            <w:r w:rsidR="000E22E0" w:rsidRPr="000E22E0">
              <w:rPr>
                <w:rFonts w:ascii="Arial" w:hAnsi="Arial" w:cs="Arial"/>
                <w:sz w:val="18"/>
                <w:szCs w:val="18"/>
              </w:rPr>
              <w:t xml:space="preserve"> </w:t>
            </w:r>
            <w:r w:rsidR="009A496D" w:rsidRPr="000E22E0">
              <w:rPr>
                <w:rFonts w:ascii="Arial" w:hAnsi="Arial" w:cs="Arial"/>
                <w:sz w:val="18"/>
                <w:szCs w:val="18"/>
              </w:rPr>
              <w:t>Caretakers House)</w:t>
            </w:r>
          </w:p>
          <w:p w:rsidR="00E27317" w:rsidRPr="007A23AE" w:rsidRDefault="00E27317" w:rsidP="008348B5">
            <w:pPr>
              <w:pStyle w:val="ListParagraph"/>
              <w:numPr>
                <w:ilvl w:val="0"/>
                <w:numId w:val="37"/>
              </w:numPr>
              <w:ind w:left="360"/>
              <w:jc w:val="left"/>
              <w:rPr>
                <w:rFonts w:ascii="Arial" w:hAnsi="Arial" w:cs="Arial"/>
                <w:sz w:val="18"/>
                <w:szCs w:val="18"/>
              </w:rPr>
            </w:pPr>
            <w:r w:rsidRPr="007A23AE">
              <w:rPr>
                <w:rFonts w:ascii="Arial" w:hAnsi="Arial" w:cs="Arial"/>
                <w:sz w:val="18"/>
                <w:szCs w:val="18"/>
              </w:rPr>
              <w:t>Walker St Scout Hall Clifton Hill</w:t>
            </w:r>
          </w:p>
          <w:p w:rsidR="00DA4425" w:rsidRPr="007A23AE" w:rsidRDefault="00DA4425" w:rsidP="000E22E0">
            <w:pPr>
              <w:jc w:val="left"/>
              <w:rPr>
                <w:rFonts w:cs="Arial"/>
                <w:szCs w:val="18"/>
              </w:rPr>
            </w:pPr>
            <w:r w:rsidRPr="007A23AE">
              <w:rPr>
                <w:rFonts w:cs="Arial"/>
                <w:noProof/>
                <w:szCs w:val="18"/>
              </w:rPr>
              <w:drawing>
                <wp:inline distT="0" distB="0" distL="0" distR="0" wp14:anchorId="46877498" wp14:editId="5590B47F">
                  <wp:extent cx="2671200" cy="1652400"/>
                  <wp:effectExtent l="0" t="0" r="0" b="5080"/>
                  <wp:docPr id="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3" cstate="print"/>
                          <a:srcRect/>
                          <a:stretch>
                            <a:fillRect/>
                          </a:stretch>
                        </pic:blipFill>
                        <pic:spPr bwMode="auto">
                          <a:xfrm>
                            <a:off x="0" y="0"/>
                            <a:ext cx="2671200" cy="1652400"/>
                          </a:xfrm>
                          <a:prstGeom prst="rect">
                            <a:avLst/>
                          </a:prstGeom>
                          <a:noFill/>
                          <a:ln w="9525">
                            <a:noFill/>
                            <a:miter lim="800000"/>
                            <a:headEnd/>
                            <a:tailEnd/>
                          </a:ln>
                        </pic:spPr>
                      </pic:pic>
                    </a:graphicData>
                  </a:graphic>
                </wp:inline>
              </w:drawing>
            </w:r>
          </w:p>
        </w:tc>
        <w:tc>
          <w:tcPr>
            <w:tcW w:w="4395" w:type="dxa"/>
          </w:tcPr>
          <w:p w:rsidR="00DA4425" w:rsidRPr="007A23AE" w:rsidRDefault="00DA4425" w:rsidP="000E22E0">
            <w:pPr>
              <w:jc w:val="left"/>
              <w:rPr>
                <w:rFonts w:cs="Arial"/>
                <w:szCs w:val="18"/>
              </w:rPr>
            </w:pPr>
            <w:r w:rsidRPr="007A23AE">
              <w:rPr>
                <w:rFonts w:cs="Arial"/>
                <w:noProof/>
                <w:szCs w:val="18"/>
              </w:rPr>
              <w:drawing>
                <wp:inline distT="0" distB="0" distL="0" distR="0" wp14:anchorId="2B695EB4" wp14:editId="0462EED2">
                  <wp:extent cx="2671200" cy="1652400"/>
                  <wp:effectExtent l="0" t="0" r="0" b="5080"/>
                  <wp:docPr id="15" name="Picture 242" descr="P10001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00161.JPG"/>
                          <pic:cNvPicPr/>
                        </pic:nvPicPr>
                        <pic:blipFill>
                          <a:blip r:embed="rId54" cstate="print"/>
                          <a:stretch>
                            <a:fillRect/>
                          </a:stretch>
                        </pic:blipFill>
                        <pic:spPr>
                          <a:xfrm>
                            <a:off x="0" y="0"/>
                            <a:ext cx="2671200" cy="1652400"/>
                          </a:xfrm>
                          <a:prstGeom prst="rect">
                            <a:avLst/>
                          </a:prstGeom>
                        </pic:spPr>
                      </pic:pic>
                    </a:graphicData>
                  </a:graphic>
                </wp:inline>
              </w:drawing>
            </w:r>
          </w:p>
        </w:tc>
      </w:tr>
      <w:tr w:rsidR="00DA4425" w:rsidRPr="007A23AE" w:rsidTr="009B244A">
        <w:trPr>
          <w:cantSplit/>
        </w:trPr>
        <w:tc>
          <w:tcPr>
            <w:tcW w:w="4349" w:type="dxa"/>
          </w:tcPr>
          <w:p w:rsidR="00DA4425" w:rsidRPr="000E22E0" w:rsidRDefault="00DA4425" w:rsidP="000E22E0">
            <w:pPr>
              <w:jc w:val="left"/>
              <w:rPr>
                <w:rFonts w:cs="Arial"/>
                <w:b/>
                <w:szCs w:val="18"/>
              </w:rPr>
            </w:pPr>
            <w:r w:rsidRPr="000E22E0">
              <w:rPr>
                <w:rFonts w:cs="Arial"/>
                <w:b/>
                <w:szCs w:val="18"/>
              </w:rPr>
              <w:t>Short Life Structure</w:t>
            </w:r>
          </w:p>
          <w:p w:rsidR="00DA4425" w:rsidRPr="007A23AE" w:rsidRDefault="00DA4425" w:rsidP="000E22E0">
            <w:pPr>
              <w:jc w:val="left"/>
              <w:rPr>
                <w:rFonts w:cs="Arial"/>
                <w:szCs w:val="18"/>
              </w:rPr>
            </w:pPr>
            <w:r w:rsidRPr="007A23AE">
              <w:rPr>
                <w:rFonts w:cs="Arial"/>
                <w:szCs w:val="18"/>
              </w:rPr>
              <w:t xml:space="preserve">Rated as in overall average condition with major renewal work required at; </w:t>
            </w:r>
          </w:p>
          <w:p w:rsidR="00DA4425" w:rsidRPr="007A23AE" w:rsidRDefault="00DA4425" w:rsidP="008348B5">
            <w:pPr>
              <w:pStyle w:val="ListParagraph"/>
              <w:numPr>
                <w:ilvl w:val="0"/>
                <w:numId w:val="37"/>
              </w:numPr>
              <w:ind w:left="360"/>
              <w:jc w:val="left"/>
              <w:rPr>
                <w:rFonts w:ascii="Arial" w:hAnsi="Arial" w:cs="Arial"/>
                <w:sz w:val="18"/>
                <w:szCs w:val="18"/>
              </w:rPr>
            </w:pPr>
            <w:r w:rsidRPr="007A23AE">
              <w:rPr>
                <w:rFonts w:ascii="Arial" w:hAnsi="Arial" w:cs="Arial"/>
                <w:sz w:val="18"/>
                <w:szCs w:val="18"/>
              </w:rPr>
              <w:t>South West Building (ex Burnley Neighbourhood House) - (vacant)</w:t>
            </w:r>
          </w:p>
          <w:p w:rsidR="00DA4425" w:rsidRPr="007A23AE" w:rsidRDefault="00DA4425" w:rsidP="008473C2">
            <w:pPr>
              <w:pStyle w:val="ListParagraph"/>
              <w:numPr>
                <w:ilvl w:val="0"/>
                <w:numId w:val="37"/>
              </w:numPr>
              <w:ind w:left="360"/>
              <w:jc w:val="left"/>
              <w:rPr>
                <w:rFonts w:ascii="Arial" w:hAnsi="Arial" w:cs="Arial"/>
                <w:sz w:val="18"/>
                <w:szCs w:val="18"/>
              </w:rPr>
            </w:pPr>
            <w:r w:rsidRPr="007A23AE">
              <w:rPr>
                <w:rFonts w:ascii="Arial" w:hAnsi="Arial" w:cs="Arial"/>
                <w:sz w:val="18"/>
                <w:szCs w:val="18"/>
              </w:rPr>
              <w:t>Timber Store/Old Sea Scouts</w:t>
            </w:r>
            <w:r w:rsidR="009A496D" w:rsidRPr="007A23AE">
              <w:rPr>
                <w:rFonts w:ascii="Arial" w:hAnsi="Arial" w:cs="Arial"/>
                <w:sz w:val="18"/>
                <w:szCs w:val="18"/>
              </w:rPr>
              <w:t xml:space="preserve"> Building</w:t>
            </w:r>
          </w:p>
        </w:tc>
        <w:tc>
          <w:tcPr>
            <w:tcW w:w="4395" w:type="dxa"/>
          </w:tcPr>
          <w:p w:rsidR="00DA4425" w:rsidRPr="007A23AE" w:rsidRDefault="00DA4425" w:rsidP="000E22E0">
            <w:pPr>
              <w:jc w:val="left"/>
              <w:rPr>
                <w:rFonts w:cs="Arial"/>
                <w:szCs w:val="18"/>
              </w:rPr>
            </w:pPr>
            <w:r w:rsidRPr="007A23AE">
              <w:rPr>
                <w:rFonts w:cs="Arial"/>
                <w:noProof/>
                <w:szCs w:val="18"/>
              </w:rPr>
              <w:drawing>
                <wp:inline distT="0" distB="0" distL="0" distR="0" wp14:anchorId="62709014" wp14:editId="13544C66">
                  <wp:extent cx="2671200" cy="1652400"/>
                  <wp:effectExtent l="0" t="0" r="0" b="5080"/>
                  <wp:docPr id="2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5" cstate="print"/>
                          <a:srcRect/>
                          <a:stretch>
                            <a:fillRect/>
                          </a:stretch>
                        </pic:blipFill>
                        <pic:spPr bwMode="auto">
                          <a:xfrm>
                            <a:off x="0" y="0"/>
                            <a:ext cx="2671200" cy="1652400"/>
                          </a:xfrm>
                          <a:prstGeom prst="rect">
                            <a:avLst/>
                          </a:prstGeom>
                          <a:noFill/>
                          <a:ln w="9525">
                            <a:noFill/>
                            <a:miter lim="800000"/>
                            <a:headEnd/>
                            <a:tailEnd/>
                          </a:ln>
                        </pic:spPr>
                      </pic:pic>
                    </a:graphicData>
                  </a:graphic>
                </wp:inline>
              </w:drawing>
            </w:r>
          </w:p>
        </w:tc>
      </w:tr>
      <w:tr w:rsidR="00DA4425" w:rsidRPr="007A23AE" w:rsidTr="009B244A">
        <w:trPr>
          <w:cantSplit/>
        </w:trPr>
        <w:tc>
          <w:tcPr>
            <w:tcW w:w="4349" w:type="dxa"/>
          </w:tcPr>
          <w:p w:rsidR="00DA4425" w:rsidRPr="000E22E0" w:rsidRDefault="000E22E0" w:rsidP="000E22E0">
            <w:pPr>
              <w:jc w:val="left"/>
              <w:rPr>
                <w:rFonts w:cs="Arial"/>
                <w:b/>
                <w:szCs w:val="18"/>
              </w:rPr>
            </w:pPr>
            <w:r w:rsidRPr="000E22E0">
              <w:rPr>
                <w:rFonts w:cs="Arial"/>
                <w:b/>
                <w:szCs w:val="18"/>
              </w:rPr>
              <w:t>Roof</w:t>
            </w:r>
          </w:p>
          <w:p w:rsidR="00DA4425" w:rsidRPr="007A23AE" w:rsidRDefault="00DA4425" w:rsidP="000E22E0">
            <w:pPr>
              <w:jc w:val="left"/>
              <w:rPr>
                <w:rFonts w:cs="Arial"/>
                <w:szCs w:val="18"/>
              </w:rPr>
            </w:pPr>
            <w:r w:rsidRPr="007A23AE">
              <w:rPr>
                <w:rFonts w:cs="Arial"/>
                <w:szCs w:val="18"/>
              </w:rPr>
              <w:t xml:space="preserve">Overall in average to below average condition. The roof on the following </w:t>
            </w:r>
            <w:r w:rsidR="009A496D" w:rsidRPr="007A23AE">
              <w:rPr>
                <w:rFonts w:cs="Arial"/>
                <w:szCs w:val="18"/>
              </w:rPr>
              <w:t xml:space="preserve">are </w:t>
            </w:r>
            <w:r w:rsidRPr="007A23AE">
              <w:rPr>
                <w:rFonts w:cs="Arial"/>
                <w:szCs w:val="18"/>
              </w:rPr>
              <w:t>rated in urgent need of replacement:</w:t>
            </w:r>
          </w:p>
          <w:p w:rsidR="00DA4425" w:rsidRPr="007A23AE" w:rsidRDefault="00DA4425" w:rsidP="008348B5">
            <w:pPr>
              <w:pStyle w:val="ListParagraph"/>
              <w:numPr>
                <w:ilvl w:val="0"/>
                <w:numId w:val="37"/>
              </w:numPr>
              <w:ind w:left="360"/>
              <w:jc w:val="left"/>
              <w:rPr>
                <w:rFonts w:ascii="Arial" w:hAnsi="Arial" w:cs="Arial"/>
                <w:sz w:val="18"/>
                <w:szCs w:val="18"/>
              </w:rPr>
            </w:pPr>
            <w:r w:rsidRPr="007A23AE">
              <w:rPr>
                <w:rFonts w:ascii="Arial" w:hAnsi="Arial" w:cs="Arial"/>
                <w:sz w:val="18"/>
                <w:szCs w:val="18"/>
              </w:rPr>
              <w:t>Carpenters and Painters Workshop - Fitzroy Depot</w:t>
            </w:r>
          </w:p>
          <w:p w:rsidR="00DA4425" w:rsidRPr="007A23AE" w:rsidRDefault="009A496D" w:rsidP="008348B5">
            <w:pPr>
              <w:pStyle w:val="ListParagraph"/>
              <w:numPr>
                <w:ilvl w:val="0"/>
                <w:numId w:val="37"/>
              </w:numPr>
              <w:ind w:left="360"/>
              <w:jc w:val="left"/>
              <w:rPr>
                <w:rFonts w:ascii="Arial" w:hAnsi="Arial" w:cs="Arial"/>
                <w:sz w:val="18"/>
                <w:szCs w:val="18"/>
              </w:rPr>
            </w:pPr>
            <w:r w:rsidRPr="007A23AE">
              <w:rPr>
                <w:rFonts w:ascii="Arial" w:hAnsi="Arial" w:cs="Arial"/>
                <w:sz w:val="18"/>
                <w:szCs w:val="18"/>
              </w:rPr>
              <w:t xml:space="preserve">Brick Factory </w:t>
            </w:r>
            <w:r w:rsidR="00DA4425" w:rsidRPr="007A23AE">
              <w:rPr>
                <w:rFonts w:ascii="Arial" w:hAnsi="Arial" w:cs="Arial"/>
                <w:sz w:val="18"/>
                <w:szCs w:val="18"/>
              </w:rPr>
              <w:t>Building 119-123 Vere Street</w:t>
            </w:r>
          </w:p>
          <w:p w:rsidR="00DA4425" w:rsidRPr="007A23AE" w:rsidRDefault="000E22E0" w:rsidP="008348B5">
            <w:pPr>
              <w:pStyle w:val="ListParagraph"/>
              <w:numPr>
                <w:ilvl w:val="0"/>
                <w:numId w:val="37"/>
              </w:numPr>
              <w:ind w:left="360"/>
              <w:jc w:val="left"/>
              <w:rPr>
                <w:rFonts w:ascii="Arial" w:hAnsi="Arial" w:cs="Arial"/>
                <w:sz w:val="18"/>
                <w:szCs w:val="18"/>
              </w:rPr>
            </w:pPr>
            <w:r>
              <w:rPr>
                <w:rFonts w:ascii="Arial" w:hAnsi="Arial" w:cs="Arial"/>
                <w:sz w:val="18"/>
                <w:szCs w:val="18"/>
              </w:rPr>
              <w:t xml:space="preserve">South West Building (ex </w:t>
            </w:r>
            <w:r w:rsidR="00DA4425" w:rsidRPr="007A23AE">
              <w:rPr>
                <w:rFonts w:ascii="Arial" w:hAnsi="Arial" w:cs="Arial"/>
                <w:sz w:val="18"/>
                <w:szCs w:val="18"/>
              </w:rPr>
              <w:t>Burnley Neighbourhood House) - (vacant)</w:t>
            </w:r>
          </w:p>
          <w:p w:rsidR="00DA4425" w:rsidRPr="007A23AE" w:rsidRDefault="00DA4425" w:rsidP="008348B5">
            <w:pPr>
              <w:pStyle w:val="ListParagraph"/>
              <w:numPr>
                <w:ilvl w:val="0"/>
                <w:numId w:val="37"/>
              </w:numPr>
              <w:ind w:left="360"/>
              <w:jc w:val="left"/>
              <w:rPr>
                <w:rFonts w:ascii="Arial" w:hAnsi="Arial" w:cs="Arial"/>
                <w:sz w:val="18"/>
                <w:szCs w:val="18"/>
              </w:rPr>
            </w:pPr>
            <w:r w:rsidRPr="007A23AE">
              <w:rPr>
                <w:rFonts w:ascii="Arial" w:hAnsi="Arial" w:cs="Arial"/>
                <w:sz w:val="18"/>
                <w:szCs w:val="18"/>
              </w:rPr>
              <w:t>Storage Sheds - Victoria Park.</w:t>
            </w:r>
          </w:p>
          <w:p w:rsidR="00DA4425" w:rsidRPr="007A23AE" w:rsidRDefault="00DA4425" w:rsidP="000E22E0">
            <w:pPr>
              <w:jc w:val="left"/>
              <w:rPr>
                <w:rFonts w:cs="Arial"/>
                <w:szCs w:val="18"/>
              </w:rPr>
            </w:pPr>
            <w:r w:rsidRPr="007A23AE">
              <w:rPr>
                <w:rFonts w:cs="Arial"/>
                <w:noProof/>
                <w:szCs w:val="18"/>
              </w:rPr>
              <w:drawing>
                <wp:inline distT="0" distB="0" distL="0" distR="0" wp14:anchorId="2403A592" wp14:editId="3AF39493">
                  <wp:extent cx="2671200" cy="1652400"/>
                  <wp:effectExtent l="0" t="0" r="0" b="5080"/>
                  <wp:docPr id="2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6" cstate="print"/>
                          <a:srcRect/>
                          <a:stretch>
                            <a:fillRect/>
                          </a:stretch>
                        </pic:blipFill>
                        <pic:spPr bwMode="auto">
                          <a:xfrm>
                            <a:off x="0" y="0"/>
                            <a:ext cx="2671200" cy="1652400"/>
                          </a:xfrm>
                          <a:prstGeom prst="rect">
                            <a:avLst/>
                          </a:prstGeom>
                          <a:noFill/>
                          <a:ln w="9525">
                            <a:noFill/>
                            <a:miter lim="800000"/>
                            <a:headEnd/>
                            <a:tailEnd/>
                          </a:ln>
                        </pic:spPr>
                      </pic:pic>
                    </a:graphicData>
                  </a:graphic>
                </wp:inline>
              </w:drawing>
            </w:r>
          </w:p>
        </w:tc>
        <w:tc>
          <w:tcPr>
            <w:tcW w:w="4395" w:type="dxa"/>
          </w:tcPr>
          <w:p w:rsidR="000E22E0" w:rsidRPr="000E22E0" w:rsidRDefault="000E22E0" w:rsidP="000E22E0">
            <w:pPr>
              <w:jc w:val="left"/>
              <w:rPr>
                <w:rFonts w:cs="Arial"/>
                <w:b/>
                <w:szCs w:val="18"/>
              </w:rPr>
            </w:pPr>
          </w:p>
          <w:p w:rsidR="00DA4425" w:rsidRPr="007A23AE" w:rsidRDefault="000E22E0" w:rsidP="000E22E0">
            <w:pPr>
              <w:jc w:val="left"/>
              <w:rPr>
                <w:rFonts w:cs="Arial"/>
                <w:szCs w:val="18"/>
              </w:rPr>
            </w:pPr>
            <w:r>
              <w:rPr>
                <w:rFonts w:cs="Arial"/>
                <w:szCs w:val="18"/>
              </w:rPr>
              <w:t>The roof on the ‘brick factory’</w:t>
            </w:r>
            <w:r w:rsidR="00DA4425" w:rsidRPr="007A23AE">
              <w:rPr>
                <w:rFonts w:cs="Arial"/>
                <w:szCs w:val="18"/>
              </w:rPr>
              <w:t xml:space="preserve"> as per photo is also in need of replacement</w:t>
            </w:r>
          </w:p>
          <w:p w:rsidR="00DA4425" w:rsidRPr="007A23AE" w:rsidRDefault="009B244A" w:rsidP="000E22E0">
            <w:pPr>
              <w:jc w:val="left"/>
              <w:rPr>
                <w:rFonts w:cs="Arial"/>
                <w:szCs w:val="18"/>
              </w:rPr>
            </w:pPr>
            <w:r w:rsidRPr="007A23AE">
              <w:rPr>
                <w:rFonts w:cs="Arial"/>
                <w:noProof/>
                <w:szCs w:val="18"/>
              </w:rPr>
              <w:drawing>
                <wp:anchor distT="0" distB="0" distL="114300" distR="114300" simplePos="0" relativeHeight="251672064" behindDoc="1" locked="0" layoutInCell="1" allowOverlap="1" wp14:anchorId="2D97B0A2" wp14:editId="2F5FF98A">
                  <wp:simplePos x="0" y="0"/>
                  <wp:positionH relativeFrom="column">
                    <wp:posOffset>24130</wp:posOffset>
                  </wp:positionH>
                  <wp:positionV relativeFrom="paragraph">
                    <wp:posOffset>16510</wp:posOffset>
                  </wp:positionV>
                  <wp:extent cx="2671200" cy="1652781"/>
                  <wp:effectExtent l="0" t="0" r="0" b="5080"/>
                  <wp:wrapTight wrapText="bothSides">
                    <wp:wrapPolygon edited="0">
                      <wp:start x="0" y="0"/>
                      <wp:lineTo x="0" y="21417"/>
                      <wp:lineTo x="21415" y="21417"/>
                      <wp:lineTo x="21415" y="0"/>
                      <wp:lineTo x="0" y="0"/>
                    </wp:wrapPolygon>
                  </wp:wrapTight>
                  <wp:docPr id="30" name="Picture 245" descr="P10001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00159.JPG"/>
                          <pic:cNvPicPr/>
                        </pic:nvPicPr>
                        <pic:blipFill>
                          <a:blip r:embed="rId57" cstate="print"/>
                          <a:stretch>
                            <a:fillRect/>
                          </a:stretch>
                        </pic:blipFill>
                        <pic:spPr>
                          <a:xfrm>
                            <a:off x="0" y="0"/>
                            <a:ext cx="2671200" cy="1652781"/>
                          </a:xfrm>
                          <a:prstGeom prst="rect">
                            <a:avLst/>
                          </a:prstGeom>
                        </pic:spPr>
                      </pic:pic>
                    </a:graphicData>
                  </a:graphic>
                </wp:anchor>
              </w:drawing>
            </w:r>
          </w:p>
        </w:tc>
      </w:tr>
      <w:tr w:rsidR="00DA4425" w:rsidRPr="007A23AE" w:rsidTr="009B244A">
        <w:trPr>
          <w:cantSplit/>
        </w:trPr>
        <w:tc>
          <w:tcPr>
            <w:tcW w:w="4349" w:type="dxa"/>
          </w:tcPr>
          <w:p w:rsidR="00DA4425" w:rsidRPr="000E22E0" w:rsidRDefault="000E22E0" w:rsidP="000E22E0">
            <w:pPr>
              <w:jc w:val="left"/>
              <w:rPr>
                <w:rFonts w:cs="Arial"/>
                <w:b/>
                <w:szCs w:val="18"/>
              </w:rPr>
            </w:pPr>
            <w:r>
              <w:rPr>
                <w:rFonts w:cs="Arial"/>
                <w:b/>
                <w:szCs w:val="18"/>
              </w:rPr>
              <w:t>Mechanical</w:t>
            </w:r>
          </w:p>
          <w:p w:rsidR="00DA4425" w:rsidRPr="007A23AE" w:rsidRDefault="00DA4425" w:rsidP="000E22E0">
            <w:pPr>
              <w:jc w:val="left"/>
              <w:rPr>
                <w:rFonts w:cs="Arial"/>
                <w:szCs w:val="18"/>
              </w:rPr>
            </w:pPr>
            <w:r w:rsidRPr="007A23AE">
              <w:rPr>
                <w:rFonts w:cs="Arial"/>
                <w:szCs w:val="18"/>
              </w:rPr>
              <w:t>Rated as in overall very average condition with urgent work needed on:</w:t>
            </w:r>
          </w:p>
          <w:p w:rsidR="00DA4425" w:rsidRPr="007A23AE" w:rsidRDefault="00DA4425" w:rsidP="008348B5">
            <w:pPr>
              <w:pStyle w:val="ListParagraph"/>
              <w:numPr>
                <w:ilvl w:val="0"/>
                <w:numId w:val="37"/>
              </w:numPr>
              <w:ind w:left="360"/>
              <w:jc w:val="left"/>
              <w:rPr>
                <w:rFonts w:ascii="Arial" w:hAnsi="Arial" w:cs="Arial"/>
                <w:sz w:val="18"/>
                <w:szCs w:val="18"/>
              </w:rPr>
            </w:pPr>
            <w:r w:rsidRPr="007A23AE">
              <w:rPr>
                <w:rFonts w:ascii="Arial" w:hAnsi="Arial" w:cs="Arial"/>
                <w:sz w:val="18"/>
                <w:szCs w:val="18"/>
              </w:rPr>
              <w:t>Office Building - Peel Street</w:t>
            </w:r>
          </w:p>
          <w:p w:rsidR="00DA4425" w:rsidRPr="007A23AE" w:rsidRDefault="00DA4425" w:rsidP="008348B5">
            <w:pPr>
              <w:pStyle w:val="ListParagraph"/>
              <w:numPr>
                <w:ilvl w:val="0"/>
                <w:numId w:val="37"/>
              </w:numPr>
              <w:ind w:left="360"/>
              <w:jc w:val="left"/>
              <w:rPr>
                <w:rFonts w:ascii="Arial" w:hAnsi="Arial" w:cs="Arial"/>
                <w:sz w:val="18"/>
                <w:szCs w:val="18"/>
              </w:rPr>
            </w:pPr>
            <w:r w:rsidRPr="007A23AE">
              <w:rPr>
                <w:rFonts w:ascii="Arial" w:hAnsi="Arial" w:cs="Arial"/>
                <w:sz w:val="18"/>
                <w:szCs w:val="18"/>
              </w:rPr>
              <w:t>Lourdes Building</w:t>
            </w:r>
          </w:p>
        </w:tc>
        <w:tc>
          <w:tcPr>
            <w:tcW w:w="4395" w:type="dxa"/>
          </w:tcPr>
          <w:p w:rsidR="00DA4425" w:rsidRPr="007A23AE" w:rsidRDefault="00DA4425" w:rsidP="000E22E0">
            <w:pPr>
              <w:jc w:val="left"/>
              <w:rPr>
                <w:rFonts w:cs="Arial"/>
                <w:szCs w:val="18"/>
              </w:rPr>
            </w:pPr>
            <w:r w:rsidRPr="007A23AE">
              <w:rPr>
                <w:rFonts w:cs="Arial"/>
                <w:noProof/>
                <w:szCs w:val="18"/>
              </w:rPr>
              <w:drawing>
                <wp:inline distT="0" distB="0" distL="0" distR="0" wp14:anchorId="0FF4EFF0" wp14:editId="42A584A2">
                  <wp:extent cx="2671200" cy="1652400"/>
                  <wp:effectExtent l="0" t="0" r="0" b="5080"/>
                  <wp:docPr id="3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8" cstate="print"/>
                          <a:srcRect/>
                          <a:stretch>
                            <a:fillRect/>
                          </a:stretch>
                        </pic:blipFill>
                        <pic:spPr bwMode="auto">
                          <a:xfrm>
                            <a:off x="0" y="0"/>
                            <a:ext cx="2671200" cy="1652400"/>
                          </a:xfrm>
                          <a:prstGeom prst="rect">
                            <a:avLst/>
                          </a:prstGeom>
                          <a:noFill/>
                          <a:ln w="9525">
                            <a:noFill/>
                            <a:miter lim="800000"/>
                            <a:headEnd/>
                            <a:tailEnd/>
                          </a:ln>
                        </pic:spPr>
                      </pic:pic>
                    </a:graphicData>
                  </a:graphic>
                </wp:inline>
              </w:drawing>
            </w:r>
          </w:p>
        </w:tc>
      </w:tr>
      <w:tr w:rsidR="00DA4425" w:rsidRPr="007A23AE" w:rsidTr="009B244A">
        <w:trPr>
          <w:cantSplit/>
        </w:trPr>
        <w:tc>
          <w:tcPr>
            <w:tcW w:w="4349" w:type="dxa"/>
          </w:tcPr>
          <w:p w:rsidR="00DA4425" w:rsidRPr="000E22E0" w:rsidRDefault="000E22E0" w:rsidP="000E22E0">
            <w:pPr>
              <w:jc w:val="left"/>
              <w:rPr>
                <w:rFonts w:cs="Arial"/>
                <w:b/>
                <w:szCs w:val="18"/>
              </w:rPr>
            </w:pPr>
            <w:r w:rsidRPr="000E22E0">
              <w:rPr>
                <w:rFonts w:cs="Arial"/>
                <w:b/>
                <w:szCs w:val="18"/>
              </w:rPr>
              <w:t>Electrical</w:t>
            </w:r>
          </w:p>
          <w:p w:rsidR="00DA4425" w:rsidRPr="007A23AE" w:rsidRDefault="00DA4425" w:rsidP="000E22E0">
            <w:pPr>
              <w:jc w:val="left"/>
              <w:rPr>
                <w:rFonts w:cs="Arial"/>
                <w:szCs w:val="18"/>
              </w:rPr>
            </w:pPr>
            <w:r w:rsidRPr="007A23AE">
              <w:rPr>
                <w:rFonts w:cs="Arial"/>
                <w:szCs w:val="18"/>
              </w:rPr>
              <w:t>Overall rated in above condition except for key works required at:</w:t>
            </w:r>
          </w:p>
          <w:p w:rsidR="00DA4425" w:rsidRPr="007A23AE" w:rsidRDefault="00DA4425" w:rsidP="008348B5">
            <w:pPr>
              <w:pStyle w:val="ListParagraph"/>
              <w:numPr>
                <w:ilvl w:val="0"/>
                <w:numId w:val="37"/>
              </w:numPr>
              <w:ind w:left="360"/>
              <w:jc w:val="left"/>
              <w:rPr>
                <w:rFonts w:ascii="Arial" w:hAnsi="Arial" w:cs="Arial"/>
                <w:sz w:val="18"/>
                <w:szCs w:val="18"/>
              </w:rPr>
            </w:pPr>
            <w:r w:rsidRPr="007A23AE">
              <w:rPr>
                <w:rFonts w:ascii="Arial" w:hAnsi="Arial" w:cs="Arial"/>
                <w:sz w:val="18"/>
                <w:szCs w:val="18"/>
              </w:rPr>
              <w:t>Office Building - Peel Street</w:t>
            </w:r>
          </w:p>
          <w:p w:rsidR="00DA4425" w:rsidRPr="007A23AE" w:rsidRDefault="00DA4425" w:rsidP="008348B5">
            <w:pPr>
              <w:pStyle w:val="ListParagraph"/>
              <w:numPr>
                <w:ilvl w:val="0"/>
                <w:numId w:val="37"/>
              </w:numPr>
              <w:ind w:left="360"/>
              <w:jc w:val="left"/>
              <w:rPr>
                <w:rFonts w:ascii="Arial" w:hAnsi="Arial" w:cs="Arial"/>
                <w:sz w:val="18"/>
                <w:szCs w:val="18"/>
              </w:rPr>
            </w:pPr>
            <w:r w:rsidRPr="007A23AE">
              <w:rPr>
                <w:rFonts w:ascii="Arial" w:hAnsi="Arial" w:cs="Arial"/>
                <w:sz w:val="18"/>
                <w:szCs w:val="18"/>
              </w:rPr>
              <w:t xml:space="preserve">Pioneers Hall </w:t>
            </w:r>
            <w:r w:rsidR="009A496D" w:rsidRPr="007A23AE">
              <w:rPr>
                <w:rFonts w:ascii="Arial" w:hAnsi="Arial" w:cs="Arial"/>
                <w:sz w:val="18"/>
                <w:szCs w:val="18"/>
              </w:rPr>
              <w:t xml:space="preserve">Multi Cultural Citizens Centre </w:t>
            </w:r>
          </w:p>
          <w:p w:rsidR="00DA4425" w:rsidRPr="007A23AE" w:rsidRDefault="00DA4425" w:rsidP="008348B5">
            <w:pPr>
              <w:pStyle w:val="ListParagraph"/>
              <w:numPr>
                <w:ilvl w:val="0"/>
                <w:numId w:val="37"/>
              </w:numPr>
              <w:ind w:left="360"/>
              <w:jc w:val="left"/>
              <w:rPr>
                <w:rFonts w:ascii="Arial" w:hAnsi="Arial" w:cs="Arial"/>
                <w:sz w:val="18"/>
                <w:szCs w:val="18"/>
              </w:rPr>
            </w:pPr>
            <w:r w:rsidRPr="007A23AE">
              <w:rPr>
                <w:rFonts w:ascii="Arial" w:hAnsi="Arial" w:cs="Arial"/>
                <w:sz w:val="18"/>
                <w:szCs w:val="18"/>
              </w:rPr>
              <w:t>Lourdes Building</w:t>
            </w:r>
          </w:p>
          <w:p w:rsidR="00DA4425" w:rsidRPr="007A23AE" w:rsidRDefault="00DA4425" w:rsidP="000E22E0">
            <w:pPr>
              <w:pStyle w:val="ListParagraph"/>
              <w:ind w:left="-11"/>
              <w:jc w:val="left"/>
              <w:rPr>
                <w:rFonts w:ascii="Arial" w:hAnsi="Arial" w:cs="Arial"/>
                <w:sz w:val="18"/>
                <w:szCs w:val="18"/>
              </w:rPr>
            </w:pPr>
            <w:r w:rsidRPr="007A23AE">
              <w:rPr>
                <w:rFonts w:ascii="Arial" w:hAnsi="Arial" w:cs="Arial"/>
                <w:noProof/>
                <w:sz w:val="18"/>
                <w:szCs w:val="18"/>
              </w:rPr>
              <w:drawing>
                <wp:inline distT="0" distB="0" distL="0" distR="0" wp14:anchorId="62DE0867" wp14:editId="7AF5312E">
                  <wp:extent cx="2671200" cy="1652400"/>
                  <wp:effectExtent l="0" t="0" r="0" b="5080"/>
                  <wp:docPr id="22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1" cstate="print"/>
                          <a:srcRect/>
                          <a:stretch>
                            <a:fillRect/>
                          </a:stretch>
                        </pic:blipFill>
                        <pic:spPr bwMode="auto">
                          <a:xfrm>
                            <a:off x="0" y="0"/>
                            <a:ext cx="2671200" cy="1652400"/>
                          </a:xfrm>
                          <a:prstGeom prst="rect">
                            <a:avLst/>
                          </a:prstGeom>
                          <a:noFill/>
                          <a:ln w="9525">
                            <a:noFill/>
                            <a:miter lim="800000"/>
                            <a:headEnd/>
                            <a:tailEnd/>
                          </a:ln>
                        </pic:spPr>
                      </pic:pic>
                    </a:graphicData>
                  </a:graphic>
                </wp:inline>
              </w:drawing>
            </w:r>
          </w:p>
        </w:tc>
        <w:tc>
          <w:tcPr>
            <w:tcW w:w="4395" w:type="dxa"/>
          </w:tcPr>
          <w:p w:rsidR="00DA4425" w:rsidRPr="007A23AE" w:rsidRDefault="00DA4425" w:rsidP="000E22E0">
            <w:pPr>
              <w:jc w:val="left"/>
              <w:rPr>
                <w:rFonts w:cs="Arial"/>
                <w:szCs w:val="18"/>
              </w:rPr>
            </w:pPr>
            <w:r w:rsidRPr="007A23AE">
              <w:rPr>
                <w:rFonts w:cs="Arial"/>
                <w:noProof/>
                <w:szCs w:val="18"/>
              </w:rPr>
              <w:drawing>
                <wp:inline distT="0" distB="0" distL="0" distR="0" wp14:anchorId="2B6CA2C8" wp14:editId="01AD89E2">
                  <wp:extent cx="2671200" cy="1652400"/>
                  <wp:effectExtent l="0" t="0" r="0" b="5080"/>
                  <wp:docPr id="227" name="Picture 249" descr="P10001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00154.JPG"/>
                          <pic:cNvPicPr/>
                        </pic:nvPicPr>
                        <pic:blipFill>
                          <a:blip r:embed="rId59" cstate="print"/>
                          <a:stretch>
                            <a:fillRect/>
                          </a:stretch>
                        </pic:blipFill>
                        <pic:spPr>
                          <a:xfrm>
                            <a:off x="0" y="0"/>
                            <a:ext cx="2671200" cy="1652400"/>
                          </a:xfrm>
                          <a:prstGeom prst="rect">
                            <a:avLst/>
                          </a:prstGeom>
                        </pic:spPr>
                      </pic:pic>
                    </a:graphicData>
                  </a:graphic>
                </wp:inline>
              </w:drawing>
            </w:r>
          </w:p>
        </w:tc>
      </w:tr>
      <w:tr w:rsidR="00DA4425" w:rsidRPr="007A23AE" w:rsidTr="009B244A">
        <w:trPr>
          <w:cantSplit/>
        </w:trPr>
        <w:tc>
          <w:tcPr>
            <w:tcW w:w="4349" w:type="dxa"/>
          </w:tcPr>
          <w:p w:rsidR="00DA4425" w:rsidRPr="007A23AE" w:rsidRDefault="00DA4425" w:rsidP="000E22E0">
            <w:pPr>
              <w:jc w:val="left"/>
              <w:rPr>
                <w:rFonts w:cs="Arial"/>
                <w:b/>
                <w:szCs w:val="18"/>
              </w:rPr>
            </w:pPr>
            <w:r w:rsidRPr="007A23AE">
              <w:rPr>
                <w:rFonts w:cs="Arial"/>
                <w:b/>
                <w:szCs w:val="18"/>
              </w:rPr>
              <w:t>Fitout</w:t>
            </w:r>
            <w:r w:rsidR="000E22E0">
              <w:rPr>
                <w:rFonts w:cs="Arial"/>
                <w:b/>
                <w:szCs w:val="18"/>
              </w:rPr>
              <w:t xml:space="preserve"> </w:t>
            </w:r>
            <w:r w:rsidRPr="007A23AE">
              <w:rPr>
                <w:rFonts w:cs="Arial"/>
                <w:szCs w:val="18"/>
              </w:rPr>
              <w:t>(painting, carpet, furniture, doors, windows))</w:t>
            </w:r>
          </w:p>
          <w:p w:rsidR="00DA4425" w:rsidRPr="007A23AE" w:rsidRDefault="00DA4425" w:rsidP="000E22E0">
            <w:pPr>
              <w:jc w:val="left"/>
              <w:rPr>
                <w:rFonts w:cs="Arial"/>
                <w:szCs w:val="18"/>
              </w:rPr>
            </w:pPr>
            <w:r w:rsidRPr="007A23AE">
              <w:rPr>
                <w:rFonts w:cs="Arial"/>
                <w:szCs w:val="18"/>
              </w:rPr>
              <w:t xml:space="preserve">Rated as in overall average to above average condition except for key works required at; </w:t>
            </w:r>
          </w:p>
          <w:p w:rsidR="00DA4425" w:rsidRPr="007A23AE" w:rsidRDefault="00DA4425" w:rsidP="008348B5">
            <w:pPr>
              <w:pStyle w:val="ListParagraph"/>
              <w:numPr>
                <w:ilvl w:val="0"/>
                <w:numId w:val="37"/>
              </w:numPr>
              <w:ind w:left="360"/>
              <w:jc w:val="left"/>
              <w:rPr>
                <w:rFonts w:ascii="Arial" w:hAnsi="Arial" w:cs="Arial"/>
                <w:sz w:val="18"/>
                <w:szCs w:val="18"/>
              </w:rPr>
            </w:pPr>
            <w:r w:rsidRPr="007A23AE">
              <w:rPr>
                <w:rFonts w:ascii="Arial" w:hAnsi="Arial" w:cs="Arial"/>
                <w:sz w:val="18"/>
                <w:szCs w:val="18"/>
              </w:rPr>
              <w:t>Office Building - Peel Street</w:t>
            </w:r>
          </w:p>
          <w:p w:rsidR="00DA4425" w:rsidRPr="007A23AE" w:rsidRDefault="00DA4425" w:rsidP="008348B5">
            <w:pPr>
              <w:pStyle w:val="ListParagraph"/>
              <w:numPr>
                <w:ilvl w:val="0"/>
                <w:numId w:val="37"/>
              </w:numPr>
              <w:ind w:left="360"/>
              <w:jc w:val="left"/>
              <w:rPr>
                <w:rFonts w:ascii="Arial" w:hAnsi="Arial" w:cs="Arial"/>
                <w:sz w:val="18"/>
                <w:szCs w:val="18"/>
              </w:rPr>
            </w:pPr>
            <w:r w:rsidRPr="007A23AE">
              <w:rPr>
                <w:rFonts w:ascii="Arial" w:hAnsi="Arial" w:cs="Arial"/>
                <w:sz w:val="18"/>
                <w:szCs w:val="18"/>
              </w:rPr>
              <w:t xml:space="preserve">Pioneers Hall </w:t>
            </w:r>
            <w:r w:rsidR="00D87902" w:rsidRPr="007A23AE">
              <w:rPr>
                <w:rFonts w:ascii="Arial" w:hAnsi="Arial" w:cs="Arial"/>
                <w:sz w:val="18"/>
                <w:szCs w:val="18"/>
              </w:rPr>
              <w:t xml:space="preserve">Multi Cultural Citizens Centre </w:t>
            </w:r>
          </w:p>
          <w:p w:rsidR="00DA4425" w:rsidRPr="007A23AE" w:rsidRDefault="00DA4425" w:rsidP="008348B5">
            <w:pPr>
              <w:pStyle w:val="ListParagraph"/>
              <w:numPr>
                <w:ilvl w:val="0"/>
                <w:numId w:val="37"/>
              </w:numPr>
              <w:ind w:left="360"/>
              <w:jc w:val="left"/>
              <w:rPr>
                <w:rFonts w:ascii="Arial" w:hAnsi="Arial" w:cs="Arial"/>
                <w:sz w:val="18"/>
                <w:szCs w:val="18"/>
              </w:rPr>
            </w:pPr>
            <w:r w:rsidRPr="007A23AE">
              <w:rPr>
                <w:rFonts w:ascii="Arial" w:hAnsi="Arial" w:cs="Arial"/>
                <w:sz w:val="18"/>
                <w:szCs w:val="18"/>
              </w:rPr>
              <w:t>Residence behind ex RSL</w:t>
            </w:r>
            <w:r w:rsidR="00D87902" w:rsidRPr="007A23AE">
              <w:rPr>
                <w:rFonts w:ascii="Arial" w:hAnsi="Arial" w:cs="Arial"/>
                <w:sz w:val="18"/>
                <w:szCs w:val="18"/>
              </w:rPr>
              <w:t xml:space="preserve"> Hall</w:t>
            </w:r>
          </w:p>
          <w:p w:rsidR="00DA4425" w:rsidRPr="007A23AE" w:rsidRDefault="00DA4425" w:rsidP="008348B5">
            <w:pPr>
              <w:pStyle w:val="ListParagraph"/>
              <w:numPr>
                <w:ilvl w:val="0"/>
                <w:numId w:val="37"/>
              </w:numPr>
              <w:ind w:left="360"/>
              <w:jc w:val="left"/>
              <w:rPr>
                <w:rFonts w:ascii="Arial" w:hAnsi="Arial" w:cs="Arial"/>
                <w:sz w:val="18"/>
                <w:szCs w:val="18"/>
              </w:rPr>
            </w:pPr>
            <w:r w:rsidRPr="007A23AE">
              <w:rPr>
                <w:rFonts w:ascii="Arial" w:hAnsi="Arial" w:cs="Arial"/>
                <w:sz w:val="18"/>
                <w:szCs w:val="18"/>
              </w:rPr>
              <w:t>Memorial Hall (ex RSL)</w:t>
            </w:r>
          </w:p>
          <w:p w:rsidR="00DA4425" w:rsidRPr="007A23AE" w:rsidRDefault="00DA4425" w:rsidP="000E22E0">
            <w:pPr>
              <w:jc w:val="left"/>
              <w:rPr>
                <w:rFonts w:cs="Arial"/>
                <w:szCs w:val="18"/>
              </w:rPr>
            </w:pPr>
            <w:r w:rsidRPr="007A23AE">
              <w:rPr>
                <w:rFonts w:cs="Arial"/>
                <w:noProof/>
                <w:szCs w:val="18"/>
              </w:rPr>
              <w:drawing>
                <wp:inline distT="0" distB="0" distL="0" distR="0" wp14:anchorId="798F518E" wp14:editId="0A38A61C">
                  <wp:extent cx="2671200" cy="1652400"/>
                  <wp:effectExtent l="0" t="0" r="0" b="5080"/>
                  <wp:docPr id="22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2" cstate="print"/>
                          <a:srcRect/>
                          <a:stretch>
                            <a:fillRect/>
                          </a:stretch>
                        </pic:blipFill>
                        <pic:spPr bwMode="auto">
                          <a:xfrm>
                            <a:off x="0" y="0"/>
                            <a:ext cx="2671200" cy="1652400"/>
                          </a:xfrm>
                          <a:prstGeom prst="rect">
                            <a:avLst/>
                          </a:prstGeom>
                          <a:noFill/>
                          <a:ln w="9525">
                            <a:noFill/>
                            <a:miter lim="800000"/>
                            <a:headEnd/>
                            <a:tailEnd/>
                          </a:ln>
                        </pic:spPr>
                      </pic:pic>
                    </a:graphicData>
                  </a:graphic>
                </wp:inline>
              </w:drawing>
            </w:r>
          </w:p>
        </w:tc>
        <w:tc>
          <w:tcPr>
            <w:tcW w:w="4395" w:type="dxa"/>
          </w:tcPr>
          <w:p w:rsidR="00DA4425" w:rsidRPr="007A23AE" w:rsidRDefault="00DA4425" w:rsidP="000E22E0">
            <w:pPr>
              <w:jc w:val="left"/>
              <w:rPr>
                <w:rFonts w:cs="Arial"/>
                <w:szCs w:val="18"/>
              </w:rPr>
            </w:pPr>
            <w:r w:rsidRPr="007A23AE">
              <w:rPr>
                <w:rFonts w:cs="Arial"/>
                <w:noProof/>
                <w:szCs w:val="18"/>
              </w:rPr>
              <w:drawing>
                <wp:inline distT="0" distB="0" distL="0" distR="0" wp14:anchorId="3A492B68" wp14:editId="24130734">
                  <wp:extent cx="2671200" cy="1652400"/>
                  <wp:effectExtent l="0" t="0" r="0" b="5080"/>
                  <wp:docPr id="229" name="Picture 247" descr="P1000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00152.JPG"/>
                          <pic:cNvPicPr/>
                        </pic:nvPicPr>
                        <pic:blipFill rotWithShape="1">
                          <a:blip r:embed="rId60" cstate="print"/>
                          <a:srcRect r="3082"/>
                          <a:stretch/>
                        </pic:blipFill>
                        <pic:spPr bwMode="auto">
                          <a:xfrm>
                            <a:off x="0" y="0"/>
                            <a:ext cx="2671200" cy="1652400"/>
                          </a:xfrm>
                          <a:prstGeom prst="rect">
                            <a:avLst/>
                          </a:prstGeom>
                          <a:ln>
                            <a:noFill/>
                          </a:ln>
                          <a:extLst>
                            <a:ext uri="{53640926-AAD7-44D8-BBD7-CCE9431645EC}">
                              <a14:shadowObscured xmlns:a14="http://schemas.microsoft.com/office/drawing/2010/main"/>
                            </a:ext>
                          </a:extLst>
                        </pic:spPr>
                      </pic:pic>
                    </a:graphicData>
                  </a:graphic>
                </wp:inline>
              </w:drawing>
            </w:r>
          </w:p>
          <w:p w:rsidR="00DA4425" w:rsidRPr="007A23AE" w:rsidRDefault="00DA4425" w:rsidP="000E22E0">
            <w:pPr>
              <w:jc w:val="left"/>
              <w:rPr>
                <w:rFonts w:cs="Arial"/>
                <w:b/>
                <w:szCs w:val="18"/>
              </w:rPr>
            </w:pPr>
            <w:r w:rsidRPr="007A23AE">
              <w:rPr>
                <w:rFonts w:cs="Arial"/>
                <w:szCs w:val="18"/>
              </w:rPr>
              <w:t>Whilst the charts</w:t>
            </w:r>
            <w:r w:rsidR="00D87902" w:rsidRPr="007A23AE">
              <w:rPr>
                <w:rFonts w:cs="Arial"/>
                <w:szCs w:val="18"/>
              </w:rPr>
              <w:t xml:space="preserve"> for fit</w:t>
            </w:r>
            <w:r w:rsidR="00E27317" w:rsidRPr="007A23AE">
              <w:rPr>
                <w:rFonts w:cs="Arial"/>
                <w:szCs w:val="18"/>
              </w:rPr>
              <w:t xml:space="preserve"> </w:t>
            </w:r>
            <w:r w:rsidR="00D87902" w:rsidRPr="007A23AE">
              <w:rPr>
                <w:rFonts w:cs="Arial"/>
                <w:szCs w:val="18"/>
              </w:rPr>
              <w:t>out</w:t>
            </w:r>
            <w:r w:rsidR="00E27317" w:rsidRPr="007A23AE">
              <w:rPr>
                <w:rFonts w:cs="Arial"/>
                <w:szCs w:val="18"/>
              </w:rPr>
              <w:t xml:space="preserve"> indicate that a</w:t>
            </w:r>
            <w:r w:rsidRPr="007A23AE">
              <w:rPr>
                <w:rFonts w:cs="Arial"/>
                <w:szCs w:val="18"/>
              </w:rPr>
              <w:t xml:space="preserve"> majority</w:t>
            </w:r>
            <w:r w:rsidR="00E27317" w:rsidRPr="007A23AE">
              <w:rPr>
                <w:rFonts w:cs="Arial"/>
                <w:szCs w:val="18"/>
              </w:rPr>
              <w:t xml:space="preserve"> are </w:t>
            </w:r>
            <w:r w:rsidRPr="007A23AE">
              <w:rPr>
                <w:rFonts w:cs="Arial"/>
                <w:szCs w:val="18"/>
              </w:rPr>
              <w:t>in fair c</w:t>
            </w:r>
            <w:r w:rsidR="00E27317" w:rsidRPr="007A23AE">
              <w:rPr>
                <w:rFonts w:cs="Arial"/>
                <w:szCs w:val="18"/>
              </w:rPr>
              <w:t>ondition a large percentage (</w:t>
            </w:r>
            <w:r w:rsidRPr="007A23AE">
              <w:rPr>
                <w:rFonts w:cs="Arial"/>
                <w:szCs w:val="18"/>
              </w:rPr>
              <w:t>15%</w:t>
            </w:r>
            <w:r w:rsidR="00E27317" w:rsidRPr="007A23AE">
              <w:rPr>
                <w:rFonts w:cs="Arial"/>
                <w:szCs w:val="18"/>
              </w:rPr>
              <w:t>)</w:t>
            </w:r>
            <w:r w:rsidRPr="007A23AE">
              <w:rPr>
                <w:rFonts w:cs="Arial"/>
                <w:szCs w:val="18"/>
              </w:rPr>
              <w:t xml:space="preserve"> is at or nearing intervention indicating significant funding within the next 2-5 years. This has the potential to have a significant impact on future Capital Works budgets.</w:t>
            </w:r>
          </w:p>
        </w:tc>
      </w:tr>
    </w:tbl>
    <w:p w:rsidR="00FF69BF" w:rsidRDefault="00FF69BF" w:rsidP="007A23AE">
      <w:pPr>
        <w:ind w:left="720"/>
      </w:pPr>
    </w:p>
    <w:p w:rsidR="007A2237" w:rsidRPr="000E22E0" w:rsidRDefault="00491369" w:rsidP="000E22E0">
      <w:pPr>
        <w:ind w:left="720"/>
        <w:rPr>
          <w:u w:val="single"/>
        </w:rPr>
      </w:pPr>
      <w:r w:rsidRPr="000E22E0">
        <w:rPr>
          <w:u w:val="single"/>
        </w:rPr>
        <w:t>Asset Condition Summary</w:t>
      </w:r>
    </w:p>
    <w:p w:rsidR="000E22E0" w:rsidRDefault="000E22E0" w:rsidP="000E22E0">
      <w:pPr>
        <w:ind w:left="720"/>
      </w:pPr>
    </w:p>
    <w:p w:rsidR="007A2237" w:rsidRDefault="00793A9E" w:rsidP="000E22E0">
      <w:pPr>
        <w:ind w:left="720"/>
      </w:pPr>
      <w:r w:rsidRPr="00793A9E">
        <w:t xml:space="preserve">The following tables list the </w:t>
      </w:r>
      <w:r>
        <w:t xml:space="preserve">buildings that have been rated as </w:t>
      </w:r>
      <w:r w:rsidR="00F2443D">
        <w:t xml:space="preserve">either near or </w:t>
      </w:r>
      <w:r>
        <w:t xml:space="preserve">at the end of their useful life or in poor condition </w:t>
      </w:r>
      <w:r w:rsidR="00F2443D">
        <w:t>and not serviceable. In many cases the future use for these buildings needs to be determined so that they can be included in the renewal program</w:t>
      </w:r>
      <w:r w:rsidR="00475B4F">
        <w:t xml:space="preserve"> or disposal actions taken</w:t>
      </w:r>
      <w:r w:rsidR="00F2443D">
        <w:t>. Some buildings are considered past the point of renewal and are recommended for demolition.</w:t>
      </w:r>
      <w:r>
        <w:t xml:space="preserve"> They have been grouped into the various asset </w:t>
      </w:r>
      <w:r w:rsidR="00491369">
        <w:t>classes</w:t>
      </w:r>
      <w:r>
        <w:t>.</w:t>
      </w:r>
    </w:p>
    <w:p w:rsidR="000E22E0" w:rsidRDefault="000E22E0" w:rsidP="000E22E0">
      <w:pPr>
        <w:ind w:left="720"/>
      </w:pPr>
    </w:p>
    <w:p w:rsidR="00C37CB2" w:rsidRDefault="00C37CB2" w:rsidP="000E22E0">
      <w:pPr>
        <w:ind w:left="720"/>
      </w:pPr>
      <w:r>
        <w:t>There is however a small percentage (</w:t>
      </w:r>
      <w:r w:rsidRPr="00452312">
        <w:t>3%</w:t>
      </w:r>
      <w:r>
        <w:t>) of</w:t>
      </w:r>
      <w:r w:rsidRPr="00452312">
        <w:t xml:space="preserve"> </w:t>
      </w:r>
      <w:r>
        <w:t>Other Buildings that need urgent renewal additionally</w:t>
      </w:r>
      <w:r w:rsidRPr="00452312">
        <w:t xml:space="preserve"> 4.5% (public toilets, sheds) </w:t>
      </w:r>
      <w:r>
        <w:t>are in poor</w:t>
      </w:r>
      <w:r w:rsidRPr="00452312">
        <w:t xml:space="preserve"> condition</w:t>
      </w:r>
      <w:r>
        <w:t xml:space="preserve"> requiring renewal work.</w:t>
      </w:r>
      <w:r w:rsidRPr="00452312">
        <w:t xml:space="preserve"> </w:t>
      </w:r>
      <w:r>
        <w:t>S</w:t>
      </w:r>
      <w:r w:rsidRPr="00452312">
        <w:t xml:space="preserve">ome buildings </w:t>
      </w:r>
      <w:r>
        <w:t>are</w:t>
      </w:r>
      <w:r w:rsidRPr="00452312">
        <w:t xml:space="preserve"> considered unsafe or very high risks to users due to their poor condition. These building assets need to be critically reviewed to ascertain their need t</w:t>
      </w:r>
      <w:r w:rsidR="000E22E0">
        <w:t>o meet long term service needs.</w:t>
      </w:r>
    </w:p>
    <w:p w:rsidR="000E22E0" w:rsidRDefault="000E22E0" w:rsidP="000E22E0">
      <w:pPr>
        <w:ind w:left="720"/>
      </w:pPr>
    </w:p>
    <w:tbl>
      <w:tblPr>
        <w:tblW w:w="0" w:type="auto"/>
        <w:tblInd w:w="813" w:type="dxa"/>
        <w:tblLayout w:type="fixed"/>
        <w:tblLook w:val="04A0" w:firstRow="1" w:lastRow="0" w:firstColumn="1" w:lastColumn="0" w:noHBand="0" w:noVBand="1"/>
      </w:tblPr>
      <w:tblGrid>
        <w:gridCol w:w="1272"/>
        <w:gridCol w:w="8"/>
        <w:gridCol w:w="4394"/>
        <w:gridCol w:w="2693"/>
      </w:tblGrid>
      <w:tr w:rsidR="00F2443D" w:rsidRPr="006743A6" w:rsidTr="008C5B9E">
        <w:trPr>
          <w:cantSplit/>
          <w:tblHeader/>
        </w:trPr>
        <w:tc>
          <w:tcPr>
            <w:tcW w:w="1272" w:type="dxa"/>
            <w:tcBorders>
              <w:top w:val="single" w:sz="4" w:space="0" w:color="auto"/>
              <w:left w:val="single" w:sz="4" w:space="0" w:color="auto"/>
              <w:bottom w:val="single" w:sz="4" w:space="0" w:color="auto"/>
              <w:right w:val="single" w:sz="4" w:space="0" w:color="auto"/>
            </w:tcBorders>
            <w:shd w:val="clear" w:color="auto" w:fill="95B3D7" w:themeFill="accent1" w:themeFillTint="99"/>
            <w:noWrap/>
            <w:hideMark/>
          </w:tcPr>
          <w:p w:rsidR="00F2443D" w:rsidRPr="006743A6" w:rsidRDefault="00F2443D" w:rsidP="006743A6">
            <w:pPr>
              <w:spacing w:before="120" w:after="120"/>
              <w:jc w:val="left"/>
              <w:rPr>
                <w:b/>
              </w:rPr>
            </w:pPr>
            <w:r w:rsidRPr="006743A6">
              <w:rPr>
                <w:b/>
              </w:rPr>
              <w:t>Building ID</w:t>
            </w:r>
          </w:p>
        </w:tc>
        <w:tc>
          <w:tcPr>
            <w:tcW w:w="4402" w:type="dxa"/>
            <w:gridSpan w:val="2"/>
            <w:tcBorders>
              <w:top w:val="single" w:sz="4" w:space="0" w:color="auto"/>
              <w:left w:val="nil"/>
              <w:bottom w:val="single" w:sz="4" w:space="0" w:color="auto"/>
              <w:right w:val="single" w:sz="4" w:space="0" w:color="auto"/>
            </w:tcBorders>
            <w:shd w:val="clear" w:color="auto" w:fill="95B3D7" w:themeFill="accent1" w:themeFillTint="99"/>
            <w:noWrap/>
            <w:hideMark/>
          </w:tcPr>
          <w:p w:rsidR="00F2443D" w:rsidRPr="006743A6" w:rsidRDefault="00F2443D" w:rsidP="006743A6">
            <w:pPr>
              <w:spacing w:before="120" w:after="120"/>
              <w:jc w:val="left"/>
              <w:rPr>
                <w:rFonts w:cs="Arial"/>
                <w:b/>
                <w:bCs/>
              </w:rPr>
            </w:pPr>
            <w:r w:rsidRPr="006743A6">
              <w:rPr>
                <w:b/>
              </w:rPr>
              <w:t>Building Name</w:t>
            </w:r>
            <w:r w:rsidRPr="006743A6">
              <w:rPr>
                <w:rFonts w:cs="Arial"/>
                <w:b/>
                <w:bCs/>
              </w:rPr>
              <w:t xml:space="preserve"> </w:t>
            </w:r>
          </w:p>
        </w:tc>
        <w:tc>
          <w:tcPr>
            <w:tcW w:w="2693" w:type="dxa"/>
            <w:tcBorders>
              <w:top w:val="single" w:sz="4" w:space="0" w:color="auto"/>
              <w:left w:val="nil"/>
              <w:bottom w:val="single" w:sz="4" w:space="0" w:color="auto"/>
              <w:right w:val="single" w:sz="4" w:space="0" w:color="auto"/>
            </w:tcBorders>
            <w:shd w:val="clear" w:color="auto" w:fill="95B3D7" w:themeFill="accent1" w:themeFillTint="99"/>
          </w:tcPr>
          <w:p w:rsidR="00F2443D" w:rsidRPr="006743A6" w:rsidRDefault="00F2443D" w:rsidP="006743A6">
            <w:pPr>
              <w:spacing w:before="120" w:after="120"/>
              <w:jc w:val="left"/>
              <w:rPr>
                <w:b/>
              </w:rPr>
            </w:pPr>
            <w:r w:rsidRPr="006743A6">
              <w:rPr>
                <w:b/>
              </w:rPr>
              <w:t>Comment</w:t>
            </w:r>
          </w:p>
        </w:tc>
      </w:tr>
      <w:tr w:rsidR="008C5B9E" w:rsidRPr="004E5463" w:rsidTr="008C5B9E">
        <w:trPr>
          <w:cantSplit/>
        </w:trPr>
        <w:tc>
          <w:tcPr>
            <w:tcW w:w="8367"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noWrap/>
          </w:tcPr>
          <w:p w:rsidR="008C5B9E" w:rsidRPr="008C5B9E" w:rsidRDefault="008C5B9E" w:rsidP="006743A6">
            <w:pPr>
              <w:spacing w:before="120" w:after="120"/>
              <w:rPr>
                <w:b/>
              </w:rPr>
            </w:pPr>
            <w:r w:rsidRPr="008C5B9E">
              <w:rPr>
                <w:b/>
              </w:rPr>
              <w:t>Commercial</w:t>
            </w:r>
          </w:p>
        </w:tc>
      </w:tr>
      <w:tr w:rsidR="00F2443D" w:rsidRPr="004E5463" w:rsidTr="006743A6">
        <w:trPr>
          <w:cantSplit/>
        </w:trPr>
        <w:tc>
          <w:tcPr>
            <w:tcW w:w="1280" w:type="dxa"/>
            <w:gridSpan w:val="2"/>
            <w:tcBorders>
              <w:top w:val="nil"/>
              <w:left w:val="single" w:sz="4" w:space="0" w:color="auto"/>
              <w:bottom w:val="single" w:sz="4" w:space="0" w:color="auto"/>
              <w:right w:val="single" w:sz="4" w:space="0" w:color="auto"/>
            </w:tcBorders>
            <w:shd w:val="clear" w:color="auto" w:fill="auto"/>
            <w:noWrap/>
            <w:hideMark/>
          </w:tcPr>
          <w:p w:rsidR="00F2443D" w:rsidRPr="004E5463" w:rsidRDefault="00F2443D" w:rsidP="00BB0AD7">
            <w:pPr>
              <w:spacing w:before="120" w:after="120"/>
              <w:jc w:val="left"/>
            </w:pPr>
            <w:r w:rsidRPr="004E5463">
              <w:t>B000012</w:t>
            </w:r>
          </w:p>
        </w:tc>
        <w:tc>
          <w:tcPr>
            <w:tcW w:w="4394" w:type="dxa"/>
            <w:tcBorders>
              <w:top w:val="nil"/>
              <w:left w:val="nil"/>
              <w:bottom w:val="single" w:sz="4" w:space="0" w:color="auto"/>
              <w:right w:val="single" w:sz="4" w:space="0" w:color="auto"/>
            </w:tcBorders>
            <w:shd w:val="clear" w:color="auto" w:fill="auto"/>
            <w:noWrap/>
            <w:hideMark/>
          </w:tcPr>
          <w:p w:rsidR="00F2443D" w:rsidRPr="004E5463" w:rsidRDefault="00F2443D" w:rsidP="00D90FDE">
            <w:pPr>
              <w:spacing w:before="120" w:after="120"/>
            </w:pPr>
            <w:r w:rsidRPr="004E5463">
              <w:t>Residence behind Memorial Hall (ex</w:t>
            </w:r>
            <w:r w:rsidR="00D90FDE">
              <w:t>-</w:t>
            </w:r>
            <w:r w:rsidR="00E27317">
              <w:t xml:space="preserve">Soldiers </w:t>
            </w:r>
            <w:r w:rsidR="00927AFA">
              <w:t>and</w:t>
            </w:r>
            <w:r w:rsidR="00E27317">
              <w:t xml:space="preserve"> Sailors</w:t>
            </w:r>
            <w:r w:rsidRPr="004E5463">
              <w:t>)</w:t>
            </w:r>
          </w:p>
        </w:tc>
        <w:tc>
          <w:tcPr>
            <w:tcW w:w="2693" w:type="dxa"/>
            <w:tcBorders>
              <w:top w:val="nil"/>
              <w:left w:val="nil"/>
              <w:bottom w:val="single" w:sz="4" w:space="0" w:color="auto"/>
              <w:right w:val="single" w:sz="4" w:space="0" w:color="auto"/>
            </w:tcBorders>
          </w:tcPr>
          <w:p w:rsidR="00F2443D" w:rsidRDefault="003461D0" w:rsidP="006743A6">
            <w:pPr>
              <w:spacing w:before="120" w:after="120"/>
            </w:pPr>
            <w:r>
              <w:t>Currently not in use.</w:t>
            </w:r>
          </w:p>
          <w:p w:rsidR="00F2443D" w:rsidRPr="004E5463" w:rsidRDefault="00E27317" w:rsidP="006743A6">
            <w:pPr>
              <w:spacing w:before="120" w:after="120"/>
            </w:pPr>
            <w:r>
              <w:t>Approved</w:t>
            </w:r>
            <w:r w:rsidR="00F2443D">
              <w:t xml:space="preserve"> for demolition 2013-14</w:t>
            </w:r>
            <w:r w:rsidR="003461D0">
              <w:t>.</w:t>
            </w:r>
            <w:r w:rsidR="00F2443D">
              <w:t xml:space="preserve"> </w:t>
            </w:r>
          </w:p>
        </w:tc>
      </w:tr>
      <w:tr w:rsidR="00F2443D" w:rsidRPr="004E5463" w:rsidTr="008C5B9E">
        <w:trPr>
          <w:cantSplit/>
        </w:trPr>
        <w:tc>
          <w:tcPr>
            <w:tcW w:w="1280" w:type="dxa"/>
            <w:gridSpan w:val="2"/>
            <w:tcBorders>
              <w:top w:val="nil"/>
              <w:left w:val="single" w:sz="4" w:space="0" w:color="auto"/>
              <w:bottom w:val="nil"/>
              <w:right w:val="single" w:sz="4" w:space="0" w:color="auto"/>
            </w:tcBorders>
            <w:shd w:val="clear" w:color="auto" w:fill="auto"/>
            <w:noWrap/>
            <w:hideMark/>
          </w:tcPr>
          <w:p w:rsidR="00F2443D" w:rsidRPr="004E5463" w:rsidRDefault="00F2443D" w:rsidP="00BB0AD7">
            <w:pPr>
              <w:spacing w:before="120" w:after="120"/>
              <w:jc w:val="left"/>
            </w:pPr>
            <w:r w:rsidRPr="004E5463">
              <w:t>B000010</w:t>
            </w:r>
          </w:p>
        </w:tc>
        <w:tc>
          <w:tcPr>
            <w:tcW w:w="4394" w:type="dxa"/>
            <w:tcBorders>
              <w:top w:val="nil"/>
              <w:left w:val="nil"/>
              <w:bottom w:val="nil"/>
              <w:right w:val="single" w:sz="4" w:space="0" w:color="auto"/>
            </w:tcBorders>
            <w:shd w:val="clear" w:color="auto" w:fill="auto"/>
            <w:noWrap/>
            <w:hideMark/>
          </w:tcPr>
          <w:p w:rsidR="00F2443D" w:rsidRPr="004E5463" w:rsidRDefault="00F2443D" w:rsidP="00D90FDE">
            <w:pPr>
              <w:spacing w:before="120" w:after="120"/>
            </w:pPr>
            <w:r w:rsidRPr="004E5463">
              <w:t>Memorial Hall (ex</w:t>
            </w:r>
            <w:r w:rsidR="00D90FDE">
              <w:t>-</w:t>
            </w:r>
            <w:r w:rsidR="00E27317">
              <w:t xml:space="preserve">Soldiers </w:t>
            </w:r>
            <w:r w:rsidR="00927AFA">
              <w:t>and</w:t>
            </w:r>
            <w:r w:rsidR="00E27317">
              <w:t xml:space="preserve"> Sailors</w:t>
            </w:r>
            <w:r w:rsidRPr="004E5463">
              <w:t>)</w:t>
            </w:r>
          </w:p>
        </w:tc>
        <w:tc>
          <w:tcPr>
            <w:tcW w:w="2693" w:type="dxa"/>
            <w:tcBorders>
              <w:top w:val="nil"/>
              <w:left w:val="nil"/>
              <w:bottom w:val="nil"/>
              <w:right w:val="single" w:sz="4" w:space="0" w:color="auto"/>
            </w:tcBorders>
          </w:tcPr>
          <w:p w:rsidR="00F2443D" w:rsidRDefault="00F2443D" w:rsidP="006743A6">
            <w:pPr>
              <w:spacing w:before="120" w:after="120"/>
            </w:pPr>
            <w:r>
              <w:t>Currently not in use</w:t>
            </w:r>
            <w:r w:rsidR="003461D0">
              <w:t>.</w:t>
            </w:r>
          </w:p>
          <w:p w:rsidR="00F2443D" w:rsidRPr="004E5463" w:rsidRDefault="00F2443D" w:rsidP="006743A6">
            <w:pPr>
              <w:spacing w:before="120" w:after="120"/>
            </w:pPr>
            <w:r>
              <w:t>Decision required for future use</w:t>
            </w:r>
            <w:r w:rsidR="003461D0">
              <w:t>.</w:t>
            </w:r>
          </w:p>
        </w:tc>
      </w:tr>
      <w:tr w:rsidR="008C5B9E" w:rsidRPr="004E5463" w:rsidTr="008C5B9E">
        <w:trPr>
          <w:cantSplit/>
        </w:trPr>
        <w:tc>
          <w:tcPr>
            <w:tcW w:w="8367"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noWrap/>
          </w:tcPr>
          <w:p w:rsidR="008C5B9E" w:rsidRPr="008C5B9E" w:rsidRDefault="008C5B9E" w:rsidP="008C5B9E">
            <w:pPr>
              <w:spacing w:before="120" w:after="120"/>
              <w:rPr>
                <w:b/>
              </w:rPr>
            </w:pPr>
            <w:r>
              <w:rPr>
                <w:b/>
              </w:rPr>
              <w:t>Community Services</w:t>
            </w:r>
          </w:p>
        </w:tc>
      </w:tr>
      <w:tr w:rsidR="00F2443D" w:rsidRPr="004E5463" w:rsidTr="006743A6">
        <w:trPr>
          <w:cantSplit/>
        </w:trPr>
        <w:tc>
          <w:tcPr>
            <w:tcW w:w="1280" w:type="dxa"/>
            <w:gridSpan w:val="2"/>
            <w:tcBorders>
              <w:top w:val="nil"/>
              <w:left w:val="single" w:sz="4" w:space="0" w:color="auto"/>
              <w:bottom w:val="single" w:sz="4" w:space="0" w:color="auto"/>
              <w:right w:val="single" w:sz="4" w:space="0" w:color="auto"/>
            </w:tcBorders>
            <w:shd w:val="clear" w:color="auto" w:fill="auto"/>
            <w:noWrap/>
            <w:hideMark/>
          </w:tcPr>
          <w:p w:rsidR="00F2443D" w:rsidRPr="004E5463" w:rsidRDefault="00F2443D" w:rsidP="00BB0AD7">
            <w:pPr>
              <w:spacing w:before="120" w:after="120"/>
              <w:jc w:val="left"/>
            </w:pPr>
            <w:r w:rsidRPr="004E5463">
              <w:t>B000011</w:t>
            </w:r>
          </w:p>
        </w:tc>
        <w:tc>
          <w:tcPr>
            <w:tcW w:w="4394" w:type="dxa"/>
            <w:tcBorders>
              <w:top w:val="nil"/>
              <w:left w:val="nil"/>
              <w:bottom w:val="single" w:sz="4" w:space="0" w:color="auto"/>
              <w:right w:val="single" w:sz="4" w:space="0" w:color="auto"/>
            </w:tcBorders>
            <w:shd w:val="clear" w:color="auto" w:fill="auto"/>
            <w:hideMark/>
          </w:tcPr>
          <w:p w:rsidR="00F2443D" w:rsidRPr="004E5463" w:rsidRDefault="00F2443D" w:rsidP="006743A6">
            <w:pPr>
              <w:spacing w:before="120" w:after="120"/>
              <w:jc w:val="left"/>
            </w:pPr>
            <w:r w:rsidRPr="004E5463">
              <w:t xml:space="preserve">Pioneers Hall </w:t>
            </w:r>
            <w:r w:rsidR="00475B4F">
              <w:t>Multi Cultural Citizens Centre</w:t>
            </w:r>
          </w:p>
        </w:tc>
        <w:tc>
          <w:tcPr>
            <w:tcW w:w="2693" w:type="dxa"/>
            <w:tcBorders>
              <w:top w:val="nil"/>
              <w:left w:val="nil"/>
              <w:bottom w:val="single" w:sz="4" w:space="0" w:color="auto"/>
              <w:right w:val="single" w:sz="4" w:space="0" w:color="auto"/>
            </w:tcBorders>
          </w:tcPr>
          <w:p w:rsidR="00F2443D" w:rsidRDefault="00F2443D" w:rsidP="006743A6">
            <w:pPr>
              <w:spacing w:before="120" w:after="120"/>
              <w:jc w:val="left"/>
            </w:pPr>
            <w:r>
              <w:t>Currently not in use</w:t>
            </w:r>
            <w:r w:rsidR="003461D0">
              <w:t>.</w:t>
            </w:r>
          </w:p>
          <w:p w:rsidR="00F2443D" w:rsidRPr="004E5463" w:rsidRDefault="00F2443D" w:rsidP="006743A6">
            <w:pPr>
              <w:spacing w:before="120" w:after="120"/>
              <w:jc w:val="left"/>
            </w:pPr>
            <w:r>
              <w:t>Decision required for future use</w:t>
            </w:r>
            <w:r w:rsidR="003461D0">
              <w:t>.</w:t>
            </w:r>
          </w:p>
        </w:tc>
      </w:tr>
      <w:tr w:rsidR="00F2443D" w:rsidRPr="004E5463" w:rsidTr="006743A6">
        <w:trPr>
          <w:cantSplit/>
        </w:trPr>
        <w:tc>
          <w:tcPr>
            <w:tcW w:w="1280" w:type="dxa"/>
            <w:gridSpan w:val="2"/>
            <w:tcBorders>
              <w:top w:val="nil"/>
              <w:left w:val="single" w:sz="4" w:space="0" w:color="auto"/>
              <w:bottom w:val="single" w:sz="4" w:space="0" w:color="auto"/>
              <w:right w:val="single" w:sz="4" w:space="0" w:color="auto"/>
            </w:tcBorders>
            <w:shd w:val="clear" w:color="auto" w:fill="auto"/>
            <w:noWrap/>
            <w:hideMark/>
          </w:tcPr>
          <w:p w:rsidR="00F2443D" w:rsidRPr="004E5463" w:rsidRDefault="00F2443D" w:rsidP="00BB0AD7">
            <w:pPr>
              <w:spacing w:before="120" w:after="120"/>
              <w:jc w:val="left"/>
            </w:pPr>
            <w:r w:rsidRPr="004E5463">
              <w:t>B000072</w:t>
            </w:r>
          </w:p>
        </w:tc>
        <w:tc>
          <w:tcPr>
            <w:tcW w:w="4394" w:type="dxa"/>
            <w:tcBorders>
              <w:top w:val="nil"/>
              <w:left w:val="nil"/>
              <w:bottom w:val="single" w:sz="4" w:space="0" w:color="auto"/>
              <w:right w:val="single" w:sz="4" w:space="0" w:color="auto"/>
            </w:tcBorders>
            <w:shd w:val="clear" w:color="auto" w:fill="auto"/>
            <w:hideMark/>
          </w:tcPr>
          <w:p w:rsidR="00F2443D" w:rsidRPr="004E5463" w:rsidRDefault="00F2443D" w:rsidP="006743A6">
            <w:pPr>
              <w:spacing w:before="120" w:after="120"/>
              <w:jc w:val="left"/>
            </w:pPr>
            <w:r w:rsidRPr="004E5463">
              <w:t>South West Building (ex Burnley Neighbourhood House) - (vacant)</w:t>
            </w:r>
          </w:p>
        </w:tc>
        <w:tc>
          <w:tcPr>
            <w:tcW w:w="2693" w:type="dxa"/>
            <w:tcBorders>
              <w:top w:val="nil"/>
              <w:left w:val="nil"/>
              <w:bottom w:val="single" w:sz="4" w:space="0" w:color="auto"/>
              <w:right w:val="single" w:sz="4" w:space="0" w:color="auto"/>
            </w:tcBorders>
          </w:tcPr>
          <w:p w:rsidR="00F2443D" w:rsidRDefault="00F2443D" w:rsidP="006743A6">
            <w:pPr>
              <w:spacing w:before="120" w:after="120"/>
              <w:jc w:val="left"/>
            </w:pPr>
            <w:r>
              <w:t>Currently not in use</w:t>
            </w:r>
            <w:r w:rsidR="003461D0">
              <w:t>.</w:t>
            </w:r>
          </w:p>
          <w:p w:rsidR="00F2443D" w:rsidRPr="004E5463" w:rsidRDefault="00F2443D" w:rsidP="006743A6">
            <w:pPr>
              <w:spacing w:before="120" w:after="120"/>
              <w:jc w:val="left"/>
            </w:pPr>
            <w:r>
              <w:t>Decision pending subject of an expression of interest</w:t>
            </w:r>
            <w:r w:rsidR="00E27317">
              <w:t>.</w:t>
            </w:r>
          </w:p>
        </w:tc>
      </w:tr>
      <w:tr w:rsidR="00E52D28" w:rsidRPr="004E5463" w:rsidTr="006743A6">
        <w:trPr>
          <w:cantSplit/>
        </w:trPr>
        <w:tc>
          <w:tcPr>
            <w:tcW w:w="1280" w:type="dxa"/>
            <w:gridSpan w:val="2"/>
            <w:tcBorders>
              <w:top w:val="nil"/>
              <w:left w:val="single" w:sz="4" w:space="0" w:color="auto"/>
              <w:bottom w:val="single" w:sz="4" w:space="0" w:color="auto"/>
              <w:right w:val="single" w:sz="4" w:space="0" w:color="auto"/>
            </w:tcBorders>
            <w:shd w:val="clear" w:color="auto" w:fill="auto"/>
            <w:noWrap/>
            <w:hideMark/>
          </w:tcPr>
          <w:p w:rsidR="00E52D28" w:rsidRPr="004E5463" w:rsidRDefault="00E52D28" w:rsidP="00BB0AD7">
            <w:pPr>
              <w:spacing w:before="120" w:after="120"/>
              <w:jc w:val="left"/>
            </w:pPr>
            <w:r w:rsidRPr="004E5463">
              <w:t>B000071</w:t>
            </w:r>
          </w:p>
        </w:tc>
        <w:tc>
          <w:tcPr>
            <w:tcW w:w="4394" w:type="dxa"/>
            <w:tcBorders>
              <w:top w:val="nil"/>
              <w:left w:val="nil"/>
              <w:bottom w:val="single" w:sz="4" w:space="0" w:color="auto"/>
              <w:right w:val="single" w:sz="4" w:space="0" w:color="auto"/>
            </w:tcBorders>
            <w:shd w:val="clear" w:color="auto" w:fill="auto"/>
            <w:hideMark/>
          </w:tcPr>
          <w:p w:rsidR="00E52D28" w:rsidRPr="004E5463" w:rsidRDefault="00E52D28" w:rsidP="006743A6">
            <w:pPr>
              <w:spacing w:before="120" w:after="120"/>
              <w:jc w:val="left"/>
            </w:pPr>
            <w:r w:rsidRPr="004E5463">
              <w:t>North East Building (ex Burnley Child Health Centre) - (vacant)</w:t>
            </w:r>
          </w:p>
        </w:tc>
        <w:tc>
          <w:tcPr>
            <w:tcW w:w="2693" w:type="dxa"/>
            <w:tcBorders>
              <w:top w:val="nil"/>
              <w:left w:val="nil"/>
              <w:bottom w:val="single" w:sz="4" w:space="0" w:color="auto"/>
              <w:right w:val="single" w:sz="4" w:space="0" w:color="auto"/>
            </w:tcBorders>
          </w:tcPr>
          <w:p w:rsidR="00E52D28" w:rsidRDefault="00E52D28" w:rsidP="006743A6">
            <w:pPr>
              <w:spacing w:before="120" w:after="120"/>
              <w:jc w:val="left"/>
            </w:pPr>
            <w:r>
              <w:t>Currently not in use</w:t>
            </w:r>
            <w:r w:rsidR="003461D0">
              <w:t>.</w:t>
            </w:r>
            <w:r>
              <w:t xml:space="preserve"> </w:t>
            </w:r>
          </w:p>
          <w:p w:rsidR="00E52D28" w:rsidRPr="004E5463" w:rsidRDefault="00E52D28" w:rsidP="006743A6">
            <w:pPr>
              <w:spacing w:before="120" w:after="120"/>
              <w:jc w:val="left"/>
            </w:pPr>
            <w:r>
              <w:t>Decision pending subject of an expression of interest</w:t>
            </w:r>
            <w:r w:rsidR="00E27317">
              <w:t>.</w:t>
            </w:r>
          </w:p>
        </w:tc>
      </w:tr>
      <w:tr w:rsidR="00F2443D" w:rsidRPr="004E5463" w:rsidTr="006743A6">
        <w:trPr>
          <w:cantSplit/>
        </w:trPr>
        <w:tc>
          <w:tcPr>
            <w:tcW w:w="1280" w:type="dxa"/>
            <w:gridSpan w:val="2"/>
            <w:tcBorders>
              <w:top w:val="nil"/>
              <w:left w:val="single" w:sz="4" w:space="0" w:color="auto"/>
              <w:bottom w:val="single" w:sz="4" w:space="0" w:color="auto"/>
              <w:right w:val="single" w:sz="4" w:space="0" w:color="auto"/>
            </w:tcBorders>
            <w:shd w:val="clear" w:color="auto" w:fill="auto"/>
            <w:noWrap/>
            <w:hideMark/>
          </w:tcPr>
          <w:p w:rsidR="00F2443D" w:rsidRPr="00F2443D" w:rsidRDefault="00F2443D" w:rsidP="00BB0AD7">
            <w:pPr>
              <w:spacing w:before="120" w:after="120"/>
              <w:jc w:val="left"/>
            </w:pPr>
            <w:r w:rsidRPr="00F2443D">
              <w:t>B004889</w:t>
            </w:r>
          </w:p>
        </w:tc>
        <w:tc>
          <w:tcPr>
            <w:tcW w:w="4394" w:type="dxa"/>
            <w:tcBorders>
              <w:top w:val="nil"/>
              <w:left w:val="nil"/>
              <w:bottom w:val="single" w:sz="4" w:space="0" w:color="auto"/>
              <w:right w:val="single" w:sz="4" w:space="0" w:color="auto"/>
            </w:tcBorders>
            <w:shd w:val="clear" w:color="auto" w:fill="auto"/>
            <w:hideMark/>
          </w:tcPr>
          <w:p w:rsidR="00F2443D" w:rsidRPr="004E5463" w:rsidRDefault="00F2443D" w:rsidP="006743A6">
            <w:pPr>
              <w:spacing w:before="120" w:after="120"/>
              <w:jc w:val="left"/>
            </w:pPr>
            <w:r w:rsidRPr="00F2443D">
              <w:t>Walker St Scout Hall Clifton Hill</w:t>
            </w:r>
          </w:p>
        </w:tc>
        <w:tc>
          <w:tcPr>
            <w:tcW w:w="2693" w:type="dxa"/>
            <w:tcBorders>
              <w:top w:val="nil"/>
              <w:left w:val="nil"/>
              <w:bottom w:val="single" w:sz="4" w:space="0" w:color="auto"/>
              <w:right w:val="single" w:sz="4" w:space="0" w:color="auto"/>
            </w:tcBorders>
            <w:shd w:val="clear" w:color="auto" w:fill="auto"/>
          </w:tcPr>
          <w:p w:rsidR="00F2443D" w:rsidRPr="004E5463" w:rsidRDefault="00F2443D" w:rsidP="006743A6">
            <w:pPr>
              <w:spacing w:before="120" w:after="120"/>
              <w:jc w:val="left"/>
            </w:pPr>
            <w:r>
              <w:t>Currently in use requires major renewal work in near future.</w:t>
            </w:r>
          </w:p>
        </w:tc>
      </w:tr>
      <w:tr w:rsidR="00F2443D" w:rsidRPr="004E5463" w:rsidTr="006743A6">
        <w:trPr>
          <w:cantSplit/>
        </w:trPr>
        <w:tc>
          <w:tcPr>
            <w:tcW w:w="1280" w:type="dxa"/>
            <w:gridSpan w:val="2"/>
            <w:tcBorders>
              <w:top w:val="nil"/>
              <w:left w:val="single" w:sz="4" w:space="0" w:color="auto"/>
              <w:bottom w:val="single" w:sz="4" w:space="0" w:color="auto"/>
              <w:right w:val="single" w:sz="4" w:space="0" w:color="auto"/>
            </w:tcBorders>
            <w:shd w:val="clear" w:color="auto" w:fill="auto"/>
            <w:noWrap/>
            <w:hideMark/>
          </w:tcPr>
          <w:p w:rsidR="00F2443D" w:rsidRPr="004E5463" w:rsidRDefault="00F2443D" w:rsidP="00BB0AD7">
            <w:pPr>
              <w:spacing w:before="120" w:after="120"/>
              <w:jc w:val="left"/>
            </w:pPr>
            <w:r w:rsidRPr="004E5463">
              <w:t>B000016</w:t>
            </w:r>
          </w:p>
        </w:tc>
        <w:tc>
          <w:tcPr>
            <w:tcW w:w="4394" w:type="dxa"/>
            <w:tcBorders>
              <w:top w:val="nil"/>
              <w:left w:val="nil"/>
              <w:bottom w:val="single" w:sz="4" w:space="0" w:color="auto"/>
              <w:right w:val="single" w:sz="4" w:space="0" w:color="auto"/>
            </w:tcBorders>
            <w:shd w:val="clear" w:color="auto" w:fill="auto"/>
            <w:hideMark/>
          </w:tcPr>
          <w:p w:rsidR="00F2443D" w:rsidRPr="004E5463" w:rsidRDefault="00F2443D" w:rsidP="008473C2">
            <w:pPr>
              <w:spacing w:before="120" w:after="120"/>
              <w:jc w:val="left"/>
            </w:pPr>
            <w:r w:rsidRPr="004E5463">
              <w:t>Timber Store/Old Sea Scouts</w:t>
            </w:r>
          </w:p>
        </w:tc>
        <w:tc>
          <w:tcPr>
            <w:tcW w:w="2693" w:type="dxa"/>
            <w:tcBorders>
              <w:top w:val="nil"/>
              <w:left w:val="nil"/>
              <w:bottom w:val="single" w:sz="4" w:space="0" w:color="auto"/>
              <w:right w:val="single" w:sz="4" w:space="0" w:color="auto"/>
            </w:tcBorders>
          </w:tcPr>
          <w:p w:rsidR="00F2443D" w:rsidRDefault="003461D0" w:rsidP="006743A6">
            <w:pPr>
              <w:spacing w:before="120" w:after="120"/>
              <w:jc w:val="left"/>
            </w:pPr>
            <w:r>
              <w:t>Currently not in use.</w:t>
            </w:r>
          </w:p>
          <w:p w:rsidR="00F2443D" w:rsidRPr="004E5463" w:rsidRDefault="00F2443D" w:rsidP="003461D0">
            <w:pPr>
              <w:spacing w:before="120" w:after="120"/>
              <w:jc w:val="left"/>
            </w:pPr>
            <w:r>
              <w:t>Demolition pending 201</w:t>
            </w:r>
            <w:r w:rsidR="00475B4F">
              <w:t>3</w:t>
            </w:r>
            <w:r w:rsidR="003461D0">
              <w:t>.</w:t>
            </w:r>
          </w:p>
        </w:tc>
      </w:tr>
      <w:tr w:rsidR="00F2443D" w:rsidRPr="004E5463" w:rsidTr="00BB0AD7">
        <w:trPr>
          <w:cantSplit/>
        </w:trPr>
        <w:tc>
          <w:tcPr>
            <w:tcW w:w="1280" w:type="dxa"/>
            <w:gridSpan w:val="2"/>
            <w:tcBorders>
              <w:top w:val="nil"/>
              <w:left w:val="single" w:sz="4" w:space="0" w:color="auto"/>
              <w:bottom w:val="single" w:sz="4" w:space="0" w:color="auto"/>
              <w:right w:val="single" w:sz="4" w:space="0" w:color="auto"/>
            </w:tcBorders>
            <w:shd w:val="clear" w:color="auto" w:fill="auto"/>
            <w:noWrap/>
            <w:hideMark/>
          </w:tcPr>
          <w:p w:rsidR="00F2443D" w:rsidRPr="004E5463" w:rsidRDefault="00F2443D" w:rsidP="00BB0AD7">
            <w:pPr>
              <w:spacing w:before="120" w:after="120"/>
              <w:jc w:val="left"/>
            </w:pPr>
            <w:r w:rsidRPr="004E5463">
              <w:t>B000024</w:t>
            </w:r>
          </w:p>
        </w:tc>
        <w:tc>
          <w:tcPr>
            <w:tcW w:w="4394" w:type="dxa"/>
            <w:tcBorders>
              <w:top w:val="nil"/>
              <w:left w:val="nil"/>
              <w:bottom w:val="single" w:sz="4" w:space="0" w:color="auto"/>
              <w:right w:val="single" w:sz="4" w:space="0" w:color="auto"/>
            </w:tcBorders>
            <w:shd w:val="clear" w:color="auto" w:fill="auto"/>
            <w:hideMark/>
          </w:tcPr>
          <w:p w:rsidR="00F2443D" w:rsidRPr="004E5463" w:rsidRDefault="00F2443D" w:rsidP="006743A6">
            <w:pPr>
              <w:spacing w:before="120" w:after="120"/>
              <w:jc w:val="left"/>
            </w:pPr>
            <w:r w:rsidRPr="004E5463">
              <w:t>Lourdes Building</w:t>
            </w:r>
          </w:p>
        </w:tc>
        <w:tc>
          <w:tcPr>
            <w:tcW w:w="2693" w:type="dxa"/>
            <w:tcBorders>
              <w:top w:val="nil"/>
              <w:left w:val="nil"/>
              <w:bottom w:val="single" w:sz="4" w:space="0" w:color="auto"/>
              <w:right w:val="single" w:sz="4" w:space="0" w:color="auto"/>
            </w:tcBorders>
          </w:tcPr>
          <w:p w:rsidR="00E52D28" w:rsidRDefault="003461D0" w:rsidP="006743A6">
            <w:pPr>
              <w:spacing w:before="120" w:after="120"/>
              <w:jc w:val="left"/>
            </w:pPr>
            <w:r>
              <w:t>Currently not in use.</w:t>
            </w:r>
          </w:p>
          <w:p w:rsidR="00F2443D" w:rsidRPr="004E5463" w:rsidRDefault="00F2443D" w:rsidP="006743A6">
            <w:pPr>
              <w:spacing w:before="120" w:after="120"/>
              <w:jc w:val="left"/>
            </w:pPr>
            <w:r>
              <w:t>To be demolished as part of Lourdes redevelopment</w:t>
            </w:r>
            <w:r w:rsidR="003461D0">
              <w:t>.</w:t>
            </w:r>
          </w:p>
        </w:tc>
      </w:tr>
      <w:tr w:rsidR="00F2443D" w:rsidRPr="004E5463" w:rsidTr="00BB0AD7">
        <w:trPr>
          <w:cantSplit/>
        </w:trPr>
        <w:tc>
          <w:tcPr>
            <w:tcW w:w="1280"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F2443D" w:rsidRPr="004E5463" w:rsidRDefault="00F2443D" w:rsidP="00BB0AD7">
            <w:pPr>
              <w:spacing w:before="120" w:after="120"/>
              <w:jc w:val="left"/>
            </w:pPr>
            <w:r w:rsidRPr="004E5463">
              <w:t>B000079</w:t>
            </w:r>
          </w:p>
        </w:tc>
        <w:tc>
          <w:tcPr>
            <w:tcW w:w="4394" w:type="dxa"/>
            <w:tcBorders>
              <w:top w:val="single" w:sz="4" w:space="0" w:color="auto"/>
              <w:left w:val="nil"/>
              <w:bottom w:val="single" w:sz="4" w:space="0" w:color="auto"/>
              <w:right w:val="single" w:sz="4" w:space="0" w:color="auto"/>
            </w:tcBorders>
            <w:shd w:val="clear" w:color="auto" w:fill="auto"/>
            <w:hideMark/>
          </w:tcPr>
          <w:p w:rsidR="00F2443D" w:rsidRPr="004E5463" w:rsidRDefault="00F2443D" w:rsidP="006743A6">
            <w:pPr>
              <w:spacing w:before="120" w:after="120"/>
              <w:jc w:val="left"/>
            </w:pPr>
            <w:r w:rsidRPr="00E52D28">
              <w:t>Lady Gowrie Child Health Administration (ex North Carlton MCHC)</w:t>
            </w:r>
          </w:p>
        </w:tc>
        <w:tc>
          <w:tcPr>
            <w:tcW w:w="2693" w:type="dxa"/>
            <w:tcBorders>
              <w:top w:val="single" w:sz="4" w:space="0" w:color="auto"/>
              <w:left w:val="nil"/>
              <w:bottom w:val="single" w:sz="4" w:space="0" w:color="auto"/>
              <w:right w:val="single" w:sz="4" w:space="0" w:color="auto"/>
            </w:tcBorders>
          </w:tcPr>
          <w:p w:rsidR="00F2443D" w:rsidRPr="004E5463" w:rsidRDefault="00F2443D" w:rsidP="006743A6">
            <w:pPr>
              <w:spacing w:before="120" w:after="120"/>
              <w:jc w:val="left"/>
            </w:pPr>
            <w:r>
              <w:t xml:space="preserve">Demolition recommended </w:t>
            </w:r>
            <w:r w:rsidR="00E52D28">
              <w:t>as pa</w:t>
            </w:r>
            <w:r w:rsidR="00823258">
              <w:t>rt of redevelopment of the site</w:t>
            </w:r>
            <w:r w:rsidR="00475B4F">
              <w:t>. T</w:t>
            </w:r>
            <w:r w:rsidR="00E52D28">
              <w:t>he building is occupied but in very poor condition.</w:t>
            </w:r>
          </w:p>
        </w:tc>
      </w:tr>
      <w:tr w:rsidR="00BB0AD7" w:rsidRPr="004E5463" w:rsidTr="00BB0AD7">
        <w:trPr>
          <w:cantSplit/>
        </w:trPr>
        <w:tc>
          <w:tcPr>
            <w:tcW w:w="8367"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noWrap/>
          </w:tcPr>
          <w:p w:rsidR="00BB0AD7" w:rsidRPr="008C5B9E" w:rsidRDefault="00BB0AD7" w:rsidP="00BB0AD7">
            <w:pPr>
              <w:keepNext/>
              <w:keepLines/>
              <w:spacing w:before="120" w:after="120"/>
              <w:rPr>
                <w:b/>
              </w:rPr>
            </w:pPr>
            <w:r>
              <w:rPr>
                <w:b/>
              </w:rPr>
              <w:t>Council Operations</w:t>
            </w:r>
          </w:p>
        </w:tc>
      </w:tr>
      <w:tr w:rsidR="008F558A" w:rsidRPr="00E27317" w:rsidTr="006743A6">
        <w:trPr>
          <w:cantSplit/>
        </w:trPr>
        <w:tc>
          <w:tcPr>
            <w:tcW w:w="1272" w:type="dxa"/>
            <w:tcBorders>
              <w:top w:val="nil"/>
              <w:left w:val="single" w:sz="4" w:space="0" w:color="auto"/>
              <w:bottom w:val="single" w:sz="4" w:space="0" w:color="auto"/>
              <w:right w:val="single" w:sz="4" w:space="0" w:color="auto"/>
            </w:tcBorders>
            <w:shd w:val="clear" w:color="auto" w:fill="auto"/>
            <w:noWrap/>
            <w:hideMark/>
          </w:tcPr>
          <w:p w:rsidR="008F558A" w:rsidRPr="00E27317" w:rsidRDefault="008F558A" w:rsidP="00BB0AD7">
            <w:pPr>
              <w:keepNext/>
              <w:keepLines/>
              <w:spacing w:before="120" w:after="120"/>
              <w:jc w:val="left"/>
            </w:pPr>
            <w:r w:rsidRPr="00E27317">
              <w:t>B000193</w:t>
            </w:r>
          </w:p>
        </w:tc>
        <w:tc>
          <w:tcPr>
            <w:tcW w:w="4402" w:type="dxa"/>
            <w:gridSpan w:val="2"/>
            <w:tcBorders>
              <w:top w:val="nil"/>
              <w:left w:val="nil"/>
              <w:bottom w:val="single" w:sz="4" w:space="0" w:color="auto"/>
              <w:right w:val="single" w:sz="4" w:space="0" w:color="auto"/>
            </w:tcBorders>
            <w:shd w:val="clear" w:color="auto" w:fill="auto"/>
            <w:hideMark/>
          </w:tcPr>
          <w:p w:rsidR="008F558A" w:rsidRPr="00E27317" w:rsidRDefault="008F558A" w:rsidP="00BB0AD7">
            <w:pPr>
              <w:keepNext/>
              <w:keepLines/>
              <w:spacing w:before="120" w:after="120"/>
              <w:jc w:val="left"/>
            </w:pPr>
            <w:r w:rsidRPr="00E27317">
              <w:t>North Building - Burnley St Depot</w:t>
            </w:r>
          </w:p>
        </w:tc>
        <w:tc>
          <w:tcPr>
            <w:tcW w:w="2693" w:type="dxa"/>
            <w:tcBorders>
              <w:top w:val="nil"/>
              <w:left w:val="nil"/>
              <w:bottom w:val="single" w:sz="4" w:space="0" w:color="auto"/>
              <w:right w:val="single" w:sz="4" w:space="0" w:color="auto"/>
            </w:tcBorders>
            <w:shd w:val="clear" w:color="auto" w:fill="auto"/>
            <w:hideMark/>
          </w:tcPr>
          <w:p w:rsidR="008F558A" w:rsidRPr="00E27317" w:rsidRDefault="008F558A" w:rsidP="00BB0AD7">
            <w:pPr>
              <w:keepNext/>
              <w:keepLines/>
              <w:spacing w:before="120" w:after="120"/>
              <w:jc w:val="left"/>
            </w:pPr>
            <w:r w:rsidRPr="00E27317">
              <w:t>Scored as part of overall depot site that needs to be addressed as a whole. Report on depots should form basis of future improvements</w:t>
            </w:r>
            <w:r w:rsidR="003461D0">
              <w:t>.</w:t>
            </w:r>
          </w:p>
        </w:tc>
      </w:tr>
      <w:tr w:rsidR="008F558A" w:rsidRPr="00E27317" w:rsidTr="00BB0AD7">
        <w:trPr>
          <w:cantSplit/>
        </w:trPr>
        <w:tc>
          <w:tcPr>
            <w:tcW w:w="1272" w:type="dxa"/>
            <w:tcBorders>
              <w:top w:val="nil"/>
              <w:left w:val="single" w:sz="4" w:space="0" w:color="auto"/>
              <w:bottom w:val="nil"/>
              <w:right w:val="single" w:sz="4" w:space="0" w:color="auto"/>
            </w:tcBorders>
            <w:shd w:val="clear" w:color="auto" w:fill="auto"/>
            <w:noWrap/>
            <w:hideMark/>
          </w:tcPr>
          <w:p w:rsidR="008F558A" w:rsidRPr="00E27317" w:rsidRDefault="008F558A" w:rsidP="00BB0AD7">
            <w:pPr>
              <w:spacing w:before="120" w:after="120"/>
              <w:jc w:val="left"/>
            </w:pPr>
            <w:r w:rsidRPr="00E27317">
              <w:t>B000196</w:t>
            </w:r>
          </w:p>
        </w:tc>
        <w:tc>
          <w:tcPr>
            <w:tcW w:w="4402" w:type="dxa"/>
            <w:gridSpan w:val="2"/>
            <w:tcBorders>
              <w:top w:val="nil"/>
              <w:left w:val="nil"/>
              <w:bottom w:val="nil"/>
              <w:right w:val="single" w:sz="4" w:space="0" w:color="auto"/>
            </w:tcBorders>
            <w:shd w:val="clear" w:color="auto" w:fill="auto"/>
            <w:hideMark/>
          </w:tcPr>
          <w:p w:rsidR="008F558A" w:rsidRPr="00E27317" w:rsidRDefault="008F558A" w:rsidP="006743A6">
            <w:pPr>
              <w:spacing w:before="120" w:after="120"/>
              <w:jc w:val="left"/>
            </w:pPr>
            <w:r w:rsidRPr="00E27317">
              <w:t>West Building - Burnley St Depot</w:t>
            </w:r>
          </w:p>
        </w:tc>
        <w:tc>
          <w:tcPr>
            <w:tcW w:w="2693" w:type="dxa"/>
            <w:tcBorders>
              <w:top w:val="nil"/>
              <w:left w:val="nil"/>
              <w:bottom w:val="nil"/>
              <w:right w:val="single" w:sz="4" w:space="0" w:color="auto"/>
            </w:tcBorders>
            <w:shd w:val="clear" w:color="auto" w:fill="auto"/>
            <w:hideMark/>
          </w:tcPr>
          <w:p w:rsidR="008F558A" w:rsidRPr="00E27317" w:rsidRDefault="008F558A" w:rsidP="006743A6">
            <w:pPr>
              <w:spacing w:before="120" w:after="120"/>
              <w:jc w:val="left"/>
            </w:pPr>
            <w:r w:rsidRPr="00E27317">
              <w:t>Scored as part of overall depot site that needs to be addressed as a whole. Report on depots should form basis of future improvements</w:t>
            </w:r>
            <w:r w:rsidR="003461D0">
              <w:t>.</w:t>
            </w:r>
          </w:p>
        </w:tc>
      </w:tr>
      <w:tr w:rsidR="00BB0AD7" w:rsidRPr="004E5463" w:rsidTr="00BB0AD7">
        <w:trPr>
          <w:cantSplit/>
        </w:trPr>
        <w:tc>
          <w:tcPr>
            <w:tcW w:w="8367"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noWrap/>
          </w:tcPr>
          <w:p w:rsidR="00BB0AD7" w:rsidRPr="008C5B9E" w:rsidRDefault="00BB0AD7" w:rsidP="00BB0AD7">
            <w:pPr>
              <w:keepNext/>
              <w:keepLines/>
              <w:spacing w:before="120" w:after="120"/>
              <w:rPr>
                <w:b/>
              </w:rPr>
            </w:pPr>
            <w:r>
              <w:rPr>
                <w:b/>
              </w:rPr>
              <w:t>Recreation and Open Space</w:t>
            </w:r>
          </w:p>
        </w:tc>
      </w:tr>
      <w:tr w:rsidR="00823258" w:rsidRPr="004E5463" w:rsidTr="002A68F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272" w:type="dxa"/>
            <w:shd w:val="clear" w:color="auto" w:fill="auto"/>
            <w:noWrap/>
            <w:vAlign w:val="bottom"/>
            <w:hideMark/>
          </w:tcPr>
          <w:p w:rsidR="00823258" w:rsidRPr="004E5463" w:rsidRDefault="00823258" w:rsidP="00BB0AD7">
            <w:pPr>
              <w:spacing w:before="120" w:after="120"/>
              <w:jc w:val="left"/>
            </w:pPr>
            <w:r w:rsidRPr="004E5463">
              <w:t>B000039</w:t>
            </w:r>
          </w:p>
        </w:tc>
        <w:tc>
          <w:tcPr>
            <w:tcW w:w="4402" w:type="dxa"/>
            <w:gridSpan w:val="2"/>
            <w:shd w:val="clear" w:color="auto" w:fill="auto"/>
            <w:vAlign w:val="bottom"/>
            <w:hideMark/>
          </w:tcPr>
          <w:p w:rsidR="00823258" w:rsidRPr="004E5463" w:rsidRDefault="00823258" w:rsidP="006743A6">
            <w:pPr>
              <w:spacing w:before="120" w:after="120"/>
              <w:jc w:val="left"/>
            </w:pPr>
            <w:r w:rsidRPr="004E5463">
              <w:t>Storage Sheds - Victoria Park</w:t>
            </w:r>
          </w:p>
        </w:tc>
        <w:tc>
          <w:tcPr>
            <w:tcW w:w="2693" w:type="dxa"/>
          </w:tcPr>
          <w:p w:rsidR="00823258" w:rsidRPr="004E5463" w:rsidRDefault="00E27317" w:rsidP="006743A6">
            <w:pPr>
              <w:spacing w:before="120" w:after="120"/>
              <w:jc w:val="left"/>
            </w:pPr>
            <w:r>
              <w:t>Currently in use</w:t>
            </w:r>
            <w:r w:rsidR="003461D0">
              <w:t>.</w:t>
            </w:r>
          </w:p>
        </w:tc>
      </w:tr>
      <w:tr w:rsidR="00E27317" w:rsidRPr="004E5463" w:rsidTr="002A68F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272" w:type="dxa"/>
            <w:shd w:val="clear" w:color="auto" w:fill="auto"/>
            <w:noWrap/>
            <w:vAlign w:val="bottom"/>
            <w:hideMark/>
          </w:tcPr>
          <w:p w:rsidR="00E27317" w:rsidRPr="004E5463" w:rsidRDefault="00E27317" w:rsidP="00BB0AD7">
            <w:pPr>
              <w:spacing w:before="120" w:after="120"/>
              <w:jc w:val="left"/>
            </w:pPr>
            <w:r w:rsidRPr="004E5463">
              <w:t>B000124</w:t>
            </w:r>
          </w:p>
        </w:tc>
        <w:tc>
          <w:tcPr>
            <w:tcW w:w="4402" w:type="dxa"/>
            <w:gridSpan w:val="2"/>
            <w:shd w:val="clear" w:color="auto" w:fill="auto"/>
            <w:vAlign w:val="bottom"/>
            <w:hideMark/>
          </w:tcPr>
          <w:p w:rsidR="00E27317" w:rsidRPr="004E5463" w:rsidRDefault="00E27317" w:rsidP="006743A6">
            <w:pPr>
              <w:spacing w:before="120" w:after="120"/>
              <w:jc w:val="left"/>
            </w:pPr>
            <w:r w:rsidRPr="004E5463">
              <w:t>Equipment Shed - Fairfield Park</w:t>
            </w:r>
          </w:p>
        </w:tc>
        <w:tc>
          <w:tcPr>
            <w:tcW w:w="2693" w:type="dxa"/>
          </w:tcPr>
          <w:p w:rsidR="00E27317" w:rsidRDefault="00E27317" w:rsidP="006743A6">
            <w:pPr>
              <w:spacing w:before="120" w:after="120"/>
              <w:jc w:val="left"/>
            </w:pPr>
            <w:r w:rsidRPr="00654539">
              <w:t>Currently in use</w:t>
            </w:r>
            <w:r w:rsidR="003461D0">
              <w:t>.</w:t>
            </w:r>
          </w:p>
        </w:tc>
      </w:tr>
      <w:tr w:rsidR="00E27317" w:rsidRPr="004E5463" w:rsidTr="002A68F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272" w:type="dxa"/>
            <w:shd w:val="clear" w:color="auto" w:fill="auto"/>
            <w:noWrap/>
            <w:vAlign w:val="bottom"/>
            <w:hideMark/>
          </w:tcPr>
          <w:p w:rsidR="00E27317" w:rsidRPr="004E5463" w:rsidRDefault="00E27317" w:rsidP="00BB0AD7">
            <w:pPr>
              <w:spacing w:before="120" w:after="120"/>
              <w:jc w:val="left"/>
            </w:pPr>
            <w:r w:rsidRPr="004E5463">
              <w:t>B000056</w:t>
            </w:r>
          </w:p>
        </w:tc>
        <w:tc>
          <w:tcPr>
            <w:tcW w:w="4402" w:type="dxa"/>
            <w:gridSpan w:val="2"/>
            <w:shd w:val="clear" w:color="auto" w:fill="auto"/>
            <w:vAlign w:val="bottom"/>
            <w:hideMark/>
          </w:tcPr>
          <w:p w:rsidR="00E27317" w:rsidRPr="004E5463" w:rsidRDefault="00E27317" w:rsidP="006743A6">
            <w:pPr>
              <w:spacing w:before="120" w:after="120"/>
              <w:jc w:val="left"/>
            </w:pPr>
            <w:r w:rsidRPr="004E5463">
              <w:t>Storage Shed - Coate Park</w:t>
            </w:r>
          </w:p>
        </w:tc>
        <w:tc>
          <w:tcPr>
            <w:tcW w:w="2693" w:type="dxa"/>
          </w:tcPr>
          <w:p w:rsidR="00E27317" w:rsidRDefault="00E27317" w:rsidP="006743A6">
            <w:pPr>
              <w:spacing w:before="120" w:after="120"/>
              <w:jc w:val="left"/>
            </w:pPr>
            <w:r w:rsidRPr="00654539">
              <w:t>Currently in use</w:t>
            </w:r>
            <w:r w:rsidR="003461D0">
              <w:t>.</w:t>
            </w:r>
          </w:p>
        </w:tc>
      </w:tr>
    </w:tbl>
    <w:p w:rsidR="00BB0AD7" w:rsidRPr="0024611A" w:rsidRDefault="00BB0AD7" w:rsidP="00BB0AD7">
      <w:pPr>
        <w:pStyle w:val="Caption"/>
        <w:spacing w:before="240" w:after="240"/>
        <w:ind w:left="720"/>
        <w:jc w:val="center"/>
        <w:rPr>
          <w:rFonts w:ascii="Arial" w:hAnsi="Arial"/>
          <w:i w:val="0"/>
          <w:iCs w:val="0"/>
          <w:sz w:val="20"/>
          <w:lang w:val="en-AU"/>
        </w:rPr>
      </w:pPr>
      <w:bookmarkStart w:id="469" w:name="_Toc364945438"/>
      <w:r w:rsidRPr="0024611A">
        <w:rPr>
          <w:rFonts w:ascii="Arial" w:hAnsi="Arial"/>
          <w:i w:val="0"/>
          <w:iCs w:val="0"/>
          <w:sz w:val="20"/>
          <w:lang w:val="en-AU"/>
        </w:rPr>
        <w:t xml:space="preserve">Table </w:t>
      </w:r>
      <w:r w:rsidR="0090414C" w:rsidRPr="0024611A">
        <w:rPr>
          <w:rFonts w:ascii="Arial" w:hAnsi="Arial"/>
          <w:i w:val="0"/>
          <w:iCs w:val="0"/>
          <w:sz w:val="20"/>
          <w:lang w:val="en-AU"/>
        </w:rPr>
        <w:fldChar w:fldCharType="begin"/>
      </w:r>
      <w:r w:rsidRPr="0024611A">
        <w:rPr>
          <w:rFonts w:ascii="Arial" w:hAnsi="Arial"/>
          <w:i w:val="0"/>
          <w:iCs w:val="0"/>
          <w:sz w:val="20"/>
          <w:lang w:val="en-AU"/>
        </w:rPr>
        <w:instrText xml:space="preserve"> SEQ Table \* ARABIC </w:instrText>
      </w:r>
      <w:r w:rsidR="0090414C" w:rsidRPr="0024611A">
        <w:rPr>
          <w:rFonts w:ascii="Arial" w:hAnsi="Arial"/>
          <w:i w:val="0"/>
          <w:iCs w:val="0"/>
          <w:sz w:val="20"/>
          <w:lang w:val="en-AU"/>
        </w:rPr>
        <w:fldChar w:fldCharType="separate"/>
      </w:r>
      <w:r w:rsidR="00751CEC">
        <w:rPr>
          <w:rFonts w:ascii="Arial" w:hAnsi="Arial"/>
          <w:i w:val="0"/>
          <w:iCs w:val="0"/>
          <w:noProof/>
          <w:sz w:val="20"/>
          <w:lang w:val="en-AU"/>
        </w:rPr>
        <w:t>34</w:t>
      </w:r>
      <w:r w:rsidR="0090414C" w:rsidRPr="0024611A">
        <w:rPr>
          <w:rFonts w:ascii="Arial" w:hAnsi="Arial"/>
          <w:i w:val="0"/>
          <w:iCs w:val="0"/>
          <w:sz w:val="20"/>
          <w:lang w:val="en-AU"/>
        </w:rPr>
        <w:fldChar w:fldCharType="end"/>
      </w:r>
      <w:r w:rsidRPr="0024611A">
        <w:rPr>
          <w:rFonts w:ascii="Arial" w:hAnsi="Arial"/>
          <w:i w:val="0"/>
          <w:iCs w:val="0"/>
          <w:sz w:val="20"/>
          <w:lang w:val="en-AU"/>
        </w:rPr>
        <w:t>:  Buildings with Low Condition Rating</w:t>
      </w:r>
      <w:bookmarkEnd w:id="469"/>
    </w:p>
    <w:p w:rsidR="00214CFE" w:rsidRPr="00B8638C" w:rsidRDefault="00214CFE" w:rsidP="003E5B9F">
      <w:pPr>
        <w:pStyle w:val="StyleHeading3Heading3Char10ptBefore6pt"/>
      </w:pPr>
      <w:bookmarkStart w:id="470" w:name="_Toc364945295"/>
      <w:r w:rsidRPr="00B8638C">
        <w:t xml:space="preserve">Asset </w:t>
      </w:r>
      <w:r>
        <w:t>Fit</w:t>
      </w:r>
      <w:r w:rsidR="005B1E91">
        <w:t>ness</w:t>
      </w:r>
      <w:r>
        <w:t xml:space="preserve"> for Purpose</w:t>
      </w:r>
      <w:bookmarkEnd w:id="470"/>
      <w:r w:rsidRPr="00B8638C">
        <w:t xml:space="preserve"> </w:t>
      </w:r>
    </w:p>
    <w:p w:rsidR="00EE1696" w:rsidRDefault="00EE1696" w:rsidP="002A68F0">
      <w:pPr>
        <w:ind w:left="720"/>
      </w:pPr>
      <w:r w:rsidRPr="00EE1696">
        <w:t>The fitness for purpose assessment determines how suitable buildings are for the purpose of delivering services through them and how well they meets the needs of users. The results provide a means of judging the value of a building from the perspective of service delivery now and into the future. The information used to inform the assessment was gathered directly from service managers and building occupants through a survey that asked questions under four headings:</w:t>
      </w:r>
    </w:p>
    <w:p w:rsidR="002A68F0" w:rsidRPr="00EE1696" w:rsidRDefault="002A68F0" w:rsidP="002A68F0">
      <w:pPr>
        <w:ind w:left="720"/>
      </w:pPr>
    </w:p>
    <w:p w:rsidR="00EE1696" w:rsidRPr="002A68F0" w:rsidRDefault="00EE1696" w:rsidP="008348B5">
      <w:pPr>
        <w:pStyle w:val="ListParagraph"/>
        <w:numPr>
          <w:ilvl w:val="0"/>
          <w:numId w:val="85"/>
        </w:numPr>
        <w:rPr>
          <w:rFonts w:ascii="Arial" w:hAnsi="Arial" w:cs="Arial"/>
          <w:sz w:val="20"/>
        </w:rPr>
      </w:pPr>
      <w:r w:rsidRPr="002A68F0">
        <w:rPr>
          <w:rFonts w:ascii="Arial" w:hAnsi="Arial" w:cs="Arial"/>
          <w:sz w:val="20"/>
        </w:rPr>
        <w:t>Location (proximity to customers, staff and to transport connections)</w:t>
      </w:r>
      <w:r w:rsidR="002A68F0">
        <w:rPr>
          <w:rFonts w:ascii="Arial" w:hAnsi="Arial" w:cs="Arial"/>
          <w:sz w:val="20"/>
        </w:rPr>
        <w:t>;</w:t>
      </w:r>
    </w:p>
    <w:p w:rsidR="00EE1696" w:rsidRPr="002A68F0" w:rsidRDefault="00EE1696" w:rsidP="008348B5">
      <w:pPr>
        <w:pStyle w:val="ListParagraph"/>
        <w:numPr>
          <w:ilvl w:val="0"/>
          <w:numId w:val="85"/>
        </w:numPr>
        <w:rPr>
          <w:rFonts w:ascii="Arial" w:hAnsi="Arial" w:cs="Arial"/>
          <w:sz w:val="20"/>
        </w:rPr>
      </w:pPr>
      <w:r w:rsidRPr="002A68F0">
        <w:rPr>
          <w:rFonts w:ascii="Arial" w:hAnsi="Arial" w:cs="Arial"/>
          <w:sz w:val="20"/>
        </w:rPr>
        <w:t>Capacity (size of internal spaces)</w:t>
      </w:r>
      <w:r w:rsidR="002A68F0">
        <w:rPr>
          <w:rFonts w:ascii="Arial" w:hAnsi="Arial" w:cs="Arial"/>
          <w:sz w:val="20"/>
        </w:rPr>
        <w:t>;</w:t>
      </w:r>
    </w:p>
    <w:p w:rsidR="00EE1696" w:rsidRPr="002A68F0" w:rsidRDefault="00EE1696" w:rsidP="008348B5">
      <w:pPr>
        <w:pStyle w:val="ListParagraph"/>
        <w:numPr>
          <w:ilvl w:val="0"/>
          <w:numId w:val="85"/>
        </w:numPr>
        <w:rPr>
          <w:rFonts w:ascii="Arial" w:hAnsi="Arial" w:cs="Arial"/>
          <w:sz w:val="20"/>
        </w:rPr>
      </w:pPr>
      <w:r w:rsidRPr="002A68F0">
        <w:rPr>
          <w:rFonts w:ascii="Arial" w:hAnsi="Arial" w:cs="Arial"/>
          <w:sz w:val="20"/>
        </w:rPr>
        <w:t>Configuration (internal layout, usability and types of space)</w:t>
      </w:r>
      <w:r w:rsidR="002A68F0">
        <w:rPr>
          <w:rFonts w:ascii="Arial" w:hAnsi="Arial" w:cs="Arial"/>
          <w:sz w:val="20"/>
        </w:rPr>
        <w:t>; and</w:t>
      </w:r>
    </w:p>
    <w:p w:rsidR="00EE1696" w:rsidRPr="002A68F0" w:rsidRDefault="00EE1696" w:rsidP="008348B5">
      <w:pPr>
        <w:pStyle w:val="ListParagraph"/>
        <w:numPr>
          <w:ilvl w:val="0"/>
          <w:numId w:val="85"/>
        </w:numPr>
        <w:rPr>
          <w:rFonts w:ascii="Arial" w:hAnsi="Arial" w:cs="Arial"/>
          <w:sz w:val="20"/>
        </w:rPr>
      </w:pPr>
      <w:r w:rsidRPr="002A68F0">
        <w:rPr>
          <w:rFonts w:ascii="Arial" w:hAnsi="Arial" w:cs="Arial"/>
          <w:sz w:val="20"/>
        </w:rPr>
        <w:t>Features (services, fixtures and fittings)</w:t>
      </w:r>
      <w:r w:rsidR="002A68F0">
        <w:rPr>
          <w:rFonts w:ascii="Arial" w:hAnsi="Arial" w:cs="Arial"/>
          <w:sz w:val="20"/>
        </w:rPr>
        <w:t>.</w:t>
      </w:r>
    </w:p>
    <w:p w:rsidR="002A68F0" w:rsidRDefault="002A68F0" w:rsidP="002A68F0">
      <w:pPr>
        <w:ind w:left="720"/>
      </w:pPr>
    </w:p>
    <w:p w:rsidR="00EE1696" w:rsidRDefault="00EE1696" w:rsidP="002A68F0">
      <w:pPr>
        <w:ind w:left="720"/>
      </w:pPr>
      <w:r w:rsidRPr="00EE1696">
        <w:t>For each question service managers gave a building a rating, identified key asset management issues and provided comments on the how effectively that building meets their current service needs and those in 5 years</w:t>
      </w:r>
      <w:r w:rsidR="002A68F0">
        <w:t>’</w:t>
      </w:r>
      <w:r w:rsidRPr="00EE1696">
        <w:t xml:space="preserve"> time. The ratings were subsequently weighted, averaged and sorted to identify which were least fit for purpose and therefore require a considered asset management response through this BAMP.</w:t>
      </w:r>
    </w:p>
    <w:p w:rsidR="00FD02C0" w:rsidRPr="00EE1696" w:rsidRDefault="00BD0018" w:rsidP="00DE5250">
      <w:pPr>
        <w:ind w:left="720"/>
      </w:pPr>
      <w:r w:rsidRPr="00BD0018">
        <w:rPr>
          <w:noProof/>
        </w:rPr>
        <w:drawing>
          <wp:inline distT="0" distB="0" distL="0" distR="0" wp14:anchorId="0908283E" wp14:editId="18FC778A">
            <wp:extent cx="5343787" cy="2466363"/>
            <wp:effectExtent l="0" t="0" r="0" b="0"/>
            <wp:docPr id="11"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BB0AD7" w:rsidRPr="0024611A" w:rsidRDefault="00BB0AD7" w:rsidP="00BB0AD7">
      <w:pPr>
        <w:pStyle w:val="Caption"/>
        <w:spacing w:before="240" w:after="240"/>
        <w:ind w:left="720"/>
        <w:jc w:val="center"/>
        <w:rPr>
          <w:rFonts w:ascii="Arial" w:hAnsi="Arial"/>
          <w:i w:val="0"/>
          <w:iCs w:val="0"/>
          <w:sz w:val="20"/>
          <w:lang w:val="en-AU"/>
        </w:rPr>
      </w:pPr>
      <w:bookmarkStart w:id="471" w:name="_Toc364945388"/>
      <w:r w:rsidRPr="0024611A">
        <w:rPr>
          <w:rFonts w:ascii="Arial" w:hAnsi="Arial"/>
          <w:i w:val="0"/>
          <w:iCs w:val="0"/>
          <w:sz w:val="20"/>
          <w:lang w:val="en-AU"/>
        </w:rPr>
        <w:t xml:space="preserve">Figure </w:t>
      </w:r>
      <w:r w:rsidR="0090414C" w:rsidRPr="0024611A">
        <w:rPr>
          <w:rFonts w:ascii="Arial" w:hAnsi="Arial"/>
          <w:i w:val="0"/>
          <w:iCs w:val="0"/>
          <w:sz w:val="20"/>
          <w:lang w:val="en-AU"/>
        </w:rPr>
        <w:fldChar w:fldCharType="begin"/>
      </w:r>
      <w:r w:rsidRPr="0024611A">
        <w:rPr>
          <w:rFonts w:ascii="Arial" w:hAnsi="Arial"/>
          <w:i w:val="0"/>
          <w:iCs w:val="0"/>
          <w:sz w:val="20"/>
          <w:lang w:val="en-AU"/>
        </w:rPr>
        <w:instrText xml:space="preserve"> SEQ Figure \* ARABIC </w:instrText>
      </w:r>
      <w:r w:rsidR="0090414C" w:rsidRPr="0024611A">
        <w:rPr>
          <w:rFonts w:ascii="Arial" w:hAnsi="Arial"/>
          <w:i w:val="0"/>
          <w:iCs w:val="0"/>
          <w:sz w:val="20"/>
          <w:lang w:val="en-AU"/>
        </w:rPr>
        <w:fldChar w:fldCharType="separate"/>
      </w:r>
      <w:r w:rsidR="00751CEC">
        <w:rPr>
          <w:rFonts w:ascii="Arial" w:hAnsi="Arial"/>
          <w:i w:val="0"/>
          <w:iCs w:val="0"/>
          <w:noProof/>
          <w:sz w:val="20"/>
          <w:lang w:val="en-AU"/>
        </w:rPr>
        <w:t>24</w:t>
      </w:r>
      <w:r w:rsidR="0090414C" w:rsidRPr="0024611A">
        <w:rPr>
          <w:rFonts w:ascii="Arial" w:hAnsi="Arial"/>
          <w:i w:val="0"/>
          <w:iCs w:val="0"/>
          <w:sz w:val="20"/>
          <w:lang w:val="en-AU"/>
        </w:rPr>
        <w:fldChar w:fldCharType="end"/>
      </w:r>
      <w:r w:rsidRPr="0024611A">
        <w:rPr>
          <w:rFonts w:ascii="Arial" w:hAnsi="Arial"/>
          <w:i w:val="0"/>
          <w:iCs w:val="0"/>
          <w:sz w:val="20"/>
          <w:lang w:val="en-AU"/>
        </w:rPr>
        <w:t>:  Fitness for Purpose Assessment</w:t>
      </w:r>
      <w:bookmarkEnd w:id="471"/>
    </w:p>
    <w:p w:rsidR="00EF3253" w:rsidRPr="00DE5F00" w:rsidRDefault="008F558A" w:rsidP="00DE5250">
      <w:pPr>
        <w:ind w:left="720"/>
      </w:pPr>
      <w:r>
        <w:t>The figure above illustrates how serv</w:t>
      </w:r>
      <w:r w:rsidR="005B1E91">
        <w:t xml:space="preserve">ice managers have rated the fitness </w:t>
      </w:r>
      <w:r>
        <w:t>for purpose of Council buildings</w:t>
      </w:r>
      <w:r w:rsidRPr="00DE5F00">
        <w:t>. When considered with the building condition assessment, this graph indicates that while many of Council</w:t>
      </w:r>
      <w:r w:rsidR="002D4917">
        <w:t>’</w:t>
      </w:r>
      <w:r w:rsidRPr="00DE5F00">
        <w:t>s buildings are structurally sound there are location, capacity, configuration and features of the buildings that require capital expenditure to meet current and future service needs.</w:t>
      </w:r>
      <w:r w:rsidR="00E27317" w:rsidRPr="00DE5F00">
        <w:t xml:space="preserve"> </w:t>
      </w:r>
    </w:p>
    <w:p w:rsidR="00DE5250" w:rsidRDefault="00DE5250" w:rsidP="00DE5250">
      <w:pPr>
        <w:ind w:left="720"/>
      </w:pPr>
    </w:p>
    <w:p w:rsidR="00F04A1B" w:rsidRDefault="00F04A1B" w:rsidP="00DE5250">
      <w:pPr>
        <w:ind w:left="720"/>
      </w:pPr>
      <w:r>
        <w:t>T</w:t>
      </w:r>
      <w:r w:rsidRPr="00F04A1B">
        <w:t xml:space="preserve">he tables below </w:t>
      </w:r>
      <w:r>
        <w:t>list the buildings that Service Managers have identified as a priority for work to be carried out to improve the buildings fit</w:t>
      </w:r>
      <w:r w:rsidR="00DE5F00">
        <w:t>ness</w:t>
      </w:r>
      <w:r>
        <w:t xml:space="preserve"> for purpose. These buildings require further assessment by the Buildings </w:t>
      </w:r>
      <w:r w:rsidR="005B1E91">
        <w:t>and P</w:t>
      </w:r>
      <w:r>
        <w:t xml:space="preserve">roperty </w:t>
      </w:r>
      <w:r w:rsidR="005B1E91">
        <w:t>B</w:t>
      </w:r>
      <w:r>
        <w:t>ranch to determine the extent of work that would be required to improve the serviceability of these buildings.</w:t>
      </w:r>
    </w:p>
    <w:p w:rsidR="008F558A" w:rsidRPr="00F04A1B" w:rsidRDefault="008F558A" w:rsidP="00DE5250">
      <w:pPr>
        <w:ind w:left="720"/>
      </w:pPr>
    </w:p>
    <w:tbl>
      <w:tblPr>
        <w:tblW w:w="8367" w:type="dxa"/>
        <w:tblInd w:w="813" w:type="dxa"/>
        <w:tblLayout w:type="fixed"/>
        <w:tblLook w:val="04A0" w:firstRow="1" w:lastRow="0" w:firstColumn="1" w:lastColumn="0" w:noHBand="0" w:noVBand="1"/>
      </w:tblPr>
      <w:tblGrid>
        <w:gridCol w:w="1276"/>
        <w:gridCol w:w="4394"/>
        <w:gridCol w:w="2697"/>
      </w:tblGrid>
      <w:tr w:rsidR="0060695C" w:rsidRPr="00DE5250" w:rsidTr="00BB0AD7">
        <w:trPr>
          <w:cantSplit/>
          <w:tblHeader/>
        </w:trPr>
        <w:tc>
          <w:tcPr>
            <w:tcW w:w="1276" w:type="dxa"/>
            <w:tcBorders>
              <w:top w:val="single" w:sz="4" w:space="0" w:color="auto"/>
              <w:left w:val="single" w:sz="4" w:space="0" w:color="auto"/>
              <w:bottom w:val="single" w:sz="4" w:space="0" w:color="auto"/>
              <w:right w:val="single" w:sz="4" w:space="0" w:color="auto"/>
            </w:tcBorders>
            <w:shd w:val="clear" w:color="auto" w:fill="95B3D7" w:themeFill="accent1" w:themeFillTint="99"/>
            <w:hideMark/>
          </w:tcPr>
          <w:p w:rsidR="0060695C" w:rsidRPr="00DE5250" w:rsidRDefault="0060695C" w:rsidP="00DE5250">
            <w:pPr>
              <w:spacing w:before="120" w:after="120"/>
              <w:jc w:val="center"/>
              <w:rPr>
                <w:b/>
              </w:rPr>
            </w:pPr>
            <w:r w:rsidRPr="00DE5250">
              <w:rPr>
                <w:b/>
              </w:rPr>
              <w:t>Building ID</w:t>
            </w:r>
          </w:p>
        </w:tc>
        <w:tc>
          <w:tcPr>
            <w:tcW w:w="4394" w:type="dxa"/>
            <w:tcBorders>
              <w:top w:val="single" w:sz="4" w:space="0" w:color="auto"/>
              <w:left w:val="nil"/>
              <w:bottom w:val="single" w:sz="4" w:space="0" w:color="auto"/>
              <w:right w:val="single" w:sz="4" w:space="0" w:color="auto"/>
            </w:tcBorders>
            <w:shd w:val="clear" w:color="auto" w:fill="95B3D7" w:themeFill="accent1" w:themeFillTint="99"/>
            <w:hideMark/>
          </w:tcPr>
          <w:p w:rsidR="0060695C" w:rsidRPr="00DE5250" w:rsidRDefault="0060695C" w:rsidP="00DE5250">
            <w:pPr>
              <w:spacing w:before="120" w:after="120"/>
              <w:jc w:val="left"/>
              <w:rPr>
                <w:b/>
              </w:rPr>
            </w:pPr>
            <w:r w:rsidRPr="00DE5250">
              <w:rPr>
                <w:b/>
              </w:rPr>
              <w:t>Building Name</w:t>
            </w:r>
          </w:p>
        </w:tc>
        <w:tc>
          <w:tcPr>
            <w:tcW w:w="2697" w:type="dxa"/>
            <w:tcBorders>
              <w:top w:val="single" w:sz="4" w:space="0" w:color="auto"/>
              <w:left w:val="nil"/>
              <w:bottom w:val="single" w:sz="4" w:space="0" w:color="auto"/>
              <w:right w:val="single" w:sz="4" w:space="0" w:color="auto"/>
            </w:tcBorders>
            <w:shd w:val="clear" w:color="auto" w:fill="95B3D7" w:themeFill="accent1" w:themeFillTint="99"/>
          </w:tcPr>
          <w:p w:rsidR="0060695C" w:rsidRPr="00DE5250" w:rsidRDefault="0060695C" w:rsidP="00DE5250">
            <w:pPr>
              <w:spacing w:before="120" w:after="120"/>
              <w:jc w:val="left"/>
              <w:rPr>
                <w:b/>
              </w:rPr>
            </w:pPr>
            <w:r w:rsidRPr="00DE5250">
              <w:rPr>
                <w:b/>
              </w:rPr>
              <w:t>Comment</w:t>
            </w:r>
          </w:p>
        </w:tc>
      </w:tr>
      <w:tr w:rsidR="00BB0AD7" w:rsidRPr="004E5463" w:rsidTr="00BB0AD7">
        <w:trPr>
          <w:cantSplit/>
        </w:trPr>
        <w:tc>
          <w:tcPr>
            <w:tcW w:w="8367"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noWrap/>
          </w:tcPr>
          <w:p w:rsidR="00BB0AD7" w:rsidRPr="008C5B9E" w:rsidRDefault="00BB0AD7" w:rsidP="00BB0AD7">
            <w:pPr>
              <w:keepNext/>
              <w:keepLines/>
              <w:spacing w:before="120" w:after="120"/>
              <w:rPr>
                <w:b/>
              </w:rPr>
            </w:pPr>
            <w:r>
              <w:rPr>
                <w:b/>
              </w:rPr>
              <w:t>Commercial</w:t>
            </w:r>
          </w:p>
        </w:tc>
      </w:tr>
      <w:tr w:rsidR="00EF579E" w:rsidRPr="00E27317" w:rsidTr="00BB0AD7">
        <w:trPr>
          <w:cantSplit/>
        </w:trPr>
        <w:tc>
          <w:tcPr>
            <w:tcW w:w="1276" w:type="dxa"/>
            <w:tcBorders>
              <w:top w:val="nil"/>
              <w:left w:val="single" w:sz="4" w:space="0" w:color="auto"/>
              <w:bottom w:val="single" w:sz="4" w:space="0" w:color="auto"/>
              <w:right w:val="single" w:sz="4" w:space="0" w:color="auto"/>
            </w:tcBorders>
            <w:shd w:val="clear" w:color="auto" w:fill="auto"/>
            <w:noWrap/>
            <w:hideMark/>
          </w:tcPr>
          <w:p w:rsidR="00EF579E" w:rsidRPr="00E27317" w:rsidRDefault="00EF579E" w:rsidP="00BB0AD7">
            <w:pPr>
              <w:spacing w:before="120" w:after="120"/>
              <w:jc w:val="left"/>
            </w:pPr>
            <w:r w:rsidRPr="00E27317">
              <w:t>B000064</w:t>
            </w:r>
          </w:p>
        </w:tc>
        <w:tc>
          <w:tcPr>
            <w:tcW w:w="4394" w:type="dxa"/>
            <w:tcBorders>
              <w:top w:val="nil"/>
              <w:left w:val="nil"/>
              <w:bottom w:val="single" w:sz="4" w:space="0" w:color="auto"/>
              <w:right w:val="single" w:sz="4" w:space="0" w:color="auto"/>
            </w:tcBorders>
            <w:shd w:val="clear" w:color="auto" w:fill="auto"/>
            <w:hideMark/>
          </w:tcPr>
          <w:p w:rsidR="00EF579E" w:rsidRPr="00E27317" w:rsidRDefault="00EF579E" w:rsidP="00DE5250">
            <w:pPr>
              <w:spacing w:before="120" w:after="120"/>
              <w:jc w:val="left"/>
            </w:pPr>
            <w:r w:rsidRPr="00E27317">
              <w:t>Ex Parks Admin Building - Burnley Park</w:t>
            </w:r>
          </w:p>
        </w:tc>
        <w:tc>
          <w:tcPr>
            <w:tcW w:w="2697" w:type="dxa"/>
            <w:tcBorders>
              <w:top w:val="nil"/>
              <w:left w:val="nil"/>
              <w:bottom w:val="single" w:sz="4" w:space="0" w:color="auto"/>
              <w:right w:val="single" w:sz="4" w:space="0" w:color="auto"/>
            </w:tcBorders>
            <w:shd w:val="clear" w:color="auto" w:fill="auto"/>
            <w:hideMark/>
          </w:tcPr>
          <w:p w:rsidR="00EF579E" w:rsidRPr="00E27317" w:rsidRDefault="00EF579E" w:rsidP="00DE5250">
            <w:pPr>
              <w:spacing w:before="120" w:after="120"/>
              <w:jc w:val="left"/>
            </w:pPr>
            <w:r w:rsidRPr="00E27317">
              <w:t>No service currently delivered through this building which is currently vacant.</w:t>
            </w:r>
          </w:p>
        </w:tc>
      </w:tr>
      <w:tr w:rsidR="00EF579E" w:rsidRPr="00E27317" w:rsidTr="00BB0AD7">
        <w:trPr>
          <w:cantSplit/>
        </w:trPr>
        <w:tc>
          <w:tcPr>
            <w:tcW w:w="1276" w:type="dxa"/>
            <w:tcBorders>
              <w:top w:val="nil"/>
              <w:left w:val="single" w:sz="4" w:space="0" w:color="auto"/>
              <w:bottom w:val="nil"/>
              <w:right w:val="single" w:sz="4" w:space="0" w:color="auto"/>
            </w:tcBorders>
            <w:shd w:val="clear" w:color="auto" w:fill="auto"/>
            <w:noWrap/>
            <w:hideMark/>
          </w:tcPr>
          <w:p w:rsidR="00EF579E" w:rsidRPr="00E27317" w:rsidRDefault="00EF579E" w:rsidP="00BB0AD7">
            <w:pPr>
              <w:spacing w:before="120" w:after="120"/>
              <w:jc w:val="left"/>
            </w:pPr>
            <w:r w:rsidRPr="00E27317">
              <w:t>B000113</w:t>
            </w:r>
          </w:p>
        </w:tc>
        <w:tc>
          <w:tcPr>
            <w:tcW w:w="4394" w:type="dxa"/>
            <w:tcBorders>
              <w:top w:val="nil"/>
              <w:left w:val="nil"/>
              <w:bottom w:val="nil"/>
              <w:right w:val="single" w:sz="4" w:space="0" w:color="auto"/>
            </w:tcBorders>
            <w:shd w:val="clear" w:color="auto" w:fill="auto"/>
            <w:hideMark/>
          </w:tcPr>
          <w:p w:rsidR="00EF579E" w:rsidRPr="00E27317" w:rsidRDefault="00EF579E" w:rsidP="00DE5250">
            <w:pPr>
              <w:spacing w:before="120" w:after="120"/>
              <w:jc w:val="left"/>
            </w:pPr>
            <w:r w:rsidRPr="00E27317">
              <w:t>Office Building - Peel Street</w:t>
            </w:r>
          </w:p>
        </w:tc>
        <w:tc>
          <w:tcPr>
            <w:tcW w:w="2697" w:type="dxa"/>
            <w:tcBorders>
              <w:top w:val="nil"/>
              <w:left w:val="nil"/>
              <w:bottom w:val="nil"/>
              <w:right w:val="single" w:sz="4" w:space="0" w:color="auto"/>
            </w:tcBorders>
            <w:shd w:val="clear" w:color="auto" w:fill="auto"/>
            <w:hideMark/>
          </w:tcPr>
          <w:p w:rsidR="00EF579E" w:rsidRPr="00E27317" w:rsidRDefault="00EF579E" w:rsidP="00DE5250">
            <w:pPr>
              <w:spacing w:before="120" w:after="120"/>
              <w:jc w:val="left"/>
            </w:pPr>
            <w:r w:rsidRPr="00E27317">
              <w:t>No service currently delivered through building.</w:t>
            </w:r>
          </w:p>
        </w:tc>
      </w:tr>
      <w:tr w:rsidR="00BB0AD7" w:rsidRPr="004E5463" w:rsidTr="00BB0AD7">
        <w:trPr>
          <w:cantSplit/>
        </w:trPr>
        <w:tc>
          <w:tcPr>
            <w:tcW w:w="8367"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noWrap/>
          </w:tcPr>
          <w:p w:rsidR="00BB0AD7" w:rsidRPr="008C5B9E" w:rsidRDefault="00BB0AD7" w:rsidP="00BB0AD7">
            <w:pPr>
              <w:keepNext/>
              <w:keepLines/>
              <w:spacing w:before="120" w:after="120"/>
              <w:rPr>
                <w:b/>
              </w:rPr>
            </w:pPr>
            <w:r>
              <w:rPr>
                <w:b/>
              </w:rPr>
              <w:t>Community Services</w:t>
            </w:r>
          </w:p>
        </w:tc>
      </w:tr>
      <w:tr w:rsidR="00EF579E" w:rsidRPr="00E27317" w:rsidTr="00BB0AD7">
        <w:trPr>
          <w:cantSplit/>
        </w:trPr>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EF579E" w:rsidRPr="00E27317" w:rsidRDefault="00EF579E" w:rsidP="00BB0AD7">
            <w:pPr>
              <w:spacing w:before="120" w:after="120"/>
              <w:jc w:val="left"/>
            </w:pPr>
            <w:r w:rsidRPr="00E27317">
              <w:t>B000083</w:t>
            </w:r>
          </w:p>
        </w:tc>
        <w:tc>
          <w:tcPr>
            <w:tcW w:w="4394" w:type="dxa"/>
            <w:tcBorders>
              <w:top w:val="single" w:sz="4" w:space="0" w:color="auto"/>
              <w:left w:val="nil"/>
              <w:bottom w:val="single" w:sz="4" w:space="0" w:color="auto"/>
              <w:right w:val="single" w:sz="4" w:space="0" w:color="auto"/>
            </w:tcBorders>
            <w:shd w:val="clear" w:color="auto" w:fill="auto"/>
            <w:hideMark/>
          </w:tcPr>
          <w:p w:rsidR="00EF579E" w:rsidRPr="00E27317" w:rsidRDefault="00EF579E" w:rsidP="00DE5250">
            <w:pPr>
              <w:spacing w:before="120" w:after="120"/>
              <w:jc w:val="left"/>
            </w:pPr>
            <w:r w:rsidRPr="00E27317">
              <w:t>North Carlton Child Care Centre (Incl</w:t>
            </w:r>
            <w:r w:rsidR="00F04A1B" w:rsidRPr="00E27317">
              <w:t>uding</w:t>
            </w:r>
            <w:r w:rsidRPr="00E27317">
              <w:t xml:space="preserve"> former Residence)</w:t>
            </w:r>
          </w:p>
        </w:tc>
        <w:tc>
          <w:tcPr>
            <w:tcW w:w="2697" w:type="dxa"/>
            <w:tcBorders>
              <w:top w:val="single" w:sz="4" w:space="0" w:color="auto"/>
              <w:left w:val="nil"/>
              <w:bottom w:val="single" w:sz="4" w:space="0" w:color="auto"/>
              <w:right w:val="single" w:sz="4" w:space="0" w:color="auto"/>
            </w:tcBorders>
            <w:shd w:val="clear" w:color="auto" w:fill="auto"/>
            <w:hideMark/>
          </w:tcPr>
          <w:p w:rsidR="00EF579E" w:rsidRPr="00E27317" w:rsidRDefault="00EF579E" w:rsidP="00DE5250">
            <w:pPr>
              <w:spacing w:before="120" w:after="120"/>
              <w:jc w:val="left"/>
            </w:pPr>
            <w:r w:rsidRPr="00E27317">
              <w:t xml:space="preserve">Redevelopment proposal </w:t>
            </w:r>
            <w:r w:rsidR="00AE496E" w:rsidRPr="00E27317">
              <w:t xml:space="preserve">being developed to be presented </w:t>
            </w:r>
            <w:r w:rsidRPr="00E27317">
              <w:t>to Council</w:t>
            </w:r>
            <w:r w:rsidR="00AE496E" w:rsidRPr="00E27317">
              <w:t>.</w:t>
            </w:r>
          </w:p>
        </w:tc>
      </w:tr>
      <w:tr w:rsidR="000A7DD2" w:rsidRPr="00E27317" w:rsidTr="00BB0AD7">
        <w:trPr>
          <w:cantSplit/>
        </w:trPr>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0A7DD2" w:rsidRPr="00E27317" w:rsidRDefault="000A7DD2" w:rsidP="00BB0AD7">
            <w:pPr>
              <w:spacing w:before="120" w:after="120"/>
              <w:jc w:val="left"/>
            </w:pPr>
            <w:r w:rsidRPr="00E27317">
              <w:t>B000109</w:t>
            </w:r>
          </w:p>
        </w:tc>
        <w:tc>
          <w:tcPr>
            <w:tcW w:w="4394" w:type="dxa"/>
            <w:tcBorders>
              <w:top w:val="single" w:sz="4" w:space="0" w:color="auto"/>
              <w:left w:val="nil"/>
              <w:bottom w:val="single" w:sz="4" w:space="0" w:color="auto"/>
              <w:right w:val="single" w:sz="4" w:space="0" w:color="auto"/>
            </w:tcBorders>
            <w:shd w:val="clear" w:color="auto" w:fill="auto"/>
            <w:hideMark/>
          </w:tcPr>
          <w:p w:rsidR="000A7DD2" w:rsidRPr="00E27317" w:rsidRDefault="000A7DD2" w:rsidP="00DE5250">
            <w:pPr>
              <w:spacing w:before="120" w:after="120"/>
              <w:jc w:val="left"/>
            </w:pPr>
            <w:r w:rsidRPr="00E27317">
              <w:t>Gold Street Child Care Centre</w:t>
            </w:r>
          </w:p>
        </w:tc>
        <w:tc>
          <w:tcPr>
            <w:tcW w:w="2697" w:type="dxa"/>
            <w:tcBorders>
              <w:top w:val="single" w:sz="4" w:space="0" w:color="auto"/>
              <w:bottom w:val="single" w:sz="4" w:space="0" w:color="auto"/>
              <w:right w:val="single" w:sz="4" w:space="0" w:color="auto"/>
            </w:tcBorders>
          </w:tcPr>
          <w:p w:rsidR="000A7DD2" w:rsidRPr="00E27317" w:rsidRDefault="000A7DD2" w:rsidP="00DE5250">
            <w:pPr>
              <w:spacing w:before="120" w:after="120"/>
              <w:jc w:val="left"/>
            </w:pPr>
            <w:r w:rsidRPr="00E27317">
              <w:t>Strong focus on delivering an integrated service into the future. Capital work project underway. Maintenance, cleaning and monitoring of processes could be strengthened.</w:t>
            </w:r>
          </w:p>
        </w:tc>
      </w:tr>
      <w:tr w:rsidR="00BB0AD7" w:rsidRPr="004E5463" w:rsidTr="00BB0AD7">
        <w:trPr>
          <w:cantSplit/>
        </w:trPr>
        <w:tc>
          <w:tcPr>
            <w:tcW w:w="8367"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noWrap/>
          </w:tcPr>
          <w:p w:rsidR="00BB0AD7" w:rsidRPr="008C5B9E" w:rsidRDefault="00BB0AD7" w:rsidP="00BB0AD7">
            <w:pPr>
              <w:keepNext/>
              <w:keepLines/>
              <w:spacing w:before="120" w:after="120"/>
              <w:rPr>
                <w:b/>
              </w:rPr>
            </w:pPr>
            <w:r>
              <w:rPr>
                <w:b/>
              </w:rPr>
              <w:t>Leisure Services</w:t>
            </w:r>
          </w:p>
        </w:tc>
      </w:tr>
      <w:tr w:rsidR="000A7DD2" w:rsidRPr="00E27317" w:rsidTr="00BB0AD7">
        <w:trPr>
          <w:cantSplit/>
        </w:trPr>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0A7DD2" w:rsidRPr="00E27317" w:rsidRDefault="000A7DD2" w:rsidP="00BB0AD7">
            <w:pPr>
              <w:keepNext/>
              <w:keepLines/>
              <w:spacing w:before="120" w:after="120"/>
              <w:jc w:val="left"/>
            </w:pPr>
            <w:r w:rsidRPr="00E27317">
              <w:t>B000137</w:t>
            </w:r>
          </w:p>
        </w:tc>
        <w:tc>
          <w:tcPr>
            <w:tcW w:w="4394" w:type="dxa"/>
            <w:tcBorders>
              <w:top w:val="single" w:sz="4" w:space="0" w:color="auto"/>
              <w:left w:val="nil"/>
              <w:bottom w:val="single" w:sz="4" w:space="0" w:color="auto"/>
              <w:right w:val="single" w:sz="4" w:space="0" w:color="auto"/>
            </w:tcBorders>
            <w:shd w:val="clear" w:color="auto" w:fill="auto"/>
            <w:hideMark/>
          </w:tcPr>
          <w:p w:rsidR="000A7DD2" w:rsidRPr="00E27317" w:rsidRDefault="000A7DD2" w:rsidP="00765223">
            <w:pPr>
              <w:keepNext/>
              <w:keepLines/>
              <w:spacing w:before="120" w:after="120"/>
              <w:jc w:val="left"/>
            </w:pPr>
            <w:r w:rsidRPr="00E27317">
              <w:t>Main Building (inc</w:t>
            </w:r>
            <w:r w:rsidR="00D90FDE">
              <w:t>luding</w:t>
            </w:r>
            <w:r w:rsidRPr="00E27317">
              <w:t xml:space="preserve"> Gym</w:t>
            </w:r>
            <w:r w:rsidR="00D90FDE">
              <w:t>nasium</w:t>
            </w:r>
            <w:r w:rsidRPr="00E27317">
              <w:t xml:space="preserve"> and Spa) - Fitzroy Pool</w:t>
            </w:r>
          </w:p>
        </w:tc>
        <w:tc>
          <w:tcPr>
            <w:tcW w:w="2697" w:type="dxa"/>
            <w:tcBorders>
              <w:top w:val="single" w:sz="4" w:space="0" w:color="auto"/>
              <w:left w:val="nil"/>
              <w:bottom w:val="single" w:sz="4" w:space="0" w:color="auto"/>
              <w:right w:val="single" w:sz="4" w:space="0" w:color="auto"/>
            </w:tcBorders>
            <w:shd w:val="clear" w:color="auto" w:fill="auto"/>
            <w:hideMark/>
          </w:tcPr>
          <w:p w:rsidR="000A7DD2" w:rsidRPr="00E27317" w:rsidRDefault="000A7DD2" w:rsidP="00765223">
            <w:pPr>
              <w:keepNext/>
              <w:keepLines/>
              <w:spacing w:before="120" w:after="120"/>
              <w:jc w:val="left"/>
            </w:pPr>
            <w:r w:rsidRPr="00E27317">
              <w:t>Major reconfiguration and refit required</w:t>
            </w:r>
            <w:r w:rsidR="00D90FDE">
              <w:t>.</w:t>
            </w:r>
          </w:p>
        </w:tc>
      </w:tr>
      <w:tr w:rsidR="00BB0AD7" w:rsidRPr="004E5463" w:rsidTr="00BB0AD7">
        <w:trPr>
          <w:cantSplit/>
        </w:trPr>
        <w:tc>
          <w:tcPr>
            <w:tcW w:w="8367"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noWrap/>
          </w:tcPr>
          <w:p w:rsidR="00BB0AD7" w:rsidRPr="008C5B9E" w:rsidRDefault="00BB0AD7" w:rsidP="00BB0AD7">
            <w:pPr>
              <w:keepNext/>
              <w:keepLines/>
              <w:spacing w:before="120" w:after="120"/>
              <w:rPr>
                <w:b/>
              </w:rPr>
            </w:pPr>
            <w:r>
              <w:rPr>
                <w:b/>
              </w:rPr>
              <w:t>Council Operations</w:t>
            </w:r>
          </w:p>
        </w:tc>
      </w:tr>
      <w:tr w:rsidR="008F558A" w:rsidRPr="00283EA9" w:rsidTr="00D60852">
        <w:trPr>
          <w:cantSplit/>
        </w:trPr>
        <w:tc>
          <w:tcPr>
            <w:tcW w:w="1276" w:type="dxa"/>
            <w:tcBorders>
              <w:top w:val="nil"/>
              <w:left w:val="single" w:sz="4" w:space="0" w:color="auto"/>
              <w:bottom w:val="single" w:sz="4" w:space="0" w:color="auto"/>
              <w:right w:val="single" w:sz="4" w:space="0" w:color="auto"/>
            </w:tcBorders>
            <w:shd w:val="clear" w:color="auto" w:fill="auto"/>
            <w:noWrap/>
            <w:hideMark/>
          </w:tcPr>
          <w:p w:rsidR="008F558A" w:rsidRPr="00283EA9" w:rsidRDefault="008F558A" w:rsidP="00BB0AD7">
            <w:pPr>
              <w:spacing w:before="120" w:after="120"/>
              <w:jc w:val="left"/>
              <w:rPr>
                <w:rFonts w:cs="Arial"/>
              </w:rPr>
            </w:pPr>
            <w:r w:rsidRPr="00283EA9">
              <w:rPr>
                <w:rFonts w:cs="Arial"/>
              </w:rPr>
              <w:t>B000173</w:t>
            </w:r>
          </w:p>
        </w:tc>
        <w:tc>
          <w:tcPr>
            <w:tcW w:w="4394" w:type="dxa"/>
            <w:tcBorders>
              <w:top w:val="nil"/>
              <w:left w:val="nil"/>
              <w:bottom w:val="single" w:sz="4" w:space="0" w:color="auto"/>
              <w:right w:val="single" w:sz="4" w:space="0" w:color="auto"/>
            </w:tcBorders>
            <w:shd w:val="clear" w:color="auto" w:fill="auto"/>
            <w:hideMark/>
          </w:tcPr>
          <w:p w:rsidR="008F558A" w:rsidRPr="00283EA9" w:rsidRDefault="008F558A" w:rsidP="00283EA9">
            <w:pPr>
              <w:spacing w:before="120" w:after="120"/>
              <w:jc w:val="left"/>
              <w:rPr>
                <w:rFonts w:cs="Arial"/>
              </w:rPr>
            </w:pPr>
            <w:r w:rsidRPr="00283EA9">
              <w:rPr>
                <w:rFonts w:cs="Arial"/>
              </w:rPr>
              <w:t>Gatehouse - Fitzroy Depot</w:t>
            </w:r>
          </w:p>
        </w:tc>
        <w:tc>
          <w:tcPr>
            <w:tcW w:w="2697" w:type="dxa"/>
            <w:tcBorders>
              <w:top w:val="nil"/>
              <w:left w:val="nil"/>
              <w:bottom w:val="single" w:sz="4" w:space="0" w:color="auto"/>
              <w:right w:val="single" w:sz="4" w:space="0" w:color="auto"/>
            </w:tcBorders>
            <w:shd w:val="clear" w:color="auto" w:fill="auto"/>
            <w:hideMark/>
          </w:tcPr>
          <w:p w:rsidR="008F558A" w:rsidRPr="00283EA9" w:rsidRDefault="008F558A" w:rsidP="00283EA9">
            <w:pPr>
              <w:spacing w:before="120" w:after="120"/>
              <w:jc w:val="left"/>
              <w:rPr>
                <w:rFonts w:cs="Arial"/>
              </w:rPr>
            </w:pPr>
            <w:r w:rsidRPr="00283EA9">
              <w:rPr>
                <w:rFonts w:cs="Arial"/>
              </w:rPr>
              <w:t>Currently in use</w:t>
            </w:r>
            <w:r w:rsidR="000A0C29">
              <w:rPr>
                <w:rFonts w:cs="Arial"/>
              </w:rPr>
              <w:t>.</w:t>
            </w:r>
            <w:r w:rsidRPr="00283EA9">
              <w:rPr>
                <w:rFonts w:cs="Arial"/>
              </w:rPr>
              <w:t xml:space="preserve"> </w:t>
            </w:r>
          </w:p>
          <w:p w:rsidR="008F558A" w:rsidRPr="00283EA9" w:rsidRDefault="008F558A" w:rsidP="00283EA9">
            <w:pPr>
              <w:spacing w:before="120" w:after="120"/>
              <w:jc w:val="left"/>
              <w:rPr>
                <w:rFonts w:cs="Arial"/>
              </w:rPr>
            </w:pPr>
            <w:r w:rsidRPr="00283EA9">
              <w:rPr>
                <w:rFonts w:cs="Arial"/>
              </w:rPr>
              <w:t>Decision pending subject to an internal review of future depot requirements.</w:t>
            </w:r>
          </w:p>
        </w:tc>
      </w:tr>
      <w:tr w:rsidR="008F558A" w:rsidRPr="00283EA9" w:rsidTr="00D60852">
        <w:trPr>
          <w:cantSplit/>
        </w:trPr>
        <w:tc>
          <w:tcPr>
            <w:tcW w:w="1276" w:type="dxa"/>
            <w:tcBorders>
              <w:top w:val="nil"/>
              <w:left w:val="single" w:sz="4" w:space="0" w:color="auto"/>
              <w:bottom w:val="single" w:sz="4" w:space="0" w:color="auto"/>
              <w:right w:val="single" w:sz="4" w:space="0" w:color="auto"/>
            </w:tcBorders>
            <w:shd w:val="clear" w:color="auto" w:fill="auto"/>
            <w:noWrap/>
            <w:hideMark/>
          </w:tcPr>
          <w:p w:rsidR="008F558A" w:rsidRPr="00283EA9" w:rsidRDefault="008F558A" w:rsidP="00BB0AD7">
            <w:pPr>
              <w:spacing w:before="120" w:after="120"/>
              <w:jc w:val="left"/>
              <w:rPr>
                <w:rFonts w:cs="Arial"/>
              </w:rPr>
            </w:pPr>
            <w:r w:rsidRPr="00283EA9">
              <w:rPr>
                <w:rFonts w:cs="Arial"/>
              </w:rPr>
              <w:t>B000178</w:t>
            </w:r>
          </w:p>
        </w:tc>
        <w:tc>
          <w:tcPr>
            <w:tcW w:w="4394" w:type="dxa"/>
            <w:tcBorders>
              <w:top w:val="nil"/>
              <w:left w:val="nil"/>
              <w:bottom w:val="single" w:sz="4" w:space="0" w:color="auto"/>
              <w:right w:val="single" w:sz="4" w:space="0" w:color="auto"/>
            </w:tcBorders>
            <w:shd w:val="clear" w:color="auto" w:fill="auto"/>
            <w:hideMark/>
          </w:tcPr>
          <w:p w:rsidR="008F558A" w:rsidRPr="00283EA9" w:rsidRDefault="008F558A" w:rsidP="00283EA9">
            <w:pPr>
              <w:spacing w:before="120" w:after="120"/>
              <w:jc w:val="left"/>
              <w:rPr>
                <w:rFonts w:cs="Arial"/>
              </w:rPr>
            </w:pPr>
            <w:r w:rsidRPr="00283EA9">
              <w:rPr>
                <w:rFonts w:cs="Arial"/>
              </w:rPr>
              <w:t>Store Fitzroy Depot</w:t>
            </w:r>
          </w:p>
        </w:tc>
        <w:tc>
          <w:tcPr>
            <w:tcW w:w="2697" w:type="dxa"/>
            <w:tcBorders>
              <w:top w:val="nil"/>
              <w:left w:val="nil"/>
              <w:bottom w:val="single" w:sz="4" w:space="0" w:color="auto"/>
              <w:right w:val="single" w:sz="4" w:space="0" w:color="auto"/>
            </w:tcBorders>
            <w:shd w:val="clear" w:color="auto" w:fill="auto"/>
            <w:hideMark/>
          </w:tcPr>
          <w:p w:rsidR="008F558A" w:rsidRPr="00283EA9" w:rsidRDefault="008F558A" w:rsidP="00283EA9">
            <w:pPr>
              <w:spacing w:before="120" w:after="120"/>
              <w:jc w:val="left"/>
              <w:rPr>
                <w:rFonts w:cs="Arial"/>
              </w:rPr>
            </w:pPr>
            <w:r w:rsidRPr="00283EA9">
              <w:rPr>
                <w:rFonts w:cs="Arial"/>
              </w:rPr>
              <w:t>Currently in use</w:t>
            </w:r>
            <w:r w:rsidR="000A0C29">
              <w:rPr>
                <w:rFonts w:cs="Arial"/>
              </w:rPr>
              <w:t>.</w:t>
            </w:r>
            <w:r w:rsidRPr="00283EA9">
              <w:rPr>
                <w:rFonts w:cs="Arial"/>
              </w:rPr>
              <w:t xml:space="preserve"> </w:t>
            </w:r>
          </w:p>
          <w:p w:rsidR="008F558A" w:rsidRPr="00283EA9" w:rsidRDefault="008F558A" w:rsidP="00283EA9">
            <w:pPr>
              <w:spacing w:before="120" w:after="120"/>
              <w:jc w:val="left"/>
              <w:rPr>
                <w:rFonts w:cs="Arial"/>
              </w:rPr>
            </w:pPr>
            <w:r w:rsidRPr="00283EA9">
              <w:rPr>
                <w:rFonts w:cs="Arial"/>
              </w:rPr>
              <w:t>Decision pending subject to an internal review of future depot requirements.</w:t>
            </w:r>
          </w:p>
        </w:tc>
      </w:tr>
      <w:tr w:rsidR="008F558A" w:rsidRPr="00283EA9" w:rsidTr="00D60852">
        <w:trPr>
          <w:cantSplit/>
        </w:trPr>
        <w:tc>
          <w:tcPr>
            <w:tcW w:w="1276" w:type="dxa"/>
            <w:tcBorders>
              <w:top w:val="nil"/>
              <w:left w:val="single" w:sz="4" w:space="0" w:color="auto"/>
              <w:bottom w:val="single" w:sz="4" w:space="0" w:color="auto"/>
              <w:right w:val="single" w:sz="4" w:space="0" w:color="auto"/>
            </w:tcBorders>
            <w:shd w:val="clear" w:color="auto" w:fill="auto"/>
            <w:noWrap/>
            <w:hideMark/>
          </w:tcPr>
          <w:p w:rsidR="008F558A" w:rsidRPr="00283EA9" w:rsidRDefault="008F558A" w:rsidP="00BB0AD7">
            <w:pPr>
              <w:spacing w:before="120" w:after="120"/>
              <w:jc w:val="left"/>
              <w:rPr>
                <w:rFonts w:cs="Arial"/>
              </w:rPr>
            </w:pPr>
            <w:r w:rsidRPr="00283EA9">
              <w:rPr>
                <w:rFonts w:cs="Arial"/>
              </w:rPr>
              <w:t>B000176</w:t>
            </w:r>
          </w:p>
        </w:tc>
        <w:tc>
          <w:tcPr>
            <w:tcW w:w="4394" w:type="dxa"/>
            <w:tcBorders>
              <w:top w:val="nil"/>
              <w:left w:val="nil"/>
              <w:bottom w:val="single" w:sz="4" w:space="0" w:color="auto"/>
              <w:right w:val="single" w:sz="4" w:space="0" w:color="auto"/>
            </w:tcBorders>
            <w:shd w:val="clear" w:color="auto" w:fill="auto"/>
            <w:hideMark/>
          </w:tcPr>
          <w:p w:rsidR="008F558A" w:rsidRPr="00283EA9" w:rsidRDefault="008F558A" w:rsidP="00283EA9">
            <w:pPr>
              <w:spacing w:before="120" w:after="120"/>
              <w:jc w:val="left"/>
              <w:rPr>
                <w:rFonts w:cs="Arial"/>
              </w:rPr>
            </w:pPr>
            <w:r w:rsidRPr="00283EA9">
              <w:rPr>
                <w:rFonts w:cs="Arial"/>
              </w:rPr>
              <w:t>Vehicle Parking Sheds - Fitzroy Depot</w:t>
            </w:r>
          </w:p>
        </w:tc>
        <w:tc>
          <w:tcPr>
            <w:tcW w:w="2697" w:type="dxa"/>
            <w:tcBorders>
              <w:top w:val="nil"/>
              <w:left w:val="nil"/>
              <w:bottom w:val="single" w:sz="4" w:space="0" w:color="auto"/>
              <w:right w:val="single" w:sz="4" w:space="0" w:color="auto"/>
            </w:tcBorders>
            <w:shd w:val="clear" w:color="auto" w:fill="auto"/>
            <w:hideMark/>
          </w:tcPr>
          <w:p w:rsidR="008F558A" w:rsidRPr="00283EA9" w:rsidRDefault="008F558A" w:rsidP="00283EA9">
            <w:pPr>
              <w:spacing w:before="120" w:after="120"/>
              <w:jc w:val="left"/>
              <w:rPr>
                <w:rFonts w:cs="Arial"/>
              </w:rPr>
            </w:pPr>
            <w:r w:rsidRPr="00283EA9">
              <w:rPr>
                <w:rFonts w:cs="Arial"/>
              </w:rPr>
              <w:t>Currently in use</w:t>
            </w:r>
            <w:r w:rsidR="000A0C29">
              <w:rPr>
                <w:rFonts w:cs="Arial"/>
              </w:rPr>
              <w:t>.</w:t>
            </w:r>
            <w:r w:rsidRPr="00283EA9">
              <w:rPr>
                <w:rFonts w:cs="Arial"/>
              </w:rPr>
              <w:t xml:space="preserve"> </w:t>
            </w:r>
          </w:p>
          <w:p w:rsidR="008F558A" w:rsidRPr="00283EA9" w:rsidRDefault="008F558A" w:rsidP="00283EA9">
            <w:pPr>
              <w:spacing w:before="120" w:after="120"/>
              <w:jc w:val="left"/>
              <w:rPr>
                <w:rFonts w:cs="Arial"/>
              </w:rPr>
            </w:pPr>
            <w:r w:rsidRPr="00283EA9">
              <w:rPr>
                <w:rFonts w:cs="Arial"/>
              </w:rPr>
              <w:t>Decision pending subject to an internal review of future depot requirements.</w:t>
            </w:r>
          </w:p>
        </w:tc>
      </w:tr>
      <w:tr w:rsidR="008F558A" w:rsidRPr="00283EA9" w:rsidTr="00D60852">
        <w:trPr>
          <w:cantSplit/>
        </w:trPr>
        <w:tc>
          <w:tcPr>
            <w:tcW w:w="1276" w:type="dxa"/>
            <w:tcBorders>
              <w:top w:val="nil"/>
              <w:left w:val="single" w:sz="4" w:space="0" w:color="auto"/>
              <w:bottom w:val="single" w:sz="4" w:space="0" w:color="auto"/>
              <w:right w:val="single" w:sz="4" w:space="0" w:color="auto"/>
            </w:tcBorders>
            <w:shd w:val="clear" w:color="auto" w:fill="auto"/>
            <w:noWrap/>
            <w:hideMark/>
          </w:tcPr>
          <w:p w:rsidR="008F558A" w:rsidRPr="00283EA9" w:rsidRDefault="008F558A" w:rsidP="00BB0AD7">
            <w:pPr>
              <w:spacing w:before="120" w:after="120"/>
              <w:jc w:val="left"/>
              <w:rPr>
                <w:rFonts w:cs="Arial"/>
              </w:rPr>
            </w:pPr>
            <w:r w:rsidRPr="00283EA9">
              <w:rPr>
                <w:rFonts w:cs="Arial"/>
              </w:rPr>
              <w:t>B000172</w:t>
            </w:r>
          </w:p>
        </w:tc>
        <w:tc>
          <w:tcPr>
            <w:tcW w:w="4394" w:type="dxa"/>
            <w:tcBorders>
              <w:top w:val="nil"/>
              <w:left w:val="nil"/>
              <w:bottom w:val="single" w:sz="4" w:space="0" w:color="auto"/>
              <w:right w:val="single" w:sz="4" w:space="0" w:color="auto"/>
            </w:tcBorders>
            <w:shd w:val="clear" w:color="auto" w:fill="auto"/>
            <w:hideMark/>
          </w:tcPr>
          <w:p w:rsidR="008F558A" w:rsidRPr="00283EA9" w:rsidRDefault="008F558A" w:rsidP="00283EA9">
            <w:pPr>
              <w:spacing w:before="120" w:after="120"/>
              <w:jc w:val="left"/>
              <w:rPr>
                <w:rFonts w:cs="Arial"/>
              </w:rPr>
            </w:pPr>
            <w:r w:rsidRPr="00283EA9">
              <w:rPr>
                <w:rFonts w:cs="Arial"/>
              </w:rPr>
              <w:t>Fenced Storage Shed - Fitzroy Depot</w:t>
            </w:r>
          </w:p>
        </w:tc>
        <w:tc>
          <w:tcPr>
            <w:tcW w:w="2697" w:type="dxa"/>
            <w:tcBorders>
              <w:top w:val="nil"/>
              <w:left w:val="nil"/>
              <w:bottom w:val="single" w:sz="4" w:space="0" w:color="auto"/>
              <w:right w:val="single" w:sz="4" w:space="0" w:color="auto"/>
            </w:tcBorders>
            <w:shd w:val="clear" w:color="auto" w:fill="auto"/>
            <w:hideMark/>
          </w:tcPr>
          <w:p w:rsidR="008F558A" w:rsidRPr="00283EA9" w:rsidRDefault="008F558A" w:rsidP="00283EA9">
            <w:pPr>
              <w:spacing w:before="120" w:after="120"/>
              <w:jc w:val="left"/>
              <w:rPr>
                <w:rFonts w:cs="Arial"/>
              </w:rPr>
            </w:pPr>
            <w:r w:rsidRPr="00283EA9">
              <w:rPr>
                <w:rFonts w:cs="Arial"/>
              </w:rPr>
              <w:t>Currently in use</w:t>
            </w:r>
            <w:r w:rsidR="000A0C29">
              <w:rPr>
                <w:rFonts w:cs="Arial"/>
              </w:rPr>
              <w:t>.</w:t>
            </w:r>
            <w:r w:rsidRPr="00283EA9">
              <w:rPr>
                <w:rFonts w:cs="Arial"/>
              </w:rPr>
              <w:t xml:space="preserve"> </w:t>
            </w:r>
          </w:p>
          <w:p w:rsidR="008F558A" w:rsidRPr="00283EA9" w:rsidRDefault="008F558A" w:rsidP="00283EA9">
            <w:pPr>
              <w:spacing w:before="120" w:after="120"/>
              <w:jc w:val="left"/>
              <w:rPr>
                <w:rFonts w:cs="Arial"/>
              </w:rPr>
            </w:pPr>
            <w:r w:rsidRPr="00283EA9">
              <w:rPr>
                <w:rFonts w:cs="Arial"/>
              </w:rPr>
              <w:t>Decision pending subject to an internal review of future depot requirements.</w:t>
            </w:r>
          </w:p>
        </w:tc>
      </w:tr>
      <w:tr w:rsidR="008F558A" w:rsidRPr="00283EA9" w:rsidTr="00D60852">
        <w:trPr>
          <w:cantSplit/>
        </w:trPr>
        <w:tc>
          <w:tcPr>
            <w:tcW w:w="1276" w:type="dxa"/>
            <w:tcBorders>
              <w:top w:val="nil"/>
              <w:left w:val="single" w:sz="4" w:space="0" w:color="auto"/>
              <w:bottom w:val="single" w:sz="4" w:space="0" w:color="auto"/>
              <w:right w:val="single" w:sz="4" w:space="0" w:color="auto"/>
            </w:tcBorders>
            <w:shd w:val="clear" w:color="auto" w:fill="auto"/>
            <w:noWrap/>
            <w:hideMark/>
          </w:tcPr>
          <w:p w:rsidR="008F558A" w:rsidRPr="00283EA9" w:rsidRDefault="008F558A" w:rsidP="00BB0AD7">
            <w:pPr>
              <w:spacing w:before="120" w:after="120"/>
              <w:jc w:val="left"/>
              <w:rPr>
                <w:rFonts w:cs="Arial"/>
              </w:rPr>
            </w:pPr>
            <w:r w:rsidRPr="00283EA9">
              <w:rPr>
                <w:rFonts w:cs="Arial"/>
              </w:rPr>
              <w:t>B000171</w:t>
            </w:r>
          </w:p>
        </w:tc>
        <w:tc>
          <w:tcPr>
            <w:tcW w:w="4394" w:type="dxa"/>
            <w:tcBorders>
              <w:top w:val="nil"/>
              <w:left w:val="nil"/>
              <w:bottom w:val="single" w:sz="4" w:space="0" w:color="auto"/>
              <w:right w:val="single" w:sz="4" w:space="0" w:color="auto"/>
            </w:tcBorders>
            <w:shd w:val="clear" w:color="auto" w:fill="auto"/>
            <w:hideMark/>
          </w:tcPr>
          <w:p w:rsidR="008F558A" w:rsidRPr="00283EA9" w:rsidRDefault="008F558A" w:rsidP="00283EA9">
            <w:pPr>
              <w:spacing w:before="120" w:after="120"/>
              <w:jc w:val="left"/>
              <w:rPr>
                <w:rFonts w:cs="Arial"/>
              </w:rPr>
            </w:pPr>
            <w:r w:rsidRPr="00283EA9">
              <w:rPr>
                <w:rFonts w:cs="Arial"/>
              </w:rPr>
              <w:t>Carpenters and Painters Workshop - Fitzroy Depot</w:t>
            </w:r>
          </w:p>
        </w:tc>
        <w:tc>
          <w:tcPr>
            <w:tcW w:w="2697" w:type="dxa"/>
            <w:tcBorders>
              <w:top w:val="nil"/>
              <w:left w:val="nil"/>
              <w:bottom w:val="single" w:sz="4" w:space="0" w:color="auto"/>
              <w:right w:val="single" w:sz="4" w:space="0" w:color="auto"/>
            </w:tcBorders>
            <w:shd w:val="clear" w:color="auto" w:fill="auto"/>
            <w:hideMark/>
          </w:tcPr>
          <w:p w:rsidR="008F558A" w:rsidRPr="00283EA9" w:rsidRDefault="008F558A" w:rsidP="00283EA9">
            <w:pPr>
              <w:spacing w:before="120" w:after="120"/>
              <w:jc w:val="left"/>
              <w:rPr>
                <w:rFonts w:cs="Arial"/>
              </w:rPr>
            </w:pPr>
            <w:r w:rsidRPr="00283EA9">
              <w:rPr>
                <w:rFonts w:cs="Arial"/>
              </w:rPr>
              <w:t>Currently in use</w:t>
            </w:r>
            <w:r w:rsidR="000A0C29">
              <w:rPr>
                <w:rFonts w:cs="Arial"/>
              </w:rPr>
              <w:t>.</w:t>
            </w:r>
            <w:r w:rsidRPr="00283EA9">
              <w:rPr>
                <w:rFonts w:cs="Arial"/>
              </w:rPr>
              <w:t xml:space="preserve"> </w:t>
            </w:r>
          </w:p>
          <w:p w:rsidR="008F558A" w:rsidRPr="00283EA9" w:rsidRDefault="008F558A" w:rsidP="00283EA9">
            <w:pPr>
              <w:spacing w:before="120" w:after="120"/>
              <w:jc w:val="left"/>
              <w:rPr>
                <w:rFonts w:cs="Arial"/>
              </w:rPr>
            </w:pPr>
            <w:r w:rsidRPr="00283EA9">
              <w:rPr>
                <w:rFonts w:cs="Arial"/>
              </w:rPr>
              <w:t>Decision pending subject to an internal review of future depot requirements.</w:t>
            </w:r>
          </w:p>
        </w:tc>
      </w:tr>
      <w:tr w:rsidR="008F558A" w:rsidRPr="00283EA9" w:rsidTr="00D60852">
        <w:trPr>
          <w:cantSplit/>
        </w:trPr>
        <w:tc>
          <w:tcPr>
            <w:tcW w:w="1276" w:type="dxa"/>
            <w:tcBorders>
              <w:top w:val="nil"/>
              <w:left w:val="single" w:sz="4" w:space="0" w:color="auto"/>
              <w:bottom w:val="single" w:sz="4" w:space="0" w:color="auto"/>
              <w:right w:val="single" w:sz="4" w:space="0" w:color="auto"/>
            </w:tcBorders>
            <w:shd w:val="clear" w:color="auto" w:fill="auto"/>
            <w:noWrap/>
            <w:hideMark/>
          </w:tcPr>
          <w:p w:rsidR="008F558A" w:rsidRPr="00283EA9" w:rsidRDefault="008F558A" w:rsidP="00BB0AD7">
            <w:pPr>
              <w:spacing w:before="120" w:after="120"/>
              <w:jc w:val="left"/>
              <w:rPr>
                <w:rFonts w:cs="Arial"/>
              </w:rPr>
            </w:pPr>
            <w:r w:rsidRPr="00283EA9">
              <w:rPr>
                <w:rFonts w:cs="Arial"/>
              </w:rPr>
              <w:t>B000192</w:t>
            </w:r>
          </w:p>
        </w:tc>
        <w:tc>
          <w:tcPr>
            <w:tcW w:w="4394" w:type="dxa"/>
            <w:tcBorders>
              <w:top w:val="nil"/>
              <w:left w:val="nil"/>
              <w:bottom w:val="single" w:sz="4" w:space="0" w:color="auto"/>
              <w:right w:val="single" w:sz="4" w:space="0" w:color="auto"/>
            </w:tcBorders>
            <w:shd w:val="clear" w:color="auto" w:fill="auto"/>
            <w:hideMark/>
          </w:tcPr>
          <w:p w:rsidR="008F558A" w:rsidRPr="00283EA9" w:rsidRDefault="008F558A" w:rsidP="00283EA9">
            <w:pPr>
              <w:spacing w:before="120" w:after="120"/>
              <w:jc w:val="left"/>
              <w:rPr>
                <w:rFonts w:cs="Arial"/>
              </w:rPr>
            </w:pPr>
            <w:r w:rsidRPr="00283EA9">
              <w:rPr>
                <w:rFonts w:cs="Arial"/>
              </w:rPr>
              <w:t>Middle Building - Burnley Street Depot</w:t>
            </w:r>
          </w:p>
        </w:tc>
        <w:tc>
          <w:tcPr>
            <w:tcW w:w="2697" w:type="dxa"/>
            <w:tcBorders>
              <w:top w:val="nil"/>
              <w:left w:val="nil"/>
              <w:bottom w:val="single" w:sz="4" w:space="0" w:color="auto"/>
              <w:right w:val="single" w:sz="4" w:space="0" w:color="auto"/>
            </w:tcBorders>
            <w:shd w:val="clear" w:color="auto" w:fill="auto"/>
            <w:hideMark/>
          </w:tcPr>
          <w:p w:rsidR="008F558A" w:rsidRPr="00283EA9" w:rsidRDefault="000A0C29" w:rsidP="00283EA9">
            <w:pPr>
              <w:spacing w:before="120" w:after="120"/>
              <w:jc w:val="left"/>
              <w:rPr>
                <w:rFonts w:cs="Arial"/>
              </w:rPr>
            </w:pPr>
            <w:r>
              <w:rPr>
                <w:rFonts w:cs="Arial"/>
              </w:rPr>
              <w:t>Currently in use.</w:t>
            </w:r>
          </w:p>
          <w:p w:rsidR="008F558A" w:rsidRPr="00283EA9" w:rsidRDefault="008F558A" w:rsidP="00283EA9">
            <w:pPr>
              <w:spacing w:before="120" w:after="120"/>
              <w:jc w:val="left"/>
              <w:rPr>
                <w:rFonts w:cs="Arial"/>
              </w:rPr>
            </w:pPr>
            <w:r w:rsidRPr="00283EA9">
              <w:rPr>
                <w:rFonts w:cs="Arial"/>
              </w:rPr>
              <w:t>Decision pending subject to an internal review of future depot requirements.</w:t>
            </w:r>
          </w:p>
        </w:tc>
      </w:tr>
      <w:tr w:rsidR="008F558A" w:rsidRPr="00283EA9" w:rsidTr="00D60852">
        <w:trPr>
          <w:cantSplit/>
        </w:trPr>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8F558A" w:rsidRPr="00283EA9" w:rsidRDefault="008F558A" w:rsidP="00BB0AD7">
            <w:pPr>
              <w:spacing w:before="120" w:after="120"/>
              <w:jc w:val="left"/>
              <w:rPr>
                <w:rFonts w:cs="Arial"/>
              </w:rPr>
            </w:pPr>
            <w:r w:rsidRPr="00283EA9">
              <w:rPr>
                <w:rFonts w:cs="Arial"/>
              </w:rPr>
              <w:t>B000195</w:t>
            </w:r>
          </w:p>
        </w:tc>
        <w:tc>
          <w:tcPr>
            <w:tcW w:w="4394" w:type="dxa"/>
            <w:tcBorders>
              <w:top w:val="single" w:sz="4" w:space="0" w:color="auto"/>
              <w:left w:val="single" w:sz="4" w:space="0" w:color="auto"/>
              <w:bottom w:val="single" w:sz="4" w:space="0" w:color="auto"/>
              <w:right w:val="single" w:sz="4" w:space="0" w:color="auto"/>
            </w:tcBorders>
            <w:shd w:val="clear" w:color="auto" w:fill="auto"/>
            <w:hideMark/>
          </w:tcPr>
          <w:p w:rsidR="008F558A" w:rsidRPr="00283EA9" w:rsidRDefault="008F558A" w:rsidP="00283EA9">
            <w:pPr>
              <w:spacing w:before="120" w:after="120"/>
              <w:jc w:val="left"/>
              <w:rPr>
                <w:rFonts w:cs="Arial"/>
              </w:rPr>
            </w:pPr>
            <w:r w:rsidRPr="00283EA9">
              <w:rPr>
                <w:rFonts w:cs="Arial"/>
              </w:rPr>
              <w:t>South Administration Building - Burnley Street Depot</w:t>
            </w:r>
          </w:p>
        </w:tc>
        <w:tc>
          <w:tcPr>
            <w:tcW w:w="2697" w:type="dxa"/>
            <w:tcBorders>
              <w:top w:val="single" w:sz="4" w:space="0" w:color="auto"/>
              <w:left w:val="single" w:sz="4" w:space="0" w:color="auto"/>
              <w:bottom w:val="single" w:sz="4" w:space="0" w:color="auto"/>
              <w:right w:val="single" w:sz="4" w:space="0" w:color="auto"/>
            </w:tcBorders>
            <w:shd w:val="clear" w:color="auto" w:fill="auto"/>
            <w:hideMark/>
          </w:tcPr>
          <w:p w:rsidR="008F558A" w:rsidRPr="00283EA9" w:rsidRDefault="008F558A" w:rsidP="00283EA9">
            <w:pPr>
              <w:spacing w:before="120" w:after="120"/>
              <w:jc w:val="left"/>
              <w:rPr>
                <w:rFonts w:cs="Arial"/>
              </w:rPr>
            </w:pPr>
            <w:r w:rsidRPr="00283EA9">
              <w:rPr>
                <w:rFonts w:cs="Arial"/>
              </w:rPr>
              <w:t>Currently in use</w:t>
            </w:r>
            <w:r w:rsidR="000A0C29">
              <w:rPr>
                <w:rFonts w:cs="Arial"/>
              </w:rPr>
              <w:t>.</w:t>
            </w:r>
          </w:p>
          <w:p w:rsidR="008F558A" w:rsidRPr="00283EA9" w:rsidRDefault="008F558A" w:rsidP="00283EA9">
            <w:pPr>
              <w:spacing w:before="120" w:after="120"/>
              <w:jc w:val="left"/>
              <w:rPr>
                <w:rFonts w:cs="Arial"/>
              </w:rPr>
            </w:pPr>
            <w:r w:rsidRPr="00283EA9">
              <w:rPr>
                <w:rFonts w:cs="Arial"/>
              </w:rPr>
              <w:t>Decision pending subject to an internal review of future depot requirements.</w:t>
            </w:r>
          </w:p>
        </w:tc>
      </w:tr>
      <w:tr w:rsidR="008F558A" w:rsidRPr="00283EA9" w:rsidTr="00D60852">
        <w:trPr>
          <w:cantSplit/>
        </w:trPr>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8F558A" w:rsidRPr="00283EA9" w:rsidRDefault="008F558A" w:rsidP="00BB0AD7">
            <w:pPr>
              <w:spacing w:before="120" w:after="120"/>
              <w:jc w:val="left"/>
              <w:rPr>
                <w:rFonts w:cs="Arial"/>
              </w:rPr>
            </w:pPr>
            <w:r w:rsidRPr="00283EA9">
              <w:rPr>
                <w:rFonts w:cs="Arial"/>
              </w:rPr>
              <w:t>B000193</w:t>
            </w:r>
          </w:p>
        </w:tc>
        <w:tc>
          <w:tcPr>
            <w:tcW w:w="4394" w:type="dxa"/>
            <w:tcBorders>
              <w:top w:val="single" w:sz="4" w:space="0" w:color="auto"/>
              <w:left w:val="nil"/>
              <w:bottom w:val="single" w:sz="4" w:space="0" w:color="auto"/>
              <w:right w:val="single" w:sz="4" w:space="0" w:color="auto"/>
            </w:tcBorders>
            <w:shd w:val="clear" w:color="auto" w:fill="auto"/>
            <w:hideMark/>
          </w:tcPr>
          <w:p w:rsidR="008F558A" w:rsidRPr="00283EA9" w:rsidRDefault="008F558A" w:rsidP="00283EA9">
            <w:pPr>
              <w:spacing w:before="120" w:after="120"/>
              <w:jc w:val="left"/>
              <w:rPr>
                <w:rFonts w:cs="Arial"/>
              </w:rPr>
            </w:pPr>
            <w:r w:rsidRPr="00283EA9">
              <w:rPr>
                <w:rFonts w:cs="Arial"/>
              </w:rPr>
              <w:t>North Building - Burnley Street Depot (ex Carpenters and Painters Workshop)</w:t>
            </w:r>
          </w:p>
        </w:tc>
        <w:tc>
          <w:tcPr>
            <w:tcW w:w="2697" w:type="dxa"/>
            <w:tcBorders>
              <w:top w:val="single" w:sz="4" w:space="0" w:color="auto"/>
              <w:left w:val="nil"/>
              <w:bottom w:val="single" w:sz="4" w:space="0" w:color="auto"/>
              <w:right w:val="single" w:sz="4" w:space="0" w:color="auto"/>
            </w:tcBorders>
            <w:shd w:val="clear" w:color="auto" w:fill="auto"/>
            <w:hideMark/>
          </w:tcPr>
          <w:p w:rsidR="008F558A" w:rsidRPr="00283EA9" w:rsidRDefault="008F558A" w:rsidP="00283EA9">
            <w:pPr>
              <w:spacing w:before="120" w:after="120"/>
              <w:jc w:val="left"/>
              <w:rPr>
                <w:rFonts w:cs="Arial"/>
              </w:rPr>
            </w:pPr>
            <w:r w:rsidRPr="00283EA9">
              <w:rPr>
                <w:rFonts w:cs="Arial"/>
              </w:rPr>
              <w:t>Currently in use</w:t>
            </w:r>
            <w:r w:rsidR="000A0C29">
              <w:rPr>
                <w:rFonts w:cs="Arial"/>
              </w:rPr>
              <w:t>.</w:t>
            </w:r>
            <w:r w:rsidRPr="00283EA9">
              <w:rPr>
                <w:rFonts w:cs="Arial"/>
              </w:rPr>
              <w:t xml:space="preserve"> </w:t>
            </w:r>
          </w:p>
          <w:p w:rsidR="008F558A" w:rsidRPr="00283EA9" w:rsidRDefault="008F558A" w:rsidP="00283EA9">
            <w:pPr>
              <w:spacing w:before="120" w:after="120"/>
              <w:jc w:val="left"/>
              <w:rPr>
                <w:rFonts w:cs="Arial"/>
              </w:rPr>
            </w:pPr>
            <w:r w:rsidRPr="00283EA9">
              <w:rPr>
                <w:rFonts w:cs="Arial"/>
              </w:rPr>
              <w:t>Decision pending subject to an internal review of future depot requirements.</w:t>
            </w:r>
          </w:p>
        </w:tc>
      </w:tr>
      <w:tr w:rsidR="008F558A" w:rsidRPr="00283EA9" w:rsidTr="00D60852">
        <w:trPr>
          <w:cantSplit/>
        </w:trPr>
        <w:tc>
          <w:tcPr>
            <w:tcW w:w="1276" w:type="dxa"/>
            <w:tcBorders>
              <w:top w:val="nil"/>
              <w:left w:val="single" w:sz="4" w:space="0" w:color="auto"/>
              <w:bottom w:val="single" w:sz="4" w:space="0" w:color="auto"/>
              <w:right w:val="single" w:sz="4" w:space="0" w:color="auto"/>
            </w:tcBorders>
            <w:shd w:val="clear" w:color="auto" w:fill="auto"/>
            <w:noWrap/>
            <w:hideMark/>
          </w:tcPr>
          <w:p w:rsidR="008F558A" w:rsidRPr="00283EA9" w:rsidRDefault="008F558A" w:rsidP="00BB0AD7">
            <w:pPr>
              <w:spacing w:before="120" w:after="120"/>
              <w:jc w:val="left"/>
              <w:rPr>
                <w:rFonts w:cs="Arial"/>
              </w:rPr>
            </w:pPr>
            <w:r w:rsidRPr="00283EA9">
              <w:rPr>
                <w:rFonts w:cs="Arial"/>
              </w:rPr>
              <w:t>B000196</w:t>
            </w:r>
          </w:p>
        </w:tc>
        <w:tc>
          <w:tcPr>
            <w:tcW w:w="4394" w:type="dxa"/>
            <w:tcBorders>
              <w:top w:val="nil"/>
              <w:left w:val="nil"/>
              <w:bottom w:val="single" w:sz="4" w:space="0" w:color="auto"/>
              <w:right w:val="single" w:sz="4" w:space="0" w:color="auto"/>
            </w:tcBorders>
            <w:shd w:val="clear" w:color="auto" w:fill="auto"/>
            <w:hideMark/>
          </w:tcPr>
          <w:p w:rsidR="008F558A" w:rsidRPr="00283EA9" w:rsidRDefault="008F558A" w:rsidP="00283EA9">
            <w:pPr>
              <w:spacing w:before="120" w:after="120"/>
              <w:jc w:val="left"/>
              <w:rPr>
                <w:rFonts w:cs="Arial"/>
              </w:rPr>
            </w:pPr>
            <w:r w:rsidRPr="00283EA9">
              <w:rPr>
                <w:rFonts w:cs="Arial"/>
              </w:rPr>
              <w:t>West Building - Burnley Street Depot (Store and Loading Bay)</w:t>
            </w:r>
          </w:p>
        </w:tc>
        <w:tc>
          <w:tcPr>
            <w:tcW w:w="2697" w:type="dxa"/>
            <w:tcBorders>
              <w:top w:val="nil"/>
              <w:left w:val="nil"/>
              <w:bottom w:val="single" w:sz="4" w:space="0" w:color="auto"/>
              <w:right w:val="single" w:sz="4" w:space="0" w:color="auto"/>
            </w:tcBorders>
            <w:shd w:val="clear" w:color="auto" w:fill="auto"/>
            <w:hideMark/>
          </w:tcPr>
          <w:p w:rsidR="008F558A" w:rsidRPr="00283EA9" w:rsidRDefault="008F558A" w:rsidP="00283EA9">
            <w:pPr>
              <w:spacing w:before="120" w:after="120"/>
              <w:jc w:val="left"/>
              <w:rPr>
                <w:rFonts w:cs="Arial"/>
              </w:rPr>
            </w:pPr>
            <w:r w:rsidRPr="00283EA9">
              <w:rPr>
                <w:rFonts w:cs="Arial"/>
              </w:rPr>
              <w:t xml:space="preserve">Currently </w:t>
            </w:r>
            <w:r w:rsidR="00D90FDE">
              <w:rPr>
                <w:rFonts w:cs="Arial"/>
              </w:rPr>
              <w:t>vacant.</w:t>
            </w:r>
            <w:r w:rsidRPr="00283EA9">
              <w:rPr>
                <w:rFonts w:cs="Arial"/>
              </w:rPr>
              <w:t xml:space="preserve"> </w:t>
            </w:r>
          </w:p>
          <w:p w:rsidR="008F558A" w:rsidRPr="00283EA9" w:rsidRDefault="008F558A" w:rsidP="00283EA9">
            <w:pPr>
              <w:spacing w:before="120" w:after="120"/>
              <w:jc w:val="left"/>
              <w:rPr>
                <w:rFonts w:cs="Arial"/>
              </w:rPr>
            </w:pPr>
            <w:r w:rsidRPr="00283EA9">
              <w:rPr>
                <w:rFonts w:cs="Arial"/>
              </w:rPr>
              <w:t>Decision pending subject to an internal review of future depot requirements.</w:t>
            </w:r>
          </w:p>
        </w:tc>
      </w:tr>
      <w:tr w:rsidR="008F558A" w:rsidRPr="00283EA9" w:rsidTr="00D60852">
        <w:trPr>
          <w:cantSplit/>
        </w:trPr>
        <w:tc>
          <w:tcPr>
            <w:tcW w:w="1276" w:type="dxa"/>
            <w:tcBorders>
              <w:top w:val="nil"/>
              <w:left w:val="single" w:sz="4" w:space="0" w:color="auto"/>
              <w:bottom w:val="single" w:sz="4" w:space="0" w:color="auto"/>
              <w:right w:val="single" w:sz="4" w:space="0" w:color="auto"/>
            </w:tcBorders>
            <w:shd w:val="clear" w:color="auto" w:fill="auto"/>
            <w:noWrap/>
            <w:hideMark/>
          </w:tcPr>
          <w:p w:rsidR="008F558A" w:rsidRPr="00283EA9" w:rsidRDefault="008F558A" w:rsidP="00BB0AD7">
            <w:pPr>
              <w:spacing w:before="120" w:after="120"/>
              <w:jc w:val="left"/>
              <w:rPr>
                <w:rFonts w:cs="Arial"/>
              </w:rPr>
            </w:pPr>
            <w:r w:rsidRPr="00283EA9">
              <w:rPr>
                <w:rFonts w:cs="Arial"/>
              </w:rPr>
              <w:t>B000009</w:t>
            </w:r>
          </w:p>
        </w:tc>
        <w:tc>
          <w:tcPr>
            <w:tcW w:w="4394" w:type="dxa"/>
            <w:tcBorders>
              <w:top w:val="nil"/>
              <w:left w:val="nil"/>
              <w:bottom w:val="single" w:sz="4" w:space="0" w:color="auto"/>
              <w:right w:val="single" w:sz="4" w:space="0" w:color="auto"/>
            </w:tcBorders>
            <w:shd w:val="clear" w:color="auto" w:fill="auto"/>
            <w:hideMark/>
          </w:tcPr>
          <w:p w:rsidR="008F558A" w:rsidRPr="00283EA9" w:rsidRDefault="008F558A" w:rsidP="00283EA9">
            <w:pPr>
              <w:spacing w:before="120" w:after="120"/>
              <w:jc w:val="left"/>
              <w:rPr>
                <w:rFonts w:cs="Arial"/>
              </w:rPr>
            </w:pPr>
            <w:r w:rsidRPr="00283EA9">
              <w:rPr>
                <w:rFonts w:cs="Arial"/>
              </w:rPr>
              <w:t>Garage and Workshop rear of Collingwood Town Hall</w:t>
            </w:r>
          </w:p>
        </w:tc>
        <w:tc>
          <w:tcPr>
            <w:tcW w:w="2697" w:type="dxa"/>
            <w:tcBorders>
              <w:top w:val="nil"/>
              <w:left w:val="nil"/>
              <w:bottom w:val="single" w:sz="4" w:space="0" w:color="auto"/>
              <w:right w:val="single" w:sz="4" w:space="0" w:color="auto"/>
            </w:tcBorders>
            <w:shd w:val="clear" w:color="auto" w:fill="auto"/>
            <w:hideMark/>
          </w:tcPr>
          <w:p w:rsidR="008F558A" w:rsidRPr="00283EA9" w:rsidRDefault="008F558A" w:rsidP="00283EA9">
            <w:pPr>
              <w:spacing w:before="120" w:after="120"/>
              <w:jc w:val="left"/>
              <w:rPr>
                <w:rFonts w:cs="Arial"/>
              </w:rPr>
            </w:pPr>
            <w:r w:rsidRPr="00283EA9">
              <w:rPr>
                <w:rFonts w:cs="Arial"/>
              </w:rPr>
              <w:t>Currently in use</w:t>
            </w:r>
            <w:r w:rsidR="000A0C29">
              <w:rPr>
                <w:rFonts w:cs="Arial"/>
              </w:rPr>
              <w:t>.</w:t>
            </w:r>
            <w:r w:rsidRPr="00283EA9">
              <w:rPr>
                <w:rFonts w:cs="Arial"/>
              </w:rPr>
              <w:t xml:space="preserve"> </w:t>
            </w:r>
          </w:p>
          <w:p w:rsidR="008F558A" w:rsidRPr="00283EA9" w:rsidRDefault="008F558A" w:rsidP="00DE5F00">
            <w:pPr>
              <w:spacing w:before="120" w:after="120"/>
              <w:jc w:val="left"/>
              <w:rPr>
                <w:rFonts w:cs="Arial"/>
              </w:rPr>
            </w:pPr>
            <w:r w:rsidRPr="00283EA9">
              <w:rPr>
                <w:rFonts w:cs="Arial"/>
              </w:rPr>
              <w:t>Decision pending subject t</w:t>
            </w:r>
            <w:r w:rsidR="00DE5F00">
              <w:rPr>
                <w:rFonts w:cs="Arial"/>
              </w:rPr>
              <w:t>o an internal review of future storage</w:t>
            </w:r>
            <w:r w:rsidRPr="00283EA9">
              <w:rPr>
                <w:rFonts w:cs="Arial"/>
              </w:rPr>
              <w:t xml:space="preserve"> requirements.</w:t>
            </w:r>
          </w:p>
        </w:tc>
      </w:tr>
      <w:tr w:rsidR="008F558A" w:rsidRPr="00283EA9" w:rsidTr="00D60852">
        <w:trPr>
          <w:cantSplit/>
        </w:trPr>
        <w:tc>
          <w:tcPr>
            <w:tcW w:w="1276" w:type="dxa"/>
            <w:tcBorders>
              <w:top w:val="nil"/>
              <w:left w:val="single" w:sz="4" w:space="0" w:color="auto"/>
              <w:bottom w:val="single" w:sz="4" w:space="0" w:color="auto"/>
              <w:right w:val="single" w:sz="4" w:space="0" w:color="auto"/>
            </w:tcBorders>
            <w:shd w:val="clear" w:color="auto" w:fill="auto"/>
            <w:noWrap/>
            <w:hideMark/>
          </w:tcPr>
          <w:p w:rsidR="008F558A" w:rsidRPr="00283EA9" w:rsidRDefault="008F558A" w:rsidP="00BB0AD7">
            <w:pPr>
              <w:spacing w:before="120" w:after="120"/>
              <w:jc w:val="left"/>
              <w:rPr>
                <w:rFonts w:cs="Arial"/>
              </w:rPr>
            </w:pPr>
            <w:r w:rsidRPr="00283EA9">
              <w:rPr>
                <w:rFonts w:cs="Arial"/>
              </w:rPr>
              <w:t>B000014</w:t>
            </w:r>
          </w:p>
        </w:tc>
        <w:tc>
          <w:tcPr>
            <w:tcW w:w="4394" w:type="dxa"/>
            <w:tcBorders>
              <w:top w:val="nil"/>
              <w:left w:val="nil"/>
              <w:bottom w:val="single" w:sz="4" w:space="0" w:color="auto"/>
              <w:right w:val="single" w:sz="4" w:space="0" w:color="auto"/>
            </w:tcBorders>
            <w:shd w:val="clear" w:color="auto" w:fill="auto"/>
            <w:hideMark/>
          </w:tcPr>
          <w:p w:rsidR="008F558A" w:rsidRPr="00283EA9" w:rsidRDefault="008F558A" w:rsidP="00283EA9">
            <w:pPr>
              <w:spacing w:before="120" w:after="120"/>
              <w:jc w:val="left"/>
              <w:rPr>
                <w:rFonts w:cs="Arial"/>
              </w:rPr>
            </w:pPr>
            <w:r w:rsidRPr="00283EA9">
              <w:rPr>
                <w:rFonts w:cs="Arial"/>
              </w:rPr>
              <w:t>Storage Sheds - rear of Collingwood Town Hall</w:t>
            </w:r>
          </w:p>
        </w:tc>
        <w:tc>
          <w:tcPr>
            <w:tcW w:w="2697" w:type="dxa"/>
            <w:tcBorders>
              <w:top w:val="nil"/>
              <w:left w:val="nil"/>
              <w:bottom w:val="single" w:sz="4" w:space="0" w:color="auto"/>
              <w:right w:val="single" w:sz="4" w:space="0" w:color="auto"/>
            </w:tcBorders>
            <w:shd w:val="clear" w:color="auto" w:fill="auto"/>
            <w:hideMark/>
          </w:tcPr>
          <w:p w:rsidR="008F558A" w:rsidRPr="00283EA9" w:rsidRDefault="008F558A" w:rsidP="00283EA9">
            <w:pPr>
              <w:spacing w:before="120" w:after="120"/>
              <w:jc w:val="left"/>
              <w:rPr>
                <w:rFonts w:cs="Arial"/>
              </w:rPr>
            </w:pPr>
            <w:r w:rsidRPr="00283EA9">
              <w:rPr>
                <w:rFonts w:cs="Arial"/>
              </w:rPr>
              <w:t>Currently in use</w:t>
            </w:r>
            <w:r w:rsidR="000A0C29">
              <w:rPr>
                <w:rFonts w:cs="Arial"/>
              </w:rPr>
              <w:t>.</w:t>
            </w:r>
            <w:r w:rsidRPr="00283EA9">
              <w:rPr>
                <w:rFonts w:cs="Arial"/>
              </w:rPr>
              <w:t xml:space="preserve"> </w:t>
            </w:r>
          </w:p>
          <w:p w:rsidR="008F558A" w:rsidRPr="00283EA9" w:rsidRDefault="008F558A" w:rsidP="00DE5F00">
            <w:pPr>
              <w:spacing w:before="120" w:after="120"/>
              <w:jc w:val="left"/>
              <w:rPr>
                <w:rFonts w:cs="Arial"/>
              </w:rPr>
            </w:pPr>
            <w:r w:rsidRPr="00283EA9">
              <w:rPr>
                <w:rFonts w:cs="Arial"/>
              </w:rPr>
              <w:t>Decision pending subject t</w:t>
            </w:r>
            <w:r w:rsidR="00DE5F00">
              <w:rPr>
                <w:rFonts w:cs="Arial"/>
              </w:rPr>
              <w:t>o an internal review of future storage</w:t>
            </w:r>
            <w:r w:rsidRPr="00283EA9">
              <w:rPr>
                <w:rFonts w:cs="Arial"/>
              </w:rPr>
              <w:t xml:space="preserve"> requirements.</w:t>
            </w:r>
          </w:p>
        </w:tc>
      </w:tr>
    </w:tbl>
    <w:p w:rsidR="00BB0AD7" w:rsidRPr="0024611A" w:rsidRDefault="00BB0AD7" w:rsidP="00BB0AD7">
      <w:pPr>
        <w:pStyle w:val="Caption"/>
        <w:spacing w:before="240" w:after="240"/>
        <w:ind w:left="720"/>
        <w:jc w:val="center"/>
        <w:rPr>
          <w:rFonts w:ascii="Arial" w:hAnsi="Arial"/>
          <w:i w:val="0"/>
          <w:iCs w:val="0"/>
          <w:sz w:val="20"/>
          <w:lang w:val="en-AU"/>
        </w:rPr>
      </w:pPr>
      <w:bookmarkStart w:id="472" w:name="_Toc364945439"/>
      <w:r w:rsidRPr="0024611A">
        <w:rPr>
          <w:rFonts w:ascii="Arial" w:hAnsi="Arial"/>
          <w:i w:val="0"/>
          <w:iCs w:val="0"/>
          <w:sz w:val="20"/>
          <w:lang w:val="en-AU"/>
        </w:rPr>
        <w:t xml:space="preserve">Table </w:t>
      </w:r>
      <w:r w:rsidR="0090414C" w:rsidRPr="0024611A">
        <w:rPr>
          <w:rFonts w:ascii="Arial" w:hAnsi="Arial"/>
          <w:i w:val="0"/>
          <w:iCs w:val="0"/>
          <w:sz w:val="20"/>
          <w:lang w:val="en-AU"/>
        </w:rPr>
        <w:fldChar w:fldCharType="begin"/>
      </w:r>
      <w:r w:rsidRPr="0024611A">
        <w:rPr>
          <w:rFonts w:ascii="Arial" w:hAnsi="Arial"/>
          <w:i w:val="0"/>
          <w:iCs w:val="0"/>
          <w:sz w:val="20"/>
          <w:lang w:val="en-AU"/>
        </w:rPr>
        <w:instrText xml:space="preserve"> SEQ Table \* ARABIC </w:instrText>
      </w:r>
      <w:r w:rsidR="0090414C" w:rsidRPr="0024611A">
        <w:rPr>
          <w:rFonts w:ascii="Arial" w:hAnsi="Arial"/>
          <w:i w:val="0"/>
          <w:iCs w:val="0"/>
          <w:sz w:val="20"/>
          <w:lang w:val="en-AU"/>
        </w:rPr>
        <w:fldChar w:fldCharType="separate"/>
      </w:r>
      <w:r w:rsidR="00751CEC">
        <w:rPr>
          <w:rFonts w:ascii="Arial" w:hAnsi="Arial"/>
          <w:i w:val="0"/>
          <w:iCs w:val="0"/>
          <w:noProof/>
          <w:sz w:val="20"/>
          <w:lang w:val="en-AU"/>
        </w:rPr>
        <w:t>35</w:t>
      </w:r>
      <w:r w:rsidR="0090414C" w:rsidRPr="0024611A">
        <w:rPr>
          <w:rFonts w:ascii="Arial" w:hAnsi="Arial"/>
          <w:i w:val="0"/>
          <w:iCs w:val="0"/>
          <w:sz w:val="20"/>
          <w:lang w:val="en-AU"/>
        </w:rPr>
        <w:fldChar w:fldCharType="end"/>
      </w:r>
      <w:r w:rsidRPr="0024611A">
        <w:rPr>
          <w:rFonts w:ascii="Arial" w:hAnsi="Arial"/>
          <w:i w:val="0"/>
          <w:iCs w:val="0"/>
          <w:sz w:val="20"/>
          <w:lang w:val="en-AU"/>
        </w:rPr>
        <w:t>:  Buildings with Low Fitness for Purpose Ratings</w:t>
      </w:r>
      <w:bookmarkEnd w:id="472"/>
    </w:p>
    <w:p w:rsidR="00C51FF9" w:rsidRPr="00E65525" w:rsidRDefault="00C51FF9" w:rsidP="003E5B9F">
      <w:pPr>
        <w:pStyle w:val="StyleHeading3Heading3Char10ptBefore6pt"/>
      </w:pPr>
      <w:bookmarkStart w:id="473" w:name="_Toc364945296"/>
      <w:r w:rsidRPr="00E65525">
        <w:t>Environmental Sustainability</w:t>
      </w:r>
      <w:bookmarkEnd w:id="473"/>
    </w:p>
    <w:p w:rsidR="00C51FF9" w:rsidRDefault="00C51FF9" w:rsidP="00283EA9">
      <w:pPr>
        <w:ind w:left="720"/>
      </w:pPr>
      <w:r w:rsidRPr="00E65525">
        <w:t xml:space="preserve">Council has adopted an Environmentally Sustainable Design (ESD) Buildings Policy to support Council’s commitment to reducing Yarra’s eco-footprint and working to restore our local environment, addressing climate change, reducing the use of limited resources such as energy and water, as well as minimising our waste and pollution, </w:t>
      </w:r>
      <w:r w:rsidR="00283EA9">
        <w:t>as stated in the Council Plan.</w:t>
      </w:r>
    </w:p>
    <w:p w:rsidR="00283EA9" w:rsidRPr="00E65525" w:rsidRDefault="00283EA9" w:rsidP="00283EA9">
      <w:pPr>
        <w:ind w:left="720"/>
      </w:pPr>
    </w:p>
    <w:p w:rsidR="00C51FF9" w:rsidRDefault="00C51FF9" w:rsidP="00283EA9">
      <w:pPr>
        <w:ind w:left="720"/>
      </w:pPr>
      <w:r w:rsidRPr="00E65525">
        <w:t xml:space="preserve">The consideration of environmental issues and initiatives is important in maximising the efficiency of the facilities provided by Council and directly links with </w:t>
      </w:r>
      <w:r w:rsidR="00283EA9">
        <w:t>adopted environment strategies.</w:t>
      </w:r>
    </w:p>
    <w:p w:rsidR="00283EA9" w:rsidRPr="00E65525" w:rsidRDefault="00283EA9" w:rsidP="00283EA9">
      <w:pPr>
        <w:ind w:left="720"/>
      </w:pPr>
    </w:p>
    <w:p w:rsidR="00C51FF9" w:rsidRDefault="00C51FF9" w:rsidP="00283EA9">
      <w:pPr>
        <w:ind w:left="720"/>
      </w:pPr>
      <w:r w:rsidRPr="00E65525">
        <w:t>Council’s environment management strategy for buildings has the initi</w:t>
      </w:r>
      <w:r w:rsidR="00BB0AD7">
        <w:t>al primary focus on major green</w:t>
      </w:r>
      <w:r w:rsidRPr="00E65525">
        <w:t xml:space="preserve">house gas emission and energy and water consumption saving opportunities. Minimum energy or sustainability performance standards have been developed to meet specific energy, water and waste targets particularly in relation to new buildings and the retrofitting of existing buildings when the opportunity arises as part of maintenance or renewal activities. </w:t>
      </w:r>
    </w:p>
    <w:p w:rsidR="00E13D96" w:rsidRPr="00CF2212" w:rsidRDefault="00E13D96" w:rsidP="00CF2212">
      <w:pPr>
        <w:pStyle w:val="Heading2"/>
      </w:pPr>
      <w:bookmarkStart w:id="474" w:name="_Toc364945297"/>
      <w:r w:rsidRPr="00CF2212">
        <w:t>Operations and Maintenance Plan</w:t>
      </w:r>
      <w:bookmarkEnd w:id="474"/>
    </w:p>
    <w:p w:rsidR="00044AF5" w:rsidRDefault="00044AF5" w:rsidP="002F775C">
      <w:r w:rsidRPr="00E27317">
        <w:t>The following figure identifies the spread of maintenance fundin</w:t>
      </w:r>
      <w:r w:rsidR="00283EA9">
        <w:t>g across the building portfolio:</w:t>
      </w:r>
    </w:p>
    <w:p w:rsidR="00283EA9" w:rsidRPr="00D6236F" w:rsidRDefault="00283EA9" w:rsidP="002F775C"/>
    <w:p w:rsidR="009E0729" w:rsidRDefault="009E0729" w:rsidP="00EE6DBC">
      <w:pPr>
        <w:jc w:val="center"/>
      </w:pPr>
      <w:r>
        <w:rPr>
          <w:noProof/>
        </w:rPr>
        <w:drawing>
          <wp:inline distT="0" distB="0" distL="0" distR="0" wp14:anchorId="2882B8A2" wp14:editId="39F1EDFA">
            <wp:extent cx="5461233" cy="3003259"/>
            <wp:effectExtent l="0" t="0" r="25400" b="26035"/>
            <wp:docPr id="8" name="Picture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DE5F00" w:rsidRPr="0091425F" w:rsidRDefault="00283EA9" w:rsidP="006110DF">
      <w:pPr>
        <w:pStyle w:val="Caption"/>
        <w:spacing w:before="240" w:after="240"/>
        <w:ind w:left="0"/>
        <w:jc w:val="center"/>
        <w:rPr>
          <w:rFonts w:ascii="Arial" w:hAnsi="Arial"/>
          <w:i w:val="0"/>
          <w:iCs w:val="0"/>
          <w:sz w:val="20"/>
          <w:lang w:val="en-AU"/>
        </w:rPr>
      </w:pPr>
      <w:bookmarkStart w:id="475" w:name="_Toc364945389"/>
      <w:r w:rsidRPr="0091425F">
        <w:rPr>
          <w:rFonts w:ascii="Arial" w:hAnsi="Arial"/>
          <w:i w:val="0"/>
          <w:iCs w:val="0"/>
          <w:sz w:val="20"/>
          <w:lang w:val="en-AU"/>
        </w:rPr>
        <w:t xml:space="preserve">Figure </w:t>
      </w:r>
      <w:r w:rsidR="0090414C" w:rsidRPr="0091425F">
        <w:rPr>
          <w:rFonts w:ascii="Arial" w:hAnsi="Arial"/>
          <w:i w:val="0"/>
          <w:iCs w:val="0"/>
          <w:sz w:val="20"/>
          <w:lang w:val="en-AU"/>
        </w:rPr>
        <w:fldChar w:fldCharType="begin"/>
      </w:r>
      <w:r w:rsidRPr="0091425F">
        <w:rPr>
          <w:rFonts w:ascii="Arial" w:hAnsi="Arial"/>
          <w:i w:val="0"/>
          <w:iCs w:val="0"/>
          <w:sz w:val="20"/>
          <w:lang w:val="en-AU"/>
        </w:rPr>
        <w:instrText xml:space="preserve"> SEQ Figure \* ARABIC </w:instrText>
      </w:r>
      <w:r w:rsidR="0090414C" w:rsidRPr="0091425F">
        <w:rPr>
          <w:rFonts w:ascii="Arial" w:hAnsi="Arial"/>
          <w:i w:val="0"/>
          <w:iCs w:val="0"/>
          <w:sz w:val="20"/>
          <w:lang w:val="en-AU"/>
        </w:rPr>
        <w:fldChar w:fldCharType="separate"/>
      </w:r>
      <w:r w:rsidR="00751CEC">
        <w:rPr>
          <w:rFonts w:ascii="Arial" w:hAnsi="Arial"/>
          <w:i w:val="0"/>
          <w:iCs w:val="0"/>
          <w:noProof/>
          <w:sz w:val="20"/>
          <w:lang w:val="en-AU"/>
        </w:rPr>
        <w:t>25</w:t>
      </w:r>
      <w:r w:rsidR="0090414C" w:rsidRPr="0091425F">
        <w:rPr>
          <w:rFonts w:ascii="Arial" w:hAnsi="Arial"/>
          <w:i w:val="0"/>
          <w:iCs w:val="0"/>
          <w:sz w:val="20"/>
          <w:lang w:val="en-AU"/>
        </w:rPr>
        <w:fldChar w:fldCharType="end"/>
      </w:r>
      <w:r w:rsidRPr="0091425F">
        <w:rPr>
          <w:rFonts w:ascii="Arial" w:hAnsi="Arial"/>
          <w:i w:val="0"/>
          <w:iCs w:val="0"/>
          <w:sz w:val="20"/>
          <w:lang w:val="en-AU"/>
        </w:rPr>
        <w:t>:  Expenditure by Activities (2011-2012)</w:t>
      </w:r>
      <w:bookmarkEnd w:id="475"/>
    </w:p>
    <w:p w:rsidR="00E13D96" w:rsidRDefault="00E13D96" w:rsidP="003E5B9F">
      <w:pPr>
        <w:pStyle w:val="StyleHeading3Heading3Char10ptBefore6pt"/>
      </w:pPr>
      <w:bookmarkStart w:id="476" w:name="_Toc364945298"/>
      <w:r>
        <w:t xml:space="preserve">Operations </w:t>
      </w:r>
      <w:r w:rsidR="00521137">
        <w:t>Activities</w:t>
      </w:r>
      <w:bookmarkEnd w:id="476"/>
    </w:p>
    <w:p w:rsidR="00044AF5" w:rsidRPr="00892C25" w:rsidRDefault="00044AF5" w:rsidP="00283EA9">
      <w:pPr>
        <w:ind w:left="720"/>
      </w:pPr>
      <w:r w:rsidRPr="00892C25">
        <w:t xml:space="preserve">The operations activities are designed to ensure </w:t>
      </w:r>
      <w:r w:rsidR="009B157E">
        <w:t>t</w:t>
      </w:r>
      <w:r w:rsidRPr="00892C25">
        <w:t>he asset</w:t>
      </w:r>
      <w:r w:rsidR="009B157E">
        <w:t xml:space="preserve"> can provide the functionality to allow the appropriate level of service delivery</w:t>
      </w:r>
      <w:r w:rsidRPr="00892C25">
        <w:t xml:space="preserve">. These are the regular tasks that are undertaken to ensure the assets </w:t>
      </w:r>
      <w:r w:rsidR="009B157E">
        <w:t>achieve their service potential. These</w:t>
      </w:r>
      <w:r w:rsidRPr="00892C25">
        <w:t xml:space="preserve"> include such activities as cleaning, graffiti removal, pest c</w:t>
      </w:r>
      <w:r w:rsidR="009B157E">
        <w:t>ontrol, and</w:t>
      </w:r>
      <w:r w:rsidRPr="00892C25">
        <w:t xml:space="preserve"> the day to day running costs such as </w:t>
      </w:r>
      <w:r w:rsidR="009B157E">
        <w:t>energy</w:t>
      </w:r>
      <w:r w:rsidRPr="00892C25">
        <w:t xml:space="preserve"> and water</w:t>
      </w:r>
      <w:r w:rsidR="009B157E">
        <w:t xml:space="preserve"> supply</w:t>
      </w:r>
      <w:r w:rsidRPr="00892C25">
        <w:t xml:space="preserve">. </w:t>
      </w:r>
    </w:p>
    <w:p w:rsidR="00044AF5" w:rsidRDefault="00044AF5" w:rsidP="00283EA9">
      <w:pPr>
        <w:ind w:left="720"/>
      </w:pPr>
      <w:r w:rsidRPr="00892C25">
        <w:t xml:space="preserve">As can be seen below </w:t>
      </w:r>
      <w:r w:rsidR="00C94308">
        <w:t xml:space="preserve">the </w:t>
      </w:r>
      <w:r w:rsidRPr="00892C25">
        <w:t>cleaning</w:t>
      </w:r>
      <w:r w:rsidR="009B157E">
        <w:t xml:space="preserve"> services and utility costs t</w:t>
      </w:r>
      <w:r w:rsidRPr="00892C25">
        <w:t xml:space="preserve">o </w:t>
      </w:r>
      <w:r w:rsidR="00C94308">
        <w:t>keep</w:t>
      </w:r>
      <w:r w:rsidRPr="00892C25">
        <w:t xml:space="preserve"> Council</w:t>
      </w:r>
      <w:r w:rsidR="009B157E">
        <w:t>`</w:t>
      </w:r>
      <w:r w:rsidRPr="00892C25">
        <w:t xml:space="preserve">s building assets </w:t>
      </w:r>
      <w:r w:rsidR="00C94308">
        <w:t xml:space="preserve">operational </w:t>
      </w:r>
      <w:r w:rsidR="009B157E">
        <w:t>are a significant annual cost.</w:t>
      </w:r>
    </w:p>
    <w:p w:rsidR="00892C25" w:rsidRPr="00892C25" w:rsidRDefault="00892C25" w:rsidP="00283EA9">
      <w:pPr>
        <w:ind w:left="720"/>
      </w:pPr>
    </w:p>
    <w:tbl>
      <w:tblPr>
        <w:tblW w:w="8469"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3544"/>
        <w:gridCol w:w="1252"/>
        <w:gridCol w:w="1217"/>
        <w:gridCol w:w="1217"/>
        <w:gridCol w:w="1239"/>
      </w:tblGrid>
      <w:tr w:rsidR="00693594" w:rsidRPr="00693594" w:rsidTr="00693594">
        <w:trPr>
          <w:jc w:val="right"/>
        </w:trPr>
        <w:tc>
          <w:tcPr>
            <w:tcW w:w="3544" w:type="dxa"/>
            <w:shd w:val="clear" w:color="auto" w:fill="95B3D7" w:themeFill="accent1" w:themeFillTint="99"/>
          </w:tcPr>
          <w:p w:rsidR="00044AF5" w:rsidRPr="00D3382E" w:rsidRDefault="00044AF5" w:rsidP="00D3382E">
            <w:pPr>
              <w:pStyle w:val="TableText1"/>
              <w:spacing w:before="120" w:after="120"/>
              <w:ind w:right="-125"/>
              <w:jc w:val="left"/>
              <w:rPr>
                <w:rFonts w:cs="Arial"/>
                <w:b/>
                <w:sz w:val="20"/>
              </w:rPr>
            </w:pPr>
            <w:r w:rsidRPr="00D3382E">
              <w:rPr>
                <w:rFonts w:cs="Arial"/>
                <w:b/>
                <w:sz w:val="20"/>
              </w:rPr>
              <w:t>Operational Budget Item</w:t>
            </w:r>
          </w:p>
        </w:tc>
        <w:tc>
          <w:tcPr>
            <w:tcW w:w="1252" w:type="dxa"/>
            <w:shd w:val="clear" w:color="auto" w:fill="95B3D7" w:themeFill="accent1" w:themeFillTint="99"/>
          </w:tcPr>
          <w:p w:rsidR="00044AF5" w:rsidRPr="00693594" w:rsidRDefault="00693594" w:rsidP="00693594">
            <w:pPr>
              <w:spacing w:before="120" w:after="120"/>
              <w:jc w:val="center"/>
              <w:rPr>
                <w:rFonts w:cs="Arial"/>
                <w:b/>
              </w:rPr>
            </w:pPr>
            <w:r>
              <w:rPr>
                <w:rFonts w:cs="Arial"/>
                <w:b/>
              </w:rPr>
              <w:t>2009</w:t>
            </w:r>
            <w:r w:rsidR="00044AF5" w:rsidRPr="00693594">
              <w:rPr>
                <w:rFonts w:cs="Arial"/>
                <w:b/>
              </w:rPr>
              <w:t>-2010</w:t>
            </w:r>
          </w:p>
        </w:tc>
        <w:tc>
          <w:tcPr>
            <w:tcW w:w="1217" w:type="dxa"/>
            <w:shd w:val="clear" w:color="auto" w:fill="95B3D7" w:themeFill="accent1" w:themeFillTint="99"/>
          </w:tcPr>
          <w:p w:rsidR="00044AF5" w:rsidRPr="00693594" w:rsidRDefault="00044AF5" w:rsidP="00693594">
            <w:pPr>
              <w:spacing w:before="120" w:after="120"/>
              <w:jc w:val="center"/>
              <w:rPr>
                <w:rFonts w:cs="Arial"/>
                <w:b/>
              </w:rPr>
            </w:pPr>
            <w:r w:rsidRPr="00693594">
              <w:rPr>
                <w:rFonts w:cs="Arial"/>
                <w:b/>
              </w:rPr>
              <w:t>2010-2011</w:t>
            </w:r>
          </w:p>
        </w:tc>
        <w:tc>
          <w:tcPr>
            <w:tcW w:w="1217" w:type="dxa"/>
            <w:shd w:val="clear" w:color="auto" w:fill="95B3D7" w:themeFill="accent1" w:themeFillTint="99"/>
          </w:tcPr>
          <w:p w:rsidR="00044AF5" w:rsidRPr="00693594" w:rsidRDefault="00044AF5" w:rsidP="00693594">
            <w:pPr>
              <w:spacing w:before="120" w:after="120"/>
              <w:jc w:val="center"/>
              <w:rPr>
                <w:rFonts w:cs="Arial"/>
                <w:b/>
              </w:rPr>
            </w:pPr>
            <w:r w:rsidRPr="00693594">
              <w:rPr>
                <w:rFonts w:cs="Arial"/>
                <w:b/>
              </w:rPr>
              <w:t>2011-2012</w:t>
            </w:r>
          </w:p>
        </w:tc>
        <w:tc>
          <w:tcPr>
            <w:tcW w:w="1239" w:type="dxa"/>
            <w:shd w:val="clear" w:color="auto" w:fill="95B3D7" w:themeFill="accent1" w:themeFillTint="99"/>
          </w:tcPr>
          <w:p w:rsidR="00044AF5" w:rsidRPr="00693594" w:rsidRDefault="00044AF5" w:rsidP="00693594">
            <w:pPr>
              <w:spacing w:before="120" w:after="120"/>
              <w:jc w:val="center"/>
              <w:rPr>
                <w:rFonts w:cs="Arial"/>
                <w:b/>
              </w:rPr>
            </w:pPr>
            <w:r w:rsidRPr="00693594">
              <w:rPr>
                <w:rFonts w:cs="Arial"/>
                <w:b/>
              </w:rPr>
              <w:t>2012–2013</w:t>
            </w:r>
          </w:p>
        </w:tc>
      </w:tr>
      <w:tr w:rsidR="00693594" w:rsidRPr="00693594" w:rsidTr="00693594">
        <w:trPr>
          <w:jc w:val="right"/>
        </w:trPr>
        <w:tc>
          <w:tcPr>
            <w:tcW w:w="3544" w:type="dxa"/>
          </w:tcPr>
          <w:p w:rsidR="00044AF5" w:rsidRPr="00693594" w:rsidRDefault="00044AF5" w:rsidP="001E67FF">
            <w:pPr>
              <w:pStyle w:val="TableText1"/>
              <w:spacing w:before="120" w:after="120"/>
              <w:ind w:right="-125"/>
              <w:jc w:val="left"/>
              <w:rPr>
                <w:rFonts w:cs="Arial"/>
                <w:sz w:val="20"/>
              </w:rPr>
            </w:pPr>
            <w:r w:rsidRPr="00693594">
              <w:rPr>
                <w:rFonts w:cs="Arial"/>
                <w:sz w:val="20"/>
              </w:rPr>
              <w:t>Cleaning</w:t>
            </w:r>
          </w:p>
        </w:tc>
        <w:tc>
          <w:tcPr>
            <w:tcW w:w="1252" w:type="dxa"/>
          </w:tcPr>
          <w:p w:rsidR="00044AF5" w:rsidRPr="00693594" w:rsidRDefault="004A4BA0" w:rsidP="004A4BA0">
            <w:pPr>
              <w:pStyle w:val="TableText1"/>
              <w:tabs>
                <w:tab w:val="clear" w:pos="794"/>
                <w:tab w:val="clear" w:pos="1247"/>
                <w:tab w:val="clear" w:pos="1701"/>
                <w:tab w:val="decimal" w:pos="1026"/>
              </w:tabs>
              <w:spacing w:before="120" w:after="120"/>
              <w:jc w:val="center"/>
              <w:rPr>
                <w:rFonts w:cs="Arial"/>
                <w:sz w:val="20"/>
              </w:rPr>
            </w:pPr>
            <w:r w:rsidRPr="00693594">
              <w:rPr>
                <w:rFonts w:cs="Arial"/>
                <w:sz w:val="20"/>
              </w:rPr>
              <w:t>$</w:t>
            </w:r>
            <w:r w:rsidR="00044AF5" w:rsidRPr="00693594">
              <w:rPr>
                <w:rFonts w:cs="Arial"/>
                <w:sz w:val="20"/>
              </w:rPr>
              <w:t>1,206,024</w:t>
            </w:r>
          </w:p>
        </w:tc>
        <w:tc>
          <w:tcPr>
            <w:tcW w:w="1217" w:type="dxa"/>
          </w:tcPr>
          <w:p w:rsidR="00044AF5" w:rsidRPr="00693594" w:rsidRDefault="001E67FF" w:rsidP="001E67FF">
            <w:pPr>
              <w:pStyle w:val="TableText1"/>
              <w:tabs>
                <w:tab w:val="clear" w:pos="794"/>
                <w:tab w:val="clear" w:pos="1247"/>
                <w:tab w:val="clear" w:pos="1701"/>
                <w:tab w:val="decimal" w:pos="956"/>
              </w:tabs>
              <w:spacing w:before="120" w:after="120"/>
              <w:jc w:val="center"/>
              <w:rPr>
                <w:rFonts w:cs="Arial"/>
                <w:sz w:val="20"/>
              </w:rPr>
            </w:pPr>
            <w:r w:rsidRPr="00693594">
              <w:rPr>
                <w:rFonts w:cs="Arial"/>
                <w:sz w:val="20"/>
              </w:rPr>
              <w:t>$</w:t>
            </w:r>
            <w:r w:rsidR="00044AF5" w:rsidRPr="00693594">
              <w:rPr>
                <w:rFonts w:cs="Arial"/>
                <w:sz w:val="20"/>
              </w:rPr>
              <w:t>1,248,830</w:t>
            </w:r>
          </w:p>
        </w:tc>
        <w:tc>
          <w:tcPr>
            <w:tcW w:w="1217" w:type="dxa"/>
          </w:tcPr>
          <w:p w:rsidR="00044AF5" w:rsidRPr="00693594" w:rsidRDefault="00044AF5" w:rsidP="001E67FF">
            <w:pPr>
              <w:pStyle w:val="TableText1"/>
              <w:tabs>
                <w:tab w:val="clear" w:pos="794"/>
                <w:tab w:val="clear" w:pos="1247"/>
                <w:tab w:val="clear" w:pos="1701"/>
                <w:tab w:val="decimal" w:pos="923"/>
              </w:tabs>
              <w:spacing w:before="120" w:after="120"/>
              <w:jc w:val="center"/>
              <w:rPr>
                <w:rFonts w:cs="Arial"/>
                <w:sz w:val="20"/>
              </w:rPr>
            </w:pPr>
            <w:r w:rsidRPr="00693594">
              <w:rPr>
                <w:rFonts w:cs="Arial"/>
                <w:sz w:val="20"/>
              </w:rPr>
              <w:t>$1,250,000</w:t>
            </w:r>
          </w:p>
        </w:tc>
        <w:tc>
          <w:tcPr>
            <w:tcW w:w="1239" w:type="dxa"/>
          </w:tcPr>
          <w:p w:rsidR="00044AF5" w:rsidRPr="00693594" w:rsidRDefault="001E67FF" w:rsidP="001E67FF">
            <w:pPr>
              <w:pStyle w:val="TableText1"/>
              <w:tabs>
                <w:tab w:val="clear" w:pos="794"/>
                <w:tab w:val="clear" w:pos="1247"/>
                <w:tab w:val="clear" w:pos="1701"/>
                <w:tab w:val="decimal" w:pos="846"/>
              </w:tabs>
              <w:spacing w:before="120" w:after="120"/>
              <w:jc w:val="center"/>
              <w:rPr>
                <w:rFonts w:cs="Arial"/>
                <w:sz w:val="20"/>
              </w:rPr>
            </w:pPr>
            <w:r w:rsidRPr="00693594">
              <w:rPr>
                <w:rFonts w:cs="Arial"/>
                <w:sz w:val="20"/>
              </w:rPr>
              <w:t>$</w:t>
            </w:r>
            <w:r w:rsidR="00044AF5" w:rsidRPr="00693594">
              <w:rPr>
                <w:rFonts w:cs="Arial"/>
                <w:sz w:val="20"/>
              </w:rPr>
              <w:t>1,087,653</w:t>
            </w:r>
          </w:p>
        </w:tc>
      </w:tr>
      <w:tr w:rsidR="00693594" w:rsidRPr="00693594" w:rsidTr="00693594">
        <w:trPr>
          <w:jc w:val="right"/>
        </w:trPr>
        <w:tc>
          <w:tcPr>
            <w:tcW w:w="3544" w:type="dxa"/>
          </w:tcPr>
          <w:p w:rsidR="00044AF5" w:rsidRPr="00693594" w:rsidRDefault="00044AF5" w:rsidP="001E67FF">
            <w:pPr>
              <w:pStyle w:val="TableText1"/>
              <w:spacing w:before="120" w:after="120"/>
              <w:ind w:right="-125"/>
              <w:jc w:val="left"/>
              <w:rPr>
                <w:rFonts w:cs="Arial"/>
                <w:sz w:val="20"/>
              </w:rPr>
            </w:pPr>
            <w:r w:rsidRPr="00693594">
              <w:rPr>
                <w:rFonts w:cs="Arial"/>
                <w:sz w:val="20"/>
              </w:rPr>
              <w:t>Others (Graffiti Removal, Pest Control)</w:t>
            </w:r>
          </w:p>
        </w:tc>
        <w:tc>
          <w:tcPr>
            <w:tcW w:w="1252" w:type="dxa"/>
          </w:tcPr>
          <w:p w:rsidR="00044AF5" w:rsidRPr="00693594" w:rsidRDefault="00044AF5" w:rsidP="004A4BA0">
            <w:pPr>
              <w:pStyle w:val="TableText1"/>
              <w:tabs>
                <w:tab w:val="clear" w:pos="794"/>
                <w:tab w:val="clear" w:pos="1247"/>
                <w:tab w:val="clear" w:pos="1701"/>
                <w:tab w:val="decimal" w:pos="1026"/>
              </w:tabs>
              <w:spacing w:before="120" w:after="120"/>
              <w:jc w:val="center"/>
              <w:rPr>
                <w:rFonts w:cs="Arial"/>
                <w:sz w:val="20"/>
              </w:rPr>
            </w:pPr>
            <w:r w:rsidRPr="00693594">
              <w:rPr>
                <w:rFonts w:cs="Arial"/>
                <w:sz w:val="20"/>
              </w:rPr>
              <w:t>18,390</w:t>
            </w:r>
          </w:p>
        </w:tc>
        <w:tc>
          <w:tcPr>
            <w:tcW w:w="1217" w:type="dxa"/>
          </w:tcPr>
          <w:p w:rsidR="00044AF5" w:rsidRPr="00693594" w:rsidRDefault="00044AF5" w:rsidP="001E67FF">
            <w:pPr>
              <w:pStyle w:val="TableText1"/>
              <w:tabs>
                <w:tab w:val="clear" w:pos="794"/>
                <w:tab w:val="clear" w:pos="1247"/>
                <w:tab w:val="clear" w:pos="1701"/>
                <w:tab w:val="decimal" w:pos="956"/>
              </w:tabs>
              <w:spacing w:before="120" w:after="120"/>
              <w:jc w:val="center"/>
              <w:rPr>
                <w:rFonts w:cs="Arial"/>
                <w:sz w:val="20"/>
              </w:rPr>
            </w:pPr>
            <w:r w:rsidRPr="00693594">
              <w:rPr>
                <w:rFonts w:cs="Arial"/>
                <w:sz w:val="20"/>
              </w:rPr>
              <w:t>31,074</w:t>
            </w:r>
          </w:p>
        </w:tc>
        <w:tc>
          <w:tcPr>
            <w:tcW w:w="1217" w:type="dxa"/>
          </w:tcPr>
          <w:p w:rsidR="00044AF5" w:rsidRPr="00693594" w:rsidRDefault="00044AF5" w:rsidP="001E67FF">
            <w:pPr>
              <w:pStyle w:val="TableText1"/>
              <w:tabs>
                <w:tab w:val="clear" w:pos="794"/>
                <w:tab w:val="clear" w:pos="1247"/>
                <w:tab w:val="clear" w:pos="1701"/>
                <w:tab w:val="decimal" w:pos="923"/>
              </w:tabs>
              <w:spacing w:before="120" w:after="120"/>
              <w:jc w:val="center"/>
              <w:rPr>
                <w:rFonts w:cs="Arial"/>
                <w:sz w:val="20"/>
              </w:rPr>
            </w:pPr>
            <w:r w:rsidRPr="00693594">
              <w:rPr>
                <w:rFonts w:cs="Arial"/>
                <w:sz w:val="20"/>
              </w:rPr>
              <w:t>23,700</w:t>
            </w:r>
          </w:p>
        </w:tc>
        <w:tc>
          <w:tcPr>
            <w:tcW w:w="1239" w:type="dxa"/>
          </w:tcPr>
          <w:p w:rsidR="00044AF5" w:rsidRPr="00693594" w:rsidRDefault="00044AF5" w:rsidP="001E67FF">
            <w:pPr>
              <w:pStyle w:val="TableText1"/>
              <w:tabs>
                <w:tab w:val="clear" w:pos="794"/>
                <w:tab w:val="clear" w:pos="1247"/>
                <w:tab w:val="clear" w:pos="1701"/>
                <w:tab w:val="decimal" w:pos="846"/>
              </w:tabs>
              <w:spacing w:before="120" w:after="120"/>
              <w:jc w:val="center"/>
              <w:rPr>
                <w:rFonts w:cs="Arial"/>
                <w:sz w:val="20"/>
              </w:rPr>
            </w:pPr>
            <w:r w:rsidRPr="00693594">
              <w:rPr>
                <w:rFonts w:cs="Arial"/>
                <w:sz w:val="20"/>
              </w:rPr>
              <w:t>10,325</w:t>
            </w:r>
          </w:p>
        </w:tc>
      </w:tr>
      <w:tr w:rsidR="00693594" w:rsidRPr="00693594" w:rsidTr="00693594">
        <w:trPr>
          <w:jc w:val="right"/>
        </w:trPr>
        <w:tc>
          <w:tcPr>
            <w:tcW w:w="3544" w:type="dxa"/>
          </w:tcPr>
          <w:p w:rsidR="00044AF5" w:rsidRPr="00693594" w:rsidRDefault="00044AF5" w:rsidP="001E67FF">
            <w:pPr>
              <w:pStyle w:val="TableText1"/>
              <w:spacing w:before="120" w:after="120"/>
              <w:ind w:right="-125"/>
              <w:jc w:val="left"/>
              <w:rPr>
                <w:rFonts w:cs="Arial"/>
                <w:sz w:val="20"/>
              </w:rPr>
            </w:pPr>
            <w:r w:rsidRPr="00693594">
              <w:rPr>
                <w:rFonts w:cs="Arial"/>
                <w:sz w:val="20"/>
              </w:rPr>
              <w:t>Security</w:t>
            </w:r>
          </w:p>
        </w:tc>
        <w:tc>
          <w:tcPr>
            <w:tcW w:w="1252" w:type="dxa"/>
          </w:tcPr>
          <w:p w:rsidR="00044AF5" w:rsidRPr="00693594" w:rsidRDefault="00044AF5" w:rsidP="004A4BA0">
            <w:pPr>
              <w:pStyle w:val="TableText1"/>
              <w:tabs>
                <w:tab w:val="clear" w:pos="794"/>
                <w:tab w:val="clear" w:pos="1247"/>
                <w:tab w:val="clear" w:pos="1701"/>
                <w:tab w:val="decimal" w:pos="1026"/>
              </w:tabs>
              <w:spacing w:before="120" w:after="120"/>
              <w:jc w:val="center"/>
              <w:rPr>
                <w:rFonts w:cs="Arial"/>
                <w:sz w:val="20"/>
              </w:rPr>
            </w:pPr>
            <w:r w:rsidRPr="00693594">
              <w:rPr>
                <w:rFonts w:cs="Arial"/>
                <w:sz w:val="20"/>
              </w:rPr>
              <w:t>107,908</w:t>
            </w:r>
          </w:p>
        </w:tc>
        <w:tc>
          <w:tcPr>
            <w:tcW w:w="1217" w:type="dxa"/>
          </w:tcPr>
          <w:p w:rsidR="00044AF5" w:rsidRPr="00693594" w:rsidRDefault="00044AF5" w:rsidP="001E67FF">
            <w:pPr>
              <w:pStyle w:val="TableText1"/>
              <w:tabs>
                <w:tab w:val="clear" w:pos="794"/>
                <w:tab w:val="clear" w:pos="1247"/>
                <w:tab w:val="clear" w:pos="1701"/>
                <w:tab w:val="decimal" w:pos="956"/>
              </w:tabs>
              <w:spacing w:before="120" w:after="120"/>
              <w:jc w:val="center"/>
              <w:rPr>
                <w:rFonts w:cs="Arial"/>
                <w:sz w:val="20"/>
              </w:rPr>
            </w:pPr>
            <w:r w:rsidRPr="00693594">
              <w:rPr>
                <w:rFonts w:cs="Arial"/>
                <w:sz w:val="20"/>
              </w:rPr>
              <w:t>91,962</w:t>
            </w:r>
          </w:p>
        </w:tc>
        <w:tc>
          <w:tcPr>
            <w:tcW w:w="1217" w:type="dxa"/>
          </w:tcPr>
          <w:p w:rsidR="00044AF5" w:rsidRPr="00693594" w:rsidRDefault="00044AF5" w:rsidP="001E67FF">
            <w:pPr>
              <w:pStyle w:val="TableText1"/>
              <w:tabs>
                <w:tab w:val="clear" w:pos="794"/>
                <w:tab w:val="clear" w:pos="1247"/>
                <w:tab w:val="clear" w:pos="1701"/>
                <w:tab w:val="decimal" w:pos="923"/>
              </w:tabs>
              <w:spacing w:before="120" w:after="120"/>
              <w:jc w:val="center"/>
              <w:rPr>
                <w:rFonts w:cs="Arial"/>
                <w:sz w:val="20"/>
              </w:rPr>
            </w:pPr>
            <w:r w:rsidRPr="00693594">
              <w:rPr>
                <w:rFonts w:cs="Arial"/>
                <w:sz w:val="20"/>
              </w:rPr>
              <w:t>98,887</w:t>
            </w:r>
          </w:p>
        </w:tc>
        <w:tc>
          <w:tcPr>
            <w:tcW w:w="1239" w:type="dxa"/>
          </w:tcPr>
          <w:p w:rsidR="00044AF5" w:rsidRPr="00693594" w:rsidRDefault="00044AF5" w:rsidP="001E67FF">
            <w:pPr>
              <w:pStyle w:val="TableText1"/>
              <w:tabs>
                <w:tab w:val="clear" w:pos="794"/>
                <w:tab w:val="clear" w:pos="1247"/>
                <w:tab w:val="clear" w:pos="1701"/>
                <w:tab w:val="decimal" w:pos="846"/>
              </w:tabs>
              <w:spacing w:before="120" w:after="120"/>
              <w:jc w:val="center"/>
              <w:rPr>
                <w:rFonts w:cs="Arial"/>
                <w:sz w:val="20"/>
              </w:rPr>
            </w:pPr>
            <w:r w:rsidRPr="00693594">
              <w:rPr>
                <w:rFonts w:cs="Arial"/>
                <w:sz w:val="20"/>
              </w:rPr>
              <w:t>82,600</w:t>
            </w:r>
          </w:p>
        </w:tc>
      </w:tr>
      <w:tr w:rsidR="00693594" w:rsidRPr="00693594" w:rsidTr="00693594">
        <w:trPr>
          <w:jc w:val="right"/>
        </w:trPr>
        <w:tc>
          <w:tcPr>
            <w:tcW w:w="3544" w:type="dxa"/>
          </w:tcPr>
          <w:p w:rsidR="00044AF5" w:rsidRPr="00D3382E" w:rsidRDefault="00044AF5" w:rsidP="00D3382E">
            <w:pPr>
              <w:pStyle w:val="TableText1"/>
              <w:spacing w:before="120" w:after="120"/>
              <w:ind w:right="-125"/>
              <w:jc w:val="left"/>
              <w:rPr>
                <w:rFonts w:cs="Arial"/>
                <w:sz w:val="20"/>
              </w:rPr>
            </w:pPr>
            <w:r w:rsidRPr="00D3382E">
              <w:rPr>
                <w:rFonts w:cs="Arial"/>
                <w:sz w:val="20"/>
              </w:rPr>
              <w:t>Electricity</w:t>
            </w:r>
          </w:p>
        </w:tc>
        <w:tc>
          <w:tcPr>
            <w:tcW w:w="1252" w:type="dxa"/>
          </w:tcPr>
          <w:p w:rsidR="00044AF5" w:rsidRPr="00693594" w:rsidRDefault="00044AF5" w:rsidP="004A4BA0">
            <w:pPr>
              <w:pStyle w:val="TableText1"/>
              <w:tabs>
                <w:tab w:val="clear" w:pos="794"/>
                <w:tab w:val="clear" w:pos="1247"/>
                <w:tab w:val="clear" w:pos="1701"/>
                <w:tab w:val="decimal" w:pos="1026"/>
              </w:tabs>
              <w:spacing w:before="120" w:after="120"/>
              <w:jc w:val="center"/>
              <w:rPr>
                <w:rFonts w:cs="Arial"/>
                <w:sz w:val="20"/>
              </w:rPr>
            </w:pPr>
            <w:r w:rsidRPr="00693594">
              <w:rPr>
                <w:rFonts w:cs="Arial"/>
                <w:sz w:val="20"/>
              </w:rPr>
              <w:t>847,833</w:t>
            </w:r>
          </w:p>
        </w:tc>
        <w:tc>
          <w:tcPr>
            <w:tcW w:w="1217" w:type="dxa"/>
          </w:tcPr>
          <w:p w:rsidR="00044AF5" w:rsidRPr="00693594" w:rsidRDefault="00044AF5" w:rsidP="001E67FF">
            <w:pPr>
              <w:pStyle w:val="TableText1"/>
              <w:tabs>
                <w:tab w:val="clear" w:pos="794"/>
                <w:tab w:val="clear" w:pos="1247"/>
                <w:tab w:val="clear" w:pos="1701"/>
                <w:tab w:val="decimal" w:pos="956"/>
              </w:tabs>
              <w:spacing w:before="120" w:after="120"/>
              <w:jc w:val="center"/>
              <w:rPr>
                <w:rFonts w:cs="Arial"/>
                <w:sz w:val="20"/>
              </w:rPr>
            </w:pPr>
            <w:r w:rsidRPr="00693594">
              <w:rPr>
                <w:rFonts w:cs="Arial"/>
                <w:sz w:val="20"/>
              </w:rPr>
              <w:t>747,217</w:t>
            </w:r>
          </w:p>
        </w:tc>
        <w:tc>
          <w:tcPr>
            <w:tcW w:w="1217" w:type="dxa"/>
          </w:tcPr>
          <w:p w:rsidR="00044AF5" w:rsidRPr="00693594" w:rsidRDefault="00044AF5" w:rsidP="001E67FF">
            <w:pPr>
              <w:pStyle w:val="TableText1"/>
              <w:tabs>
                <w:tab w:val="clear" w:pos="794"/>
                <w:tab w:val="clear" w:pos="1247"/>
                <w:tab w:val="clear" w:pos="1701"/>
                <w:tab w:val="decimal" w:pos="923"/>
              </w:tabs>
              <w:spacing w:before="120" w:after="120"/>
              <w:jc w:val="center"/>
              <w:rPr>
                <w:rFonts w:cs="Arial"/>
                <w:sz w:val="20"/>
              </w:rPr>
            </w:pPr>
            <w:r w:rsidRPr="00693594">
              <w:rPr>
                <w:rFonts w:cs="Arial"/>
                <w:sz w:val="20"/>
              </w:rPr>
              <w:t>370,103</w:t>
            </w:r>
          </w:p>
        </w:tc>
        <w:tc>
          <w:tcPr>
            <w:tcW w:w="1239" w:type="dxa"/>
          </w:tcPr>
          <w:p w:rsidR="00044AF5" w:rsidRPr="00693594" w:rsidRDefault="00044AF5" w:rsidP="001E67FF">
            <w:pPr>
              <w:tabs>
                <w:tab w:val="decimal" w:pos="846"/>
              </w:tabs>
              <w:spacing w:before="120" w:after="120"/>
              <w:jc w:val="center"/>
              <w:rPr>
                <w:rFonts w:cs="Arial"/>
              </w:rPr>
            </w:pPr>
            <w:r w:rsidRPr="00693594">
              <w:rPr>
                <w:rFonts w:cs="Arial"/>
              </w:rPr>
              <w:t>611,520</w:t>
            </w:r>
          </w:p>
        </w:tc>
      </w:tr>
      <w:tr w:rsidR="00693594" w:rsidRPr="00693594" w:rsidTr="00693594">
        <w:trPr>
          <w:jc w:val="right"/>
        </w:trPr>
        <w:tc>
          <w:tcPr>
            <w:tcW w:w="3544" w:type="dxa"/>
          </w:tcPr>
          <w:p w:rsidR="00044AF5" w:rsidRPr="00D3382E" w:rsidRDefault="00044AF5" w:rsidP="00D3382E">
            <w:pPr>
              <w:pStyle w:val="TableText1"/>
              <w:spacing w:before="120" w:after="120"/>
              <w:ind w:right="-125"/>
              <w:jc w:val="left"/>
              <w:rPr>
                <w:rFonts w:cs="Arial"/>
                <w:sz w:val="20"/>
              </w:rPr>
            </w:pPr>
            <w:r w:rsidRPr="00D3382E">
              <w:rPr>
                <w:rFonts w:cs="Arial"/>
                <w:sz w:val="20"/>
              </w:rPr>
              <w:t xml:space="preserve">Gas </w:t>
            </w:r>
          </w:p>
        </w:tc>
        <w:tc>
          <w:tcPr>
            <w:tcW w:w="1252" w:type="dxa"/>
          </w:tcPr>
          <w:p w:rsidR="00044AF5" w:rsidRPr="00693594" w:rsidRDefault="00044AF5" w:rsidP="004A4BA0">
            <w:pPr>
              <w:pStyle w:val="TableText1"/>
              <w:tabs>
                <w:tab w:val="clear" w:pos="794"/>
                <w:tab w:val="clear" w:pos="1247"/>
                <w:tab w:val="clear" w:pos="1701"/>
                <w:tab w:val="decimal" w:pos="1026"/>
              </w:tabs>
              <w:spacing w:before="120" w:after="120"/>
              <w:jc w:val="center"/>
              <w:rPr>
                <w:rFonts w:cs="Arial"/>
                <w:sz w:val="20"/>
              </w:rPr>
            </w:pPr>
            <w:r w:rsidRPr="00693594">
              <w:rPr>
                <w:rFonts w:cs="Arial"/>
                <w:sz w:val="20"/>
              </w:rPr>
              <w:t>218,099</w:t>
            </w:r>
          </w:p>
        </w:tc>
        <w:tc>
          <w:tcPr>
            <w:tcW w:w="1217" w:type="dxa"/>
          </w:tcPr>
          <w:p w:rsidR="00044AF5" w:rsidRPr="00693594" w:rsidRDefault="00044AF5" w:rsidP="001E67FF">
            <w:pPr>
              <w:pStyle w:val="TableText1"/>
              <w:tabs>
                <w:tab w:val="clear" w:pos="794"/>
                <w:tab w:val="clear" w:pos="1247"/>
                <w:tab w:val="clear" w:pos="1701"/>
                <w:tab w:val="decimal" w:pos="956"/>
              </w:tabs>
              <w:spacing w:before="120" w:after="120"/>
              <w:jc w:val="center"/>
              <w:rPr>
                <w:rFonts w:cs="Arial"/>
                <w:sz w:val="20"/>
              </w:rPr>
            </w:pPr>
            <w:r w:rsidRPr="00693594">
              <w:rPr>
                <w:rFonts w:cs="Arial"/>
                <w:sz w:val="20"/>
              </w:rPr>
              <w:t>178,822</w:t>
            </w:r>
          </w:p>
        </w:tc>
        <w:tc>
          <w:tcPr>
            <w:tcW w:w="1217" w:type="dxa"/>
          </w:tcPr>
          <w:p w:rsidR="00044AF5" w:rsidRPr="00693594" w:rsidRDefault="00044AF5" w:rsidP="001E67FF">
            <w:pPr>
              <w:pStyle w:val="TableText1"/>
              <w:tabs>
                <w:tab w:val="clear" w:pos="794"/>
                <w:tab w:val="clear" w:pos="1247"/>
                <w:tab w:val="clear" w:pos="1701"/>
                <w:tab w:val="decimal" w:pos="923"/>
              </w:tabs>
              <w:spacing w:before="120" w:after="120"/>
              <w:jc w:val="center"/>
              <w:rPr>
                <w:rFonts w:cs="Arial"/>
                <w:sz w:val="20"/>
              </w:rPr>
            </w:pPr>
            <w:r w:rsidRPr="00693594">
              <w:rPr>
                <w:rFonts w:cs="Arial"/>
                <w:sz w:val="20"/>
              </w:rPr>
              <w:t>138,942</w:t>
            </w:r>
          </w:p>
        </w:tc>
        <w:tc>
          <w:tcPr>
            <w:tcW w:w="1239" w:type="dxa"/>
          </w:tcPr>
          <w:p w:rsidR="00044AF5" w:rsidRPr="00693594" w:rsidRDefault="00044AF5" w:rsidP="001E67FF">
            <w:pPr>
              <w:tabs>
                <w:tab w:val="decimal" w:pos="846"/>
              </w:tabs>
              <w:spacing w:before="120" w:after="120"/>
              <w:jc w:val="center"/>
              <w:rPr>
                <w:rFonts w:cs="Arial"/>
              </w:rPr>
            </w:pPr>
            <w:r w:rsidRPr="00693594">
              <w:rPr>
                <w:rFonts w:cs="Arial"/>
              </w:rPr>
              <w:t>308,599</w:t>
            </w:r>
          </w:p>
        </w:tc>
      </w:tr>
      <w:tr w:rsidR="00693594" w:rsidRPr="00693594" w:rsidTr="00693594">
        <w:trPr>
          <w:jc w:val="right"/>
        </w:trPr>
        <w:tc>
          <w:tcPr>
            <w:tcW w:w="3544" w:type="dxa"/>
          </w:tcPr>
          <w:p w:rsidR="00044AF5" w:rsidRPr="00D3382E" w:rsidRDefault="00044AF5" w:rsidP="00D3382E">
            <w:pPr>
              <w:pStyle w:val="TableText1"/>
              <w:spacing w:before="120" w:after="120"/>
              <w:ind w:right="-125"/>
              <w:jc w:val="left"/>
              <w:rPr>
                <w:rFonts w:cs="Arial"/>
                <w:sz w:val="20"/>
              </w:rPr>
            </w:pPr>
            <w:r w:rsidRPr="00D3382E">
              <w:rPr>
                <w:rFonts w:cs="Arial"/>
                <w:sz w:val="20"/>
              </w:rPr>
              <w:t>Water</w:t>
            </w:r>
          </w:p>
        </w:tc>
        <w:tc>
          <w:tcPr>
            <w:tcW w:w="1252" w:type="dxa"/>
          </w:tcPr>
          <w:p w:rsidR="00044AF5" w:rsidRPr="00693594" w:rsidRDefault="00044AF5" w:rsidP="004A4BA0">
            <w:pPr>
              <w:pStyle w:val="TableText1"/>
              <w:tabs>
                <w:tab w:val="clear" w:pos="794"/>
                <w:tab w:val="clear" w:pos="1247"/>
                <w:tab w:val="clear" w:pos="1701"/>
                <w:tab w:val="decimal" w:pos="1026"/>
              </w:tabs>
              <w:spacing w:before="120" w:after="120"/>
              <w:jc w:val="center"/>
              <w:rPr>
                <w:rFonts w:cs="Arial"/>
                <w:sz w:val="20"/>
              </w:rPr>
            </w:pPr>
            <w:r w:rsidRPr="00693594">
              <w:rPr>
                <w:rFonts w:cs="Arial"/>
                <w:sz w:val="20"/>
              </w:rPr>
              <w:t>308,230</w:t>
            </w:r>
          </w:p>
        </w:tc>
        <w:tc>
          <w:tcPr>
            <w:tcW w:w="1217" w:type="dxa"/>
          </w:tcPr>
          <w:p w:rsidR="00044AF5" w:rsidRPr="00693594" w:rsidRDefault="00044AF5" w:rsidP="001E67FF">
            <w:pPr>
              <w:pStyle w:val="TableText1"/>
              <w:tabs>
                <w:tab w:val="clear" w:pos="794"/>
                <w:tab w:val="clear" w:pos="1247"/>
                <w:tab w:val="clear" w:pos="1701"/>
                <w:tab w:val="decimal" w:pos="956"/>
              </w:tabs>
              <w:spacing w:before="120" w:after="120"/>
              <w:jc w:val="center"/>
              <w:rPr>
                <w:rFonts w:cs="Arial"/>
                <w:sz w:val="20"/>
              </w:rPr>
            </w:pPr>
            <w:r w:rsidRPr="00693594">
              <w:rPr>
                <w:rFonts w:cs="Arial"/>
                <w:sz w:val="20"/>
              </w:rPr>
              <w:t>317,751</w:t>
            </w:r>
          </w:p>
        </w:tc>
        <w:tc>
          <w:tcPr>
            <w:tcW w:w="1217" w:type="dxa"/>
          </w:tcPr>
          <w:p w:rsidR="00044AF5" w:rsidRPr="00693594" w:rsidRDefault="00044AF5" w:rsidP="001E67FF">
            <w:pPr>
              <w:pStyle w:val="TableText1"/>
              <w:tabs>
                <w:tab w:val="clear" w:pos="794"/>
                <w:tab w:val="clear" w:pos="1247"/>
                <w:tab w:val="clear" w:pos="1701"/>
                <w:tab w:val="decimal" w:pos="923"/>
              </w:tabs>
              <w:spacing w:before="120" w:after="120"/>
              <w:jc w:val="center"/>
              <w:rPr>
                <w:rFonts w:cs="Arial"/>
                <w:sz w:val="20"/>
              </w:rPr>
            </w:pPr>
            <w:r w:rsidRPr="00693594">
              <w:rPr>
                <w:rFonts w:cs="Arial"/>
                <w:sz w:val="20"/>
              </w:rPr>
              <w:t>491,723</w:t>
            </w:r>
          </w:p>
        </w:tc>
        <w:tc>
          <w:tcPr>
            <w:tcW w:w="1239" w:type="dxa"/>
          </w:tcPr>
          <w:p w:rsidR="00044AF5" w:rsidRPr="00693594" w:rsidRDefault="00044AF5" w:rsidP="001E67FF">
            <w:pPr>
              <w:tabs>
                <w:tab w:val="decimal" w:pos="846"/>
              </w:tabs>
              <w:spacing w:before="120" w:after="120"/>
              <w:jc w:val="center"/>
              <w:rPr>
                <w:rFonts w:cs="Arial"/>
              </w:rPr>
            </w:pPr>
            <w:r w:rsidRPr="00693594">
              <w:rPr>
                <w:rFonts w:cs="Arial"/>
              </w:rPr>
              <w:t>344,000</w:t>
            </w:r>
          </w:p>
        </w:tc>
      </w:tr>
      <w:tr w:rsidR="00693594" w:rsidRPr="00693594" w:rsidTr="00693594">
        <w:trPr>
          <w:jc w:val="right"/>
        </w:trPr>
        <w:tc>
          <w:tcPr>
            <w:tcW w:w="3544" w:type="dxa"/>
          </w:tcPr>
          <w:p w:rsidR="00044AF5" w:rsidRPr="00693594" w:rsidRDefault="00766943" w:rsidP="00766943">
            <w:pPr>
              <w:pStyle w:val="TableText1"/>
              <w:spacing w:before="120" w:after="120"/>
              <w:jc w:val="left"/>
              <w:rPr>
                <w:rFonts w:cs="Arial"/>
                <w:b/>
                <w:sz w:val="20"/>
              </w:rPr>
            </w:pPr>
            <w:r w:rsidRPr="00693594">
              <w:rPr>
                <w:rFonts w:cs="Arial"/>
                <w:b/>
                <w:sz w:val="20"/>
              </w:rPr>
              <w:t xml:space="preserve">     </w:t>
            </w:r>
            <w:r w:rsidR="001216E2" w:rsidRPr="00693594">
              <w:rPr>
                <w:rFonts w:cs="Arial"/>
                <w:b/>
                <w:sz w:val="20"/>
              </w:rPr>
              <w:t>Operational</w:t>
            </w:r>
            <w:r w:rsidR="00044AF5" w:rsidRPr="00693594">
              <w:rPr>
                <w:rFonts w:cs="Arial"/>
                <w:b/>
                <w:sz w:val="20"/>
              </w:rPr>
              <w:t xml:space="preserve"> - Total</w:t>
            </w:r>
          </w:p>
        </w:tc>
        <w:tc>
          <w:tcPr>
            <w:tcW w:w="1252" w:type="dxa"/>
          </w:tcPr>
          <w:p w:rsidR="00044AF5" w:rsidRPr="00693594" w:rsidRDefault="001E67FF" w:rsidP="004A4BA0">
            <w:pPr>
              <w:pStyle w:val="TableText1"/>
              <w:tabs>
                <w:tab w:val="clear" w:pos="794"/>
                <w:tab w:val="clear" w:pos="1247"/>
                <w:tab w:val="clear" w:pos="1701"/>
                <w:tab w:val="decimal" w:pos="1026"/>
              </w:tabs>
              <w:spacing w:before="120" w:after="120"/>
              <w:jc w:val="center"/>
              <w:rPr>
                <w:rFonts w:cs="Arial"/>
                <w:b/>
                <w:sz w:val="20"/>
              </w:rPr>
            </w:pPr>
            <w:r w:rsidRPr="00693594">
              <w:rPr>
                <w:rFonts w:cs="Arial"/>
                <w:b/>
                <w:sz w:val="20"/>
              </w:rPr>
              <w:t>$</w:t>
            </w:r>
            <w:r w:rsidR="00044AF5" w:rsidRPr="00693594">
              <w:rPr>
                <w:rFonts w:cs="Arial"/>
                <w:b/>
                <w:sz w:val="20"/>
              </w:rPr>
              <w:t>2,706,484</w:t>
            </w:r>
          </w:p>
        </w:tc>
        <w:tc>
          <w:tcPr>
            <w:tcW w:w="1217" w:type="dxa"/>
          </w:tcPr>
          <w:p w:rsidR="00044AF5" w:rsidRPr="00693594" w:rsidRDefault="00044AF5" w:rsidP="001E67FF">
            <w:pPr>
              <w:pStyle w:val="TableText1"/>
              <w:tabs>
                <w:tab w:val="clear" w:pos="794"/>
                <w:tab w:val="clear" w:pos="1247"/>
                <w:tab w:val="clear" w:pos="1701"/>
                <w:tab w:val="decimal" w:pos="956"/>
              </w:tabs>
              <w:spacing w:before="120" w:after="120"/>
              <w:jc w:val="center"/>
              <w:rPr>
                <w:rFonts w:cs="Arial"/>
                <w:b/>
                <w:sz w:val="20"/>
              </w:rPr>
            </w:pPr>
            <w:r w:rsidRPr="00693594">
              <w:rPr>
                <w:rFonts w:cs="Arial"/>
                <w:b/>
                <w:sz w:val="20"/>
              </w:rPr>
              <w:t>$2,615,565</w:t>
            </w:r>
          </w:p>
        </w:tc>
        <w:tc>
          <w:tcPr>
            <w:tcW w:w="1217" w:type="dxa"/>
          </w:tcPr>
          <w:p w:rsidR="00044AF5" w:rsidRPr="00693594" w:rsidRDefault="001E67FF" w:rsidP="001E67FF">
            <w:pPr>
              <w:pStyle w:val="TableText1"/>
              <w:tabs>
                <w:tab w:val="clear" w:pos="794"/>
                <w:tab w:val="clear" w:pos="1247"/>
                <w:tab w:val="clear" w:pos="1701"/>
                <w:tab w:val="decimal" w:pos="923"/>
              </w:tabs>
              <w:spacing w:before="120" w:after="120"/>
              <w:jc w:val="center"/>
              <w:rPr>
                <w:rFonts w:cs="Arial"/>
                <w:b/>
                <w:sz w:val="20"/>
              </w:rPr>
            </w:pPr>
            <w:r w:rsidRPr="00693594">
              <w:rPr>
                <w:rFonts w:cs="Arial"/>
                <w:b/>
                <w:sz w:val="20"/>
              </w:rPr>
              <w:t>$</w:t>
            </w:r>
            <w:r w:rsidR="00044AF5" w:rsidRPr="00693594">
              <w:rPr>
                <w:rFonts w:cs="Arial"/>
                <w:b/>
                <w:sz w:val="20"/>
              </w:rPr>
              <w:t>2,373,355</w:t>
            </w:r>
          </w:p>
        </w:tc>
        <w:tc>
          <w:tcPr>
            <w:tcW w:w="1239" w:type="dxa"/>
          </w:tcPr>
          <w:p w:rsidR="00044AF5" w:rsidRPr="00693594" w:rsidRDefault="001E67FF" w:rsidP="001E67FF">
            <w:pPr>
              <w:pStyle w:val="TableText1"/>
              <w:tabs>
                <w:tab w:val="clear" w:pos="794"/>
                <w:tab w:val="clear" w:pos="1247"/>
                <w:tab w:val="clear" w:pos="1701"/>
                <w:tab w:val="decimal" w:pos="846"/>
              </w:tabs>
              <w:spacing w:before="120" w:after="120"/>
              <w:jc w:val="center"/>
              <w:rPr>
                <w:rFonts w:cs="Arial"/>
                <w:b/>
                <w:sz w:val="20"/>
              </w:rPr>
            </w:pPr>
            <w:r w:rsidRPr="00693594">
              <w:rPr>
                <w:rFonts w:cs="Arial"/>
                <w:b/>
                <w:sz w:val="20"/>
              </w:rPr>
              <w:t>$</w:t>
            </w:r>
            <w:r w:rsidR="00044AF5" w:rsidRPr="00693594">
              <w:rPr>
                <w:rFonts w:cs="Arial"/>
                <w:b/>
                <w:sz w:val="20"/>
              </w:rPr>
              <w:t>2,444,697</w:t>
            </w:r>
          </w:p>
        </w:tc>
      </w:tr>
    </w:tbl>
    <w:p w:rsidR="00EE6DBC" w:rsidRPr="0024611A" w:rsidRDefault="00EE6DBC" w:rsidP="00766943">
      <w:pPr>
        <w:pStyle w:val="Caption"/>
        <w:spacing w:before="240" w:after="240"/>
        <w:ind w:left="720"/>
        <w:jc w:val="center"/>
        <w:rPr>
          <w:rFonts w:ascii="Arial" w:hAnsi="Arial"/>
          <w:i w:val="0"/>
          <w:iCs w:val="0"/>
          <w:sz w:val="20"/>
          <w:lang w:val="en-AU"/>
        </w:rPr>
      </w:pPr>
      <w:bookmarkStart w:id="477" w:name="_Toc364945440"/>
      <w:r w:rsidRPr="0024611A">
        <w:rPr>
          <w:rFonts w:ascii="Arial" w:hAnsi="Arial"/>
          <w:i w:val="0"/>
          <w:iCs w:val="0"/>
          <w:sz w:val="20"/>
          <w:lang w:val="en-AU"/>
        </w:rPr>
        <w:t xml:space="preserve">Table </w:t>
      </w:r>
      <w:r w:rsidR="0090414C" w:rsidRPr="0024611A">
        <w:rPr>
          <w:rFonts w:ascii="Arial" w:hAnsi="Arial"/>
          <w:i w:val="0"/>
          <w:iCs w:val="0"/>
          <w:sz w:val="20"/>
          <w:lang w:val="en-AU"/>
        </w:rPr>
        <w:fldChar w:fldCharType="begin"/>
      </w:r>
      <w:r w:rsidRPr="0024611A">
        <w:rPr>
          <w:rFonts w:ascii="Arial" w:hAnsi="Arial"/>
          <w:i w:val="0"/>
          <w:iCs w:val="0"/>
          <w:sz w:val="20"/>
          <w:lang w:val="en-AU"/>
        </w:rPr>
        <w:instrText xml:space="preserve"> SEQ Table \* ARABIC </w:instrText>
      </w:r>
      <w:r w:rsidR="0090414C" w:rsidRPr="0024611A">
        <w:rPr>
          <w:rFonts w:ascii="Arial" w:hAnsi="Arial"/>
          <w:i w:val="0"/>
          <w:iCs w:val="0"/>
          <w:sz w:val="20"/>
          <w:lang w:val="en-AU"/>
        </w:rPr>
        <w:fldChar w:fldCharType="separate"/>
      </w:r>
      <w:r w:rsidR="00751CEC">
        <w:rPr>
          <w:rFonts w:ascii="Arial" w:hAnsi="Arial"/>
          <w:i w:val="0"/>
          <w:iCs w:val="0"/>
          <w:noProof/>
          <w:sz w:val="20"/>
          <w:lang w:val="en-AU"/>
        </w:rPr>
        <w:t>36</w:t>
      </w:r>
      <w:r w:rsidR="0090414C" w:rsidRPr="0024611A">
        <w:rPr>
          <w:rFonts w:ascii="Arial" w:hAnsi="Arial"/>
          <w:i w:val="0"/>
          <w:iCs w:val="0"/>
          <w:sz w:val="20"/>
          <w:lang w:val="en-AU"/>
        </w:rPr>
        <w:fldChar w:fldCharType="end"/>
      </w:r>
      <w:r w:rsidRPr="0024611A">
        <w:rPr>
          <w:rFonts w:ascii="Arial" w:hAnsi="Arial"/>
          <w:i w:val="0"/>
          <w:iCs w:val="0"/>
          <w:sz w:val="20"/>
          <w:lang w:val="en-AU"/>
        </w:rPr>
        <w:t>:  Historical Operations Expenditure</w:t>
      </w:r>
      <w:bookmarkEnd w:id="477"/>
    </w:p>
    <w:p w:rsidR="00521137" w:rsidRDefault="00521137" w:rsidP="003E5B9F">
      <w:pPr>
        <w:pStyle w:val="StyleHeading3Heading3Char10ptBefore6pt"/>
      </w:pPr>
      <w:bookmarkStart w:id="478" w:name="_Toc364945299"/>
      <w:r>
        <w:t>Operations Strategies</w:t>
      </w:r>
      <w:bookmarkEnd w:id="478"/>
    </w:p>
    <w:p w:rsidR="00044AF5" w:rsidRPr="00C94308" w:rsidRDefault="00044AF5" w:rsidP="00EE6DBC">
      <w:pPr>
        <w:ind w:left="720"/>
      </w:pPr>
      <w:r w:rsidRPr="00C94308">
        <w:t>Strategies that are in place to reduce operational costs include, on the physical side the gradual replacement of light fittings to low energy , installation of solar panels for alternative electricity, introduction of water tanks to reduce reliance of potable water. To track progress there is regular monitoring and reporting of utility use any change in use is investigated and measures put in place to rectify any change. Cleaning contracts are regularly reviewed in order to obtain best value for Council.</w:t>
      </w:r>
    </w:p>
    <w:p w:rsidR="00044AF5" w:rsidRDefault="00044AF5" w:rsidP="003E5B9F">
      <w:pPr>
        <w:pStyle w:val="StyleHeading3Heading3Char10ptBefore6pt"/>
      </w:pPr>
      <w:bookmarkStart w:id="479" w:name="_Toc364945300"/>
      <w:bookmarkStart w:id="480" w:name="_Toc286645712"/>
      <w:r>
        <w:t>Maintenance Activities</w:t>
      </w:r>
      <w:bookmarkEnd w:id="479"/>
    </w:p>
    <w:p w:rsidR="002D1816" w:rsidRDefault="002D1816" w:rsidP="00EE6DBC">
      <w:pPr>
        <w:ind w:left="720"/>
      </w:pPr>
      <w:r w:rsidRPr="005B4E4B">
        <w:t>The Buildings and Property Branch has the responsibility to manage and maintain Council</w:t>
      </w:r>
      <w:r w:rsidR="008473C2">
        <w:t>’</w:t>
      </w:r>
      <w:r w:rsidRPr="005B4E4B">
        <w:t>s building portfolio. Not all C</w:t>
      </w:r>
      <w:r w:rsidR="00622DC3">
        <w:t xml:space="preserve">ouncil buildings are on Council-owned land. The </w:t>
      </w:r>
      <w:r w:rsidRPr="005B4E4B">
        <w:t>Yarra</w:t>
      </w:r>
      <w:r w:rsidR="00622DC3">
        <w:t xml:space="preserve"> City Council</w:t>
      </w:r>
      <w:r w:rsidRPr="005B4E4B">
        <w:t xml:space="preserve"> has a high proportion of bui</w:t>
      </w:r>
      <w:r w:rsidR="00622DC3">
        <w:t>ldings on Crown l</w:t>
      </w:r>
      <w:r w:rsidR="00335B3A">
        <w:t>and for which Council is the</w:t>
      </w:r>
      <w:r w:rsidRPr="005B4E4B">
        <w:t xml:space="preserve"> Committee of Manag</w:t>
      </w:r>
      <w:r w:rsidR="00335B3A">
        <w:t>ement (COM) or leased to</w:t>
      </w:r>
      <w:r w:rsidRPr="005B4E4B">
        <w:t xml:space="preserve"> Yarra</w:t>
      </w:r>
      <w:r w:rsidR="00335B3A">
        <w:t xml:space="preserve"> City Council</w:t>
      </w:r>
      <w:r w:rsidRPr="005B4E4B">
        <w:t xml:space="preserve"> from other agencies.</w:t>
      </w:r>
    </w:p>
    <w:p w:rsidR="00EE6DBC" w:rsidRPr="005B4E4B" w:rsidRDefault="00EE6DBC" w:rsidP="00EE6DBC">
      <w:pPr>
        <w:ind w:left="720"/>
      </w:pPr>
    </w:p>
    <w:p w:rsidR="002D1816" w:rsidRDefault="002D1816" w:rsidP="00EE6DBC">
      <w:pPr>
        <w:ind w:left="720"/>
      </w:pPr>
      <w:r w:rsidRPr="005B4E4B">
        <w:t>Current Council maintenance responsibilities vary by building ownership and occupancy type. There are three main types:</w:t>
      </w:r>
    </w:p>
    <w:p w:rsidR="00EE6DBC" w:rsidRPr="005B4E4B" w:rsidRDefault="00EE6DBC" w:rsidP="00EE6DBC">
      <w:pPr>
        <w:ind w:left="720"/>
      </w:pPr>
    </w:p>
    <w:p w:rsidR="002D1816" w:rsidRPr="00EE6DBC" w:rsidRDefault="002D1816" w:rsidP="008348B5">
      <w:pPr>
        <w:pStyle w:val="ListParagraph"/>
        <w:numPr>
          <w:ilvl w:val="0"/>
          <w:numId w:val="86"/>
        </w:numPr>
        <w:rPr>
          <w:rFonts w:ascii="Arial" w:hAnsi="Arial" w:cs="Arial"/>
          <w:sz w:val="20"/>
          <w:szCs w:val="20"/>
        </w:rPr>
      </w:pPr>
      <w:r w:rsidRPr="00EE6DBC">
        <w:rPr>
          <w:rFonts w:ascii="Arial" w:hAnsi="Arial" w:cs="Arial"/>
          <w:sz w:val="20"/>
          <w:szCs w:val="20"/>
        </w:rPr>
        <w:t>Buildings owned and occupied by Council;</w:t>
      </w:r>
    </w:p>
    <w:p w:rsidR="002D1816" w:rsidRPr="00EE6DBC" w:rsidRDefault="002D1816" w:rsidP="008348B5">
      <w:pPr>
        <w:pStyle w:val="ListParagraph"/>
        <w:numPr>
          <w:ilvl w:val="0"/>
          <w:numId w:val="86"/>
        </w:numPr>
        <w:rPr>
          <w:rFonts w:ascii="Arial" w:hAnsi="Arial" w:cs="Arial"/>
          <w:sz w:val="20"/>
          <w:szCs w:val="20"/>
        </w:rPr>
      </w:pPr>
      <w:r w:rsidRPr="00EE6DBC">
        <w:rPr>
          <w:rFonts w:ascii="Arial" w:hAnsi="Arial" w:cs="Arial"/>
          <w:sz w:val="20"/>
          <w:szCs w:val="20"/>
        </w:rPr>
        <w:t>Buildings owned by Council and occupied by others; and</w:t>
      </w:r>
    </w:p>
    <w:p w:rsidR="002D1816" w:rsidRPr="00EE6DBC" w:rsidRDefault="002D1816" w:rsidP="008348B5">
      <w:pPr>
        <w:pStyle w:val="ListParagraph"/>
        <w:numPr>
          <w:ilvl w:val="0"/>
          <w:numId w:val="86"/>
        </w:numPr>
        <w:rPr>
          <w:rFonts w:ascii="Arial" w:hAnsi="Arial" w:cs="Arial"/>
          <w:sz w:val="20"/>
          <w:szCs w:val="20"/>
        </w:rPr>
      </w:pPr>
      <w:r w:rsidRPr="00EE6DBC">
        <w:rPr>
          <w:rFonts w:ascii="Arial" w:hAnsi="Arial" w:cs="Arial"/>
          <w:sz w:val="20"/>
          <w:szCs w:val="20"/>
        </w:rPr>
        <w:t>Buildings owned by others on Council-owned land.</w:t>
      </w:r>
    </w:p>
    <w:p w:rsidR="00766943" w:rsidRDefault="00766943" w:rsidP="00EE6DBC">
      <w:pPr>
        <w:ind w:left="720"/>
      </w:pPr>
    </w:p>
    <w:p w:rsidR="002D1816" w:rsidRPr="005B4E4B" w:rsidRDefault="002D1816" w:rsidP="00EE6DBC">
      <w:pPr>
        <w:ind w:left="720"/>
      </w:pPr>
      <w:r w:rsidRPr="005B4E4B">
        <w:t>All maintenance work for buildings that are owned and occupied by Council is managed by Council.</w:t>
      </w:r>
    </w:p>
    <w:p w:rsidR="00766943" w:rsidRDefault="00766943" w:rsidP="00EE6DBC">
      <w:pPr>
        <w:ind w:left="720"/>
      </w:pPr>
    </w:p>
    <w:p w:rsidR="002D1816" w:rsidRPr="005B4E4B" w:rsidRDefault="002D1816" w:rsidP="00766943">
      <w:pPr>
        <w:keepNext/>
        <w:keepLines/>
        <w:ind w:left="720"/>
      </w:pPr>
      <w:r w:rsidRPr="005B4E4B">
        <w:t xml:space="preserve">Maintenance activities are identified under three major categories </w:t>
      </w:r>
      <w:r w:rsidR="00DE5F00">
        <w:t>as shown in the following table:</w:t>
      </w:r>
    </w:p>
    <w:p w:rsidR="002D1816" w:rsidRPr="005520A3" w:rsidRDefault="002D1816" w:rsidP="00766943">
      <w:pPr>
        <w:keepNext/>
        <w:keepLines/>
        <w:ind w:left="720"/>
      </w:pPr>
    </w:p>
    <w:tbl>
      <w:tblP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59"/>
        <w:gridCol w:w="3334"/>
        <w:gridCol w:w="3576"/>
      </w:tblGrid>
      <w:tr w:rsidR="002D1816" w:rsidRPr="00766943" w:rsidTr="00766943">
        <w:trPr>
          <w:cantSplit/>
          <w:tblHeader/>
          <w:jc w:val="right"/>
        </w:trPr>
        <w:tc>
          <w:tcPr>
            <w:tcW w:w="1559" w:type="dxa"/>
            <w:shd w:val="clear" w:color="auto" w:fill="95B3D7" w:themeFill="accent1" w:themeFillTint="99"/>
          </w:tcPr>
          <w:p w:rsidR="002D1816" w:rsidRPr="00766943" w:rsidRDefault="002D1816" w:rsidP="00766943">
            <w:pPr>
              <w:keepNext/>
              <w:keepLines/>
              <w:spacing w:before="120" w:after="120"/>
              <w:jc w:val="left"/>
              <w:rPr>
                <w:b/>
              </w:rPr>
            </w:pPr>
            <w:r w:rsidRPr="00766943">
              <w:rPr>
                <w:b/>
              </w:rPr>
              <w:t>Maintenance</w:t>
            </w:r>
          </w:p>
        </w:tc>
        <w:tc>
          <w:tcPr>
            <w:tcW w:w="3334" w:type="dxa"/>
            <w:shd w:val="clear" w:color="auto" w:fill="95B3D7" w:themeFill="accent1" w:themeFillTint="99"/>
          </w:tcPr>
          <w:p w:rsidR="002D1816" w:rsidRPr="00766943" w:rsidRDefault="002D1816" w:rsidP="00766943">
            <w:pPr>
              <w:keepNext/>
              <w:keepLines/>
              <w:spacing w:before="120" w:after="120"/>
              <w:jc w:val="left"/>
              <w:rPr>
                <w:b/>
              </w:rPr>
            </w:pPr>
            <w:r w:rsidRPr="00766943">
              <w:rPr>
                <w:b/>
              </w:rPr>
              <w:t>Description</w:t>
            </w:r>
          </w:p>
        </w:tc>
        <w:tc>
          <w:tcPr>
            <w:tcW w:w="3576" w:type="dxa"/>
            <w:shd w:val="clear" w:color="auto" w:fill="95B3D7" w:themeFill="accent1" w:themeFillTint="99"/>
          </w:tcPr>
          <w:p w:rsidR="002D1816" w:rsidRPr="00766943" w:rsidRDefault="002D1816" w:rsidP="00766943">
            <w:pPr>
              <w:keepNext/>
              <w:keepLines/>
              <w:spacing w:before="120" w:after="120"/>
              <w:jc w:val="left"/>
              <w:rPr>
                <w:b/>
              </w:rPr>
            </w:pPr>
            <w:r w:rsidRPr="00766943">
              <w:rPr>
                <w:b/>
              </w:rPr>
              <w:t>Examples</w:t>
            </w:r>
          </w:p>
        </w:tc>
      </w:tr>
      <w:tr w:rsidR="002D1816" w:rsidRPr="00766943" w:rsidTr="00766943">
        <w:trPr>
          <w:cantSplit/>
          <w:jc w:val="right"/>
        </w:trPr>
        <w:tc>
          <w:tcPr>
            <w:tcW w:w="1559" w:type="dxa"/>
          </w:tcPr>
          <w:p w:rsidR="002D1816" w:rsidRPr="00766943" w:rsidRDefault="002D1816" w:rsidP="00766943">
            <w:pPr>
              <w:pStyle w:val="TableText1"/>
              <w:keepNext/>
              <w:keepLines/>
              <w:spacing w:before="120" w:after="120"/>
              <w:jc w:val="left"/>
              <w:rPr>
                <w:sz w:val="20"/>
              </w:rPr>
            </w:pPr>
            <w:r w:rsidRPr="00766943">
              <w:rPr>
                <w:sz w:val="20"/>
              </w:rPr>
              <w:t>Compliance</w:t>
            </w:r>
          </w:p>
        </w:tc>
        <w:tc>
          <w:tcPr>
            <w:tcW w:w="3334" w:type="dxa"/>
          </w:tcPr>
          <w:p w:rsidR="002D1816" w:rsidRPr="00766943" w:rsidRDefault="002D1816" w:rsidP="00766943">
            <w:pPr>
              <w:pStyle w:val="TableText1"/>
              <w:keepNext/>
              <w:keepLines/>
              <w:spacing w:before="120" w:after="120"/>
              <w:jc w:val="left"/>
              <w:rPr>
                <w:sz w:val="20"/>
              </w:rPr>
            </w:pPr>
            <w:r w:rsidRPr="00766943">
              <w:rPr>
                <w:sz w:val="20"/>
              </w:rPr>
              <w:t>They include works which are identified from annual building audits, to comply with regulations</w:t>
            </w:r>
            <w:r w:rsidR="00335B3A" w:rsidRPr="00766943">
              <w:rPr>
                <w:sz w:val="20"/>
              </w:rPr>
              <w:t>.</w:t>
            </w:r>
          </w:p>
        </w:tc>
        <w:tc>
          <w:tcPr>
            <w:tcW w:w="3576" w:type="dxa"/>
          </w:tcPr>
          <w:p w:rsidR="002D1816" w:rsidRPr="00766943" w:rsidRDefault="002D1816" w:rsidP="00766943">
            <w:pPr>
              <w:pStyle w:val="TableText1"/>
              <w:keepNext/>
              <w:keepLines/>
              <w:spacing w:before="120" w:after="120"/>
              <w:jc w:val="left"/>
              <w:rPr>
                <w:sz w:val="20"/>
              </w:rPr>
            </w:pPr>
            <w:r w:rsidRPr="00766943">
              <w:rPr>
                <w:sz w:val="20"/>
              </w:rPr>
              <w:t>Essential Safety Measures such as emergency lifts, fire protection system.</w:t>
            </w:r>
          </w:p>
        </w:tc>
      </w:tr>
      <w:tr w:rsidR="002D1816" w:rsidRPr="00766943" w:rsidTr="00766943">
        <w:trPr>
          <w:cantSplit/>
          <w:jc w:val="right"/>
        </w:trPr>
        <w:tc>
          <w:tcPr>
            <w:tcW w:w="1559" w:type="dxa"/>
          </w:tcPr>
          <w:p w:rsidR="002D1816" w:rsidRPr="00766943" w:rsidRDefault="002D1816" w:rsidP="00766943">
            <w:pPr>
              <w:pStyle w:val="TableText1"/>
              <w:keepNext/>
              <w:keepLines/>
              <w:spacing w:before="120" w:after="120"/>
              <w:jc w:val="left"/>
              <w:rPr>
                <w:sz w:val="20"/>
              </w:rPr>
            </w:pPr>
            <w:r w:rsidRPr="00766943">
              <w:rPr>
                <w:sz w:val="20"/>
              </w:rPr>
              <w:t>Routine</w:t>
            </w:r>
          </w:p>
        </w:tc>
        <w:tc>
          <w:tcPr>
            <w:tcW w:w="3334" w:type="dxa"/>
          </w:tcPr>
          <w:p w:rsidR="002D1816" w:rsidRPr="00766943" w:rsidRDefault="002D1816" w:rsidP="00766943">
            <w:pPr>
              <w:pStyle w:val="TableText1"/>
              <w:keepNext/>
              <w:keepLines/>
              <w:spacing w:before="120" w:after="120"/>
              <w:jc w:val="left"/>
              <w:rPr>
                <w:sz w:val="20"/>
              </w:rPr>
            </w:pPr>
            <w:r w:rsidRPr="00766943">
              <w:rPr>
                <w:sz w:val="20"/>
              </w:rPr>
              <w:t>Works which are req</w:t>
            </w:r>
            <w:r w:rsidR="00335B3A" w:rsidRPr="00766943">
              <w:rPr>
                <w:sz w:val="20"/>
              </w:rPr>
              <w:t>uired to be undertaken annually</w:t>
            </w:r>
            <w:r w:rsidRPr="00766943">
              <w:rPr>
                <w:sz w:val="20"/>
              </w:rPr>
              <w:t xml:space="preserve"> and are scheduled to be included in the Building Maintenance budget</w:t>
            </w:r>
            <w:r w:rsidR="00335B3A" w:rsidRPr="00766943">
              <w:rPr>
                <w:sz w:val="20"/>
              </w:rPr>
              <w:t>.</w:t>
            </w:r>
          </w:p>
        </w:tc>
        <w:tc>
          <w:tcPr>
            <w:tcW w:w="3576" w:type="dxa"/>
          </w:tcPr>
          <w:p w:rsidR="002D1816" w:rsidRPr="00766943" w:rsidRDefault="002D1816" w:rsidP="00766943">
            <w:pPr>
              <w:pStyle w:val="TableText1"/>
              <w:keepNext/>
              <w:keepLines/>
              <w:spacing w:before="120" w:after="120"/>
              <w:jc w:val="left"/>
              <w:rPr>
                <w:sz w:val="20"/>
              </w:rPr>
            </w:pPr>
            <w:r w:rsidRPr="00766943">
              <w:rPr>
                <w:sz w:val="20"/>
              </w:rPr>
              <w:t xml:space="preserve">Floor sealing, gutter cleaning, inspection, fire, electrical </w:t>
            </w:r>
            <w:r w:rsidR="00927AFA">
              <w:rPr>
                <w:sz w:val="20"/>
              </w:rPr>
              <w:t>and</w:t>
            </w:r>
            <w:r w:rsidRPr="00766943">
              <w:rPr>
                <w:sz w:val="20"/>
              </w:rPr>
              <w:t xml:space="preserve"> mechanical servicing, painting etc</w:t>
            </w:r>
            <w:r w:rsidR="00766943">
              <w:rPr>
                <w:sz w:val="20"/>
              </w:rPr>
              <w:t>.</w:t>
            </w:r>
          </w:p>
        </w:tc>
      </w:tr>
      <w:tr w:rsidR="002D1816" w:rsidRPr="00766943" w:rsidTr="00766943">
        <w:trPr>
          <w:cantSplit/>
          <w:jc w:val="right"/>
        </w:trPr>
        <w:tc>
          <w:tcPr>
            <w:tcW w:w="1559" w:type="dxa"/>
          </w:tcPr>
          <w:p w:rsidR="002D1816" w:rsidRPr="00766943" w:rsidRDefault="002D1816" w:rsidP="00766943">
            <w:pPr>
              <w:pStyle w:val="TableText1"/>
              <w:spacing w:before="120" w:after="120"/>
              <w:jc w:val="left"/>
              <w:rPr>
                <w:sz w:val="20"/>
              </w:rPr>
            </w:pPr>
            <w:r w:rsidRPr="00766943">
              <w:rPr>
                <w:sz w:val="20"/>
              </w:rPr>
              <w:t>Reactive</w:t>
            </w:r>
          </w:p>
        </w:tc>
        <w:tc>
          <w:tcPr>
            <w:tcW w:w="3334" w:type="dxa"/>
          </w:tcPr>
          <w:p w:rsidR="002D1816" w:rsidRPr="00766943" w:rsidRDefault="002D1816" w:rsidP="00766943">
            <w:pPr>
              <w:pStyle w:val="TableText1"/>
              <w:spacing w:before="120" w:after="120"/>
              <w:jc w:val="left"/>
              <w:rPr>
                <w:sz w:val="20"/>
              </w:rPr>
            </w:pPr>
            <w:r w:rsidRPr="00766943">
              <w:rPr>
                <w:sz w:val="20"/>
              </w:rPr>
              <w:t>Works which are required to be undertaken in response to reported problems, i.e. on reactive requests that are not foreseen.</w:t>
            </w:r>
          </w:p>
        </w:tc>
        <w:tc>
          <w:tcPr>
            <w:tcW w:w="3576" w:type="dxa"/>
          </w:tcPr>
          <w:p w:rsidR="002D1816" w:rsidRPr="00766943" w:rsidRDefault="002D1816" w:rsidP="00766943">
            <w:pPr>
              <w:pStyle w:val="TableText1"/>
              <w:spacing w:before="120" w:after="120"/>
              <w:jc w:val="left"/>
              <w:rPr>
                <w:sz w:val="20"/>
              </w:rPr>
            </w:pPr>
            <w:r w:rsidRPr="00766943">
              <w:rPr>
                <w:sz w:val="20"/>
              </w:rPr>
              <w:t>Broken glass, plumbing leaks and blockages, roof damage, vandalism.</w:t>
            </w:r>
          </w:p>
        </w:tc>
      </w:tr>
    </w:tbl>
    <w:p w:rsidR="002D1816" w:rsidRPr="0024611A" w:rsidRDefault="002D1816" w:rsidP="00B20B53">
      <w:pPr>
        <w:pStyle w:val="Caption"/>
        <w:spacing w:before="240" w:after="240"/>
        <w:ind w:left="720"/>
        <w:jc w:val="center"/>
        <w:rPr>
          <w:rFonts w:ascii="Arial" w:hAnsi="Arial"/>
          <w:i w:val="0"/>
          <w:iCs w:val="0"/>
          <w:sz w:val="20"/>
          <w:lang w:val="en-AU"/>
        </w:rPr>
      </w:pPr>
      <w:bookmarkStart w:id="481" w:name="_Toc346740224"/>
      <w:bookmarkStart w:id="482" w:name="_Toc364945441"/>
      <w:r w:rsidRPr="0024611A">
        <w:rPr>
          <w:rFonts w:ascii="Arial" w:hAnsi="Arial"/>
          <w:i w:val="0"/>
          <w:iCs w:val="0"/>
          <w:sz w:val="20"/>
          <w:lang w:val="en-AU"/>
        </w:rPr>
        <w:t xml:space="preserve">Table </w:t>
      </w:r>
      <w:r w:rsidR="0090414C" w:rsidRPr="0024611A">
        <w:rPr>
          <w:rFonts w:ascii="Arial" w:hAnsi="Arial"/>
          <w:i w:val="0"/>
          <w:iCs w:val="0"/>
          <w:sz w:val="20"/>
          <w:lang w:val="en-AU"/>
        </w:rPr>
        <w:fldChar w:fldCharType="begin"/>
      </w:r>
      <w:r w:rsidR="0012012A" w:rsidRPr="0024611A">
        <w:rPr>
          <w:rFonts w:ascii="Arial" w:hAnsi="Arial"/>
          <w:i w:val="0"/>
          <w:iCs w:val="0"/>
          <w:sz w:val="20"/>
          <w:lang w:val="en-AU"/>
        </w:rPr>
        <w:instrText xml:space="preserve"> SEQ Table \* ARABIC </w:instrText>
      </w:r>
      <w:r w:rsidR="0090414C" w:rsidRPr="0024611A">
        <w:rPr>
          <w:rFonts w:ascii="Arial" w:hAnsi="Arial"/>
          <w:i w:val="0"/>
          <w:iCs w:val="0"/>
          <w:sz w:val="20"/>
          <w:lang w:val="en-AU"/>
        </w:rPr>
        <w:fldChar w:fldCharType="separate"/>
      </w:r>
      <w:r w:rsidR="00751CEC">
        <w:rPr>
          <w:rFonts w:ascii="Arial" w:hAnsi="Arial"/>
          <w:i w:val="0"/>
          <w:iCs w:val="0"/>
          <w:noProof/>
          <w:sz w:val="20"/>
          <w:lang w:val="en-AU"/>
        </w:rPr>
        <w:t>37</w:t>
      </w:r>
      <w:r w:rsidR="0090414C" w:rsidRPr="0024611A">
        <w:rPr>
          <w:rFonts w:ascii="Arial" w:hAnsi="Arial"/>
          <w:i w:val="0"/>
          <w:iCs w:val="0"/>
          <w:sz w:val="20"/>
          <w:lang w:val="en-AU"/>
        </w:rPr>
        <w:fldChar w:fldCharType="end"/>
      </w:r>
      <w:r w:rsidR="00766943" w:rsidRPr="0024611A">
        <w:rPr>
          <w:rFonts w:ascii="Arial" w:hAnsi="Arial"/>
          <w:i w:val="0"/>
          <w:iCs w:val="0"/>
          <w:sz w:val="20"/>
          <w:lang w:val="en-AU"/>
        </w:rPr>
        <w:t xml:space="preserve">:  </w:t>
      </w:r>
      <w:r w:rsidRPr="0024611A">
        <w:rPr>
          <w:rFonts w:ascii="Arial" w:hAnsi="Arial"/>
          <w:i w:val="0"/>
          <w:iCs w:val="0"/>
          <w:sz w:val="20"/>
          <w:lang w:val="en-AU"/>
        </w:rPr>
        <w:t>Maintenance Activities</w:t>
      </w:r>
      <w:bookmarkEnd w:id="481"/>
      <w:bookmarkEnd w:id="482"/>
    </w:p>
    <w:p w:rsidR="002D1816" w:rsidRDefault="002D1816" w:rsidP="00766943">
      <w:pPr>
        <w:ind w:left="720"/>
      </w:pPr>
      <w:r w:rsidRPr="005520A3">
        <w:t xml:space="preserve">Reactive </w:t>
      </w:r>
      <w:r>
        <w:t>m</w:t>
      </w:r>
      <w:r w:rsidRPr="005520A3">
        <w:t xml:space="preserve">aintenance </w:t>
      </w:r>
      <w:r>
        <w:t>historically has comprised</w:t>
      </w:r>
      <w:r w:rsidRPr="005520A3">
        <w:t xml:space="preserve"> </w:t>
      </w:r>
      <w:r>
        <w:t>of more than 30</w:t>
      </w:r>
      <w:r w:rsidRPr="005520A3">
        <w:t xml:space="preserve">% of the total </w:t>
      </w:r>
      <w:r>
        <w:t>maintenance budget as shown in the following table</w:t>
      </w:r>
      <w:r w:rsidR="00DE5F00">
        <w:t>:</w:t>
      </w:r>
    </w:p>
    <w:p w:rsidR="00766943" w:rsidRPr="005520A3" w:rsidRDefault="00766943" w:rsidP="00766943">
      <w:pPr>
        <w:ind w:left="720"/>
      </w:pPr>
    </w:p>
    <w:tbl>
      <w:tblPr>
        <w:tblW w:w="8466"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750"/>
        <w:gridCol w:w="1395"/>
        <w:gridCol w:w="1395"/>
        <w:gridCol w:w="1486"/>
        <w:gridCol w:w="1440"/>
      </w:tblGrid>
      <w:tr w:rsidR="002D1816" w:rsidRPr="00766943" w:rsidTr="00EE2D4E">
        <w:trPr>
          <w:cantSplit/>
          <w:jc w:val="right"/>
        </w:trPr>
        <w:tc>
          <w:tcPr>
            <w:tcW w:w="2750" w:type="dxa"/>
            <w:shd w:val="clear" w:color="auto" w:fill="95B3D7" w:themeFill="accent1" w:themeFillTint="99"/>
          </w:tcPr>
          <w:p w:rsidR="002D1816" w:rsidRPr="00766943" w:rsidRDefault="005B4E4B" w:rsidP="00766943">
            <w:pPr>
              <w:spacing w:before="120" w:after="120"/>
              <w:jc w:val="left"/>
              <w:rPr>
                <w:b/>
              </w:rPr>
            </w:pPr>
            <w:r w:rsidRPr="00766943">
              <w:rPr>
                <w:b/>
              </w:rPr>
              <w:t>Maintenance</w:t>
            </w:r>
            <w:r w:rsidR="002D1816" w:rsidRPr="00766943">
              <w:rPr>
                <w:b/>
              </w:rPr>
              <w:t xml:space="preserve"> Budget Item</w:t>
            </w:r>
          </w:p>
        </w:tc>
        <w:tc>
          <w:tcPr>
            <w:tcW w:w="1395" w:type="dxa"/>
            <w:shd w:val="clear" w:color="auto" w:fill="95B3D7" w:themeFill="accent1" w:themeFillTint="99"/>
          </w:tcPr>
          <w:p w:rsidR="002D1816" w:rsidRPr="00766943" w:rsidRDefault="002D1816" w:rsidP="00766943">
            <w:pPr>
              <w:spacing w:before="120" w:after="120"/>
              <w:jc w:val="center"/>
              <w:rPr>
                <w:b/>
              </w:rPr>
            </w:pPr>
            <w:r w:rsidRPr="00766943">
              <w:rPr>
                <w:b/>
              </w:rPr>
              <w:t>2009 - 2010</w:t>
            </w:r>
          </w:p>
        </w:tc>
        <w:tc>
          <w:tcPr>
            <w:tcW w:w="1395" w:type="dxa"/>
            <w:shd w:val="clear" w:color="auto" w:fill="95B3D7" w:themeFill="accent1" w:themeFillTint="99"/>
          </w:tcPr>
          <w:p w:rsidR="002D1816" w:rsidRPr="00766943" w:rsidRDefault="002D1816" w:rsidP="00766943">
            <w:pPr>
              <w:spacing w:before="120" w:after="120"/>
              <w:jc w:val="center"/>
              <w:rPr>
                <w:b/>
              </w:rPr>
            </w:pPr>
            <w:r w:rsidRPr="00766943">
              <w:rPr>
                <w:b/>
              </w:rPr>
              <w:t>2010 - 2011</w:t>
            </w:r>
          </w:p>
        </w:tc>
        <w:tc>
          <w:tcPr>
            <w:tcW w:w="1486" w:type="dxa"/>
            <w:shd w:val="clear" w:color="auto" w:fill="95B3D7" w:themeFill="accent1" w:themeFillTint="99"/>
          </w:tcPr>
          <w:p w:rsidR="002D1816" w:rsidRPr="00766943" w:rsidRDefault="002D1816" w:rsidP="00766943">
            <w:pPr>
              <w:spacing w:before="120" w:after="120"/>
              <w:jc w:val="center"/>
              <w:rPr>
                <w:b/>
              </w:rPr>
            </w:pPr>
            <w:r w:rsidRPr="00766943">
              <w:rPr>
                <w:b/>
              </w:rPr>
              <w:t>2011 - 2012</w:t>
            </w:r>
          </w:p>
        </w:tc>
        <w:tc>
          <w:tcPr>
            <w:tcW w:w="1440" w:type="dxa"/>
            <w:shd w:val="clear" w:color="auto" w:fill="95B3D7" w:themeFill="accent1" w:themeFillTint="99"/>
          </w:tcPr>
          <w:p w:rsidR="002D1816" w:rsidRPr="00766943" w:rsidRDefault="002D1816" w:rsidP="00766943">
            <w:pPr>
              <w:spacing w:before="120" w:after="120"/>
              <w:jc w:val="center"/>
              <w:rPr>
                <w:b/>
              </w:rPr>
            </w:pPr>
            <w:r w:rsidRPr="00766943">
              <w:rPr>
                <w:b/>
              </w:rPr>
              <w:t>2012 – 2013</w:t>
            </w:r>
          </w:p>
        </w:tc>
      </w:tr>
      <w:tr w:rsidR="002D1816" w:rsidRPr="00766943" w:rsidTr="00EE2D4E">
        <w:trPr>
          <w:cantSplit/>
          <w:jc w:val="right"/>
        </w:trPr>
        <w:tc>
          <w:tcPr>
            <w:tcW w:w="2750" w:type="dxa"/>
          </w:tcPr>
          <w:p w:rsidR="002D1816" w:rsidRPr="00766943" w:rsidRDefault="002D1816" w:rsidP="00766943">
            <w:pPr>
              <w:pStyle w:val="TableText1"/>
              <w:spacing w:before="120" w:after="120"/>
              <w:jc w:val="left"/>
              <w:rPr>
                <w:sz w:val="20"/>
              </w:rPr>
            </w:pPr>
            <w:r w:rsidRPr="00766943">
              <w:rPr>
                <w:sz w:val="20"/>
              </w:rPr>
              <w:t>Compliance</w:t>
            </w:r>
          </w:p>
        </w:tc>
        <w:tc>
          <w:tcPr>
            <w:tcW w:w="1395" w:type="dxa"/>
          </w:tcPr>
          <w:p w:rsidR="002D1816" w:rsidRPr="00766943" w:rsidRDefault="00766943" w:rsidP="00766943">
            <w:pPr>
              <w:tabs>
                <w:tab w:val="decimal" w:pos="918"/>
              </w:tabs>
              <w:spacing w:before="120" w:after="120"/>
              <w:jc w:val="center"/>
            </w:pPr>
            <w:r>
              <w:t>$</w:t>
            </w:r>
            <w:r w:rsidR="002D1816" w:rsidRPr="00766943">
              <w:t>635,253</w:t>
            </w:r>
          </w:p>
        </w:tc>
        <w:tc>
          <w:tcPr>
            <w:tcW w:w="1395" w:type="dxa"/>
          </w:tcPr>
          <w:p w:rsidR="002D1816" w:rsidRPr="00766943" w:rsidRDefault="00766943" w:rsidP="00EE2D4E">
            <w:pPr>
              <w:tabs>
                <w:tab w:val="decimal" w:pos="967"/>
              </w:tabs>
              <w:spacing w:before="120" w:after="120"/>
              <w:jc w:val="center"/>
            </w:pPr>
            <w:r>
              <w:t>$</w:t>
            </w:r>
            <w:r w:rsidR="002D1816" w:rsidRPr="00766943">
              <w:t>589,453</w:t>
            </w:r>
          </w:p>
        </w:tc>
        <w:tc>
          <w:tcPr>
            <w:tcW w:w="1486" w:type="dxa"/>
          </w:tcPr>
          <w:p w:rsidR="002D1816" w:rsidRPr="00766943" w:rsidRDefault="00EE2D4E" w:rsidP="00EE2D4E">
            <w:pPr>
              <w:tabs>
                <w:tab w:val="decimal" w:pos="1158"/>
              </w:tabs>
              <w:spacing w:before="120" w:after="120"/>
              <w:jc w:val="center"/>
            </w:pPr>
            <w:r>
              <w:t>$</w:t>
            </w:r>
            <w:r w:rsidR="002D1816" w:rsidRPr="00766943">
              <w:t>688,514</w:t>
            </w:r>
          </w:p>
        </w:tc>
        <w:tc>
          <w:tcPr>
            <w:tcW w:w="1440" w:type="dxa"/>
          </w:tcPr>
          <w:p w:rsidR="002D1816" w:rsidRPr="00766943" w:rsidRDefault="00EE2D4E" w:rsidP="00EE2D4E">
            <w:pPr>
              <w:tabs>
                <w:tab w:val="decimal" w:pos="1069"/>
              </w:tabs>
              <w:spacing w:before="120" w:after="120"/>
              <w:jc w:val="center"/>
            </w:pPr>
            <w:r>
              <w:t>$</w:t>
            </w:r>
            <w:r w:rsidR="002D1816" w:rsidRPr="00766943">
              <w:t>507,578</w:t>
            </w:r>
          </w:p>
        </w:tc>
      </w:tr>
      <w:tr w:rsidR="002D1816" w:rsidRPr="00766943" w:rsidTr="00EE2D4E">
        <w:trPr>
          <w:cantSplit/>
          <w:jc w:val="right"/>
        </w:trPr>
        <w:tc>
          <w:tcPr>
            <w:tcW w:w="2750" w:type="dxa"/>
          </w:tcPr>
          <w:p w:rsidR="002D1816" w:rsidRPr="00766943" w:rsidRDefault="002D1816" w:rsidP="00766943">
            <w:pPr>
              <w:pStyle w:val="TableText1"/>
              <w:spacing w:before="120" w:after="120"/>
              <w:jc w:val="left"/>
              <w:rPr>
                <w:sz w:val="20"/>
              </w:rPr>
            </w:pPr>
            <w:r w:rsidRPr="00766943">
              <w:rPr>
                <w:sz w:val="20"/>
              </w:rPr>
              <w:t>Routine</w:t>
            </w:r>
          </w:p>
        </w:tc>
        <w:tc>
          <w:tcPr>
            <w:tcW w:w="1395" w:type="dxa"/>
          </w:tcPr>
          <w:p w:rsidR="002D1816" w:rsidRPr="00766943" w:rsidRDefault="002D1816" w:rsidP="00766943">
            <w:pPr>
              <w:tabs>
                <w:tab w:val="decimal" w:pos="918"/>
              </w:tabs>
              <w:spacing w:before="120" w:after="120"/>
              <w:jc w:val="center"/>
            </w:pPr>
            <w:r w:rsidRPr="00766943">
              <w:t>651,515</w:t>
            </w:r>
          </w:p>
        </w:tc>
        <w:tc>
          <w:tcPr>
            <w:tcW w:w="1395" w:type="dxa"/>
          </w:tcPr>
          <w:p w:rsidR="002D1816" w:rsidRPr="00766943" w:rsidRDefault="002D1816" w:rsidP="00EE2D4E">
            <w:pPr>
              <w:tabs>
                <w:tab w:val="decimal" w:pos="967"/>
              </w:tabs>
              <w:spacing w:before="120" w:after="120"/>
              <w:jc w:val="center"/>
            </w:pPr>
            <w:r w:rsidRPr="00766943">
              <w:t>575,250</w:t>
            </w:r>
          </w:p>
        </w:tc>
        <w:tc>
          <w:tcPr>
            <w:tcW w:w="1486" w:type="dxa"/>
          </w:tcPr>
          <w:p w:rsidR="002D1816" w:rsidRPr="00766943" w:rsidRDefault="002D1816" w:rsidP="00EE2D4E">
            <w:pPr>
              <w:tabs>
                <w:tab w:val="decimal" w:pos="1158"/>
              </w:tabs>
              <w:spacing w:before="120" w:after="120"/>
              <w:jc w:val="center"/>
            </w:pPr>
            <w:r w:rsidRPr="00766943">
              <w:t>639,997</w:t>
            </w:r>
          </w:p>
        </w:tc>
        <w:tc>
          <w:tcPr>
            <w:tcW w:w="1440" w:type="dxa"/>
          </w:tcPr>
          <w:p w:rsidR="002D1816" w:rsidRPr="00766943" w:rsidRDefault="002D1816" w:rsidP="00EE2D4E">
            <w:pPr>
              <w:tabs>
                <w:tab w:val="decimal" w:pos="1069"/>
              </w:tabs>
              <w:spacing w:before="120" w:after="120"/>
              <w:jc w:val="center"/>
            </w:pPr>
            <w:r w:rsidRPr="00766943">
              <w:t>760,000</w:t>
            </w:r>
          </w:p>
        </w:tc>
      </w:tr>
      <w:tr w:rsidR="002D1816" w:rsidRPr="00766943" w:rsidTr="00EE2D4E">
        <w:trPr>
          <w:cantSplit/>
          <w:jc w:val="right"/>
        </w:trPr>
        <w:tc>
          <w:tcPr>
            <w:tcW w:w="2750" w:type="dxa"/>
          </w:tcPr>
          <w:p w:rsidR="002D1816" w:rsidRPr="00766943" w:rsidRDefault="002D1816" w:rsidP="00766943">
            <w:pPr>
              <w:pStyle w:val="TableText1"/>
              <w:spacing w:before="120" w:after="120"/>
              <w:jc w:val="left"/>
              <w:rPr>
                <w:sz w:val="20"/>
              </w:rPr>
            </w:pPr>
            <w:r w:rsidRPr="00766943">
              <w:rPr>
                <w:sz w:val="20"/>
              </w:rPr>
              <w:t>Reactive</w:t>
            </w:r>
          </w:p>
        </w:tc>
        <w:tc>
          <w:tcPr>
            <w:tcW w:w="1395" w:type="dxa"/>
          </w:tcPr>
          <w:p w:rsidR="002D1816" w:rsidRPr="00766943" w:rsidRDefault="002D1816" w:rsidP="00766943">
            <w:pPr>
              <w:tabs>
                <w:tab w:val="decimal" w:pos="918"/>
              </w:tabs>
              <w:spacing w:before="120" w:after="120"/>
              <w:jc w:val="center"/>
            </w:pPr>
            <w:r w:rsidRPr="00766943">
              <w:t>891,908</w:t>
            </w:r>
          </w:p>
        </w:tc>
        <w:tc>
          <w:tcPr>
            <w:tcW w:w="1395" w:type="dxa"/>
          </w:tcPr>
          <w:p w:rsidR="002D1816" w:rsidRPr="00766943" w:rsidRDefault="002D1816" w:rsidP="00EE2D4E">
            <w:pPr>
              <w:tabs>
                <w:tab w:val="decimal" w:pos="967"/>
              </w:tabs>
              <w:spacing w:before="120" w:after="120"/>
              <w:jc w:val="center"/>
            </w:pPr>
            <w:r w:rsidRPr="00766943">
              <w:t>660,957</w:t>
            </w:r>
          </w:p>
        </w:tc>
        <w:tc>
          <w:tcPr>
            <w:tcW w:w="1486" w:type="dxa"/>
          </w:tcPr>
          <w:p w:rsidR="002D1816" w:rsidRPr="00766943" w:rsidRDefault="002D1816" w:rsidP="00EE2D4E">
            <w:pPr>
              <w:tabs>
                <w:tab w:val="decimal" w:pos="1158"/>
              </w:tabs>
              <w:spacing w:before="120" w:after="120"/>
              <w:jc w:val="center"/>
            </w:pPr>
            <w:r w:rsidRPr="00766943">
              <w:t>793,156</w:t>
            </w:r>
          </w:p>
        </w:tc>
        <w:tc>
          <w:tcPr>
            <w:tcW w:w="1440" w:type="dxa"/>
          </w:tcPr>
          <w:p w:rsidR="002D1816" w:rsidRPr="00766943" w:rsidRDefault="002D1816" w:rsidP="00EE2D4E">
            <w:pPr>
              <w:tabs>
                <w:tab w:val="decimal" w:pos="1069"/>
              </w:tabs>
              <w:spacing w:before="120" w:after="120"/>
              <w:jc w:val="center"/>
            </w:pPr>
            <w:r w:rsidRPr="00766943">
              <w:t>665,963</w:t>
            </w:r>
          </w:p>
        </w:tc>
      </w:tr>
      <w:tr w:rsidR="002D1816" w:rsidRPr="00EE2D4E" w:rsidTr="00EE2D4E">
        <w:trPr>
          <w:cantSplit/>
          <w:jc w:val="right"/>
        </w:trPr>
        <w:tc>
          <w:tcPr>
            <w:tcW w:w="2750" w:type="dxa"/>
          </w:tcPr>
          <w:p w:rsidR="002D1816" w:rsidRPr="00EE2D4E" w:rsidRDefault="00EE2D4E" w:rsidP="00766943">
            <w:pPr>
              <w:pStyle w:val="TableText1"/>
              <w:spacing w:before="120" w:after="120"/>
              <w:jc w:val="left"/>
              <w:rPr>
                <w:b/>
                <w:sz w:val="20"/>
              </w:rPr>
            </w:pPr>
            <w:r>
              <w:rPr>
                <w:b/>
                <w:sz w:val="20"/>
              </w:rPr>
              <w:t xml:space="preserve">     </w:t>
            </w:r>
            <w:r w:rsidR="002D1816" w:rsidRPr="00EE2D4E">
              <w:rPr>
                <w:b/>
                <w:sz w:val="20"/>
              </w:rPr>
              <w:t>Maintenance - Total</w:t>
            </w:r>
          </w:p>
        </w:tc>
        <w:tc>
          <w:tcPr>
            <w:tcW w:w="1395" w:type="dxa"/>
          </w:tcPr>
          <w:p w:rsidR="002D1816" w:rsidRPr="00EE2D4E" w:rsidRDefault="002D1816" w:rsidP="00766943">
            <w:pPr>
              <w:pStyle w:val="TableText1"/>
              <w:tabs>
                <w:tab w:val="clear" w:pos="794"/>
                <w:tab w:val="clear" w:pos="1247"/>
                <w:tab w:val="clear" w:pos="1701"/>
                <w:tab w:val="decimal" w:pos="918"/>
              </w:tabs>
              <w:spacing w:before="120" w:after="120"/>
              <w:jc w:val="center"/>
              <w:rPr>
                <w:b/>
                <w:sz w:val="20"/>
              </w:rPr>
            </w:pPr>
            <w:r w:rsidRPr="00EE2D4E">
              <w:rPr>
                <w:b/>
                <w:sz w:val="20"/>
              </w:rPr>
              <w:t>$2,178,676</w:t>
            </w:r>
          </w:p>
        </w:tc>
        <w:tc>
          <w:tcPr>
            <w:tcW w:w="1395" w:type="dxa"/>
          </w:tcPr>
          <w:p w:rsidR="002D1816" w:rsidRPr="00EE2D4E" w:rsidRDefault="00766943" w:rsidP="00EE2D4E">
            <w:pPr>
              <w:pStyle w:val="TableText1"/>
              <w:tabs>
                <w:tab w:val="clear" w:pos="794"/>
                <w:tab w:val="clear" w:pos="1247"/>
                <w:tab w:val="clear" w:pos="1701"/>
                <w:tab w:val="decimal" w:pos="967"/>
              </w:tabs>
              <w:spacing w:before="120" w:after="120"/>
              <w:jc w:val="center"/>
              <w:rPr>
                <w:b/>
                <w:sz w:val="20"/>
              </w:rPr>
            </w:pPr>
            <w:r w:rsidRPr="00EE2D4E">
              <w:rPr>
                <w:b/>
                <w:sz w:val="20"/>
              </w:rPr>
              <w:t>$</w:t>
            </w:r>
            <w:r w:rsidR="002D1816" w:rsidRPr="00EE2D4E">
              <w:rPr>
                <w:b/>
                <w:sz w:val="20"/>
              </w:rPr>
              <w:t>1,825,660</w:t>
            </w:r>
          </w:p>
        </w:tc>
        <w:tc>
          <w:tcPr>
            <w:tcW w:w="1486" w:type="dxa"/>
          </w:tcPr>
          <w:p w:rsidR="002D1816" w:rsidRPr="00EE2D4E" w:rsidRDefault="00EE2D4E" w:rsidP="00EE2D4E">
            <w:pPr>
              <w:pStyle w:val="TableText1"/>
              <w:tabs>
                <w:tab w:val="clear" w:pos="794"/>
                <w:tab w:val="clear" w:pos="1247"/>
                <w:tab w:val="clear" w:pos="1701"/>
                <w:tab w:val="decimal" w:pos="1158"/>
              </w:tabs>
              <w:spacing w:before="120" w:after="120"/>
              <w:jc w:val="center"/>
              <w:rPr>
                <w:b/>
                <w:sz w:val="20"/>
              </w:rPr>
            </w:pPr>
            <w:r w:rsidRPr="00EE2D4E">
              <w:rPr>
                <w:b/>
                <w:sz w:val="20"/>
              </w:rPr>
              <w:t>$</w:t>
            </w:r>
            <w:r w:rsidR="002D1816" w:rsidRPr="00EE2D4E">
              <w:rPr>
                <w:b/>
                <w:sz w:val="20"/>
              </w:rPr>
              <w:t>2,121,667</w:t>
            </w:r>
          </w:p>
        </w:tc>
        <w:tc>
          <w:tcPr>
            <w:tcW w:w="1440" w:type="dxa"/>
          </w:tcPr>
          <w:p w:rsidR="002D1816" w:rsidRPr="00EE2D4E" w:rsidRDefault="00EE2D4E" w:rsidP="00EE2D4E">
            <w:pPr>
              <w:pStyle w:val="TableText1"/>
              <w:tabs>
                <w:tab w:val="clear" w:pos="794"/>
                <w:tab w:val="clear" w:pos="1247"/>
                <w:tab w:val="clear" w:pos="1701"/>
                <w:tab w:val="decimal" w:pos="1069"/>
              </w:tabs>
              <w:spacing w:before="120" w:after="120"/>
              <w:jc w:val="center"/>
              <w:rPr>
                <w:b/>
                <w:sz w:val="20"/>
              </w:rPr>
            </w:pPr>
            <w:r w:rsidRPr="00EE2D4E">
              <w:rPr>
                <w:b/>
                <w:sz w:val="20"/>
              </w:rPr>
              <w:t>$</w:t>
            </w:r>
            <w:r w:rsidR="002D1816" w:rsidRPr="00EE2D4E">
              <w:rPr>
                <w:b/>
                <w:sz w:val="20"/>
              </w:rPr>
              <w:t>1,933,541</w:t>
            </w:r>
          </w:p>
        </w:tc>
      </w:tr>
    </w:tbl>
    <w:p w:rsidR="00EE2D4E" w:rsidRPr="0024611A" w:rsidRDefault="00EE2D4E" w:rsidP="00B20B53">
      <w:pPr>
        <w:pStyle w:val="Caption"/>
        <w:spacing w:before="240" w:after="240"/>
        <w:ind w:left="720"/>
        <w:jc w:val="center"/>
        <w:rPr>
          <w:rFonts w:ascii="Arial" w:hAnsi="Arial"/>
          <w:i w:val="0"/>
          <w:iCs w:val="0"/>
          <w:sz w:val="20"/>
          <w:lang w:val="en-AU"/>
        </w:rPr>
      </w:pPr>
      <w:bookmarkStart w:id="483" w:name="_Toc364945442"/>
      <w:r w:rsidRPr="0024611A">
        <w:rPr>
          <w:rFonts w:ascii="Arial" w:hAnsi="Arial"/>
          <w:i w:val="0"/>
          <w:iCs w:val="0"/>
          <w:sz w:val="20"/>
          <w:lang w:val="en-AU"/>
        </w:rPr>
        <w:t xml:space="preserve">Table </w:t>
      </w:r>
      <w:r w:rsidR="0090414C" w:rsidRPr="0024611A">
        <w:rPr>
          <w:rFonts w:ascii="Arial" w:hAnsi="Arial"/>
          <w:i w:val="0"/>
          <w:iCs w:val="0"/>
          <w:sz w:val="20"/>
          <w:lang w:val="en-AU"/>
        </w:rPr>
        <w:fldChar w:fldCharType="begin"/>
      </w:r>
      <w:r w:rsidRPr="0024611A">
        <w:rPr>
          <w:rFonts w:ascii="Arial" w:hAnsi="Arial"/>
          <w:i w:val="0"/>
          <w:iCs w:val="0"/>
          <w:sz w:val="20"/>
          <w:lang w:val="en-AU"/>
        </w:rPr>
        <w:instrText xml:space="preserve"> SEQ Table \* ARABIC </w:instrText>
      </w:r>
      <w:r w:rsidR="0090414C" w:rsidRPr="0024611A">
        <w:rPr>
          <w:rFonts w:ascii="Arial" w:hAnsi="Arial"/>
          <w:i w:val="0"/>
          <w:iCs w:val="0"/>
          <w:sz w:val="20"/>
          <w:lang w:val="en-AU"/>
        </w:rPr>
        <w:fldChar w:fldCharType="separate"/>
      </w:r>
      <w:r w:rsidR="00751CEC">
        <w:rPr>
          <w:rFonts w:ascii="Arial" w:hAnsi="Arial"/>
          <w:i w:val="0"/>
          <w:iCs w:val="0"/>
          <w:noProof/>
          <w:sz w:val="20"/>
          <w:lang w:val="en-AU"/>
        </w:rPr>
        <w:t>38</w:t>
      </w:r>
      <w:r w:rsidR="0090414C" w:rsidRPr="0024611A">
        <w:rPr>
          <w:rFonts w:ascii="Arial" w:hAnsi="Arial"/>
          <w:i w:val="0"/>
          <w:iCs w:val="0"/>
          <w:sz w:val="20"/>
          <w:lang w:val="en-AU"/>
        </w:rPr>
        <w:fldChar w:fldCharType="end"/>
      </w:r>
      <w:r w:rsidRPr="0024611A">
        <w:rPr>
          <w:rFonts w:ascii="Arial" w:hAnsi="Arial"/>
          <w:i w:val="0"/>
          <w:iCs w:val="0"/>
          <w:sz w:val="20"/>
          <w:lang w:val="en-AU"/>
        </w:rPr>
        <w:t>: Historical Maintenance Expenditure</w:t>
      </w:r>
      <w:bookmarkEnd w:id="483"/>
    </w:p>
    <w:p w:rsidR="00044AF5" w:rsidRPr="00C94308" w:rsidRDefault="00E27317" w:rsidP="00EE2D4E">
      <w:pPr>
        <w:ind w:left="720"/>
      </w:pPr>
      <w:r>
        <w:t xml:space="preserve">This funding is close to industry benchmarks that recommend 1% of the total buildings asset value be provided annually for building </w:t>
      </w:r>
      <w:r w:rsidR="00622DC3">
        <w:t xml:space="preserve">maintenance activities. For </w:t>
      </w:r>
      <w:r>
        <w:t>Yarra</w:t>
      </w:r>
      <w:r w:rsidR="00622DC3">
        <w:t xml:space="preserve"> City Council</w:t>
      </w:r>
      <w:r>
        <w:t xml:space="preserve"> this equates to $2.2M per annum.</w:t>
      </w:r>
    </w:p>
    <w:p w:rsidR="00044AF5" w:rsidRDefault="00044AF5" w:rsidP="003E5B9F">
      <w:pPr>
        <w:pStyle w:val="StyleHeading3Heading3Char10ptBefore6pt"/>
      </w:pPr>
      <w:bookmarkStart w:id="484" w:name="_Toc364945301"/>
      <w:r>
        <w:t>Maintenance Responsibilities</w:t>
      </w:r>
      <w:bookmarkEnd w:id="484"/>
    </w:p>
    <w:p w:rsidR="002D1816" w:rsidRDefault="002D1816" w:rsidP="00EE2D4E">
      <w:pPr>
        <w:ind w:left="720"/>
      </w:pPr>
      <w:r w:rsidRPr="005B4E4B">
        <w:t>Council has a documented Building Management Operational Plan which covers the operational and maintenance activities in more detail.</w:t>
      </w:r>
    </w:p>
    <w:p w:rsidR="00EE2D4E" w:rsidRPr="005B4E4B" w:rsidRDefault="00EE2D4E" w:rsidP="00EE2D4E">
      <w:pPr>
        <w:ind w:left="720"/>
      </w:pPr>
    </w:p>
    <w:p w:rsidR="002D1816" w:rsidRDefault="002D1816" w:rsidP="00EE2D4E">
      <w:pPr>
        <w:ind w:left="720"/>
      </w:pPr>
      <w:bookmarkStart w:id="485" w:name="_Toc341191990"/>
      <w:bookmarkStart w:id="486" w:name="_Toc341193532"/>
      <w:bookmarkStart w:id="487" w:name="_Toc341193756"/>
      <w:bookmarkStart w:id="488" w:name="_Toc341354255"/>
      <w:bookmarkStart w:id="489" w:name="_Toc341168981"/>
      <w:bookmarkStart w:id="490" w:name="_Toc341191993"/>
      <w:bookmarkStart w:id="491" w:name="_Toc341193535"/>
      <w:bookmarkStart w:id="492" w:name="_Toc341193759"/>
      <w:bookmarkStart w:id="493" w:name="_Toc341354258"/>
      <w:bookmarkStart w:id="494" w:name="_Toc341168982"/>
      <w:bookmarkStart w:id="495" w:name="_Toc341191994"/>
      <w:bookmarkStart w:id="496" w:name="_Toc341193536"/>
      <w:bookmarkStart w:id="497" w:name="_Toc341193760"/>
      <w:bookmarkStart w:id="498" w:name="_Toc341354259"/>
      <w:bookmarkStart w:id="499" w:name="_Toc341168999"/>
      <w:bookmarkStart w:id="500" w:name="_Toc341192011"/>
      <w:bookmarkStart w:id="501" w:name="_Toc341193553"/>
      <w:bookmarkStart w:id="502" w:name="_Toc341193777"/>
      <w:bookmarkStart w:id="503" w:name="_Toc341354276"/>
      <w:bookmarkStart w:id="504" w:name="_Toc341169031"/>
      <w:bookmarkStart w:id="505" w:name="_Toc341192043"/>
      <w:bookmarkStart w:id="506" w:name="_Toc341193585"/>
      <w:bookmarkStart w:id="507" w:name="_Toc341193809"/>
      <w:bookmarkStart w:id="508" w:name="_Toc341354308"/>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r w:rsidRPr="005B4E4B">
        <w:t>Proactive inspections of buildings are the cornerstone of the maintenance and ren</w:t>
      </w:r>
      <w:r w:rsidR="00EE2D4E">
        <w:t>ewal programs for these assets.</w:t>
      </w:r>
    </w:p>
    <w:p w:rsidR="00EE2D4E" w:rsidRPr="005B4E4B" w:rsidRDefault="00EE2D4E" w:rsidP="00EE2D4E">
      <w:pPr>
        <w:ind w:left="720"/>
      </w:pPr>
    </w:p>
    <w:p w:rsidR="002D1816" w:rsidRDefault="002D1816" w:rsidP="00EE2D4E">
      <w:pPr>
        <w:ind w:left="720"/>
      </w:pPr>
      <w:r w:rsidRPr="005B4E4B">
        <w:t xml:space="preserve">There are a number of inspection programs that are undertaken by the Buildings and Property Branch in order to identify defects and obtain condition data on the building infrastructure. Inspections are carried out either by Council staff or, by industry specialists where compliances with relevant legislation are required such as the Essential Safety Measures or building evacuation systems etc. The information obtained from these inspections is used to prioritise maintenance activities and develop future capital works programs. </w:t>
      </w:r>
    </w:p>
    <w:p w:rsidR="00EE2D4E" w:rsidRPr="005B4E4B" w:rsidRDefault="00EE2D4E" w:rsidP="00EE2D4E">
      <w:pPr>
        <w:ind w:left="720"/>
      </w:pPr>
    </w:p>
    <w:p w:rsidR="002D1816" w:rsidRDefault="002D1816" w:rsidP="00EE2D4E">
      <w:pPr>
        <w:ind w:left="720"/>
      </w:pPr>
      <w:r w:rsidRPr="005B4E4B">
        <w:t>The inspection programs fall into two categories:</w:t>
      </w:r>
    </w:p>
    <w:p w:rsidR="00EE2D4E" w:rsidRPr="005B4E4B" w:rsidRDefault="00EE2D4E" w:rsidP="00EE2D4E">
      <w:pPr>
        <w:ind w:left="720"/>
      </w:pPr>
    </w:p>
    <w:p w:rsidR="002D1816" w:rsidRPr="00EE2D4E" w:rsidRDefault="00CE5EFF" w:rsidP="008348B5">
      <w:pPr>
        <w:pStyle w:val="ListParagraph"/>
        <w:numPr>
          <w:ilvl w:val="0"/>
          <w:numId w:val="87"/>
        </w:numPr>
        <w:rPr>
          <w:rFonts w:ascii="Arial" w:hAnsi="Arial" w:cs="Arial"/>
          <w:sz w:val="20"/>
        </w:rPr>
      </w:pPr>
      <w:r>
        <w:rPr>
          <w:rFonts w:ascii="Arial" w:hAnsi="Arial" w:cs="Arial"/>
          <w:sz w:val="20"/>
        </w:rPr>
        <w:t>Asset Defect</w:t>
      </w:r>
      <w:r w:rsidR="002D1816" w:rsidRPr="00EE2D4E">
        <w:rPr>
          <w:rFonts w:ascii="Arial" w:hAnsi="Arial" w:cs="Arial"/>
          <w:sz w:val="20"/>
        </w:rPr>
        <w:t>/Hazard Inspection; and</w:t>
      </w:r>
    </w:p>
    <w:p w:rsidR="002D1816" w:rsidRPr="00EE2D4E" w:rsidRDefault="00CE5EFF" w:rsidP="008348B5">
      <w:pPr>
        <w:pStyle w:val="ListParagraph"/>
        <w:numPr>
          <w:ilvl w:val="0"/>
          <w:numId w:val="87"/>
        </w:numPr>
        <w:rPr>
          <w:rFonts w:ascii="Arial" w:hAnsi="Arial" w:cs="Arial"/>
          <w:sz w:val="20"/>
        </w:rPr>
      </w:pPr>
      <w:r>
        <w:rPr>
          <w:rFonts w:ascii="Arial" w:hAnsi="Arial" w:cs="Arial"/>
          <w:sz w:val="20"/>
        </w:rPr>
        <w:t>Facility Audit</w:t>
      </w:r>
      <w:r w:rsidR="002D1816" w:rsidRPr="00EE2D4E">
        <w:rPr>
          <w:rFonts w:ascii="Arial" w:hAnsi="Arial" w:cs="Arial"/>
          <w:sz w:val="20"/>
        </w:rPr>
        <w:t>/Condition Assessment.</w:t>
      </w:r>
    </w:p>
    <w:p w:rsidR="00EE2D4E" w:rsidRDefault="00EE2D4E" w:rsidP="00EE2D4E">
      <w:pPr>
        <w:ind w:left="720"/>
      </w:pPr>
    </w:p>
    <w:p w:rsidR="002D1816" w:rsidRDefault="002D1816" w:rsidP="00EE2D4E">
      <w:pPr>
        <w:ind w:left="720"/>
      </w:pPr>
      <w:r w:rsidRPr="005B4E4B">
        <w:t>Generally, defects identified are captured at the asset sub-component level, i.e. windows, curtains, guttering, hot water units, etc</w:t>
      </w:r>
      <w:r w:rsidR="008B7BE0">
        <w:t>.</w:t>
      </w:r>
      <w:r w:rsidRPr="005B4E4B">
        <w:t xml:space="preserve"> whereas condition assessment is recorded at the asset component level, i.e. floor, wall, roof, etc. Defects data form the basis of maintenance and repair programs whereas the condition information guides the development of</w:t>
      </w:r>
      <w:r w:rsidR="00335B3A">
        <w:t xml:space="preserve"> the</w:t>
      </w:r>
      <w:r w:rsidR="00CE5EFF">
        <w:t xml:space="preserve"> long term renewal</w:t>
      </w:r>
      <w:r w:rsidRPr="005B4E4B">
        <w:t>/replacement program.</w:t>
      </w:r>
    </w:p>
    <w:p w:rsidR="00C94308" w:rsidRPr="005B4E4B" w:rsidRDefault="00C94308" w:rsidP="00EE2D4E">
      <w:pPr>
        <w:ind w:left="720"/>
      </w:pPr>
    </w:p>
    <w:p w:rsidR="002D1816" w:rsidRPr="00EE2D4E" w:rsidRDefault="002D1816" w:rsidP="00EE2D4E">
      <w:pPr>
        <w:ind w:left="720"/>
        <w:rPr>
          <w:u w:val="single"/>
        </w:rPr>
      </w:pPr>
      <w:r w:rsidRPr="00EE2D4E">
        <w:rPr>
          <w:u w:val="single"/>
        </w:rPr>
        <w:t xml:space="preserve">Asset Defect/Hazard Inspection Program </w:t>
      </w:r>
    </w:p>
    <w:p w:rsidR="00EE2D4E" w:rsidRDefault="00EE2D4E" w:rsidP="00EE2D4E">
      <w:pPr>
        <w:ind w:left="720"/>
      </w:pPr>
    </w:p>
    <w:p w:rsidR="002D1816" w:rsidRDefault="002D1816" w:rsidP="00EE2D4E">
      <w:pPr>
        <w:ind w:left="720"/>
      </w:pPr>
      <w:r w:rsidRPr="005B4E4B">
        <w:t>These are designed to identify those defects likely to create a danger or serious inconvenience to the public, and therefore require immediate or urgent attention. Compliance inspections falling within an annual frequency form part of this program.</w:t>
      </w:r>
    </w:p>
    <w:p w:rsidR="00EE2D4E" w:rsidRPr="005B4E4B" w:rsidRDefault="00EE2D4E" w:rsidP="00EE2D4E">
      <w:pPr>
        <w:ind w:left="720"/>
      </w:pPr>
    </w:p>
    <w:p w:rsidR="002D1816" w:rsidRDefault="002D1816" w:rsidP="00EE2D4E">
      <w:pPr>
        <w:ind w:left="720"/>
      </w:pPr>
      <w:r w:rsidRPr="005B4E4B">
        <w:t xml:space="preserve">Inspections for occupational health and safety and public health are very much part of this inspection program and the </w:t>
      </w:r>
      <w:r w:rsidR="00CE5EFF">
        <w:t>building assets</w:t>
      </w:r>
      <w:r w:rsidRPr="005B4E4B">
        <w:t>/systems inspected include, but not limited to, the following:</w:t>
      </w:r>
    </w:p>
    <w:p w:rsidR="00EE2D4E" w:rsidRPr="005B4E4B" w:rsidRDefault="00EE2D4E" w:rsidP="00EE2D4E">
      <w:pPr>
        <w:ind w:left="720"/>
      </w:pPr>
    </w:p>
    <w:p w:rsidR="002D1816" w:rsidRPr="00EE2D4E" w:rsidRDefault="002D1816" w:rsidP="008348B5">
      <w:pPr>
        <w:pStyle w:val="ListParagraph"/>
        <w:numPr>
          <w:ilvl w:val="0"/>
          <w:numId w:val="88"/>
        </w:numPr>
        <w:rPr>
          <w:rFonts w:ascii="Arial" w:hAnsi="Arial" w:cs="Arial"/>
          <w:sz w:val="20"/>
        </w:rPr>
      </w:pPr>
      <w:r w:rsidRPr="00EE2D4E">
        <w:rPr>
          <w:rFonts w:ascii="Arial" w:hAnsi="Arial" w:cs="Arial"/>
          <w:sz w:val="20"/>
        </w:rPr>
        <w:t>Air handling units for air conditioning, heating and ventilation systems;</w:t>
      </w:r>
    </w:p>
    <w:p w:rsidR="002D1816" w:rsidRPr="00EE2D4E" w:rsidRDefault="002D1816" w:rsidP="008348B5">
      <w:pPr>
        <w:pStyle w:val="ListParagraph"/>
        <w:numPr>
          <w:ilvl w:val="0"/>
          <w:numId w:val="88"/>
        </w:numPr>
        <w:rPr>
          <w:rFonts w:ascii="Arial" w:hAnsi="Arial" w:cs="Arial"/>
          <w:sz w:val="20"/>
        </w:rPr>
      </w:pPr>
      <w:r w:rsidRPr="00EE2D4E">
        <w:rPr>
          <w:rFonts w:ascii="Arial" w:hAnsi="Arial" w:cs="Arial"/>
          <w:sz w:val="20"/>
        </w:rPr>
        <w:t>Cooling water systems for air conditioning and/or process cooling;</w:t>
      </w:r>
    </w:p>
    <w:p w:rsidR="002D1816" w:rsidRPr="00EE2D4E" w:rsidRDefault="002D1816" w:rsidP="008348B5">
      <w:pPr>
        <w:pStyle w:val="ListParagraph"/>
        <w:numPr>
          <w:ilvl w:val="0"/>
          <w:numId w:val="88"/>
        </w:numPr>
        <w:rPr>
          <w:rFonts w:ascii="Arial" w:hAnsi="Arial" w:cs="Arial"/>
          <w:sz w:val="20"/>
        </w:rPr>
      </w:pPr>
      <w:r w:rsidRPr="00EE2D4E">
        <w:rPr>
          <w:rFonts w:ascii="Arial" w:hAnsi="Arial" w:cs="Arial"/>
          <w:sz w:val="20"/>
        </w:rPr>
        <w:t>Humidification systems;</w:t>
      </w:r>
    </w:p>
    <w:p w:rsidR="002D1816" w:rsidRPr="00EE2D4E" w:rsidRDefault="002D1816" w:rsidP="008348B5">
      <w:pPr>
        <w:pStyle w:val="ListParagraph"/>
        <w:numPr>
          <w:ilvl w:val="0"/>
          <w:numId w:val="88"/>
        </w:numPr>
        <w:rPr>
          <w:rFonts w:ascii="Arial" w:hAnsi="Arial" w:cs="Arial"/>
          <w:sz w:val="20"/>
        </w:rPr>
      </w:pPr>
      <w:r w:rsidRPr="00EE2D4E">
        <w:rPr>
          <w:rFonts w:ascii="Arial" w:hAnsi="Arial" w:cs="Arial"/>
          <w:sz w:val="20"/>
        </w:rPr>
        <w:t>Evaporative cooling systems;</w:t>
      </w:r>
    </w:p>
    <w:p w:rsidR="002D1816" w:rsidRPr="00EE2D4E" w:rsidRDefault="002D1816" w:rsidP="008348B5">
      <w:pPr>
        <w:pStyle w:val="ListParagraph"/>
        <w:numPr>
          <w:ilvl w:val="0"/>
          <w:numId w:val="88"/>
        </w:numPr>
        <w:rPr>
          <w:rFonts w:ascii="Arial" w:hAnsi="Arial" w:cs="Arial"/>
          <w:sz w:val="20"/>
        </w:rPr>
      </w:pPr>
      <w:r w:rsidRPr="00EE2D4E">
        <w:rPr>
          <w:rFonts w:ascii="Arial" w:hAnsi="Arial" w:cs="Arial"/>
          <w:sz w:val="20"/>
        </w:rPr>
        <w:t>Hot and warm water supply systems (including mixing valves); and</w:t>
      </w:r>
    </w:p>
    <w:p w:rsidR="002D1816" w:rsidRPr="00EE2D4E" w:rsidRDefault="002D1816" w:rsidP="008348B5">
      <w:pPr>
        <w:pStyle w:val="ListParagraph"/>
        <w:numPr>
          <w:ilvl w:val="0"/>
          <w:numId w:val="88"/>
        </w:numPr>
        <w:rPr>
          <w:rFonts w:ascii="Arial" w:hAnsi="Arial" w:cs="Arial"/>
          <w:sz w:val="20"/>
        </w:rPr>
      </w:pPr>
      <w:r w:rsidRPr="00EE2D4E">
        <w:rPr>
          <w:rFonts w:ascii="Arial" w:hAnsi="Arial" w:cs="Arial"/>
          <w:sz w:val="20"/>
        </w:rPr>
        <w:t xml:space="preserve">Pools and spas. </w:t>
      </w:r>
    </w:p>
    <w:p w:rsidR="00EE2D4E" w:rsidRDefault="00EE2D4E" w:rsidP="00EE2D4E">
      <w:pPr>
        <w:ind w:left="720"/>
      </w:pPr>
    </w:p>
    <w:p w:rsidR="002D1816" w:rsidRDefault="002D1816" w:rsidP="00EE2D4E">
      <w:pPr>
        <w:ind w:left="720"/>
      </w:pPr>
      <w:r w:rsidRPr="005B4E4B">
        <w:t>The frequency of the inspections is dependent on risk and statutory obligations. The inspections also may vary depending on the type of building and utilisation and the components that make up that building. For example libraries, child care centres and leisure centres have higher inspection frequency than sports pavilions due to the higher profile and legislative requirements.</w:t>
      </w:r>
    </w:p>
    <w:p w:rsidR="00EE2D4E" w:rsidRPr="005B4E4B" w:rsidRDefault="00EE2D4E" w:rsidP="00EE2D4E">
      <w:pPr>
        <w:ind w:left="720"/>
      </w:pPr>
    </w:p>
    <w:p w:rsidR="002D1816" w:rsidRDefault="002D1816" w:rsidP="00EE2D4E">
      <w:pPr>
        <w:ind w:left="720"/>
      </w:pPr>
      <w:r w:rsidRPr="005B4E4B">
        <w:t>Defects/hazard identification is usually completed as part of the annual general building inspection activity.</w:t>
      </w:r>
    </w:p>
    <w:p w:rsidR="00C94308" w:rsidRPr="005B4E4B" w:rsidRDefault="00C94308" w:rsidP="00EE2D4E">
      <w:pPr>
        <w:ind w:left="720"/>
      </w:pPr>
    </w:p>
    <w:p w:rsidR="002D1816" w:rsidRPr="00EE2D4E" w:rsidRDefault="002D1816" w:rsidP="00EE2D4E">
      <w:pPr>
        <w:ind w:left="720"/>
        <w:rPr>
          <w:u w:val="single"/>
        </w:rPr>
      </w:pPr>
      <w:r w:rsidRPr="00EE2D4E">
        <w:rPr>
          <w:u w:val="single"/>
        </w:rPr>
        <w:t>Main</w:t>
      </w:r>
      <w:r w:rsidR="000E7FA6">
        <w:rPr>
          <w:u w:val="single"/>
        </w:rPr>
        <w:t>tenance Workf</w:t>
      </w:r>
      <w:r w:rsidRPr="00EE2D4E">
        <w:rPr>
          <w:u w:val="single"/>
        </w:rPr>
        <w:t>low Process and Response Time</w:t>
      </w:r>
    </w:p>
    <w:p w:rsidR="00EE2D4E" w:rsidRDefault="00EE2D4E" w:rsidP="00EE2D4E">
      <w:pPr>
        <w:ind w:left="720"/>
      </w:pPr>
    </w:p>
    <w:p w:rsidR="002D1816" w:rsidRDefault="002D1816" w:rsidP="00EE2D4E">
      <w:pPr>
        <w:ind w:left="720"/>
      </w:pPr>
      <w:r w:rsidRPr="005B4E4B">
        <w:t xml:space="preserve">The maintenance workflow process is well documented in the </w:t>
      </w:r>
      <w:r w:rsidR="00C94308">
        <w:t>Operational Plan</w:t>
      </w:r>
      <w:r w:rsidRPr="005B4E4B">
        <w:t>, and reflected in the works management system (TechnologyOne Assets Management).</w:t>
      </w:r>
    </w:p>
    <w:p w:rsidR="00EE2D4E" w:rsidRPr="005B4E4B" w:rsidRDefault="00EE2D4E" w:rsidP="00EE2D4E">
      <w:pPr>
        <w:ind w:left="720"/>
      </w:pPr>
    </w:p>
    <w:p w:rsidR="002D1816" w:rsidRDefault="002D1816" w:rsidP="00EE2D4E">
      <w:pPr>
        <w:ind w:left="720"/>
      </w:pPr>
      <w:r w:rsidRPr="005B4E4B">
        <w:t xml:space="preserve">Council relies on the maintenance contractor to complete the works to an appropriate standard and in a timely </w:t>
      </w:r>
      <w:r w:rsidR="00C94308">
        <w:t>manner</w:t>
      </w:r>
      <w:r w:rsidRPr="005B4E4B">
        <w:t xml:space="preserve">. Maintenance response time is generally applicable to reactive maintenance activities.  </w:t>
      </w:r>
    </w:p>
    <w:p w:rsidR="00EE2D4E" w:rsidRPr="005B4E4B" w:rsidRDefault="00EE2D4E" w:rsidP="00EE2D4E">
      <w:pPr>
        <w:ind w:left="720"/>
      </w:pPr>
    </w:p>
    <w:p w:rsidR="002D1816" w:rsidRDefault="002D1816" w:rsidP="00EE2D4E">
      <w:pPr>
        <w:ind w:left="720"/>
      </w:pPr>
      <w:r w:rsidRPr="005B4E4B">
        <w:t>Three different phases are established in the workflow process:</w:t>
      </w:r>
    </w:p>
    <w:p w:rsidR="00EE2D4E" w:rsidRPr="005B4E4B" w:rsidRDefault="00EE2D4E" w:rsidP="00EE2D4E">
      <w:pPr>
        <w:ind w:left="720"/>
      </w:pPr>
    </w:p>
    <w:p w:rsidR="002D1816" w:rsidRPr="00EE2D4E" w:rsidRDefault="002D1816" w:rsidP="008348B5">
      <w:pPr>
        <w:pStyle w:val="ListParagraph"/>
        <w:numPr>
          <w:ilvl w:val="0"/>
          <w:numId w:val="89"/>
        </w:numPr>
        <w:ind w:left="1080"/>
        <w:rPr>
          <w:rFonts w:ascii="Arial" w:hAnsi="Arial" w:cs="Arial"/>
          <w:sz w:val="20"/>
        </w:rPr>
      </w:pPr>
      <w:r w:rsidRPr="00EE2D4E">
        <w:rPr>
          <w:rFonts w:ascii="Arial" w:hAnsi="Arial" w:cs="Arial"/>
          <w:sz w:val="20"/>
        </w:rPr>
        <w:t>Initial assessment and work allocation;</w:t>
      </w:r>
    </w:p>
    <w:p w:rsidR="002D1816" w:rsidRPr="00EE2D4E" w:rsidRDefault="002D1816" w:rsidP="008348B5">
      <w:pPr>
        <w:pStyle w:val="ListParagraph"/>
        <w:numPr>
          <w:ilvl w:val="0"/>
          <w:numId w:val="89"/>
        </w:numPr>
        <w:ind w:left="1080"/>
        <w:rPr>
          <w:rFonts w:ascii="Arial" w:hAnsi="Arial" w:cs="Arial"/>
          <w:sz w:val="20"/>
        </w:rPr>
      </w:pPr>
      <w:r w:rsidRPr="00EE2D4E">
        <w:rPr>
          <w:rFonts w:ascii="Arial" w:hAnsi="Arial" w:cs="Arial"/>
          <w:sz w:val="20"/>
        </w:rPr>
        <w:t xml:space="preserve">On-site </w:t>
      </w:r>
      <w:r w:rsidR="00815B76">
        <w:rPr>
          <w:rFonts w:ascii="Arial" w:hAnsi="Arial" w:cs="Arial"/>
          <w:sz w:val="20"/>
        </w:rPr>
        <w:t>r</w:t>
      </w:r>
      <w:r w:rsidR="00C94308" w:rsidRPr="00EE2D4E">
        <w:rPr>
          <w:rFonts w:ascii="Arial" w:hAnsi="Arial" w:cs="Arial"/>
          <w:sz w:val="20"/>
        </w:rPr>
        <w:t xml:space="preserve">isk </w:t>
      </w:r>
      <w:r w:rsidRPr="00EE2D4E">
        <w:rPr>
          <w:rFonts w:ascii="Arial" w:hAnsi="Arial" w:cs="Arial"/>
          <w:sz w:val="20"/>
        </w:rPr>
        <w:t xml:space="preserve">assessment and </w:t>
      </w:r>
      <w:r w:rsidR="00815B76">
        <w:rPr>
          <w:rFonts w:ascii="Arial" w:hAnsi="Arial" w:cs="Arial"/>
          <w:sz w:val="20"/>
        </w:rPr>
        <w:t>t</w:t>
      </w:r>
      <w:r w:rsidRPr="00EE2D4E">
        <w:rPr>
          <w:rFonts w:ascii="Arial" w:hAnsi="Arial" w:cs="Arial"/>
          <w:sz w:val="20"/>
        </w:rPr>
        <w:t>emporary works to make safe (if necessary); and</w:t>
      </w:r>
    </w:p>
    <w:p w:rsidR="002D1816" w:rsidRPr="00EE2D4E" w:rsidRDefault="002D1816" w:rsidP="008348B5">
      <w:pPr>
        <w:pStyle w:val="ListParagraph"/>
        <w:numPr>
          <w:ilvl w:val="0"/>
          <w:numId w:val="89"/>
        </w:numPr>
        <w:ind w:left="1080"/>
        <w:rPr>
          <w:rFonts w:ascii="Arial" w:hAnsi="Arial" w:cs="Arial"/>
          <w:sz w:val="20"/>
        </w:rPr>
      </w:pPr>
      <w:r w:rsidRPr="00EE2D4E">
        <w:rPr>
          <w:rFonts w:ascii="Arial" w:hAnsi="Arial" w:cs="Arial"/>
          <w:sz w:val="20"/>
        </w:rPr>
        <w:t>Perman</w:t>
      </w:r>
      <w:r w:rsidR="00C94308" w:rsidRPr="00EE2D4E">
        <w:rPr>
          <w:rFonts w:ascii="Arial" w:hAnsi="Arial" w:cs="Arial"/>
          <w:sz w:val="20"/>
        </w:rPr>
        <w:t xml:space="preserve">ent rectification works (at this point work can be </w:t>
      </w:r>
      <w:r w:rsidRPr="00EE2D4E">
        <w:rPr>
          <w:rFonts w:ascii="Arial" w:hAnsi="Arial" w:cs="Arial"/>
          <w:sz w:val="20"/>
        </w:rPr>
        <w:t>referred to capital works).</w:t>
      </w:r>
    </w:p>
    <w:p w:rsidR="006E1DC9" w:rsidRDefault="006E1DC9" w:rsidP="00765223">
      <w:pPr>
        <w:ind w:left="720"/>
      </w:pPr>
    </w:p>
    <w:p w:rsidR="006E1DC9" w:rsidRDefault="002D1816" w:rsidP="00C459CB">
      <w:pPr>
        <w:keepNext/>
        <w:keepLines/>
        <w:ind w:left="720"/>
      </w:pPr>
      <w:r w:rsidRPr="005B4E4B">
        <w:t xml:space="preserve">Response to maintenance activities also consider the nature of works likely to be encountered, as shown in the </w:t>
      </w:r>
      <w:r w:rsidR="00EE2D4E">
        <w:t>following table:</w:t>
      </w:r>
    </w:p>
    <w:p w:rsidR="00EE2D4E" w:rsidRPr="005B4E4B" w:rsidRDefault="00EE2D4E" w:rsidP="00C459CB">
      <w:pPr>
        <w:keepNext/>
        <w:keepLines/>
        <w:ind w:left="720"/>
      </w:pPr>
    </w:p>
    <w:tbl>
      <w:tblPr>
        <w:tblW w:w="8469"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2693"/>
        <w:gridCol w:w="1417"/>
        <w:gridCol w:w="1418"/>
        <w:gridCol w:w="1523"/>
      </w:tblGrid>
      <w:tr w:rsidR="006E1DC9" w:rsidRPr="00050793" w:rsidTr="00815B76">
        <w:trPr>
          <w:cantSplit/>
          <w:jc w:val="right"/>
        </w:trPr>
        <w:tc>
          <w:tcPr>
            <w:tcW w:w="1418" w:type="dxa"/>
            <w:shd w:val="clear" w:color="auto" w:fill="95B3D7" w:themeFill="accent1" w:themeFillTint="99"/>
            <w:vAlign w:val="bottom"/>
          </w:tcPr>
          <w:p w:rsidR="006E1DC9" w:rsidRPr="00050793" w:rsidRDefault="006E1DC9" w:rsidP="00C459CB">
            <w:pPr>
              <w:keepNext/>
              <w:keepLines/>
              <w:spacing w:before="120" w:after="120"/>
              <w:jc w:val="center"/>
              <w:rPr>
                <w:b/>
                <w:szCs w:val="19"/>
              </w:rPr>
            </w:pPr>
            <w:r w:rsidRPr="00050793">
              <w:rPr>
                <w:b/>
                <w:szCs w:val="19"/>
              </w:rPr>
              <w:t>Response Type</w:t>
            </w:r>
          </w:p>
        </w:tc>
        <w:tc>
          <w:tcPr>
            <w:tcW w:w="2693" w:type="dxa"/>
            <w:shd w:val="clear" w:color="auto" w:fill="95B3D7" w:themeFill="accent1" w:themeFillTint="99"/>
            <w:vAlign w:val="bottom"/>
          </w:tcPr>
          <w:p w:rsidR="006E1DC9" w:rsidRPr="00050793" w:rsidRDefault="006E1DC9" w:rsidP="00C459CB">
            <w:pPr>
              <w:keepNext/>
              <w:keepLines/>
              <w:spacing w:before="120" w:after="120"/>
              <w:jc w:val="center"/>
              <w:rPr>
                <w:b/>
                <w:szCs w:val="19"/>
              </w:rPr>
            </w:pPr>
            <w:r w:rsidRPr="00050793">
              <w:rPr>
                <w:b/>
                <w:szCs w:val="19"/>
              </w:rPr>
              <w:t>Service</w:t>
            </w:r>
          </w:p>
        </w:tc>
        <w:tc>
          <w:tcPr>
            <w:tcW w:w="1417" w:type="dxa"/>
            <w:shd w:val="clear" w:color="auto" w:fill="95B3D7" w:themeFill="accent1" w:themeFillTint="99"/>
            <w:vAlign w:val="bottom"/>
          </w:tcPr>
          <w:p w:rsidR="006E1DC9" w:rsidRPr="00050793" w:rsidRDefault="006E1DC9" w:rsidP="00C459CB">
            <w:pPr>
              <w:keepNext/>
              <w:keepLines/>
              <w:spacing w:before="120" w:after="120"/>
              <w:jc w:val="center"/>
              <w:rPr>
                <w:b/>
                <w:szCs w:val="19"/>
              </w:rPr>
            </w:pPr>
            <w:r w:rsidRPr="00050793">
              <w:rPr>
                <w:b/>
                <w:szCs w:val="19"/>
              </w:rPr>
              <w:t>Initial Assessment</w:t>
            </w:r>
          </w:p>
        </w:tc>
        <w:tc>
          <w:tcPr>
            <w:tcW w:w="1418" w:type="dxa"/>
            <w:shd w:val="clear" w:color="auto" w:fill="95B3D7" w:themeFill="accent1" w:themeFillTint="99"/>
            <w:vAlign w:val="bottom"/>
          </w:tcPr>
          <w:p w:rsidR="006E1DC9" w:rsidRPr="00050793" w:rsidRDefault="006E1DC9" w:rsidP="00C459CB">
            <w:pPr>
              <w:keepNext/>
              <w:keepLines/>
              <w:spacing w:before="120" w:after="120"/>
              <w:jc w:val="center"/>
              <w:rPr>
                <w:b/>
                <w:szCs w:val="19"/>
              </w:rPr>
            </w:pPr>
            <w:r w:rsidRPr="00050793">
              <w:rPr>
                <w:b/>
                <w:szCs w:val="19"/>
              </w:rPr>
              <w:t>On</w:t>
            </w:r>
            <w:r w:rsidR="00EE2D4E" w:rsidRPr="00050793">
              <w:rPr>
                <w:b/>
                <w:szCs w:val="19"/>
              </w:rPr>
              <w:t xml:space="preserve">-site Assessment and </w:t>
            </w:r>
            <w:r w:rsidRPr="00050793">
              <w:rPr>
                <w:b/>
                <w:szCs w:val="19"/>
              </w:rPr>
              <w:t>Temp Works</w:t>
            </w:r>
            <w:r w:rsidRPr="00050793">
              <w:rPr>
                <w:b/>
                <w:szCs w:val="19"/>
              </w:rPr>
              <w:br/>
              <w:t>(if required)</w:t>
            </w:r>
          </w:p>
        </w:tc>
        <w:tc>
          <w:tcPr>
            <w:tcW w:w="1523" w:type="dxa"/>
            <w:shd w:val="clear" w:color="auto" w:fill="95B3D7" w:themeFill="accent1" w:themeFillTint="99"/>
            <w:vAlign w:val="bottom"/>
          </w:tcPr>
          <w:p w:rsidR="006E1DC9" w:rsidRPr="00050793" w:rsidRDefault="00815B76" w:rsidP="00C459CB">
            <w:pPr>
              <w:keepNext/>
              <w:keepLines/>
              <w:spacing w:before="120" w:after="120"/>
              <w:jc w:val="center"/>
              <w:rPr>
                <w:b/>
                <w:szCs w:val="19"/>
              </w:rPr>
            </w:pPr>
            <w:r>
              <w:rPr>
                <w:b/>
                <w:szCs w:val="19"/>
              </w:rPr>
              <w:t>Permanent</w:t>
            </w:r>
            <w:r>
              <w:rPr>
                <w:b/>
                <w:szCs w:val="19"/>
              </w:rPr>
              <w:br/>
            </w:r>
            <w:r w:rsidR="006E1DC9" w:rsidRPr="00050793">
              <w:rPr>
                <w:b/>
                <w:szCs w:val="19"/>
              </w:rPr>
              <w:t>Rectification*</w:t>
            </w:r>
          </w:p>
        </w:tc>
      </w:tr>
      <w:tr w:rsidR="006E1DC9" w:rsidRPr="00050793" w:rsidTr="00815B76">
        <w:trPr>
          <w:cantSplit/>
          <w:jc w:val="right"/>
        </w:trPr>
        <w:tc>
          <w:tcPr>
            <w:tcW w:w="1418" w:type="dxa"/>
          </w:tcPr>
          <w:p w:rsidR="006E1DC9" w:rsidRPr="00050793" w:rsidRDefault="00815B76" w:rsidP="00C459CB">
            <w:pPr>
              <w:keepNext/>
              <w:keepLines/>
              <w:spacing w:before="120" w:after="120"/>
              <w:jc w:val="center"/>
              <w:rPr>
                <w:szCs w:val="19"/>
              </w:rPr>
            </w:pPr>
            <w:r>
              <w:rPr>
                <w:szCs w:val="19"/>
              </w:rPr>
              <w:t>Emergency/ Urgent R</w:t>
            </w:r>
            <w:r w:rsidR="006E1DC9" w:rsidRPr="00050793">
              <w:rPr>
                <w:szCs w:val="19"/>
              </w:rPr>
              <w:t>esponse</w:t>
            </w:r>
          </w:p>
        </w:tc>
        <w:tc>
          <w:tcPr>
            <w:tcW w:w="2693" w:type="dxa"/>
          </w:tcPr>
          <w:p w:rsidR="006E1DC9" w:rsidRPr="00050793" w:rsidRDefault="006E1DC9" w:rsidP="00C459CB">
            <w:pPr>
              <w:keepNext/>
              <w:keepLines/>
              <w:spacing w:before="120" w:after="120"/>
              <w:jc w:val="left"/>
              <w:rPr>
                <w:szCs w:val="19"/>
              </w:rPr>
            </w:pPr>
            <w:r w:rsidRPr="00050793">
              <w:rPr>
                <w:szCs w:val="19"/>
              </w:rPr>
              <w:t>Emergency work, which if not carried out immediately will endanger the health and safety of staff, general public.  May present an unacceptable risk to security and/or building fabric or seriously affect business continuity</w:t>
            </w:r>
          </w:p>
        </w:tc>
        <w:tc>
          <w:tcPr>
            <w:tcW w:w="1417" w:type="dxa"/>
          </w:tcPr>
          <w:p w:rsidR="006E1DC9" w:rsidRPr="00050793" w:rsidRDefault="00EE2D4E" w:rsidP="00C459CB">
            <w:pPr>
              <w:keepNext/>
              <w:keepLines/>
              <w:spacing w:before="120" w:after="120"/>
              <w:jc w:val="center"/>
              <w:rPr>
                <w:szCs w:val="19"/>
              </w:rPr>
            </w:pPr>
            <w:r w:rsidRPr="00050793">
              <w:rPr>
                <w:szCs w:val="19"/>
              </w:rPr>
              <w:t>Within</w:t>
            </w:r>
            <w:r w:rsidRPr="00050793">
              <w:rPr>
                <w:szCs w:val="19"/>
              </w:rPr>
              <w:br/>
            </w:r>
            <w:r w:rsidR="006E1DC9" w:rsidRPr="00050793">
              <w:rPr>
                <w:szCs w:val="19"/>
              </w:rPr>
              <w:t>1  hour</w:t>
            </w:r>
          </w:p>
        </w:tc>
        <w:tc>
          <w:tcPr>
            <w:tcW w:w="1418" w:type="dxa"/>
          </w:tcPr>
          <w:p w:rsidR="006E1DC9" w:rsidRPr="00050793" w:rsidRDefault="00EE2D4E" w:rsidP="00C459CB">
            <w:pPr>
              <w:keepNext/>
              <w:keepLines/>
              <w:spacing w:before="120" w:after="120"/>
              <w:jc w:val="center"/>
              <w:rPr>
                <w:szCs w:val="19"/>
              </w:rPr>
            </w:pPr>
            <w:r w:rsidRPr="00050793">
              <w:rPr>
                <w:szCs w:val="19"/>
              </w:rPr>
              <w:t>Within</w:t>
            </w:r>
            <w:r w:rsidRPr="00050793">
              <w:rPr>
                <w:szCs w:val="19"/>
              </w:rPr>
              <w:br/>
            </w:r>
            <w:r w:rsidR="006E1DC9" w:rsidRPr="00050793">
              <w:rPr>
                <w:szCs w:val="19"/>
              </w:rPr>
              <w:t>2 hours</w:t>
            </w:r>
          </w:p>
        </w:tc>
        <w:tc>
          <w:tcPr>
            <w:tcW w:w="1523" w:type="dxa"/>
          </w:tcPr>
          <w:p w:rsidR="006E1DC9" w:rsidRPr="00050793" w:rsidRDefault="00EE2D4E" w:rsidP="00C459CB">
            <w:pPr>
              <w:keepNext/>
              <w:keepLines/>
              <w:spacing w:before="120" w:after="120"/>
              <w:jc w:val="center"/>
              <w:rPr>
                <w:szCs w:val="19"/>
              </w:rPr>
            </w:pPr>
            <w:r w:rsidRPr="00050793">
              <w:rPr>
                <w:szCs w:val="19"/>
              </w:rPr>
              <w:t>Within</w:t>
            </w:r>
            <w:r w:rsidRPr="00050793">
              <w:rPr>
                <w:szCs w:val="19"/>
              </w:rPr>
              <w:br/>
            </w:r>
            <w:r w:rsidR="006E1DC9" w:rsidRPr="00050793">
              <w:rPr>
                <w:szCs w:val="19"/>
              </w:rPr>
              <w:t>8 hours</w:t>
            </w:r>
          </w:p>
        </w:tc>
      </w:tr>
      <w:tr w:rsidR="006E1DC9" w:rsidRPr="00050793" w:rsidTr="00815B76">
        <w:trPr>
          <w:cantSplit/>
          <w:jc w:val="right"/>
        </w:trPr>
        <w:tc>
          <w:tcPr>
            <w:tcW w:w="1418" w:type="dxa"/>
          </w:tcPr>
          <w:p w:rsidR="006E1DC9" w:rsidRPr="00050793" w:rsidRDefault="006E1DC9" w:rsidP="00815B76">
            <w:pPr>
              <w:spacing w:before="120" w:after="120"/>
              <w:jc w:val="center"/>
              <w:rPr>
                <w:szCs w:val="19"/>
              </w:rPr>
            </w:pPr>
            <w:r w:rsidRPr="00050793">
              <w:rPr>
                <w:szCs w:val="19"/>
              </w:rPr>
              <w:t xml:space="preserve">Standard </w:t>
            </w:r>
            <w:r w:rsidR="00815B76">
              <w:rPr>
                <w:szCs w:val="19"/>
              </w:rPr>
              <w:t>R</w:t>
            </w:r>
            <w:r w:rsidRPr="00050793">
              <w:rPr>
                <w:szCs w:val="19"/>
              </w:rPr>
              <w:t>esponse</w:t>
            </w:r>
          </w:p>
        </w:tc>
        <w:tc>
          <w:tcPr>
            <w:tcW w:w="2693" w:type="dxa"/>
          </w:tcPr>
          <w:p w:rsidR="006E1DC9" w:rsidRPr="00050793" w:rsidRDefault="006E1DC9" w:rsidP="00EE2D4E">
            <w:pPr>
              <w:spacing w:before="120" w:after="120"/>
              <w:jc w:val="left"/>
              <w:rPr>
                <w:szCs w:val="19"/>
              </w:rPr>
            </w:pPr>
            <w:r w:rsidRPr="00050793">
              <w:rPr>
                <w:szCs w:val="19"/>
              </w:rPr>
              <w:t>Work required to maintain the quality of the service provided</w:t>
            </w:r>
          </w:p>
        </w:tc>
        <w:tc>
          <w:tcPr>
            <w:tcW w:w="1417" w:type="dxa"/>
          </w:tcPr>
          <w:p w:rsidR="006E1DC9" w:rsidRPr="00050793" w:rsidRDefault="00EE2D4E" w:rsidP="00EE2D4E">
            <w:pPr>
              <w:spacing w:before="120" w:after="120"/>
              <w:jc w:val="center"/>
              <w:rPr>
                <w:szCs w:val="19"/>
              </w:rPr>
            </w:pPr>
            <w:r w:rsidRPr="00050793">
              <w:rPr>
                <w:szCs w:val="19"/>
              </w:rPr>
              <w:t>Within</w:t>
            </w:r>
            <w:r w:rsidRPr="00050793">
              <w:rPr>
                <w:szCs w:val="19"/>
              </w:rPr>
              <w:br/>
            </w:r>
            <w:r w:rsidR="006E1DC9" w:rsidRPr="00050793">
              <w:rPr>
                <w:szCs w:val="19"/>
              </w:rPr>
              <w:t>4 hours</w:t>
            </w:r>
          </w:p>
        </w:tc>
        <w:tc>
          <w:tcPr>
            <w:tcW w:w="1418" w:type="dxa"/>
          </w:tcPr>
          <w:p w:rsidR="006E1DC9" w:rsidRPr="00050793" w:rsidRDefault="00EE2D4E" w:rsidP="00EE2D4E">
            <w:pPr>
              <w:spacing w:before="120" w:after="120"/>
              <w:jc w:val="center"/>
              <w:rPr>
                <w:szCs w:val="19"/>
              </w:rPr>
            </w:pPr>
            <w:r w:rsidRPr="00050793">
              <w:rPr>
                <w:szCs w:val="19"/>
              </w:rPr>
              <w:t>Within</w:t>
            </w:r>
            <w:r w:rsidRPr="00050793">
              <w:rPr>
                <w:szCs w:val="19"/>
              </w:rPr>
              <w:br/>
            </w:r>
            <w:r w:rsidR="006E1DC9" w:rsidRPr="00050793">
              <w:rPr>
                <w:szCs w:val="19"/>
              </w:rPr>
              <w:t>8 hours</w:t>
            </w:r>
          </w:p>
        </w:tc>
        <w:tc>
          <w:tcPr>
            <w:tcW w:w="1523" w:type="dxa"/>
          </w:tcPr>
          <w:p w:rsidR="006E1DC9" w:rsidRPr="00050793" w:rsidRDefault="00EE2D4E" w:rsidP="00EE2D4E">
            <w:pPr>
              <w:spacing w:before="120" w:after="120"/>
              <w:jc w:val="center"/>
              <w:rPr>
                <w:szCs w:val="19"/>
              </w:rPr>
            </w:pPr>
            <w:r w:rsidRPr="00050793">
              <w:rPr>
                <w:szCs w:val="19"/>
              </w:rPr>
              <w:t>Within</w:t>
            </w:r>
            <w:r w:rsidRPr="00050793">
              <w:rPr>
                <w:szCs w:val="19"/>
              </w:rPr>
              <w:br/>
            </w:r>
            <w:r w:rsidR="006E1DC9" w:rsidRPr="00050793">
              <w:rPr>
                <w:szCs w:val="19"/>
              </w:rPr>
              <w:t>10 days</w:t>
            </w:r>
          </w:p>
        </w:tc>
      </w:tr>
    </w:tbl>
    <w:p w:rsidR="002D1816" w:rsidRPr="0024611A" w:rsidRDefault="00C459CB" w:rsidP="00B20B53">
      <w:pPr>
        <w:pStyle w:val="Caption"/>
        <w:spacing w:before="240" w:after="240"/>
        <w:ind w:left="720"/>
        <w:jc w:val="center"/>
        <w:rPr>
          <w:rFonts w:ascii="Arial" w:hAnsi="Arial"/>
          <w:i w:val="0"/>
          <w:iCs w:val="0"/>
          <w:sz w:val="20"/>
          <w:lang w:val="en-AU"/>
        </w:rPr>
      </w:pPr>
      <w:bookmarkStart w:id="509" w:name="_Toc346740227"/>
      <w:bookmarkStart w:id="510" w:name="_Toc364945443"/>
      <w:r w:rsidRPr="0024611A">
        <w:rPr>
          <w:rFonts w:ascii="Arial" w:hAnsi="Arial"/>
          <w:i w:val="0"/>
          <w:iCs w:val="0"/>
          <w:sz w:val="20"/>
          <w:lang w:val="en-AU"/>
        </w:rPr>
        <w:t xml:space="preserve">Table </w:t>
      </w:r>
      <w:r w:rsidR="0090414C" w:rsidRPr="0024611A">
        <w:rPr>
          <w:rFonts w:ascii="Arial" w:hAnsi="Arial"/>
          <w:i w:val="0"/>
          <w:iCs w:val="0"/>
          <w:sz w:val="20"/>
          <w:lang w:val="en-AU"/>
        </w:rPr>
        <w:fldChar w:fldCharType="begin"/>
      </w:r>
      <w:r w:rsidRPr="0024611A">
        <w:rPr>
          <w:rFonts w:ascii="Arial" w:hAnsi="Arial"/>
          <w:i w:val="0"/>
          <w:iCs w:val="0"/>
          <w:sz w:val="20"/>
          <w:lang w:val="en-AU"/>
        </w:rPr>
        <w:instrText xml:space="preserve"> SEQ Table \* ARABIC </w:instrText>
      </w:r>
      <w:r w:rsidR="0090414C" w:rsidRPr="0024611A">
        <w:rPr>
          <w:rFonts w:ascii="Arial" w:hAnsi="Arial"/>
          <w:i w:val="0"/>
          <w:iCs w:val="0"/>
          <w:sz w:val="20"/>
          <w:lang w:val="en-AU"/>
        </w:rPr>
        <w:fldChar w:fldCharType="separate"/>
      </w:r>
      <w:r w:rsidR="00751CEC">
        <w:rPr>
          <w:rFonts w:ascii="Arial" w:hAnsi="Arial"/>
          <w:i w:val="0"/>
          <w:iCs w:val="0"/>
          <w:noProof/>
          <w:sz w:val="20"/>
          <w:lang w:val="en-AU"/>
        </w:rPr>
        <w:t>39</w:t>
      </w:r>
      <w:r w:rsidR="0090414C" w:rsidRPr="0024611A">
        <w:rPr>
          <w:rFonts w:ascii="Arial" w:hAnsi="Arial"/>
          <w:i w:val="0"/>
          <w:iCs w:val="0"/>
          <w:sz w:val="20"/>
          <w:lang w:val="en-AU"/>
        </w:rPr>
        <w:fldChar w:fldCharType="end"/>
      </w:r>
      <w:r w:rsidRPr="0024611A">
        <w:rPr>
          <w:rFonts w:ascii="Arial" w:hAnsi="Arial"/>
          <w:i w:val="0"/>
          <w:iCs w:val="0"/>
          <w:sz w:val="20"/>
          <w:lang w:val="en-AU"/>
        </w:rPr>
        <w:t xml:space="preserve">:  </w:t>
      </w:r>
      <w:r w:rsidR="002D1816" w:rsidRPr="0024611A">
        <w:rPr>
          <w:rFonts w:ascii="Arial" w:hAnsi="Arial"/>
          <w:i w:val="0"/>
          <w:iCs w:val="0"/>
          <w:sz w:val="20"/>
          <w:lang w:val="en-AU"/>
        </w:rPr>
        <w:t>Response Time Regime</w:t>
      </w:r>
      <w:bookmarkEnd w:id="509"/>
      <w:bookmarkEnd w:id="510"/>
    </w:p>
    <w:p w:rsidR="002D1816" w:rsidRDefault="002D1816" w:rsidP="00C459CB">
      <w:pPr>
        <w:ind w:left="720"/>
      </w:pPr>
      <w:r w:rsidRPr="005B4E4B">
        <w:t>Response times relate to attendance by Council staff and the service provider to rectify faults or make safe.  They do not necessarily relate to repair where turnaround times for parts or materials delivery are required or the nature of work required is considered to be capital works.</w:t>
      </w:r>
    </w:p>
    <w:p w:rsidR="005B4E4B" w:rsidRPr="005B4E4B" w:rsidRDefault="005B4E4B" w:rsidP="00C459CB">
      <w:pPr>
        <w:ind w:left="720"/>
      </w:pPr>
    </w:p>
    <w:p w:rsidR="002D1816" w:rsidRPr="00C459CB" w:rsidRDefault="002D1816" w:rsidP="00C459CB">
      <w:pPr>
        <w:ind w:left="720"/>
        <w:rPr>
          <w:u w:val="single"/>
        </w:rPr>
      </w:pPr>
      <w:r w:rsidRPr="00C459CB">
        <w:rPr>
          <w:u w:val="single"/>
        </w:rPr>
        <w:t>Maintenance of Heritage Listed Buildings</w:t>
      </w:r>
    </w:p>
    <w:p w:rsidR="00C459CB" w:rsidRPr="005B4E4B" w:rsidRDefault="00C459CB" w:rsidP="00C459CB">
      <w:pPr>
        <w:ind w:left="720"/>
      </w:pPr>
    </w:p>
    <w:p w:rsidR="002D1816" w:rsidRPr="005B4E4B" w:rsidRDefault="002D1816" w:rsidP="00C459CB">
      <w:pPr>
        <w:ind w:left="720"/>
      </w:pPr>
      <w:r w:rsidRPr="005B4E4B">
        <w:t xml:space="preserve">Heritage issues are becoming increasingly important factors in decisions about the alteration, maintenance and repair of buildings owned by Council. Council's heritage buildings are of historical significance and are subject to protection under legislation for the preservation of </w:t>
      </w:r>
      <w:r w:rsidR="00C94308">
        <w:t xml:space="preserve">their </w:t>
      </w:r>
      <w:r w:rsidRPr="005B4E4B">
        <w:t>heritage. Care must be taken to ensure that the requirements of such legislation are satisfied because substantial penalties can be imposed for non-compliance.</w:t>
      </w:r>
    </w:p>
    <w:p w:rsidR="00044AF5" w:rsidRDefault="00044AF5" w:rsidP="003E5B9F">
      <w:pPr>
        <w:pStyle w:val="StyleHeading3Heading3Char10ptBefore6pt"/>
      </w:pPr>
      <w:bookmarkStart w:id="511" w:name="_Toc364945302"/>
      <w:r>
        <w:t>Maintenance Strategies</w:t>
      </w:r>
      <w:bookmarkEnd w:id="511"/>
    </w:p>
    <w:p w:rsidR="002D1816" w:rsidRDefault="002D1816" w:rsidP="00C459CB">
      <w:pPr>
        <w:ind w:left="720"/>
      </w:pPr>
      <w:r w:rsidRPr="005B4E4B">
        <w:t>Maintenance strategies are designed to enable existing assets to operate to their service potential over their useful life. The primary considerations, in the order of priority, that drive the building maintenance programs are:</w:t>
      </w:r>
    </w:p>
    <w:p w:rsidR="00C94308" w:rsidRPr="005B4E4B" w:rsidRDefault="00C94308" w:rsidP="00C459CB">
      <w:pPr>
        <w:ind w:left="720"/>
      </w:pPr>
    </w:p>
    <w:tbl>
      <w:tblPr>
        <w:tblW w:w="8469"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95B3D7" w:themeFill="accent1" w:themeFillTint="99"/>
        <w:tblLook w:val="04A0" w:firstRow="1" w:lastRow="0" w:firstColumn="1" w:lastColumn="0" w:noHBand="0" w:noVBand="1"/>
      </w:tblPr>
      <w:tblGrid>
        <w:gridCol w:w="3973"/>
        <w:gridCol w:w="4496"/>
      </w:tblGrid>
      <w:tr w:rsidR="00C94308" w:rsidRPr="00C459CB" w:rsidTr="00C459CB">
        <w:trPr>
          <w:cantSplit/>
          <w:jc w:val="right"/>
        </w:trPr>
        <w:tc>
          <w:tcPr>
            <w:tcW w:w="8469" w:type="dxa"/>
            <w:gridSpan w:val="2"/>
            <w:tcBorders>
              <w:bottom w:val="single" w:sz="4" w:space="0" w:color="auto"/>
            </w:tcBorders>
            <w:shd w:val="clear" w:color="auto" w:fill="95B3D7" w:themeFill="accent1" w:themeFillTint="99"/>
            <w:vAlign w:val="center"/>
          </w:tcPr>
          <w:p w:rsidR="00C94308" w:rsidRPr="00C459CB" w:rsidRDefault="008E2AF6" w:rsidP="00C02A91">
            <w:pPr>
              <w:pStyle w:val="TableText1"/>
              <w:tabs>
                <w:tab w:val="clear" w:pos="794"/>
              </w:tabs>
              <w:spacing w:before="120" w:after="120"/>
              <w:jc w:val="left"/>
              <w:rPr>
                <w:b/>
                <w:sz w:val="20"/>
              </w:rPr>
            </w:pPr>
            <w:r w:rsidRPr="00C459CB">
              <w:rPr>
                <w:b/>
                <w:sz w:val="20"/>
              </w:rPr>
              <w:t>Maintenance Strategies</w:t>
            </w:r>
          </w:p>
        </w:tc>
      </w:tr>
      <w:tr w:rsidR="002D1816" w:rsidRPr="00C459CB" w:rsidTr="00C459CB">
        <w:trPr>
          <w:cantSplit/>
          <w:jc w:val="right"/>
        </w:trPr>
        <w:tc>
          <w:tcPr>
            <w:tcW w:w="3973" w:type="dxa"/>
            <w:shd w:val="clear" w:color="auto" w:fill="auto"/>
            <w:vAlign w:val="center"/>
          </w:tcPr>
          <w:p w:rsidR="002D1816" w:rsidRPr="00C459CB" w:rsidRDefault="00C02A91" w:rsidP="00C02A91">
            <w:pPr>
              <w:pStyle w:val="Bullet"/>
              <w:numPr>
                <w:ilvl w:val="0"/>
                <w:numId w:val="0"/>
              </w:numPr>
              <w:tabs>
                <w:tab w:val="left" w:pos="1701"/>
              </w:tabs>
              <w:spacing w:before="120" w:after="120"/>
              <w:rPr>
                <w:rFonts w:ascii="Arial" w:hAnsi="Arial" w:cs="Arial"/>
                <w:sz w:val="20"/>
              </w:rPr>
            </w:pPr>
            <w:r>
              <w:rPr>
                <w:rFonts w:ascii="Arial" w:hAnsi="Arial" w:cs="Arial"/>
                <w:sz w:val="20"/>
              </w:rPr>
              <w:t>Safety</w:t>
            </w:r>
            <w:r w:rsidR="002D1816" w:rsidRPr="00C459CB">
              <w:rPr>
                <w:rFonts w:ascii="Arial" w:hAnsi="Arial" w:cs="Arial"/>
                <w:sz w:val="20"/>
              </w:rPr>
              <w:t>/Liability/Structural</w:t>
            </w:r>
          </w:p>
        </w:tc>
        <w:tc>
          <w:tcPr>
            <w:tcW w:w="0" w:type="auto"/>
            <w:shd w:val="clear" w:color="auto" w:fill="auto"/>
            <w:vAlign w:val="center"/>
          </w:tcPr>
          <w:p w:rsidR="002D1816" w:rsidRPr="00C459CB" w:rsidRDefault="002D1816" w:rsidP="00C459CB">
            <w:pPr>
              <w:pStyle w:val="TableText1"/>
              <w:tabs>
                <w:tab w:val="clear" w:pos="794"/>
              </w:tabs>
              <w:spacing w:before="120" w:after="120"/>
              <w:jc w:val="left"/>
              <w:rPr>
                <w:sz w:val="20"/>
              </w:rPr>
            </w:pPr>
            <w:r w:rsidRPr="00C459CB">
              <w:rPr>
                <w:sz w:val="20"/>
              </w:rPr>
              <w:t>Is there a health and/or safety risk?</w:t>
            </w:r>
          </w:p>
        </w:tc>
      </w:tr>
      <w:tr w:rsidR="002D1816" w:rsidRPr="00C459CB" w:rsidTr="00C459CB">
        <w:trPr>
          <w:cantSplit/>
          <w:jc w:val="right"/>
        </w:trPr>
        <w:tc>
          <w:tcPr>
            <w:tcW w:w="3973" w:type="dxa"/>
            <w:shd w:val="clear" w:color="auto" w:fill="auto"/>
            <w:vAlign w:val="center"/>
          </w:tcPr>
          <w:p w:rsidR="002D1816" w:rsidRPr="00C459CB" w:rsidRDefault="002D1816" w:rsidP="00C02A91">
            <w:pPr>
              <w:pStyle w:val="Bullet"/>
              <w:numPr>
                <w:ilvl w:val="0"/>
                <w:numId w:val="0"/>
              </w:numPr>
              <w:tabs>
                <w:tab w:val="left" w:pos="1701"/>
              </w:tabs>
              <w:spacing w:before="120" w:after="120"/>
              <w:rPr>
                <w:rFonts w:ascii="Arial" w:hAnsi="Arial" w:cs="Arial"/>
                <w:sz w:val="20"/>
              </w:rPr>
            </w:pPr>
            <w:r w:rsidRPr="00C459CB">
              <w:rPr>
                <w:rFonts w:ascii="Arial" w:hAnsi="Arial" w:cs="Arial"/>
                <w:sz w:val="20"/>
              </w:rPr>
              <w:t>Security/Compliance (Essential Safety Measures)</w:t>
            </w:r>
          </w:p>
        </w:tc>
        <w:tc>
          <w:tcPr>
            <w:tcW w:w="0" w:type="auto"/>
            <w:shd w:val="clear" w:color="auto" w:fill="auto"/>
            <w:vAlign w:val="center"/>
          </w:tcPr>
          <w:p w:rsidR="002D1816" w:rsidRPr="00C459CB" w:rsidRDefault="002D1816" w:rsidP="00C459CB">
            <w:pPr>
              <w:pStyle w:val="TableText1"/>
              <w:tabs>
                <w:tab w:val="clear" w:pos="794"/>
              </w:tabs>
              <w:spacing w:before="120" w:after="120"/>
              <w:jc w:val="left"/>
              <w:rPr>
                <w:sz w:val="20"/>
              </w:rPr>
            </w:pPr>
            <w:r w:rsidRPr="00C459CB">
              <w:rPr>
                <w:sz w:val="20"/>
              </w:rPr>
              <w:t>Is there a security risk or breach of compliance?</w:t>
            </w:r>
          </w:p>
        </w:tc>
      </w:tr>
      <w:tr w:rsidR="002D1816" w:rsidRPr="00C459CB" w:rsidTr="00C459CB">
        <w:trPr>
          <w:cantSplit/>
          <w:jc w:val="right"/>
        </w:trPr>
        <w:tc>
          <w:tcPr>
            <w:tcW w:w="3973" w:type="dxa"/>
            <w:shd w:val="clear" w:color="auto" w:fill="auto"/>
            <w:vAlign w:val="center"/>
          </w:tcPr>
          <w:p w:rsidR="002D1816" w:rsidRPr="00C459CB" w:rsidRDefault="00C02A91" w:rsidP="00C02A91">
            <w:pPr>
              <w:pStyle w:val="Bullet"/>
              <w:numPr>
                <w:ilvl w:val="0"/>
                <w:numId w:val="0"/>
              </w:numPr>
              <w:tabs>
                <w:tab w:val="left" w:pos="1701"/>
              </w:tabs>
              <w:spacing w:before="120" w:after="120"/>
              <w:rPr>
                <w:rFonts w:ascii="Arial" w:hAnsi="Arial" w:cs="Arial"/>
                <w:sz w:val="20"/>
              </w:rPr>
            </w:pPr>
            <w:r>
              <w:rPr>
                <w:rFonts w:ascii="Arial" w:hAnsi="Arial" w:cs="Arial"/>
                <w:sz w:val="20"/>
              </w:rPr>
              <w:t>Functional</w:t>
            </w:r>
            <w:r w:rsidR="002D1816" w:rsidRPr="00C459CB">
              <w:rPr>
                <w:rFonts w:ascii="Arial" w:hAnsi="Arial" w:cs="Arial"/>
                <w:sz w:val="20"/>
              </w:rPr>
              <w:t>/Operations/Condition</w:t>
            </w:r>
          </w:p>
        </w:tc>
        <w:tc>
          <w:tcPr>
            <w:tcW w:w="0" w:type="auto"/>
            <w:shd w:val="clear" w:color="auto" w:fill="auto"/>
            <w:vAlign w:val="center"/>
          </w:tcPr>
          <w:p w:rsidR="002D1816" w:rsidRPr="00C459CB" w:rsidRDefault="002D1816" w:rsidP="00C459CB">
            <w:pPr>
              <w:pStyle w:val="Bullet"/>
              <w:numPr>
                <w:ilvl w:val="0"/>
                <w:numId w:val="0"/>
              </w:numPr>
              <w:spacing w:before="120" w:after="120"/>
              <w:rPr>
                <w:rFonts w:ascii="Arial" w:hAnsi="Arial" w:cs="Arial"/>
                <w:sz w:val="20"/>
              </w:rPr>
            </w:pPr>
            <w:r w:rsidRPr="00C459CB">
              <w:rPr>
                <w:rFonts w:ascii="Arial" w:hAnsi="Arial" w:cs="Arial"/>
                <w:sz w:val="20"/>
              </w:rPr>
              <w:t>How well does it function?</w:t>
            </w:r>
          </w:p>
        </w:tc>
      </w:tr>
      <w:tr w:rsidR="002D1816" w:rsidRPr="00C459CB" w:rsidTr="00C459CB">
        <w:trPr>
          <w:cantSplit/>
          <w:jc w:val="right"/>
        </w:trPr>
        <w:tc>
          <w:tcPr>
            <w:tcW w:w="3973" w:type="dxa"/>
            <w:shd w:val="clear" w:color="auto" w:fill="auto"/>
            <w:vAlign w:val="center"/>
          </w:tcPr>
          <w:p w:rsidR="002D1816" w:rsidRPr="00C459CB" w:rsidRDefault="002D1816" w:rsidP="00C02A91">
            <w:pPr>
              <w:pStyle w:val="Bullet"/>
              <w:numPr>
                <w:ilvl w:val="0"/>
                <w:numId w:val="0"/>
              </w:numPr>
              <w:tabs>
                <w:tab w:val="left" w:pos="1701"/>
              </w:tabs>
              <w:spacing w:before="120" w:after="120"/>
              <w:rPr>
                <w:rFonts w:ascii="Arial" w:hAnsi="Arial" w:cs="Arial"/>
                <w:sz w:val="20"/>
              </w:rPr>
            </w:pPr>
            <w:r w:rsidRPr="00C459CB">
              <w:rPr>
                <w:rFonts w:ascii="Arial" w:hAnsi="Arial" w:cs="Arial"/>
                <w:sz w:val="20"/>
              </w:rPr>
              <w:t>Appearance/Aesthetics</w:t>
            </w:r>
          </w:p>
        </w:tc>
        <w:tc>
          <w:tcPr>
            <w:tcW w:w="0" w:type="auto"/>
            <w:shd w:val="clear" w:color="auto" w:fill="auto"/>
            <w:vAlign w:val="center"/>
          </w:tcPr>
          <w:p w:rsidR="002D1816" w:rsidRPr="00C459CB" w:rsidRDefault="002D1816" w:rsidP="00C459CB">
            <w:pPr>
              <w:pStyle w:val="TableText1"/>
              <w:tabs>
                <w:tab w:val="clear" w:pos="794"/>
              </w:tabs>
              <w:spacing w:before="120" w:after="120"/>
              <w:jc w:val="left"/>
              <w:rPr>
                <w:sz w:val="20"/>
              </w:rPr>
            </w:pPr>
            <w:r w:rsidRPr="00C459CB">
              <w:rPr>
                <w:sz w:val="20"/>
              </w:rPr>
              <w:t>Is the level of amenity acceptable?</w:t>
            </w:r>
          </w:p>
        </w:tc>
      </w:tr>
    </w:tbl>
    <w:p w:rsidR="00815B76" w:rsidRPr="0024611A" w:rsidRDefault="00815B76" w:rsidP="00815B76">
      <w:pPr>
        <w:pStyle w:val="Caption"/>
        <w:spacing w:before="240" w:after="240"/>
        <w:ind w:left="720"/>
        <w:jc w:val="center"/>
        <w:rPr>
          <w:rFonts w:ascii="Arial" w:hAnsi="Arial"/>
          <w:i w:val="0"/>
          <w:iCs w:val="0"/>
          <w:sz w:val="20"/>
          <w:lang w:val="en-AU"/>
        </w:rPr>
      </w:pPr>
      <w:bookmarkStart w:id="512" w:name="_Toc364945444"/>
      <w:r w:rsidRPr="0024611A">
        <w:rPr>
          <w:rFonts w:ascii="Arial" w:hAnsi="Arial"/>
          <w:i w:val="0"/>
          <w:iCs w:val="0"/>
          <w:sz w:val="20"/>
          <w:lang w:val="en-AU"/>
        </w:rPr>
        <w:t xml:space="preserve">Table </w:t>
      </w:r>
      <w:r w:rsidR="0090414C" w:rsidRPr="0024611A">
        <w:rPr>
          <w:rFonts w:ascii="Arial" w:hAnsi="Arial"/>
          <w:i w:val="0"/>
          <w:iCs w:val="0"/>
          <w:sz w:val="20"/>
          <w:lang w:val="en-AU"/>
        </w:rPr>
        <w:fldChar w:fldCharType="begin"/>
      </w:r>
      <w:r w:rsidRPr="0024611A">
        <w:rPr>
          <w:rFonts w:ascii="Arial" w:hAnsi="Arial"/>
          <w:i w:val="0"/>
          <w:iCs w:val="0"/>
          <w:sz w:val="20"/>
          <w:lang w:val="en-AU"/>
        </w:rPr>
        <w:instrText xml:space="preserve"> SEQ Table \* ARABIC </w:instrText>
      </w:r>
      <w:r w:rsidR="0090414C" w:rsidRPr="0024611A">
        <w:rPr>
          <w:rFonts w:ascii="Arial" w:hAnsi="Arial"/>
          <w:i w:val="0"/>
          <w:iCs w:val="0"/>
          <w:sz w:val="20"/>
          <w:lang w:val="en-AU"/>
        </w:rPr>
        <w:fldChar w:fldCharType="separate"/>
      </w:r>
      <w:r w:rsidR="00751CEC">
        <w:rPr>
          <w:rFonts w:ascii="Arial" w:hAnsi="Arial"/>
          <w:i w:val="0"/>
          <w:iCs w:val="0"/>
          <w:noProof/>
          <w:sz w:val="20"/>
          <w:lang w:val="en-AU"/>
        </w:rPr>
        <w:t>40</w:t>
      </w:r>
      <w:r w:rsidR="0090414C" w:rsidRPr="0024611A">
        <w:rPr>
          <w:rFonts w:ascii="Arial" w:hAnsi="Arial"/>
          <w:i w:val="0"/>
          <w:iCs w:val="0"/>
          <w:sz w:val="20"/>
          <w:lang w:val="en-AU"/>
        </w:rPr>
        <w:fldChar w:fldCharType="end"/>
      </w:r>
      <w:r w:rsidRPr="0024611A">
        <w:rPr>
          <w:rFonts w:ascii="Arial" w:hAnsi="Arial"/>
          <w:i w:val="0"/>
          <w:iCs w:val="0"/>
          <w:sz w:val="20"/>
          <w:lang w:val="en-AU"/>
        </w:rPr>
        <w:t>:  Maintenance Strategy Priorities</w:t>
      </w:r>
      <w:bookmarkEnd w:id="512"/>
    </w:p>
    <w:p w:rsidR="002D1816" w:rsidRDefault="002D1816" w:rsidP="00C459CB">
      <w:pPr>
        <w:ind w:left="720"/>
      </w:pPr>
      <w:r w:rsidRPr="005B4E4B">
        <w:t xml:space="preserve">Acts and regulations impact on the maintenance of council facilities. The requirements may be changed by the introduction of new or amended legislation and regulations. Staff responsible </w:t>
      </w:r>
      <w:r w:rsidR="008E2AF6">
        <w:t xml:space="preserve">for the maintenance of </w:t>
      </w:r>
      <w:r w:rsidR="00D9216D">
        <w:t>C</w:t>
      </w:r>
      <w:r w:rsidR="008E2AF6">
        <w:t>ouncil buildings</w:t>
      </w:r>
      <w:r w:rsidRPr="005B4E4B">
        <w:t xml:space="preserve"> monitor changes to the statutory requirements as they may affect their scope of operations. </w:t>
      </w:r>
    </w:p>
    <w:p w:rsidR="00C02A91" w:rsidRPr="005B4E4B" w:rsidRDefault="00C02A91" w:rsidP="00C459CB">
      <w:pPr>
        <w:ind w:left="720"/>
      </w:pPr>
    </w:p>
    <w:p w:rsidR="002D1816" w:rsidRPr="00050793" w:rsidRDefault="002D1816" w:rsidP="00C459CB">
      <w:pPr>
        <w:ind w:left="720"/>
      </w:pPr>
      <w:r w:rsidRPr="005B4E4B">
        <w:t>In addition, maintenance priorities are also broadly based on the building’s strategic significance and importance of the facility to the community</w:t>
      </w:r>
      <w:r w:rsidRPr="00050793">
        <w:t>.  Council</w:t>
      </w:r>
      <w:r w:rsidR="007C62B3">
        <w:t>’s Asset Management (Technology</w:t>
      </w:r>
      <w:r w:rsidRPr="00050793">
        <w:t>One) system maintains a schedule of inspection and mai</w:t>
      </w:r>
      <w:r w:rsidR="00D9216D" w:rsidRPr="00050793">
        <w:t>ntenance activities frequencies.</w:t>
      </w:r>
    </w:p>
    <w:p w:rsidR="008E2AF6" w:rsidRPr="005B4E4B" w:rsidRDefault="008E2AF6" w:rsidP="00C459CB">
      <w:pPr>
        <w:ind w:left="720"/>
      </w:pPr>
    </w:p>
    <w:p w:rsidR="002D1816" w:rsidRPr="00C02A91" w:rsidRDefault="002D1816" w:rsidP="00C459CB">
      <w:pPr>
        <w:ind w:left="720"/>
        <w:rPr>
          <w:u w:val="single"/>
        </w:rPr>
      </w:pPr>
      <w:r w:rsidRPr="00C02A91">
        <w:rPr>
          <w:u w:val="single"/>
        </w:rPr>
        <w:t>Optimal Maintenance Regime</w:t>
      </w:r>
    </w:p>
    <w:p w:rsidR="00C02A91" w:rsidRDefault="00C02A91" w:rsidP="00C02A91">
      <w:pPr>
        <w:ind w:left="720"/>
      </w:pPr>
    </w:p>
    <w:p w:rsidR="002D1816" w:rsidRPr="005B4E4B" w:rsidRDefault="002D1816" w:rsidP="00C02A91">
      <w:pPr>
        <w:ind w:left="720"/>
      </w:pPr>
      <w:r w:rsidRPr="005B4E4B">
        <w:t xml:space="preserve">A key element of asset management planning is determining the most cost effective blend of planned and unplanned maintenance.  Reactive maintenance comprised 37% of the total budgeted expenditure on building maintenance in 2011-2012, whilst routine maintenance and compliance maintenance </w:t>
      </w:r>
      <w:r w:rsidR="00E27317">
        <w:t xml:space="preserve">constitute the balance of 63%. </w:t>
      </w:r>
      <w:r w:rsidRPr="005B4E4B">
        <w:t xml:space="preserve">This blend of maintenance activities </w:t>
      </w:r>
      <w:r w:rsidR="00E27317">
        <w:t xml:space="preserve">is </w:t>
      </w:r>
      <w:r w:rsidRPr="005B4E4B">
        <w:t xml:space="preserve">in line with the optimal regime of 30% reactive maintenance and 70% routine maintenance. </w:t>
      </w:r>
    </w:p>
    <w:p w:rsidR="00C02A91" w:rsidRDefault="00C02A91" w:rsidP="00C02A91">
      <w:pPr>
        <w:ind w:left="720"/>
      </w:pPr>
    </w:p>
    <w:p w:rsidR="002D1816" w:rsidRDefault="002D1816" w:rsidP="00C02A91">
      <w:pPr>
        <w:ind w:left="720"/>
      </w:pPr>
      <w:r w:rsidRPr="005B4E4B">
        <w:t xml:space="preserve">A greater emphasis </w:t>
      </w:r>
      <w:r w:rsidR="00E27317">
        <w:t xml:space="preserve">will be placed </w:t>
      </w:r>
      <w:r w:rsidRPr="005B4E4B">
        <w:t xml:space="preserve">on proactive inspections and improved routine preventative maintenance programs to reduce reactive maintenance requests </w:t>
      </w:r>
      <w:r w:rsidR="008E2AF6">
        <w:t xml:space="preserve">and enhance service delivery. </w:t>
      </w:r>
    </w:p>
    <w:p w:rsidR="00C02A91" w:rsidRDefault="00C02A91" w:rsidP="00C02A91">
      <w:pPr>
        <w:ind w:left="720"/>
      </w:pPr>
    </w:p>
    <w:p w:rsidR="002D1816" w:rsidRPr="00C02A91" w:rsidRDefault="002D1816" w:rsidP="00C02A91">
      <w:pPr>
        <w:ind w:left="720"/>
        <w:rPr>
          <w:u w:val="single"/>
        </w:rPr>
      </w:pPr>
      <w:bookmarkStart w:id="513" w:name="_Toc346740159"/>
      <w:r w:rsidRPr="00C02A91">
        <w:rPr>
          <w:u w:val="single"/>
        </w:rPr>
        <w:t>Maintenance Service Contracts</w:t>
      </w:r>
      <w:bookmarkEnd w:id="513"/>
    </w:p>
    <w:p w:rsidR="00C02A91" w:rsidRPr="00CF2212" w:rsidRDefault="00C02A91" w:rsidP="00C02A91">
      <w:pPr>
        <w:ind w:left="720"/>
        <w:rPr>
          <w:i/>
        </w:rPr>
      </w:pPr>
    </w:p>
    <w:p w:rsidR="002D1816" w:rsidRPr="005B4E4B" w:rsidRDefault="002D1816" w:rsidP="00C02A91">
      <w:pPr>
        <w:ind w:left="720"/>
      </w:pPr>
      <w:r w:rsidRPr="005B4E4B">
        <w:t xml:space="preserve">Council currently outsources </w:t>
      </w:r>
      <w:r w:rsidR="00E27317">
        <w:t>most</w:t>
      </w:r>
      <w:r w:rsidRPr="005B4E4B">
        <w:t xml:space="preserve"> building maintenance tasks</w:t>
      </w:r>
      <w:r w:rsidR="00E27317">
        <w:t>.</w:t>
      </w:r>
      <w:r w:rsidRPr="005B4E4B">
        <w:t xml:space="preserve"> </w:t>
      </w:r>
      <w:r w:rsidR="00E27317">
        <w:t>C</w:t>
      </w:r>
      <w:r w:rsidRPr="005B4E4B">
        <w:t>ontractors are either engaged under an ongoing annual arrangement for regular preventative maintenance</w:t>
      </w:r>
      <w:r w:rsidR="00E27317">
        <w:t xml:space="preserve">, reactive maintenance or minor works </w:t>
      </w:r>
      <w:r w:rsidRPr="005B4E4B">
        <w:t>in line with Council’s purchasing policy.</w:t>
      </w:r>
    </w:p>
    <w:p w:rsidR="002D1816" w:rsidRPr="005B4E4B" w:rsidRDefault="002D1816" w:rsidP="00151053">
      <w:pPr>
        <w:ind w:left="720"/>
      </w:pPr>
    </w:p>
    <w:tbl>
      <w:tblPr>
        <w:tblStyle w:val="TableGrid"/>
        <w:tblW w:w="0" w:type="auto"/>
        <w:tblInd w:w="1770" w:type="dxa"/>
        <w:tblLook w:val="04A0" w:firstRow="1" w:lastRow="0" w:firstColumn="1" w:lastColumn="0" w:noHBand="0" w:noVBand="1"/>
      </w:tblPr>
      <w:tblGrid>
        <w:gridCol w:w="2481"/>
        <w:gridCol w:w="2126"/>
        <w:gridCol w:w="1937"/>
      </w:tblGrid>
      <w:tr w:rsidR="008E2AF6" w:rsidRPr="009B244A" w:rsidTr="000873C4">
        <w:trPr>
          <w:cantSplit/>
        </w:trPr>
        <w:tc>
          <w:tcPr>
            <w:tcW w:w="6544" w:type="dxa"/>
            <w:gridSpan w:val="3"/>
            <w:shd w:val="clear" w:color="auto" w:fill="95B3D7" w:themeFill="accent1" w:themeFillTint="99"/>
          </w:tcPr>
          <w:p w:rsidR="008E2AF6" w:rsidRPr="009B244A" w:rsidRDefault="008E2AF6" w:rsidP="00815B76">
            <w:pPr>
              <w:pStyle w:val="TableText1"/>
              <w:tabs>
                <w:tab w:val="clear" w:pos="794"/>
              </w:tabs>
              <w:spacing w:before="120" w:after="120"/>
              <w:jc w:val="center"/>
              <w:rPr>
                <w:b/>
                <w:sz w:val="20"/>
              </w:rPr>
            </w:pPr>
            <w:r w:rsidRPr="009B244A">
              <w:rPr>
                <w:b/>
                <w:sz w:val="20"/>
              </w:rPr>
              <w:t>Current Contracted Services</w:t>
            </w:r>
          </w:p>
        </w:tc>
      </w:tr>
      <w:tr w:rsidR="002D1816" w:rsidRPr="009B244A" w:rsidTr="000873C4">
        <w:trPr>
          <w:cantSplit/>
        </w:trPr>
        <w:tc>
          <w:tcPr>
            <w:tcW w:w="2481" w:type="dxa"/>
          </w:tcPr>
          <w:p w:rsidR="002D1816" w:rsidRPr="009B244A" w:rsidRDefault="002D1816" w:rsidP="009B244A">
            <w:pPr>
              <w:rPr>
                <w:sz w:val="20"/>
              </w:rPr>
            </w:pPr>
            <w:r w:rsidRPr="009B244A">
              <w:rPr>
                <w:sz w:val="20"/>
              </w:rPr>
              <w:t>Mechanical plant</w:t>
            </w:r>
          </w:p>
        </w:tc>
        <w:tc>
          <w:tcPr>
            <w:tcW w:w="2126" w:type="dxa"/>
          </w:tcPr>
          <w:p w:rsidR="002D1816" w:rsidRPr="009B244A" w:rsidRDefault="002D1816" w:rsidP="009B244A">
            <w:pPr>
              <w:ind w:left="125"/>
              <w:jc w:val="left"/>
              <w:rPr>
                <w:sz w:val="20"/>
              </w:rPr>
            </w:pPr>
            <w:r w:rsidRPr="009B244A">
              <w:rPr>
                <w:sz w:val="20"/>
              </w:rPr>
              <w:t>Electrical</w:t>
            </w:r>
          </w:p>
        </w:tc>
        <w:tc>
          <w:tcPr>
            <w:tcW w:w="1937" w:type="dxa"/>
          </w:tcPr>
          <w:p w:rsidR="002D1816" w:rsidRPr="009B244A" w:rsidRDefault="002D1816" w:rsidP="009B244A">
            <w:pPr>
              <w:ind w:left="24"/>
              <w:rPr>
                <w:sz w:val="20"/>
              </w:rPr>
            </w:pPr>
            <w:r w:rsidRPr="009B244A">
              <w:rPr>
                <w:sz w:val="20"/>
              </w:rPr>
              <w:t>Electronic security</w:t>
            </w:r>
          </w:p>
        </w:tc>
      </w:tr>
      <w:tr w:rsidR="002D1816" w:rsidRPr="009B244A" w:rsidTr="000873C4">
        <w:trPr>
          <w:cantSplit/>
        </w:trPr>
        <w:tc>
          <w:tcPr>
            <w:tcW w:w="2481" w:type="dxa"/>
          </w:tcPr>
          <w:p w:rsidR="002D1816" w:rsidRPr="009B244A" w:rsidRDefault="002D1816" w:rsidP="009B244A">
            <w:pPr>
              <w:rPr>
                <w:sz w:val="20"/>
              </w:rPr>
            </w:pPr>
            <w:r w:rsidRPr="009B244A">
              <w:rPr>
                <w:sz w:val="20"/>
              </w:rPr>
              <w:t>Air conditioning</w:t>
            </w:r>
          </w:p>
        </w:tc>
        <w:tc>
          <w:tcPr>
            <w:tcW w:w="2126" w:type="dxa"/>
          </w:tcPr>
          <w:p w:rsidR="002D1816" w:rsidRPr="009B244A" w:rsidRDefault="002D1816" w:rsidP="009B244A">
            <w:pPr>
              <w:ind w:left="125"/>
              <w:jc w:val="left"/>
              <w:rPr>
                <w:sz w:val="20"/>
              </w:rPr>
            </w:pPr>
            <w:r w:rsidRPr="009B244A">
              <w:rPr>
                <w:sz w:val="20"/>
              </w:rPr>
              <w:t>Glazing</w:t>
            </w:r>
          </w:p>
        </w:tc>
        <w:tc>
          <w:tcPr>
            <w:tcW w:w="1937" w:type="dxa"/>
          </w:tcPr>
          <w:p w:rsidR="002D1816" w:rsidRPr="009B244A" w:rsidRDefault="002D1816" w:rsidP="009B244A">
            <w:pPr>
              <w:ind w:left="24"/>
              <w:rPr>
                <w:sz w:val="20"/>
              </w:rPr>
            </w:pPr>
            <w:r w:rsidRPr="009B244A">
              <w:rPr>
                <w:sz w:val="20"/>
              </w:rPr>
              <w:t>Essential services</w:t>
            </w:r>
          </w:p>
        </w:tc>
      </w:tr>
      <w:tr w:rsidR="002D1816" w:rsidRPr="009B244A" w:rsidTr="000873C4">
        <w:trPr>
          <w:cantSplit/>
        </w:trPr>
        <w:tc>
          <w:tcPr>
            <w:tcW w:w="2481" w:type="dxa"/>
          </w:tcPr>
          <w:p w:rsidR="002D1816" w:rsidRPr="009B244A" w:rsidRDefault="002D1816" w:rsidP="009B244A">
            <w:pPr>
              <w:rPr>
                <w:sz w:val="20"/>
              </w:rPr>
            </w:pPr>
            <w:r w:rsidRPr="009B244A">
              <w:rPr>
                <w:sz w:val="20"/>
              </w:rPr>
              <w:t>Carpentry</w:t>
            </w:r>
          </w:p>
        </w:tc>
        <w:tc>
          <w:tcPr>
            <w:tcW w:w="2126" w:type="dxa"/>
          </w:tcPr>
          <w:p w:rsidR="002D1816" w:rsidRPr="009B244A" w:rsidRDefault="002D1816" w:rsidP="009B244A">
            <w:pPr>
              <w:ind w:left="125"/>
              <w:jc w:val="left"/>
              <w:rPr>
                <w:sz w:val="20"/>
              </w:rPr>
            </w:pPr>
            <w:r w:rsidRPr="009B244A">
              <w:rPr>
                <w:sz w:val="20"/>
              </w:rPr>
              <w:t>Plumbing</w:t>
            </w:r>
          </w:p>
        </w:tc>
        <w:tc>
          <w:tcPr>
            <w:tcW w:w="1937" w:type="dxa"/>
          </w:tcPr>
          <w:p w:rsidR="002D1816" w:rsidRPr="009B244A" w:rsidRDefault="002D1816" w:rsidP="009B244A">
            <w:pPr>
              <w:ind w:left="24"/>
              <w:rPr>
                <w:sz w:val="20"/>
              </w:rPr>
            </w:pPr>
            <w:r w:rsidRPr="009B244A">
              <w:rPr>
                <w:sz w:val="20"/>
              </w:rPr>
              <w:t>Lifts</w:t>
            </w:r>
          </w:p>
        </w:tc>
      </w:tr>
      <w:tr w:rsidR="002D1816" w:rsidRPr="009B244A" w:rsidTr="000873C4">
        <w:trPr>
          <w:cantSplit/>
        </w:trPr>
        <w:tc>
          <w:tcPr>
            <w:tcW w:w="2481" w:type="dxa"/>
          </w:tcPr>
          <w:p w:rsidR="002D1816" w:rsidRPr="009B244A" w:rsidRDefault="002D1816" w:rsidP="009B244A">
            <w:pPr>
              <w:rPr>
                <w:sz w:val="20"/>
              </w:rPr>
            </w:pPr>
            <w:r w:rsidRPr="009B244A">
              <w:rPr>
                <w:sz w:val="20"/>
              </w:rPr>
              <w:t>Cleaning services</w:t>
            </w:r>
          </w:p>
        </w:tc>
        <w:tc>
          <w:tcPr>
            <w:tcW w:w="2126" w:type="dxa"/>
          </w:tcPr>
          <w:p w:rsidR="002D1816" w:rsidRPr="009B244A" w:rsidRDefault="002D1816" w:rsidP="009B244A">
            <w:pPr>
              <w:ind w:left="125"/>
              <w:jc w:val="left"/>
              <w:rPr>
                <w:sz w:val="20"/>
              </w:rPr>
            </w:pPr>
          </w:p>
        </w:tc>
        <w:tc>
          <w:tcPr>
            <w:tcW w:w="1937" w:type="dxa"/>
          </w:tcPr>
          <w:p w:rsidR="002D1816" w:rsidRPr="009B244A" w:rsidRDefault="002D1816" w:rsidP="009B244A">
            <w:pPr>
              <w:ind w:left="24"/>
              <w:rPr>
                <w:sz w:val="20"/>
              </w:rPr>
            </w:pPr>
          </w:p>
        </w:tc>
      </w:tr>
    </w:tbl>
    <w:p w:rsidR="00815B76" w:rsidRPr="009B244A" w:rsidRDefault="00815B76" w:rsidP="00815B76">
      <w:pPr>
        <w:pStyle w:val="Caption"/>
        <w:spacing w:before="240" w:after="240"/>
        <w:ind w:left="709"/>
        <w:jc w:val="center"/>
        <w:rPr>
          <w:rFonts w:ascii="Arial" w:hAnsi="Arial"/>
          <w:i w:val="0"/>
          <w:iCs w:val="0"/>
          <w:sz w:val="20"/>
          <w:szCs w:val="18"/>
          <w:lang w:val="en-AU"/>
        </w:rPr>
      </w:pPr>
      <w:bookmarkStart w:id="514" w:name="_Toc364945445"/>
      <w:r w:rsidRPr="009B244A">
        <w:rPr>
          <w:rFonts w:ascii="Arial" w:hAnsi="Arial"/>
          <w:i w:val="0"/>
          <w:iCs w:val="0"/>
          <w:sz w:val="20"/>
          <w:szCs w:val="18"/>
          <w:lang w:val="en-AU"/>
        </w:rPr>
        <w:t xml:space="preserve">Table </w:t>
      </w:r>
      <w:r w:rsidR="0090414C" w:rsidRPr="009B244A">
        <w:rPr>
          <w:rFonts w:ascii="Arial" w:hAnsi="Arial"/>
          <w:i w:val="0"/>
          <w:iCs w:val="0"/>
          <w:sz w:val="20"/>
          <w:szCs w:val="18"/>
          <w:lang w:val="en-AU"/>
        </w:rPr>
        <w:fldChar w:fldCharType="begin"/>
      </w:r>
      <w:r w:rsidRPr="009B244A">
        <w:rPr>
          <w:rFonts w:ascii="Arial" w:hAnsi="Arial"/>
          <w:i w:val="0"/>
          <w:iCs w:val="0"/>
          <w:sz w:val="20"/>
          <w:szCs w:val="18"/>
          <w:lang w:val="en-AU"/>
        </w:rPr>
        <w:instrText xml:space="preserve"> SEQ Table \* ARABIC </w:instrText>
      </w:r>
      <w:r w:rsidR="0090414C" w:rsidRPr="009B244A">
        <w:rPr>
          <w:rFonts w:ascii="Arial" w:hAnsi="Arial"/>
          <w:i w:val="0"/>
          <w:iCs w:val="0"/>
          <w:sz w:val="20"/>
          <w:szCs w:val="18"/>
          <w:lang w:val="en-AU"/>
        </w:rPr>
        <w:fldChar w:fldCharType="separate"/>
      </w:r>
      <w:r w:rsidR="00751CEC">
        <w:rPr>
          <w:rFonts w:ascii="Arial" w:hAnsi="Arial"/>
          <w:i w:val="0"/>
          <w:iCs w:val="0"/>
          <w:noProof/>
          <w:sz w:val="20"/>
          <w:szCs w:val="18"/>
          <w:lang w:val="en-AU"/>
        </w:rPr>
        <w:t>41</w:t>
      </w:r>
      <w:r w:rsidR="0090414C" w:rsidRPr="009B244A">
        <w:rPr>
          <w:rFonts w:ascii="Arial" w:hAnsi="Arial"/>
          <w:i w:val="0"/>
          <w:iCs w:val="0"/>
          <w:sz w:val="20"/>
          <w:szCs w:val="18"/>
          <w:lang w:val="en-AU"/>
        </w:rPr>
        <w:fldChar w:fldCharType="end"/>
      </w:r>
      <w:r w:rsidRPr="009B244A">
        <w:rPr>
          <w:rFonts w:ascii="Arial" w:hAnsi="Arial"/>
          <w:i w:val="0"/>
          <w:iCs w:val="0"/>
          <w:sz w:val="20"/>
          <w:szCs w:val="18"/>
          <w:lang w:val="en-AU"/>
        </w:rPr>
        <w:t>:  Current Contracted Services</w:t>
      </w:r>
      <w:bookmarkEnd w:id="514"/>
    </w:p>
    <w:p w:rsidR="002D1816" w:rsidRDefault="00A24029" w:rsidP="00815B76">
      <w:pPr>
        <w:ind w:left="709"/>
      </w:pPr>
      <w:r>
        <w:t>The following figure provides details of the projected Maintenance and Operational budget for the next 10 years.</w:t>
      </w:r>
    </w:p>
    <w:p w:rsidR="00151053" w:rsidRDefault="00151053" w:rsidP="00151053">
      <w:pPr>
        <w:ind w:left="720"/>
      </w:pPr>
    </w:p>
    <w:p w:rsidR="00A24029" w:rsidRDefault="00A24029" w:rsidP="00151053">
      <w:pPr>
        <w:ind w:left="720"/>
      </w:pPr>
      <w:r w:rsidRPr="00A24029">
        <w:rPr>
          <w:noProof/>
        </w:rPr>
        <w:drawing>
          <wp:inline distT="0" distB="0" distL="0" distR="0" wp14:anchorId="11436278" wp14:editId="6125567B">
            <wp:extent cx="5431221" cy="2743200"/>
            <wp:effectExtent l="0" t="0" r="17145" b="19050"/>
            <wp:docPr id="232"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815B76" w:rsidRPr="009B244A" w:rsidRDefault="00815B76" w:rsidP="00815B76">
      <w:pPr>
        <w:pStyle w:val="Caption"/>
        <w:spacing w:before="240" w:after="240"/>
        <w:ind w:left="709"/>
        <w:jc w:val="center"/>
        <w:rPr>
          <w:rFonts w:ascii="Arial" w:hAnsi="Arial"/>
          <w:i w:val="0"/>
          <w:iCs w:val="0"/>
          <w:sz w:val="20"/>
          <w:szCs w:val="18"/>
          <w:lang w:val="en-AU"/>
        </w:rPr>
      </w:pPr>
      <w:bookmarkStart w:id="515" w:name="_Toc364945390"/>
      <w:r w:rsidRPr="009B244A">
        <w:rPr>
          <w:rFonts w:ascii="Arial" w:hAnsi="Arial"/>
          <w:i w:val="0"/>
          <w:iCs w:val="0"/>
          <w:sz w:val="20"/>
          <w:szCs w:val="18"/>
          <w:lang w:val="en-AU"/>
        </w:rPr>
        <w:t xml:space="preserve">Figure </w:t>
      </w:r>
      <w:r w:rsidR="0090414C" w:rsidRPr="009B244A">
        <w:rPr>
          <w:rFonts w:ascii="Arial" w:hAnsi="Arial"/>
          <w:i w:val="0"/>
          <w:iCs w:val="0"/>
          <w:sz w:val="20"/>
          <w:szCs w:val="18"/>
          <w:lang w:val="en-AU"/>
        </w:rPr>
        <w:fldChar w:fldCharType="begin"/>
      </w:r>
      <w:r w:rsidRPr="009B244A">
        <w:rPr>
          <w:rFonts w:ascii="Arial" w:hAnsi="Arial"/>
          <w:i w:val="0"/>
          <w:iCs w:val="0"/>
          <w:sz w:val="20"/>
          <w:szCs w:val="18"/>
          <w:lang w:val="en-AU"/>
        </w:rPr>
        <w:instrText xml:space="preserve"> SEQ Figure \* ARABIC </w:instrText>
      </w:r>
      <w:r w:rsidR="0090414C" w:rsidRPr="009B244A">
        <w:rPr>
          <w:rFonts w:ascii="Arial" w:hAnsi="Arial"/>
          <w:i w:val="0"/>
          <w:iCs w:val="0"/>
          <w:sz w:val="20"/>
          <w:szCs w:val="18"/>
          <w:lang w:val="en-AU"/>
        </w:rPr>
        <w:fldChar w:fldCharType="separate"/>
      </w:r>
      <w:r w:rsidR="00751CEC">
        <w:rPr>
          <w:rFonts w:ascii="Arial" w:hAnsi="Arial"/>
          <w:i w:val="0"/>
          <w:iCs w:val="0"/>
          <w:noProof/>
          <w:sz w:val="20"/>
          <w:szCs w:val="18"/>
          <w:lang w:val="en-AU"/>
        </w:rPr>
        <w:t>26</w:t>
      </w:r>
      <w:r w:rsidR="0090414C" w:rsidRPr="009B244A">
        <w:rPr>
          <w:rFonts w:ascii="Arial" w:hAnsi="Arial"/>
          <w:i w:val="0"/>
          <w:iCs w:val="0"/>
          <w:sz w:val="20"/>
          <w:szCs w:val="18"/>
          <w:lang w:val="en-AU"/>
        </w:rPr>
        <w:fldChar w:fldCharType="end"/>
      </w:r>
      <w:r w:rsidRPr="009B244A">
        <w:rPr>
          <w:rFonts w:ascii="Arial" w:hAnsi="Arial"/>
          <w:i w:val="0"/>
          <w:iCs w:val="0"/>
          <w:sz w:val="20"/>
          <w:szCs w:val="18"/>
          <w:lang w:val="en-AU"/>
        </w:rPr>
        <w:t>:  10 Year Maintenance and Operational Budget Projection</w:t>
      </w:r>
      <w:bookmarkEnd w:id="515"/>
    </w:p>
    <w:p w:rsidR="00E13D96" w:rsidRPr="00CF2212" w:rsidRDefault="00E13D96" w:rsidP="00CF2212">
      <w:pPr>
        <w:pStyle w:val="Heading2"/>
      </w:pPr>
      <w:bookmarkStart w:id="516" w:name="_Toc364945303"/>
      <w:r w:rsidRPr="00CF2212">
        <w:t>Renewal</w:t>
      </w:r>
      <w:bookmarkEnd w:id="480"/>
      <w:r w:rsidRPr="00CF2212">
        <w:t xml:space="preserve"> </w:t>
      </w:r>
      <w:r w:rsidR="001D3122" w:rsidRPr="00CF2212">
        <w:t>and Rehabilitation Plan</w:t>
      </w:r>
      <w:bookmarkEnd w:id="516"/>
    </w:p>
    <w:p w:rsidR="00FF746A" w:rsidRDefault="00FF746A" w:rsidP="00151053">
      <w:r w:rsidRPr="00FF746A">
        <w:t>Renewal expenditure is work which does not increase the asset’s design capacity but restores, rehabilitates, replaces or renews an existing asset to its original level of service. Work over and above restoring an asset to its original level of service is considered upgrade or enhancement and is not considered within the renewal plan.</w:t>
      </w:r>
    </w:p>
    <w:p w:rsidR="00151053" w:rsidRPr="00FF746A" w:rsidRDefault="00151053" w:rsidP="00151053"/>
    <w:p w:rsidR="00A24029" w:rsidRDefault="00E13D96" w:rsidP="00151053">
      <w:pPr>
        <w:rPr>
          <w:rFonts w:cs="Arial"/>
          <w:iCs/>
          <w:lang w:val="en-NZ" w:eastAsia="en-GB"/>
        </w:rPr>
      </w:pPr>
      <w:r w:rsidRPr="00CD7D4F">
        <w:rPr>
          <w:rFonts w:cs="Arial"/>
          <w:iCs/>
          <w:lang w:val="en-NZ" w:eastAsia="en-GB"/>
        </w:rPr>
        <w:t xml:space="preserve">Renewal capital works are planned each year as part of the capital planning process. </w:t>
      </w:r>
    </w:p>
    <w:p w:rsidR="00A24029" w:rsidRDefault="00A24029" w:rsidP="00151053">
      <w:pPr>
        <w:rPr>
          <w:rFonts w:cs="Arial"/>
          <w:iCs/>
          <w:lang w:val="en-NZ" w:eastAsia="en-GB"/>
        </w:rPr>
      </w:pPr>
    </w:p>
    <w:p w:rsidR="00E13D96" w:rsidRDefault="00A24029" w:rsidP="00151053">
      <w:pPr>
        <w:pStyle w:val="BodyText"/>
        <w:ind w:left="0"/>
        <w:jc w:val="center"/>
        <w:rPr>
          <w:rFonts w:ascii="Arial" w:hAnsi="Arial" w:cs="Arial"/>
          <w:iCs w:val="0"/>
          <w:sz w:val="20"/>
          <w:lang w:val="en-NZ" w:eastAsia="en-GB"/>
        </w:rPr>
      </w:pPr>
      <w:r w:rsidRPr="00A24029">
        <w:rPr>
          <w:rFonts w:ascii="Arial" w:hAnsi="Arial" w:cs="Arial"/>
          <w:iCs w:val="0"/>
          <w:noProof/>
          <w:sz w:val="20"/>
          <w:lang w:val="en-AU" w:eastAsia="en-AU"/>
        </w:rPr>
        <w:drawing>
          <wp:inline distT="0" distB="0" distL="0" distR="0" wp14:anchorId="7073920F" wp14:editId="1CB74070">
            <wp:extent cx="5760085" cy="2517576"/>
            <wp:effectExtent l="19050" t="0" r="12065" b="0"/>
            <wp:docPr id="233"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815B76" w:rsidRPr="0091425F" w:rsidRDefault="00815B76" w:rsidP="00815B76">
      <w:pPr>
        <w:pStyle w:val="Caption"/>
        <w:spacing w:before="240" w:after="240"/>
        <w:ind w:left="0"/>
        <w:jc w:val="center"/>
        <w:rPr>
          <w:rFonts w:ascii="Arial" w:hAnsi="Arial"/>
          <w:i w:val="0"/>
          <w:iCs w:val="0"/>
          <w:sz w:val="20"/>
          <w:lang w:val="en-AU"/>
        </w:rPr>
      </w:pPr>
      <w:bookmarkStart w:id="517" w:name="_Toc364945391"/>
      <w:r w:rsidRPr="0091425F">
        <w:rPr>
          <w:rFonts w:ascii="Arial" w:hAnsi="Arial"/>
          <w:i w:val="0"/>
          <w:iCs w:val="0"/>
          <w:sz w:val="20"/>
          <w:lang w:val="en-AU"/>
        </w:rPr>
        <w:t xml:space="preserve">Figure </w:t>
      </w:r>
      <w:r w:rsidR="0090414C" w:rsidRPr="0091425F">
        <w:rPr>
          <w:rFonts w:ascii="Arial" w:hAnsi="Arial"/>
          <w:i w:val="0"/>
          <w:iCs w:val="0"/>
          <w:sz w:val="20"/>
          <w:lang w:val="en-AU"/>
        </w:rPr>
        <w:fldChar w:fldCharType="begin"/>
      </w:r>
      <w:r w:rsidRPr="0091425F">
        <w:rPr>
          <w:rFonts w:ascii="Arial" w:hAnsi="Arial"/>
          <w:i w:val="0"/>
          <w:iCs w:val="0"/>
          <w:sz w:val="20"/>
          <w:lang w:val="en-AU"/>
        </w:rPr>
        <w:instrText xml:space="preserve"> SEQ Figure \* ARABIC </w:instrText>
      </w:r>
      <w:r w:rsidR="0090414C" w:rsidRPr="0091425F">
        <w:rPr>
          <w:rFonts w:ascii="Arial" w:hAnsi="Arial"/>
          <w:i w:val="0"/>
          <w:iCs w:val="0"/>
          <w:sz w:val="20"/>
          <w:lang w:val="en-AU"/>
        </w:rPr>
        <w:fldChar w:fldCharType="separate"/>
      </w:r>
      <w:r w:rsidR="00751CEC">
        <w:rPr>
          <w:rFonts w:ascii="Arial" w:hAnsi="Arial"/>
          <w:i w:val="0"/>
          <w:iCs w:val="0"/>
          <w:noProof/>
          <w:sz w:val="20"/>
          <w:lang w:val="en-AU"/>
        </w:rPr>
        <w:t>27</w:t>
      </w:r>
      <w:r w:rsidR="0090414C" w:rsidRPr="0091425F">
        <w:rPr>
          <w:rFonts w:ascii="Arial" w:hAnsi="Arial"/>
          <w:i w:val="0"/>
          <w:iCs w:val="0"/>
          <w:sz w:val="20"/>
          <w:lang w:val="en-AU"/>
        </w:rPr>
        <w:fldChar w:fldCharType="end"/>
      </w:r>
      <w:r w:rsidRPr="0091425F">
        <w:rPr>
          <w:rFonts w:ascii="Arial" w:hAnsi="Arial"/>
          <w:i w:val="0"/>
          <w:iCs w:val="0"/>
          <w:sz w:val="20"/>
          <w:lang w:val="en-AU"/>
        </w:rPr>
        <w:t xml:space="preserve">:  </w:t>
      </w:r>
      <w:r w:rsidR="00631669" w:rsidRPr="0091425F">
        <w:rPr>
          <w:rFonts w:ascii="Arial" w:hAnsi="Arial"/>
          <w:i w:val="0"/>
          <w:iCs w:val="0"/>
          <w:sz w:val="20"/>
          <w:lang w:val="en-AU"/>
        </w:rPr>
        <w:t>Renewal Capital Works Budget 2008-2014</w:t>
      </w:r>
      <w:bookmarkEnd w:id="517"/>
    </w:p>
    <w:p w:rsidR="00E13D96" w:rsidRDefault="00E13D96" w:rsidP="00151053">
      <w:pPr>
        <w:rPr>
          <w:lang w:eastAsia="en-GB"/>
        </w:rPr>
      </w:pPr>
      <w:r w:rsidRPr="00CD7D4F">
        <w:rPr>
          <w:lang w:eastAsia="en-GB"/>
        </w:rPr>
        <w:t>Council has adopted criteria for assessing and prioritising capital projects at a high level. The process essentially involves considering and ranking (according to an agreed scale) the drivers behind each proposed project and then assessing deliverability to arrive at a prioritised list of works.  In general this Asset Management Plan also suggests a renewals plan – the agreed levels of service indicate that where the condition of component reaches a certain level replacement will be necessary.</w:t>
      </w:r>
    </w:p>
    <w:p w:rsidR="00FF746A" w:rsidRDefault="00FF746A" w:rsidP="00151053">
      <w:pPr>
        <w:rPr>
          <w:lang w:eastAsia="en-GB"/>
        </w:rPr>
      </w:pPr>
    </w:p>
    <w:p w:rsidR="00FF746A" w:rsidRDefault="00FF746A" w:rsidP="00151053">
      <w:r w:rsidRPr="00FF746A">
        <w:t xml:space="preserve">The required level of expenditure on the renewal program for </w:t>
      </w:r>
      <w:r>
        <w:t>asset portfolio</w:t>
      </w:r>
      <w:r w:rsidRPr="00FF746A">
        <w:t xml:space="preserve"> will vary from year to year and will reflect:</w:t>
      </w:r>
    </w:p>
    <w:p w:rsidR="00151053" w:rsidRPr="00FF746A" w:rsidRDefault="00151053" w:rsidP="00151053"/>
    <w:p w:rsidR="00FF746A" w:rsidRPr="00151053" w:rsidRDefault="00FF746A" w:rsidP="008348B5">
      <w:pPr>
        <w:pStyle w:val="ListParagraph"/>
        <w:numPr>
          <w:ilvl w:val="0"/>
          <w:numId w:val="90"/>
        </w:numPr>
        <w:rPr>
          <w:rFonts w:ascii="Arial" w:hAnsi="Arial" w:cs="Arial"/>
          <w:sz w:val="20"/>
        </w:rPr>
      </w:pPr>
      <w:r w:rsidRPr="00151053">
        <w:rPr>
          <w:rFonts w:ascii="Arial" w:hAnsi="Arial" w:cs="Arial"/>
          <w:sz w:val="20"/>
        </w:rPr>
        <w:t>The age of the assets;</w:t>
      </w:r>
    </w:p>
    <w:p w:rsidR="00FF746A" w:rsidRPr="00151053" w:rsidRDefault="00FF746A" w:rsidP="008348B5">
      <w:pPr>
        <w:pStyle w:val="ListParagraph"/>
        <w:numPr>
          <w:ilvl w:val="0"/>
          <w:numId w:val="90"/>
        </w:numPr>
        <w:rPr>
          <w:rFonts w:ascii="Arial" w:hAnsi="Arial" w:cs="Arial"/>
          <w:sz w:val="20"/>
        </w:rPr>
      </w:pPr>
      <w:r w:rsidRPr="00151053">
        <w:rPr>
          <w:rFonts w:ascii="Arial" w:hAnsi="Arial" w:cs="Arial"/>
          <w:sz w:val="20"/>
        </w:rPr>
        <w:t>Th</w:t>
      </w:r>
      <w:r w:rsidR="008E2AF6" w:rsidRPr="00151053">
        <w:rPr>
          <w:rFonts w:ascii="Arial" w:hAnsi="Arial" w:cs="Arial"/>
          <w:sz w:val="20"/>
        </w:rPr>
        <w:t>e condition of the asset</w:t>
      </w:r>
      <w:r w:rsidRPr="00151053">
        <w:rPr>
          <w:rFonts w:ascii="Arial" w:hAnsi="Arial" w:cs="Arial"/>
          <w:sz w:val="20"/>
        </w:rPr>
        <w:t>;</w:t>
      </w:r>
    </w:p>
    <w:p w:rsidR="00FF746A" w:rsidRPr="00151053" w:rsidRDefault="00FF746A" w:rsidP="008348B5">
      <w:pPr>
        <w:pStyle w:val="ListParagraph"/>
        <w:numPr>
          <w:ilvl w:val="0"/>
          <w:numId w:val="90"/>
        </w:numPr>
        <w:rPr>
          <w:rFonts w:ascii="Arial" w:hAnsi="Arial" w:cs="Arial"/>
          <w:sz w:val="20"/>
        </w:rPr>
      </w:pPr>
      <w:r w:rsidRPr="00151053">
        <w:rPr>
          <w:rFonts w:ascii="Arial" w:hAnsi="Arial" w:cs="Arial"/>
          <w:sz w:val="20"/>
        </w:rPr>
        <w:t>The ongoing maintenance demand; and</w:t>
      </w:r>
    </w:p>
    <w:p w:rsidR="00306C00" w:rsidRPr="00151053" w:rsidRDefault="00FF746A" w:rsidP="008348B5">
      <w:pPr>
        <w:pStyle w:val="ListParagraph"/>
        <w:numPr>
          <w:ilvl w:val="0"/>
          <w:numId w:val="90"/>
        </w:numPr>
        <w:rPr>
          <w:rFonts w:ascii="Arial" w:hAnsi="Arial" w:cs="Arial"/>
          <w:sz w:val="20"/>
        </w:rPr>
      </w:pPr>
      <w:r w:rsidRPr="00151053">
        <w:rPr>
          <w:rFonts w:ascii="Arial" w:hAnsi="Arial" w:cs="Arial"/>
          <w:sz w:val="20"/>
        </w:rPr>
        <w:t>Potential alignment to the renewal or upgrade of other as</w:t>
      </w:r>
      <w:r w:rsidR="00151053">
        <w:rPr>
          <w:rFonts w:ascii="Arial" w:hAnsi="Arial" w:cs="Arial"/>
          <w:sz w:val="20"/>
        </w:rPr>
        <w:t>set groups in the same location.</w:t>
      </w:r>
    </w:p>
    <w:p w:rsidR="00151053" w:rsidRDefault="00151053" w:rsidP="00151053"/>
    <w:p w:rsidR="00134428" w:rsidRPr="006F6C17" w:rsidRDefault="008D1AAC" w:rsidP="00151053">
      <w:pPr>
        <w:rPr>
          <w:i/>
          <w:color w:val="000000" w:themeColor="text1"/>
        </w:rPr>
      </w:pPr>
      <w:r w:rsidRPr="006F6C17">
        <w:t>Industry benchmarks</w:t>
      </w:r>
      <w:r w:rsidR="00AA47F9" w:rsidRPr="006F6C17">
        <w:t xml:space="preserve"> suggest</w:t>
      </w:r>
      <w:r w:rsidRPr="006F6C17">
        <w:t xml:space="preserve"> the average annual renewal for these buildings should be between 2.5% and 3% per annum</w:t>
      </w:r>
      <w:r w:rsidR="00134428" w:rsidRPr="006F6C17">
        <w:t xml:space="preserve">. </w:t>
      </w:r>
      <w:r w:rsidR="00AA47F9" w:rsidRPr="006F6C17">
        <w:t xml:space="preserve">Based on the current valuation information the total replacement value for all buildings is $228M, </w:t>
      </w:r>
      <w:r w:rsidR="000E7FA6" w:rsidRPr="006F6C17">
        <w:t>this would mean Council</w:t>
      </w:r>
      <w:r w:rsidR="00134428" w:rsidRPr="006F6C17">
        <w:t xml:space="preserve"> should invest $5.7M - $6.8M in renewal funding annually. Prior to the refurbishment of the Collingwood Town Hall Council has averaged $1.8M annually on its renewal </w:t>
      </w:r>
      <w:r w:rsidR="00134428" w:rsidRPr="006F6C17">
        <w:rPr>
          <w:color w:val="000000" w:themeColor="text1"/>
        </w:rPr>
        <w:t>program</w:t>
      </w:r>
      <w:r w:rsidR="006F6C17" w:rsidRPr="006F6C17">
        <w:rPr>
          <w:color w:val="000000" w:themeColor="text1"/>
        </w:rPr>
        <w:t>.</w:t>
      </w:r>
    </w:p>
    <w:p w:rsidR="009F4FE1" w:rsidRDefault="009F4FE1" w:rsidP="003E5B9F">
      <w:pPr>
        <w:pStyle w:val="StyleHeading3Heading3Char10ptBefore6pt"/>
      </w:pPr>
      <w:bookmarkStart w:id="518" w:name="_Toc364945304"/>
      <w:r>
        <w:t>Renewal Activities</w:t>
      </w:r>
      <w:bookmarkEnd w:id="518"/>
    </w:p>
    <w:p w:rsidR="008E2AF6" w:rsidRDefault="005B4E4B" w:rsidP="00151053">
      <w:pPr>
        <w:ind w:left="720"/>
      </w:pPr>
      <w:bookmarkStart w:id="519" w:name="_Toc341192050"/>
      <w:bookmarkStart w:id="520" w:name="_Toc341193592"/>
      <w:bookmarkStart w:id="521" w:name="_Toc341193816"/>
      <w:bookmarkStart w:id="522" w:name="_Toc341354315"/>
      <w:bookmarkEnd w:id="519"/>
      <w:bookmarkEnd w:id="520"/>
      <w:bookmarkEnd w:id="521"/>
      <w:bookmarkEnd w:id="522"/>
      <w:r w:rsidRPr="005B4E4B">
        <w:t>Council conducts wh</w:t>
      </w:r>
      <w:r w:rsidR="00CE5EFF">
        <w:t>ole-of-portfolio facility audit</w:t>
      </w:r>
      <w:r w:rsidRPr="005B4E4B">
        <w:t>/condition assessment on a cyclic basis.</w:t>
      </w:r>
      <w:r w:rsidR="008E2AF6">
        <w:t xml:space="preserve"> </w:t>
      </w:r>
      <w:r w:rsidRPr="005B4E4B">
        <w:t xml:space="preserve">During inspection each building component (structural, electrical, </w:t>
      </w:r>
      <w:r w:rsidR="008E2AF6">
        <w:t>mechanical</w:t>
      </w:r>
      <w:r w:rsidRPr="005B4E4B">
        <w:t xml:space="preserve"> etc</w:t>
      </w:r>
      <w:r w:rsidR="00B66298">
        <w:t>.</w:t>
      </w:r>
      <w:r w:rsidRPr="005B4E4B">
        <w:t xml:space="preserve">) is given a condition rating which can then be averaged across the building to obtain an overall condition rating for the property. </w:t>
      </w:r>
    </w:p>
    <w:p w:rsidR="00151053" w:rsidRDefault="00151053" w:rsidP="00151053">
      <w:pPr>
        <w:ind w:left="720"/>
      </w:pPr>
    </w:p>
    <w:p w:rsidR="005B4E4B" w:rsidRDefault="00D60852" w:rsidP="00151053">
      <w:pPr>
        <w:ind w:left="720"/>
      </w:pPr>
      <w:r>
        <w:t>‘</w:t>
      </w:r>
      <w:r w:rsidR="005B4E4B" w:rsidRPr="005B4E4B">
        <w:t>Good</w:t>
      </w:r>
      <w:r>
        <w:t>’</w:t>
      </w:r>
      <w:r w:rsidR="005B4E4B" w:rsidRPr="005B4E4B">
        <w:t xml:space="preserve"> has been set as appropriate to ensure buildings provide the required level of service. It is clear </w:t>
      </w:r>
      <w:r w:rsidR="005B4E4B" w:rsidRPr="006F6C17">
        <w:t xml:space="preserve">from </w:t>
      </w:r>
      <w:r w:rsidR="0074748D" w:rsidRPr="006F6C17">
        <w:t>S</w:t>
      </w:r>
      <w:r w:rsidR="008E2AF6" w:rsidRPr="006F6C17">
        <w:t>ection 5.</w:t>
      </w:r>
      <w:r w:rsidR="0074748D" w:rsidRPr="006F6C17">
        <w:t xml:space="preserve">4.1 </w:t>
      </w:r>
      <w:r w:rsidR="005B4E4B" w:rsidRPr="006F6C17">
        <w:t xml:space="preserve">that </w:t>
      </w:r>
      <w:r w:rsidR="008E2AF6" w:rsidRPr="006F6C17">
        <w:t>the majority of</w:t>
      </w:r>
      <w:r w:rsidR="008E2AF6">
        <w:t xml:space="preserve"> </w:t>
      </w:r>
      <w:r w:rsidR="005B4E4B" w:rsidRPr="005B4E4B">
        <w:t xml:space="preserve">Council </w:t>
      </w:r>
      <w:r w:rsidR="008E2AF6">
        <w:t>buildings</w:t>
      </w:r>
      <w:r w:rsidR="005B4E4B" w:rsidRPr="005B4E4B">
        <w:t xml:space="preserve"> are currently </w:t>
      </w:r>
      <w:r w:rsidR="008E2AF6">
        <w:t>in good condition</w:t>
      </w:r>
      <w:r w:rsidR="005B4E4B" w:rsidRPr="005B4E4B">
        <w:t xml:space="preserve"> and are available to deliver adequate service to the community.</w:t>
      </w:r>
      <w:r w:rsidR="00746635">
        <w:t xml:space="preserve"> When combined with the fit for purpose assessment made by service managers the information is assessed and renewal programs developed.</w:t>
      </w:r>
    </w:p>
    <w:p w:rsidR="00151053" w:rsidRDefault="00151053" w:rsidP="00151053">
      <w:pPr>
        <w:ind w:left="720"/>
      </w:pPr>
    </w:p>
    <w:p w:rsidR="00746635" w:rsidRDefault="00746635" w:rsidP="00151053">
      <w:pPr>
        <w:keepNext/>
        <w:keepLines/>
        <w:ind w:left="720"/>
      </w:pPr>
      <w:r>
        <w:t>There are other inspections and audits that take place that are also considered when developing renewal programs thes</w:t>
      </w:r>
      <w:r w:rsidR="00151053">
        <w:t>e are listed in the table below:</w:t>
      </w:r>
    </w:p>
    <w:p w:rsidR="00151053" w:rsidRDefault="00151053" w:rsidP="00151053">
      <w:pPr>
        <w:keepNext/>
        <w:keepLines/>
        <w:ind w:left="720"/>
      </w:pP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20" w:color="auto" w:fill="auto"/>
        <w:tblLook w:val="0000" w:firstRow="0" w:lastRow="0" w:firstColumn="0" w:lastColumn="0" w:noHBand="0" w:noVBand="0"/>
      </w:tblPr>
      <w:tblGrid>
        <w:gridCol w:w="3507"/>
        <w:gridCol w:w="1339"/>
        <w:gridCol w:w="1706"/>
        <w:gridCol w:w="1917"/>
      </w:tblGrid>
      <w:tr w:rsidR="005B4E4B" w:rsidRPr="00151053" w:rsidTr="00151053">
        <w:trPr>
          <w:cantSplit/>
          <w:tblHeader/>
          <w:jc w:val="right"/>
        </w:trPr>
        <w:tc>
          <w:tcPr>
            <w:tcW w:w="3507" w:type="dxa"/>
            <w:tcBorders>
              <w:bottom w:val="single" w:sz="4" w:space="0" w:color="auto"/>
            </w:tcBorders>
            <w:shd w:val="clear" w:color="auto" w:fill="95B3D7" w:themeFill="accent1" w:themeFillTint="99"/>
            <w:vAlign w:val="center"/>
          </w:tcPr>
          <w:p w:rsidR="005B4E4B" w:rsidRPr="00151053" w:rsidRDefault="005B4E4B" w:rsidP="00151053">
            <w:pPr>
              <w:keepNext/>
              <w:keepLines/>
              <w:spacing w:before="120" w:after="120"/>
              <w:jc w:val="left"/>
              <w:rPr>
                <w:b/>
              </w:rPr>
            </w:pPr>
            <w:r w:rsidRPr="00151053">
              <w:rPr>
                <w:b/>
              </w:rPr>
              <w:t>Inspection Type</w:t>
            </w:r>
          </w:p>
        </w:tc>
        <w:tc>
          <w:tcPr>
            <w:tcW w:w="1339" w:type="dxa"/>
            <w:tcBorders>
              <w:bottom w:val="single" w:sz="4" w:space="0" w:color="auto"/>
            </w:tcBorders>
            <w:shd w:val="clear" w:color="auto" w:fill="95B3D7" w:themeFill="accent1" w:themeFillTint="99"/>
            <w:vAlign w:val="center"/>
          </w:tcPr>
          <w:p w:rsidR="005B4E4B" w:rsidRPr="00151053" w:rsidRDefault="005B4E4B" w:rsidP="00151053">
            <w:pPr>
              <w:keepNext/>
              <w:keepLines/>
              <w:spacing w:before="120" w:after="120"/>
              <w:jc w:val="center"/>
              <w:rPr>
                <w:b/>
              </w:rPr>
            </w:pPr>
            <w:r w:rsidRPr="00151053">
              <w:rPr>
                <w:b/>
              </w:rPr>
              <w:t>Frequency</w:t>
            </w:r>
          </w:p>
        </w:tc>
        <w:tc>
          <w:tcPr>
            <w:tcW w:w="1706" w:type="dxa"/>
            <w:tcBorders>
              <w:bottom w:val="single" w:sz="4" w:space="0" w:color="auto"/>
            </w:tcBorders>
            <w:shd w:val="clear" w:color="auto" w:fill="95B3D7" w:themeFill="accent1" w:themeFillTint="99"/>
            <w:vAlign w:val="center"/>
          </w:tcPr>
          <w:p w:rsidR="005B4E4B" w:rsidRPr="00151053" w:rsidRDefault="005B4E4B" w:rsidP="00151053">
            <w:pPr>
              <w:keepNext/>
              <w:keepLines/>
              <w:spacing w:before="120" w:after="120"/>
              <w:jc w:val="center"/>
              <w:rPr>
                <w:b/>
              </w:rPr>
            </w:pPr>
            <w:r w:rsidRPr="00151053">
              <w:rPr>
                <w:b/>
              </w:rPr>
              <w:t>Primary Driver</w:t>
            </w:r>
          </w:p>
        </w:tc>
        <w:tc>
          <w:tcPr>
            <w:tcW w:w="1917" w:type="dxa"/>
            <w:tcBorders>
              <w:bottom w:val="single" w:sz="4" w:space="0" w:color="auto"/>
            </w:tcBorders>
            <w:shd w:val="clear" w:color="auto" w:fill="95B3D7" w:themeFill="accent1" w:themeFillTint="99"/>
            <w:vAlign w:val="center"/>
          </w:tcPr>
          <w:p w:rsidR="005B4E4B" w:rsidRPr="00151053" w:rsidRDefault="005B4E4B" w:rsidP="00151053">
            <w:pPr>
              <w:keepNext/>
              <w:keepLines/>
              <w:spacing w:before="120" w:after="120"/>
              <w:jc w:val="center"/>
              <w:rPr>
                <w:b/>
              </w:rPr>
            </w:pPr>
            <w:r w:rsidRPr="00151053">
              <w:rPr>
                <w:b/>
              </w:rPr>
              <w:t>Resource</w:t>
            </w:r>
            <w:r w:rsidR="00151053">
              <w:rPr>
                <w:b/>
              </w:rPr>
              <w:br/>
              <w:t>(Internal/E</w:t>
            </w:r>
            <w:r w:rsidRPr="00151053">
              <w:rPr>
                <w:b/>
              </w:rPr>
              <w:t>xternal)</w:t>
            </w:r>
          </w:p>
        </w:tc>
      </w:tr>
      <w:tr w:rsidR="005B4E4B" w:rsidRPr="00151053" w:rsidTr="00151053">
        <w:trPr>
          <w:cantSplit/>
          <w:jc w:val="right"/>
        </w:trPr>
        <w:tc>
          <w:tcPr>
            <w:tcW w:w="3507" w:type="dxa"/>
            <w:shd w:val="clear" w:color="auto" w:fill="auto"/>
            <w:vAlign w:val="center"/>
          </w:tcPr>
          <w:p w:rsidR="005B4E4B" w:rsidRPr="00151053" w:rsidRDefault="005B4E4B" w:rsidP="00151053">
            <w:pPr>
              <w:pStyle w:val="TableText1"/>
              <w:keepNext/>
              <w:keepLines/>
              <w:spacing w:before="120" w:after="120"/>
              <w:jc w:val="left"/>
              <w:rPr>
                <w:sz w:val="20"/>
              </w:rPr>
            </w:pPr>
            <w:bookmarkStart w:id="523" w:name="OLE_LINK14"/>
            <w:bookmarkStart w:id="524" w:name="OLE_LINK17"/>
            <w:r w:rsidRPr="00151053">
              <w:rPr>
                <w:sz w:val="20"/>
              </w:rPr>
              <w:t>General building inspection</w:t>
            </w:r>
          </w:p>
        </w:tc>
        <w:tc>
          <w:tcPr>
            <w:tcW w:w="1339" w:type="dxa"/>
            <w:shd w:val="clear" w:color="auto" w:fill="auto"/>
            <w:vAlign w:val="center"/>
          </w:tcPr>
          <w:p w:rsidR="005B4E4B" w:rsidRPr="00151053" w:rsidRDefault="005B4E4B" w:rsidP="00151053">
            <w:pPr>
              <w:pStyle w:val="TableText1"/>
              <w:keepNext/>
              <w:keepLines/>
              <w:spacing w:before="120" w:after="120"/>
              <w:jc w:val="center"/>
              <w:rPr>
                <w:sz w:val="20"/>
              </w:rPr>
            </w:pPr>
            <w:r w:rsidRPr="00151053">
              <w:rPr>
                <w:sz w:val="20"/>
              </w:rPr>
              <w:t>1 year</w:t>
            </w:r>
          </w:p>
        </w:tc>
        <w:tc>
          <w:tcPr>
            <w:tcW w:w="1706" w:type="dxa"/>
            <w:shd w:val="clear" w:color="auto" w:fill="auto"/>
            <w:vAlign w:val="center"/>
          </w:tcPr>
          <w:p w:rsidR="005B4E4B" w:rsidRPr="00151053" w:rsidRDefault="005B4E4B" w:rsidP="00151053">
            <w:pPr>
              <w:pStyle w:val="TableText1"/>
              <w:keepNext/>
              <w:keepLines/>
              <w:spacing w:before="120" w:after="120"/>
              <w:jc w:val="center"/>
              <w:rPr>
                <w:sz w:val="20"/>
              </w:rPr>
            </w:pPr>
            <w:r w:rsidRPr="00151053">
              <w:rPr>
                <w:sz w:val="20"/>
              </w:rPr>
              <w:t>Risk/Condition</w:t>
            </w:r>
          </w:p>
        </w:tc>
        <w:tc>
          <w:tcPr>
            <w:tcW w:w="1917" w:type="dxa"/>
            <w:shd w:val="clear" w:color="auto" w:fill="auto"/>
            <w:vAlign w:val="center"/>
          </w:tcPr>
          <w:p w:rsidR="005B4E4B" w:rsidRPr="00151053" w:rsidRDefault="005B4E4B" w:rsidP="00151053">
            <w:pPr>
              <w:pStyle w:val="TableText1"/>
              <w:keepNext/>
              <w:keepLines/>
              <w:spacing w:before="120" w:after="120"/>
              <w:jc w:val="center"/>
              <w:rPr>
                <w:sz w:val="20"/>
              </w:rPr>
            </w:pPr>
            <w:r w:rsidRPr="00151053">
              <w:rPr>
                <w:sz w:val="20"/>
              </w:rPr>
              <w:t>Internal</w:t>
            </w:r>
          </w:p>
        </w:tc>
      </w:tr>
      <w:bookmarkEnd w:id="523"/>
      <w:bookmarkEnd w:id="524"/>
      <w:tr w:rsidR="005B4E4B" w:rsidRPr="00151053" w:rsidTr="00151053">
        <w:trPr>
          <w:cantSplit/>
          <w:jc w:val="right"/>
        </w:trPr>
        <w:tc>
          <w:tcPr>
            <w:tcW w:w="3507" w:type="dxa"/>
            <w:tcBorders>
              <w:bottom w:val="single" w:sz="4" w:space="0" w:color="auto"/>
            </w:tcBorders>
            <w:shd w:val="clear" w:color="auto" w:fill="auto"/>
            <w:vAlign w:val="center"/>
          </w:tcPr>
          <w:p w:rsidR="005B4E4B" w:rsidRPr="00151053" w:rsidRDefault="005B4E4B" w:rsidP="00151053">
            <w:pPr>
              <w:pStyle w:val="TableText1"/>
              <w:keepNext/>
              <w:keepLines/>
              <w:spacing w:before="120" w:after="120"/>
              <w:jc w:val="left"/>
              <w:rPr>
                <w:sz w:val="20"/>
              </w:rPr>
            </w:pPr>
            <w:r w:rsidRPr="00151053">
              <w:rPr>
                <w:sz w:val="20"/>
              </w:rPr>
              <w:t>Structural and condition audit</w:t>
            </w:r>
          </w:p>
        </w:tc>
        <w:tc>
          <w:tcPr>
            <w:tcW w:w="1339" w:type="dxa"/>
            <w:tcBorders>
              <w:bottom w:val="single" w:sz="4" w:space="0" w:color="auto"/>
            </w:tcBorders>
            <w:shd w:val="clear" w:color="auto" w:fill="auto"/>
            <w:vAlign w:val="center"/>
          </w:tcPr>
          <w:p w:rsidR="005B4E4B" w:rsidRPr="00151053" w:rsidRDefault="005B4E4B" w:rsidP="00151053">
            <w:pPr>
              <w:pStyle w:val="TableText1"/>
              <w:keepNext/>
              <w:keepLines/>
              <w:spacing w:before="120" w:after="120"/>
              <w:jc w:val="center"/>
              <w:rPr>
                <w:sz w:val="20"/>
              </w:rPr>
            </w:pPr>
            <w:r w:rsidRPr="00151053">
              <w:rPr>
                <w:sz w:val="20"/>
              </w:rPr>
              <w:t>4 years</w:t>
            </w:r>
          </w:p>
        </w:tc>
        <w:tc>
          <w:tcPr>
            <w:tcW w:w="1706" w:type="dxa"/>
            <w:tcBorders>
              <w:bottom w:val="single" w:sz="4" w:space="0" w:color="auto"/>
            </w:tcBorders>
            <w:shd w:val="clear" w:color="auto" w:fill="auto"/>
            <w:vAlign w:val="center"/>
          </w:tcPr>
          <w:p w:rsidR="005B4E4B" w:rsidRPr="00151053" w:rsidRDefault="005B4E4B" w:rsidP="00151053">
            <w:pPr>
              <w:pStyle w:val="TableText1"/>
              <w:keepNext/>
              <w:keepLines/>
              <w:spacing w:before="120" w:after="120"/>
              <w:jc w:val="center"/>
              <w:rPr>
                <w:sz w:val="20"/>
              </w:rPr>
            </w:pPr>
            <w:r w:rsidRPr="00151053">
              <w:rPr>
                <w:sz w:val="20"/>
              </w:rPr>
              <w:t>Best Practice</w:t>
            </w:r>
          </w:p>
        </w:tc>
        <w:tc>
          <w:tcPr>
            <w:tcW w:w="1917" w:type="dxa"/>
            <w:tcBorders>
              <w:bottom w:val="single" w:sz="4" w:space="0" w:color="auto"/>
            </w:tcBorders>
            <w:shd w:val="clear" w:color="auto" w:fill="auto"/>
            <w:vAlign w:val="center"/>
          </w:tcPr>
          <w:p w:rsidR="005B4E4B" w:rsidRPr="00151053" w:rsidRDefault="005B4E4B" w:rsidP="00151053">
            <w:pPr>
              <w:pStyle w:val="TableText1"/>
              <w:keepNext/>
              <w:keepLines/>
              <w:spacing w:before="120" w:after="120"/>
              <w:jc w:val="center"/>
              <w:rPr>
                <w:sz w:val="20"/>
              </w:rPr>
            </w:pPr>
            <w:r w:rsidRPr="00151053">
              <w:rPr>
                <w:sz w:val="20"/>
              </w:rPr>
              <w:t>External</w:t>
            </w:r>
          </w:p>
        </w:tc>
      </w:tr>
      <w:tr w:rsidR="005B4E4B" w:rsidRPr="00151053" w:rsidTr="00151053">
        <w:trPr>
          <w:cantSplit/>
          <w:jc w:val="right"/>
        </w:trPr>
        <w:tc>
          <w:tcPr>
            <w:tcW w:w="3507" w:type="dxa"/>
            <w:shd w:val="clear" w:color="auto" w:fill="auto"/>
            <w:vAlign w:val="center"/>
          </w:tcPr>
          <w:p w:rsidR="005B4E4B" w:rsidRPr="00151053" w:rsidRDefault="005B4E4B" w:rsidP="00151053">
            <w:pPr>
              <w:pStyle w:val="TableText1"/>
              <w:keepNext/>
              <w:keepLines/>
              <w:spacing w:before="120" w:after="120"/>
              <w:jc w:val="left"/>
              <w:rPr>
                <w:sz w:val="20"/>
              </w:rPr>
            </w:pPr>
            <w:r w:rsidRPr="00151053">
              <w:rPr>
                <w:sz w:val="20"/>
              </w:rPr>
              <w:t>Compliance audit (high level)</w:t>
            </w:r>
          </w:p>
        </w:tc>
        <w:tc>
          <w:tcPr>
            <w:tcW w:w="1339" w:type="dxa"/>
            <w:shd w:val="clear" w:color="auto" w:fill="auto"/>
            <w:vAlign w:val="center"/>
          </w:tcPr>
          <w:p w:rsidR="005B4E4B" w:rsidRPr="00151053" w:rsidRDefault="005B4E4B" w:rsidP="00151053">
            <w:pPr>
              <w:pStyle w:val="TableText1"/>
              <w:keepNext/>
              <w:keepLines/>
              <w:spacing w:before="120" w:after="120"/>
              <w:jc w:val="center"/>
              <w:rPr>
                <w:sz w:val="20"/>
              </w:rPr>
            </w:pPr>
            <w:r w:rsidRPr="00151053">
              <w:rPr>
                <w:sz w:val="20"/>
              </w:rPr>
              <w:t>4 years</w:t>
            </w:r>
          </w:p>
        </w:tc>
        <w:tc>
          <w:tcPr>
            <w:tcW w:w="1706" w:type="dxa"/>
            <w:shd w:val="clear" w:color="auto" w:fill="auto"/>
            <w:vAlign w:val="center"/>
          </w:tcPr>
          <w:p w:rsidR="005B4E4B" w:rsidRPr="00151053" w:rsidRDefault="005B4E4B" w:rsidP="00151053">
            <w:pPr>
              <w:pStyle w:val="TableText1"/>
              <w:keepNext/>
              <w:keepLines/>
              <w:spacing w:before="120" w:after="120"/>
              <w:jc w:val="center"/>
              <w:rPr>
                <w:sz w:val="20"/>
              </w:rPr>
            </w:pPr>
            <w:r w:rsidRPr="00151053">
              <w:rPr>
                <w:sz w:val="20"/>
              </w:rPr>
              <w:t>Best Practice</w:t>
            </w:r>
          </w:p>
        </w:tc>
        <w:tc>
          <w:tcPr>
            <w:tcW w:w="1917" w:type="dxa"/>
            <w:shd w:val="clear" w:color="auto" w:fill="auto"/>
            <w:vAlign w:val="center"/>
          </w:tcPr>
          <w:p w:rsidR="005B4E4B" w:rsidRPr="00151053" w:rsidRDefault="005B4E4B" w:rsidP="00151053">
            <w:pPr>
              <w:pStyle w:val="TableText1"/>
              <w:keepNext/>
              <w:keepLines/>
              <w:spacing w:before="120" w:after="120"/>
              <w:jc w:val="center"/>
              <w:rPr>
                <w:sz w:val="20"/>
              </w:rPr>
            </w:pPr>
            <w:r w:rsidRPr="00151053">
              <w:rPr>
                <w:sz w:val="20"/>
              </w:rPr>
              <w:t>External</w:t>
            </w:r>
          </w:p>
        </w:tc>
      </w:tr>
      <w:tr w:rsidR="005B4E4B" w:rsidRPr="00151053" w:rsidTr="00151053">
        <w:trPr>
          <w:cantSplit/>
          <w:jc w:val="right"/>
        </w:trPr>
        <w:tc>
          <w:tcPr>
            <w:tcW w:w="3507" w:type="dxa"/>
            <w:tcBorders>
              <w:bottom w:val="single" w:sz="4" w:space="0" w:color="auto"/>
            </w:tcBorders>
            <w:shd w:val="clear" w:color="auto" w:fill="auto"/>
            <w:vAlign w:val="center"/>
          </w:tcPr>
          <w:p w:rsidR="005B4E4B" w:rsidRPr="00151053" w:rsidRDefault="005B4E4B" w:rsidP="00151053">
            <w:pPr>
              <w:pStyle w:val="TableText1"/>
              <w:keepNext/>
              <w:keepLines/>
              <w:spacing w:before="120" w:after="120"/>
              <w:jc w:val="left"/>
              <w:rPr>
                <w:sz w:val="20"/>
              </w:rPr>
            </w:pPr>
            <w:r w:rsidRPr="00151053">
              <w:rPr>
                <w:sz w:val="20"/>
              </w:rPr>
              <w:t>Disability Access Audit</w:t>
            </w:r>
          </w:p>
        </w:tc>
        <w:tc>
          <w:tcPr>
            <w:tcW w:w="1339" w:type="dxa"/>
            <w:tcBorders>
              <w:bottom w:val="single" w:sz="4" w:space="0" w:color="auto"/>
            </w:tcBorders>
            <w:shd w:val="clear" w:color="auto" w:fill="auto"/>
            <w:vAlign w:val="center"/>
          </w:tcPr>
          <w:p w:rsidR="005B4E4B" w:rsidRPr="00151053" w:rsidRDefault="005B4E4B" w:rsidP="00151053">
            <w:pPr>
              <w:pStyle w:val="TableText1"/>
              <w:keepNext/>
              <w:keepLines/>
              <w:spacing w:before="120" w:after="120"/>
              <w:jc w:val="center"/>
              <w:rPr>
                <w:sz w:val="20"/>
              </w:rPr>
            </w:pPr>
            <w:r w:rsidRPr="00151053">
              <w:rPr>
                <w:sz w:val="20"/>
              </w:rPr>
              <w:t>4 years</w:t>
            </w:r>
          </w:p>
        </w:tc>
        <w:tc>
          <w:tcPr>
            <w:tcW w:w="1706" w:type="dxa"/>
            <w:tcBorders>
              <w:bottom w:val="single" w:sz="4" w:space="0" w:color="auto"/>
            </w:tcBorders>
            <w:shd w:val="clear" w:color="auto" w:fill="auto"/>
            <w:vAlign w:val="center"/>
          </w:tcPr>
          <w:p w:rsidR="005B4E4B" w:rsidRPr="00151053" w:rsidRDefault="005B4E4B" w:rsidP="00151053">
            <w:pPr>
              <w:pStyle w:val="TableText1"/>
              <w:keepNext/>
              <w:keepLines/>
              <w:spacing w:before="120" w:after="120"/>
              <w:jc w:val="center"/>
              <w:rPr>
                <w:sz w:val="20"/>
              </w:rPr>
            </w:pPr>
            <w:r w:rsidRPr="00151053">
              <w:rPr>
                <w:sz w:val="20"/>
              </w:rPr>
              <w:t>Best Practice</w:t>
            </w:r>
          </w:p>
        </w:tc>
        <w:tc>
          <w:tcPr>
            <w:tcW w:w="1917" w:type="dxa"/>
            <w:tcBorders>
              <w:bottom w:val="single" w:sz="4" w:space="0" w:color="auto"/>
            </w:tcBorders>
            <w:shd w:val="clear" w:color="auto" w:fill="auto"/>
            <w:vAlign w:val="center"/>
          </w:tcPr>
          <w:p w:rsidR="005B4E4B" w:rsidRPr="00151053" w:rsidRDefault="005B4E4B" w:rsidP="00151053">
            <w:pPr>
              <w:pStyle w:val="TableText1"/>
              <w:keepNext/>
              <w:keepLines/>
              <w:spacing w:before="120" w:after="120"/>
              <w:jc w:val="center"/>
              <w:rPr>
                <w:sz w:val="20"/>
              </w:rPr>
            </w:pPr>
            <w:r w:rsidRPr="00151053">
              <w:rPr>
                <w:sz w:val="20"/>
              </w:rPr>
              <w:t>External</w:t>
            </w:r>
          </w:p>
        </w:tc>
      </w:tr>
      <w:tr w:rsidR="005B4E4B" w:rsidRPr="00151053" w:rsidTr="00151053">
        <w:trPr>
          <w:cantSplit/>
          <w:jc w:val="right"/>
        </w:trPr>
        <w:tc>
          <w:tcPr>
            <w:tcW w:w="3507" w:type="dxa"/>
            <w:shd w:val="clear" w:color="auto" w:fill="auto"/>
            <w:vAlign w:val="center"/>
          </w:tcPr>
          <w:p w:rsidR="005B4E4B" w:rsidRPr="00151053" w:rsidRDefault="005B4E4B" w:rsidP="00151053">
            <w:pPr>
              <w:pStyle w:val="TableText1"/>
              <w:spacing w:before="120" w:after="120"/>
              <w:jc w:val="left"/>
              <w:rPr>
                <w:sz w:val="20"/>
              </w:rPr>
            </w:pPr>
            <w:r w:rsidRPr="00151053">
              <w:rPr>
                <w:sz w:val="20"/>
              </w:rPr>
              <w:t>ESM Audit (by Building Surveyor)</w:t>
            </w:r>
          </w:p>
        </w:tc>
        <w:tc>
          <w:tcPr>
            <w:tcW w:w="1339" w:type="dxa"/>
            <w:shd w:val="clear" w:color="auto" w:fill="auto"/>
            <w:vAlign w:val="center"/>
          </w:tcPr>
          <w:p w:rsidR="005B4E4B" w:rsidRPr="00151053" w:rsidRDefault="005B4E4B" w:rsidP="00151053">
            <w:pPr>
              <w:pStyle w:val="TableText1"/>
              <w:spacing w:before="120" w:after="120"/>
              <w:jc w:val="center"/>
              <w:rPr>
                <w:sz w:val="20"/>
              </w:rPr>
            </w:pPr>
            <w:r w:rsidRPr="00151053">
              <w:rPr>
                <w:sz w:val="20"/>
              </w:rPr>
              <w:t>5 years</w:t>
            </w:r>
          </w:p>
        </w:tc>
        <w:tc>
          <w:tcPr>
            <w:tcW w:w="1706" w:type="dxa"/>
            <w:shd w:val="clear" w:color="auto" w:fill="auto"/>
            <w:vAlign w:val="center"/>
          </w:tcPr>
          <w:p w:rsidR="005B4E4B" w:rsidRPr="00151053" w:rsidRDefault="005B4E4B" w:rsidP="00151053">
            <w:pPr>
              <w:pStyle w:val="TableText1"/>
              <w:spacing w:before="120" w:after="120"/>
              <w:jc w:val="center"/>
              <w:rPr>
                <w:sz w:val="20"/>
              </w:rPr>
            </w:pPr>
            <w:r w:rsidRPr="00151053">
              <w:rPr>
                <w:sz w:val="20"/>
              </w:rPr>
              <w:t>Statutory</w:t>
            </w:r>
          </w:p>
        </w:tc>
        <w:tc>
          <w:tcPr>
            <w:tcW w:w="1917" w:type="dxa"/>
            <w:shd w:val="clear" w:color="auto" w:fill="auto"/>
            <w:vAlign w:val="center"/>
          </w:tcPr>
          <w:p w:rsidR="005B4E4B" w:rsidRPr="00151053" w:rsidRDefault="005B4E4B" w:rsidP="00151053">
            <w:pPr>
              <w:pStyle w:val="TableText1"/>
              <w:spacing w:before="120" w:after="120"/>
              <w:jc w:val="center"/>
              <w:rPr>
                <w:sz w:val="20"/>
              </w:rPr>
            </w:pPr>
            <w:r w:rsidRPr="00151053">
              <w:rPr>
                <w:sz w:val="20"/>
              </w:rPr>
              <w:t>External</w:t>
            </w:r>
          </w:p>
        </w:tc>
      </w:tr>
      <w:tr w:rsidR="005B4E4B" w:rsidRPr="00151053" w:rsidTr="00151053">
        <w:trPr>
          <w:cantSplit/>
          <w:jc w:val="right"/>
        </w:trPr>
        <w:tc>
          <w:tcPr>
            <w:tcW w:w="3507" w:type="dxa"/>
            <w:shd w:val="clear" w:color="auto" w:fill="auto"/>
            <w:vAlign w:val="center"/>
          </w:tcPr>
          <w:p w:rsidR="005B4E4B" w:rsidRPr="00151053" w:rsidRDefault="005B4E4B" w:rsidP="00151053">
            <w:pPr>
              <w:pStyle w:val="TableText1"/>
              <w:spacing w:before="120" w:after="120"/>
              <w:jc w:val="left"/>
              <w:rPr>
                <w:sz w:val="20"/>
              </w:rPr>
            </w:pPr>
            <w:r w:rsidRPr="00151053">
              <w:rPr>
                <w:sz w:val="20"/>
              </w:rPr>
              <w:t>Asbestos Audit</w:t>
            </w:r>
          </w:p>
        </w:tc>
        <w:tc>
          <w:tcPr>
            <w:tcW w:w="1339" w:type="dxa"/>
            <w:shd w:val="clear" w:color="auto" w:fill="auto"/>
            <w:vAlign w:val="center"/>
          </w:tcPr>
          <w:p w:rsidR="005B4E4B" w:rsidRPr="00151053" w:rsidRDefault="005B4E4B" w:rsidP="00151053">
            <w:pPr>
              <w:pStyle w:val="TableText1"/>
              <w:spacing w:before="120" w:after="120"/>
              <w:jc w:val="center"/>
              <w:rPr>
                <w:sz w:val="20"/>
              </w:rPr>
            </w:pPr>
            <w:r w:rsidRPr="00151053">
              <w:rPr>
                <w:sz w:val="20"/>
              </w:rPr>
              <w:t>5 years</w:t>
            </w:r>
          </w:p>
        </w:tc>
        <w:tc>
          <w:tcPr>
            <w:tcW w:w="1706" w:type="dxa"/>
            <w:shd w:val="clear" w:color="auto" w:fill="auto"/>
            <w:vAlign w:val="center"/>
          </w:tcPr>
          <w:p w:rsidR="005B4E4B" w:rsidRPr="00151053" w:rsidRDefault="005B4E4B" w:rsidP="00151053">
            <w:pPr>
              <w:pStyle w:val="TableText1"/>
              <w:spacing w:before="120" w:after="120"/>
              <w:jc w:val="center"/>
              <w:rPr>
                <w:sz w:val="20"/>
              </w:rPr>
            </w:pPr>
            <w:r w:rsidRPr="00151053">
              <w:rPr>
                <w:sz w:val="20"/>
              </w:rPr>
              <w:t>Statutory</w:t>
            </w:r>
          </w:p>
        </w:tc>
        <w:tc>
          <w:tcPr>
            <w:tcW w:w="1917" w:type="dxa"/>
            <w:shd w:val="clear" w:color="auto" w:fill="auto"/>
            <w:vAlign w:val="center"/>
          </w:tcPr>
          <w:p w:rsidR="005B4E4B" w:rsidRPr="00151053" w:rsidRDefault="005B4E4B" w:rsidP="00151053">
            <w:pPr>
              <w:pStyle w:val="TableText1"/>
              <w:spacing w:before="120" w:after="120"/>
              <w:jc w:val="center"/>
              <w:rPr>
                <w:sz w:val="20"/>
              </w:rPr>
            </w:pPr>
            <w:r w:rsidRPr="00151053">
              <w:rPr>
                <w:sz w:val="20"/>
              </w:rPr>
              <w:t>External</w:t>
            </w:r>
          </w:p>
        </w:tc>
      </w:tr>
    </w:tbl>
    <w:p w:rsidR="005B4E4B" w:rsidRPr="0024611A" w:rsidRDefault="00151053" w:rsidP="00B20B53">
      <w:pPr>
        <w:pStyle w:val="Caption"/>
        <w:spacing w:before="240" w:after="240"/>
        <w:ind w:left="720"/>
        <w:jc w:val="center"/>
        <w:rPr>
          <w:rFonts w:ascii="Arial" w:hAnsi="Arial"/>
          <w:i w:val="0"/>
          <w:iCs w:val="0"/>
          <w:sz w:val="20"/>
          <w:lang w:val="en-AU"/>
        </w:rPr>
      </w:pPr>
      <w:bookmarkStart w:id="525" w:name="_Toc346740225"/>
      <w:bookmarkStart w:id="526" w:name="_Toc364945446"/>
      <w:bookmarkStart w:id="527" w:name="_Ref82333106"/>
      <w:bookmarkStart w:id="528" w:name="_Toc82330109"/>
      <w:bookmarkStart w:id="529" w:name="_Toc82418460"/>
      <w:r w:rsidRPr="0024611A">
        <w:rPr>
          <w:rFonts w:ascii="Arial" w:hAnsi="Arial"/>
          <w:i w:val="0"/>
          <w:iCs w:val="0"/>
          <w:sz w:val="20"/>
          <w:lang w:val="en-AU"/>
        </w:rPr>
        <w:t xml:space="preserve">Table </w:t>
      </w:r>
      <w:r w:rsidR="0090414C" w:rsidRPr="0024611A">
        <w:rPr>
          <w:rFonts w:ascii="Arial" w:hAnsi="Arial"/>
          <w:i w:val="0"/>
          <w:iCs w:val="0"/>
          <w:sz w:val="20"/>
          <w:lang w:val="en-AU"/>
        </w:rPr>
        <w:fldChar w:fldCharType="begin"/>
      </w:r>
      <w:r w:rsidRPr="0024611A">
        <w:rPr>
          <w:rFonts w:ascii="Arial" w:hAnsi="Arial"/>
          <w:i w:val="0"/>
          <w:iCs w:val="0"/>
          <w:sz w:val="20"/>
          <w:lang w:val="en-AU"/>
        </w:rPr>
        <w:instrText xml:space="preserve"> SEQ Table \* ARABIC </w:instrText>
      </w:r>
      <w:r w:rsidR="0090414C" w:rsidRPr="0024611A">
        <w:rPr>
          <w:rFonts w:ascii="Arial" w:hAnsi="Arial"/>
          <w:i w:val="0"/>
          <w:iCs w:val="0"/>
          <w:sz w:val="20"/>
          <w:lang w:val="en-AU"/>
        </w:rPr>
        <w:fldChar w:fldCharType="separate"/>
      </w:r>
      <w:r w:rsidR="00751CEC">
        <w:rPr>
          <w:rFonts w:ascii="Arial" w:hAnsi="Arial"/>
          <w:i w:val="0"/>
          <w:iCs w:val="0"/>
          <w:noProof/>
          <w:sz w:val="20"/>
          <w:lang w:val="en-AU"/>
        </w:rPr>
        <w:t>42</w:t>
      </w:r>
      <w:r w:rsidR="0090414C" w:rsidRPr="0024611A">
        <w:rPr>
          <w:rFonts w:ascii="Arial" w:hAnsi="Arial"/>
          <w:i w:val="0"/>
          <w:iCs w:val="0"/>
          <w:sz w:val="20"/>
          <w:lang w:val="en-AU"/>
        </w:rPr>
        <w:fldChar w:fldCharType="end"/>
      </w:r>
      <w:r w:rsidRPr="0024611A">
        <w:rPr>
          <w:rFonts w:ascii="Arial" w:hAnsi="Arial"/>
          <w:i w:val="0"/>
          <w:iCs w:val="0"/>
          <w:sz w:val="20"/>
          <w:lang w:val="en-AU"/>
        </w:rPr>
        <w:t xml:space="preserve">:  </w:t>
      </w:r>
      <w:r w:rsidR="00CE5EFF">
        <w:rPr>
          <w:rFonts w:ascii="Arial" w:hAnsi="Arial"/>
          <w:i w:val="0"/>
          <w:iCs w:val="0"/>
          <w:sz w:val="20"/>
          <w:lang w:val="en-AU"/>
        </w:rPr>
        <w:t>Facility Audit</w:t>
      </w:r>
      <w:r w:rsidR="005B4E4B" w:rsidRPr="0024611A">
        <w:rPr>
          <w:rFonts w:ascii="Arial" w:hAnsi="Arial"/>
          <w:i w:val="0"/>
          <w:iCs w:val="0"/>
          <w:sz w:val="20"/>
          <w:lang w:val="en-AU"/>
        </w:rPr>
        <w:t>/Condition Assessment Frequency</w:t>
      </w:r>
      <w:bookmarkEnd w:id="525"/>
      <w:bookmarkEnd w:id="526"/>
    </w:p>
    <w:p w:rsidR="009F4FE1" w:rsidRDefault="009F4FE1" w:rsidP="003E5B9F">
      <w:pPr>
        <w:pStyle w:val="StyleHeading3Heading3Char10ptBefore6pt"/>
      </w:pPr>
      <w:bookmarkStart w:id="530" w:name="_Toc364945305"/>
      <w:bookmarkEnd w:id="527"/>
      <w:bookmarkEnd w:id="528"/>
      <w:bookmarkEnd w:id="529"/>
      <w:r>
        <w:t>Renewal Strategies</w:t>
      </w:r>
      <w:r w:rsidR="00452813">
        <w:t xml:space="preserve"> and Impact Analysis</w:t>
      </w:r>
      <w:bookmarkEnd w:id="530"/>
    </w:p>
    <w:p w:rsidR="005B4E4B" w:rsidRDefault="005B4E4B" w:rsidP="00144B1E">
      <w:pPr>
        <w:ind w:left="720"/>
      </w:pPr>
      <w:r w:rsidRPr="005B4E4B">
        <w:t>The general renewal strategy is to renew assets when justified by:</w:t>
      </w:r>
    </w:p>
    <w:p w:rsidR="00144B1E" w:rsidRPr="005B4E4B" w:rsidRDefault="00144B1E" w:rsidP="00144B1E">
      <w:pPr>
        <w:ind w:left="720"/>
      </w:pPr>
    </w:p>
    <w:p w:rsidR="005B4E4B" w:rsidRPr="00144B1E" w:rsidRDefault="005B4E4B" w:rsidP="008348B5">
      <w:pPr>
        <w:pStyle w:val="ListParagraph"/>
        <w:numPr>
          <w:ilvl w:val="0"/>
          <w:numId w:val="91"/>
        </w:numPr>
        <w:ind w:left="1080"/>
        <w:rPr>
          <w:rFonts w:ascii="Arial" w:hAnsi="Arial" w:cs="Arial"/>
          <w:sz w:val="20"/>
        </w:rPr>
      </w:pPr>
      <w:r w:rsidRPr="00144B1E">
        <w:rPr>
          <w:rFonts w:ascii="Arial" w:hAnsi="Arial" w:cs="Arial"/>
          <w:b/>
          <w:sz w:val="20"/>
        </w:rPr>
        <w:t>Risk</w:t>
      </w:r>
      <w:r w:rsidRPr="00144B1E">
        <w:rPr>
          <w:rFonts w:ascii="Arial" w:hAnsi="Arial" w:cs="Arial"/>
          <w:sz w:val="20"/>
        </w:rPr>
        <w:t xml:space="preserve"> – When the risk of failure and associated impact justifies action (building or individual building service (Vertical transport system etc), probable damage to property/person as a result of inaction);</w:t>
      </w:r>
    </w:p>
    <w:p w:rsidR="005B4E4B" w:rsidRPr="00144B1E" w:rsidRDefault="005B4E4B" w:rsidP="008348B5">
      <w:pPr>
        <w:pStyle w:val="ListParagraph"/>
        <w:numPr>
          <w:ilvl w:val="0"/>
          <w:numId w:val="91"/>
        </w:numPr>
        <w:ind w:left="1080"/>
        <w:rPr>
          <w:rFonts w:ascii="Arial" w:hAnsi="Arial" w:cs="Arial"/>
          <w:sz w:val="20"/>
        </w:rPr>
      </w:pPr>
      <w:r w:rsidRPr="00144B1E">
        <w:rPr>
          <w:rFonts w:ascii="Arial" w:hAnsi="Arial" w:cs="Arial"/>
          <w:b/>
          <w:sz w:val="20"/>
        </w:rPr>
        <w:t>Asset performance</w:t>
      </w:r>
      <w:r w:rsidRPr="00144B1E">
        <w:rPr>
          <w:rFonts w:ascii="Arial" w:hAnsi="Arial" w:cs="Arial"/>
          <w:sz w:val="20"/>
        </w:rPr>
        <w:t xml:space="preserve"> – When the asset fails to meet the required levels of service. Non-performing assets are identified by monitoring asset reliability, capacity and efficiency during planned maintenance and inspections. Indicators of non-performing assets are frequent air conditioner breakdowns, repeated out of service</w:t>
      </w:r>
      <w:r w:rsidR="0074748D" w:rsidRPr="00144B1E">
        <w:rPr>
          <w:rFonts w:ascii="Arial" w:hAnsi="Arial" w:cs="Arial"/>
          <w:sz w:val="20"/>
        </w:rPr>
        <w:t xml:space="preserve"> lifts</w:t>
      </w:r>
      <w:r w:rsidRPr="00144B1E">
        <w:rPr>
          <w:rFonts w:ascii="Arial" w:hAnsi="Arial" w:cs="Arial"/>
          <w:sz w:val="20"/>
        </w:rPr>
        <w:t xml:space="preserve"> etc; and</w:t>
      </w:r>
    </w:p>
    <w:p w:rsidR="005B4E4B" w:rsidRPr="00144B1E" w:rsidRDefault="005B4E4B" w:rsidP="008348B5">
      <w:pPr>
        <w:pStyle w:val="ListParagraph"/>
        <w:numPr>
          <w:ilvl w:val="0"/>
          <w:numId w:val="91"/>
        </w:numPr>
        <w:ind w:left="1080"/>
        <w:rPr>
          <w:rFonts w:ascii="Arial" w:hAnsi="Arial" w:cs="Arial"/>
          <w:sz w:val="20"/>
        </w:rPr>
      </w:pPr>
      <w:r w:rsidRPr="00144B1E">
        <w:rPr>
          <w:rFonts w:ascii="Arial" w:hAnsi="Arial" w:cs="Arial"/>
          <w:b/>
          <w:sz w:val="20"/>
        </w:rPr>
        <w:t>Economics</w:t>
      </w:r>
      <w:r w:rsidRPr="00144B1E">
        <w:rPr>
          <w:rFonts w:ascii="Arial" w:hAnsi="Arial" w:cs="Arial"/>
          <w:sz w:val="20"/>
        </w:rPr>
        <w:t xml:space="preserve"> – When it is no longer economically viable to continue to maintain the asset.</w:t>
      </w:r>
    </w:p>
    <w:p w:rsidR="005B4E4B" w:rsidRDefault="005B4E4B" w:rsidP="00144B1E">
      <w:pPr>
        <w:ind w:left="720"/>
      </w:pPr>
    </w:p>
    <w:p w:rsidR="005B4E4B" w:rsidRDefault="005B4E4B" w:rsidP="00144B1E">
      <w:pPr>
        <w:ind w:left="720"/>
      </w:pPr>
      <w:r w:rsidRPr="005B4E4B">
        <w:t xml:space="preserve">Assets requiring renewal are identified during the program of regular inspections and condition data obtained from the asset register through the ‘Renewal Model’. </w:t>
      </w:r>
    </w:p>
    <w:p w:rsidR="005B4E4B" w:rsidRPr="005B4E4B" w:rsidRDefault="005B4E4B" w:rsidP="00144B1E">
      <w:pPr>
        <w:ind w:left="720"/>
      </w:pPr>
    </w:p>
    <w:p w:rsidR="005B4E4B" w:rsidRDefault="005B4E4B" w:rsidP="00144B1E">
      <w:pPr>
        <w:ind w:left="720"/>
      </w:pPr>
      <w:r w:rsidRPr="005B4E4B">
        <w:t xml:space="preserve">The renewal model is based on renewing assets or components, within or at the expiration of their useful life. This is called the “intervention level” and reflects the condition where the asset or component no longer meets the service needs required. It can vary depending on the standards set by Council acceptable to its community. This is the “level of service” based on condition. It is more cost effective to renew/replace an asset before it fails and causes disruption to the services provided by that asset. </w:t>
      </w:r>
    </w:p>
    <w:p w:rsidR="00452813" w:rsidRDefault="00144B1E" w:rsidP="003E5B9F">
      <w:pPr>
        <w:pStyle w:val="StyleHeading3Heading3Char10ptBefore6pt"/>
      </w:pPr>
      <w:bookmarkStart w:id="531" w:name="_Toc364945306"/>
      <w:r>
        <w:t>Impact of D</w:t>
      </w:r>
      <w:r w:rsidR="00452813">
        <w:t xml:space="preserve">eferring </w:t>
      </w:r>
      <w:r w:rsidR="0074748D">
        <w:t>R</w:t>
      </w:r>
      <w:r w:rsidR="00452813">
        <w:t>enewal Works</w:t>
      </w:r>
      <w:bookmarkEnd w:id="531"/>
    </w:p>
    <w:p w:rsidR="00452813" w:rsidRDefault="00452813" w:rsidP="00144B1E">
      <w:pPr>
        <w:ind w:left="720"/>
      </w:pPr>
      <w:r w:rsidRPr="00452813">
        <w:t>Renewal works identified in terms of renewal strategies may be deferred if the cost (or aggregate cost) is beyond the current financial ability to fund it. This can occur when there are short term renewal profile peaks or higher priority works are required on other infrastructure asset classes.</w:t>
      </w:r>
    </w:p>
    <w:p w:rsidR="00144B1E" w:rsidRPr="00452813" w:rsidRDefault="00144B1E" w:rsidP="00144B1E">
      <w:pPr>
        <w:ind w:left="720"/>
      </w:pPr>
    </w:p>
    <w:p w:rsidR="00452813" w:rsidRDefault="00452813" w:rsidP="00144B1E">
      <w:pPr>
        <w:ind w:left="720"/>
      </w:pPr>
      <w:r w:rsidRPr="00452813">
        <w:t>When renewal works are deferred, the impact of the deferral on the system’s ability to continue to provide the required level of service will be assessed. Although the deferral of some renewal works may not impact significantly on the short-term operation of the assets, repeated deferral will create a liability in the longer term.</w:t>
      </w:r>
      <w:r w:rsidR="00746635">
        <w:t xml:space="preserve"> It may also result in higher costs for both maintenance to keep the building operational and then actual renewal costs as a result of further deterioration of the asset.</w:t>
      </w:r>
    </w:p>
    <w:p w:rsidR="00144B1E" w:rsidRPr="00452813" w:rsidRDefault="00144B1E" w:rsidP="00144B1E">
      <w:pPr>
        <w:ind w:left="720"/>
      </w:pPr>
    </w:p>
    <w:p w:rsidR="00452813" w:rsidRPr="00452813" w:rsidRDefault="00452813" w:rsidP="00144B1E">
      <w:pPr>
        <w:ind w:left="720"/>
      </w:pPr>
      <w:r w:rsidRPr="00452813">
        <w:t>The renewal strategy will be regularly reviewed and a revised programme established</w:t>
      </w:r>
    </w:p>
    <w:p w:rsidR="009F4FE1" w:rsidRDefault="00144B1E" w:rsidP="003E5B9F">
      <w:pPr>
        <w:pStyle w:val="StyleHeading3Heading3Char10ptBefore6pt"/>
      </w:pPr>
      <w:bookmarkStart w:id="532" w:name="_Toc364945307"/>
      <w:r>
        <w:t>Renewal Service P</w:t>
      </w:r>
      <w:r w:rsidR="009F4FE1">
        <w:t>roviders</w:t>
      </w:r>
      <w:bookmarkEnd w:id="532"/>
    </w:p>
    <w:p w:rsidR="009F4FE1" w:rsidRDefault="00746635" w:rsidP="00144B1E">
      <w:pPr>
        <w:ind w:left="720"/>
      </w:pPr>
      <w:r>
        <w:t>All renewal work is carried out by external contractors under the supervision of internal project management staff.</w:t>
      </w:r>
    </w:p>
    <w:p w:rsidR="009F4FE1" w:rsidRDefault="009F4FE1" w:rsidP="003E5B9F">
      <w:pPr>
        <w:pStyle w:val="StyleHeading3Heading3Char10ptBefore6pt"/>
      </w:pPr>
      <w:bookmarkStart w:id="533" w:name="_Toc364945308"/>
      <w:r>
        <w:t xml:space="preserve">10 Year </w:t>
      </w:r>
      <w:r w:rsidR="00A104A8">
        <w:t xml:space="preserve">Forecast </w:t>
      </w:r>
      <w:r>
        <w:t>Renewal Works Programme</w:t>
      </w:r>
      <w:bookmarkEnd w:id="533"/>
    </w:p>
    <w:p w:rsidR="00100755" w:rsidRDefault="000B1BF2" w:rsidP="006F2B8D">
      <w:pPr>
        <w:ind w:left="720"/>
      </w:pPr>
      <w:r w:rsidRPr="00134428">
        <w:t xml:space="preserve">The following graphs provide details of the current renewal funding that has been included in the 10 year financial plan, compared to what is required for renewal funding based on condition audits. </w:t>
      </w:r>
      <w:r w:rsidR="00D1049E" w:rsidRPr="00134428">
        <w:t xml:space="preserve">Whilst the current funding levels for the next 3 years </w:t>
      </w:r>
      <w:r w:rsidRPr="00134428">
        <w:t xml:space="preserve">will </w:t>
      </w:r>
      <w:r w:rsidR="00D1049E" w:rsidRPr="00134428">
        <w:t xml:space="preserve">be adequate, by year 5 there will be a cumulative shortfall of $5.7M. The options to address the renewal needs are identified </w:t>
      </w:r>
      <w:r w:rsidR="00D1049E" w:rsidRPr="006F6C17">
        <w:t>within Section 6.5.</w:t>
      </w:r>
      <w:r w:rsidR="00D1049E">
        <w:t xml:space="preserve"> </w:t>
      </w:r>
    </w:p>
    <w:p w:rsidR="006F2B8D" w:rsidRDefault="006F2B8D" w:rsidP="006F2B8D">
      <w:pPr>
        <w:ind w:left="720"/>
      </w:pPr>
    </w:p>
    <w:p w:rsidR="00A24029" w:rsidRDefault="00A24029" w:rsidP="00FC370B">
      <w:pPr>
        <w:spacing w:after="120"/>
        <w:ind w:left="720"/>
        <w:jc w:val="center"/>
      </w:pPr>
      <w:r w:rsidRPr="00A24029">
        <w:rPr>
          <w:noProof/>
        </w:rPr>
        <w:drawing>
          <wp:inline distT="0" distB="0" distL="0" distR="0" wp14:anchorId="3D2FCD3F" wp14:editId="6DE1CB71">
            <wp:extent cx="5336931" cy="2743200"/>
            <wp:effectExtent l="19050" t="0" r="16119" b="0"/>
            <wp:docPr id="234"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631669" w:rsidRPr="0024611A" w:rsidRDefault="00631669" w:rsidP="00631669">
      <w:pPr>
        <w:pStyle w:val="Caption"/>
        <w:spacing w:before="240" w:after="240"/>
        <w:ind w:left="720"/>
        <w:jc w:val="center"/>
        <w:rPr>
          <w:rFonts w:ascii="Arial" w:hAnsi="Arial"/>
          <w:i w:val="0"/>
          <w:iCs w:val="0"/>
          <w:sz w:val="20"/>
          <w:lang w:val="en-AU"/>
        </w:rPr>
      </w:pPr>
      <w:bookmarkStart w:id="534" w:name="_Toc364945392"/>
      <w:r w:rsidRPr="0024611A">
        <w:rPr>
          <w:rFonts w:ascii="Arial" w:hAnsi="Arial"/>
          <w:i w:val="0"/>
          <w:iCs w:val="0"/>
          <w:sz w:val="20"/>
          <w:lang w:val="en-AU"/>
        </w:rPr>
        <w:t xml:space="preserve">Figure </w:t>
      </w:r>
      <w:r w:rsidR="0090414C" w:rsidRPr="0024611A">
        <w:rPr>
          <w:rFonts w:ascii="Arial" w:hAnsi="Arial"/>
          <w:i w:val="0"/>
          <w:iCs w:val="0"/>
          <w:sz w:val="20"/>
          <w:lang w:val="en-AU"/>
        </w:rPr>
        <w:fldChar w:fldCharType="begin"/>
      </w:r>
      <w:r w:rsidRPr="0024611A">
        <w:rPr>
          <w:rFonts w:ascii="Arial" w:hAnsi="Arial"/>
          <w:i w:val="0"/>
          <w:iCs w:val="0"/>
          <w:sz w:val="20"/>
          <w:lang w:val="en-AU"/>
        </w:rPr>
        <w:instrText xml:space="preserve"> SEQ Figure \* ARABIC </w:instrText>
      </w:r>
      <w:r w:rsidR="0090414C" w:rsidRPr="0024611A">
        <w:rPr>
          <w:rFonts w:ascii="Arial" w:hAnsi="Arial"/>
          <w:i w:val="0"/>
          <w:iCs w:val="0"/>
          <w:sz w:val="20"/>
          <w:lang w:val="en-AU"/>
        </w:rPr>
        <w:fldChar w:fldCharType="separate"/>
      </w:r>
      <w:r w:rsidR="00751CEC">
        <w:rPr>
          <w:rFonts w:ascii="Arial" w:hAnsi="Arial"/>
          <w:i w:val="0"/>
          <w:iCs w:val="0"/>
          <w:noProof/>
          <w:sz w:val="20"/>
          <w:lang w:val="en-AU"/>
        </w:rPr>
        <w:t>28</w:t>
      </w:r>
      <w:r w:rsidR="0090414C" w:rsidRPr="0024611A">
        <w:rPr>
          <w:rFonts w:ascii="Arial" w:hAnsi="Arial"/>
          <w:i w:val="0"/>
          <w:iCs w:val="0"/>
          <w:sz w:val="20"/>
          <w:lang w:val="en-AU"/>
        </w:rPr>
        <w:fldChar w:fldCharType="end"/>
      </w:r>
      <w:r w:rsidRPr="0024611A">
        <w:rPr>
          <w:rFonts w:ascii="Arial" w:hAnsi="Arial"/>
          <w:i w:val="0"/>
          <w:iCs w:val="0"/>
          <w:sz w:val="20"/>
          <w:lang w:val="en-AU"/>
        </w:rPr>
        <w:t>:  10 Year Capital Works Renewal Budget</w:t>
      </w:r>
      <w:bookmarkEnd w:id="534"/>
    </w:p>
    <w:p w:rsidR="00A24029" w:rsidRDefault="00A24029" w:rsidP="006F2B8D">
      <w:pPr>
        <w:ind w:left="720"/>
      </w:pPr>
      <w:r>
        <w:t>In addition the following graphs provide details of funding requirements for renewals for the next 20 years based on current condition data.</w:t>
      </w:r>
    </w:p>
    <w:p w:rsidR="00631669" w:rsidRDefault="00631669" w:rsidP="006F2B8D">
      <w:pPr>
        <w:ind w:left="720"/>
      </w:pPr>
    </w:p>
    <w:p w:rsidR="00631669" w:rsidRDefault="00631669" w:rsidP="00FC370B">
      <w:pPr>
        <w:ind w:left="720"/>
        <w:jc w:val="center"/>
      </w:pPr>
      <w:r>
        <w:rPr>
          <w:noProof/>
        </w:rPr>
        <w:drawing>
          <wp:inline distT="0" distB="0" distL="0" distR="0" wp14:anchorId="0A469AED" wp14:editId="51B226BA">
            <wp:extent cx="5141315" cy="344424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152967" cy="3452046"/>
                    </a:xfrm>
                    <a:prstGeom prst="rect">
                      <a:avLst/>
                    </a:prstGeom>
                    <a:noFill/>
                  </pic:spPr>
                </pic:pic>
              </a:graphicData>
            </a:graphic>
          </wp:inline>
        </w:drawing>
      </w:r>
    </w:p>
    <w:p w:rsidR="00631669" w:rsidRPr="0024611A" w:rsidRDefault="00631669" w:rsidP="00631669">
      <w:pPr>
        <w:pStyle w:val="Caption"/>
        <w:spacing w:before="240" w:after="240"/>
        <w:ind w:left="720"/>
        <w:jc w:val="center"/>
        <w:rPr>
          <w:rFonts w:ascii="Arial" w:hAnsi="Arial"/>
          <w:i w:val="0"/>
          <w:iCs w:val="0"/>
          <w:sz w:val="20"/>
          <w:lang w:val="en-AU"/>
        </w:rPr>
      </w:pPr>
      <w:bookmarkStart w:id="535" w:name="_Toc364945393"/>
      <w:r w:rsidRPr="0024611A">
        <w:rPr>
          <w:rFonts w:ascii="Arial" w:hAnsi="Arial"/>
          <w:i w:val="0"/>
          <w:iCs w:val="0"/>
          <w:sz w:val="20"/>
          <w:lang w:val="en-AU"/>
        </w:rPr>
        <w:t xml:space="preserve">Figure </w:t>
      </w:r>
      <w:r w:rsidR="0090414C" w:rsidRPr="0024611A">
        <w:rPr>
          <w:rFonts w:ascii="Arial" w:hAnsi="Arial"/>
          <w:i w:val="0"/>
          <w:iCs w:val="0"/>
          <w:sz w:val="20"/>
          <w:lang w:val="en-AU"/>
        </w:rPr>
        <w:fldChar w:fldCharType="begin"/>
      </w:r>
      <w:r w:rsidRPr="0024611A">
        <w:rPr>
          <w:rFonts w:ascii="Arial" w:hAnsi="Arial"/>
          <w:i w:val="0"/>
          <w:iCs w:val="0"/>
          <w:sz w:val="20"/>
          <w:lang w:val="en-AU"/>
        </w:rPr>
        <w:instrText xml:space="preserve"> SEQ Figure \* ARABIC </w:instrText>
      </w:r>
      <w:r w:rsidR="0090414C" w:rsidRPr="0024611A">
        <w:rPr>
          <w:rFonts w:ascii="Arial" w:hAnsi="Arial"/>
          <w:i w:val="0"/>
          <w:iCs w:val="0"/>
          <w:sz w:val="20"/>
          <w:lang w:val="en-AU"/>
        </w:rPr>
        <w:fldChar w:fldCharType="separate"/>
      </w:r>
      <w:r w:rsidR="00751CEC">
        <w:rPr>
          <w:rFonts w:ascii="Arial" w:hAnsi="Arial"/>
          <w:i w:val="0"/>
          <w:iCs w:val="0"/>
          <w:noProof/>
          <w:sz w:val="20"/>
          <w:lang w:val="en-AU"/>
        </w:rPr>
        <w:t>29</w:t>
      </w:r>
      <w:r w:rsidR="0090414C" w:rsidRPr="0024611A">
        <w:rPr>
          <w:rFonts w:ascii="Arial" w:hAnsi="Arial"/>
          <w:i w:val="0"/>
          <w:iCs w:val="0"/>
          <w:sz w:val="20"/>
          <w:lang w:val="en-AU"/>
        </w:rPr>
        <w:fldChar w:fldCharType="end"/>
      </w:r>
      <w:r w:rsidRPr="0024611A">
        <w:rPr>
          <w:rFonts w:ascii="Arial" w:hAnsi="Arial"/>
          <w:i w:val="0"/>
          <w:iCs w:val="0"/>
          <w:sz w:val="20"/>
          <w:lang w:val="en-AU"/>
        </w:rPr>
        <w:t>:  Current Renewal Funding Profile in 10 Year Financial Plan</w:t>
      </w:r>
      <w:bookmarkEnd w:id="535"/>
    </w:p>
    <w:p w:rsidR="00631669" w:rsidRDefault="00631669" w:rsidP="00FC370B">
      <w:pPr>
        <w:ind w:left="720"/>
        <w:jc w:val="center"/>
      </w:pPr>
      <w:r>
        <w:rPr>
          <w:noProof/>
        </w:rPr>
        <w:drawing>
          <wp:inline distT="0" distB="0" distL="0" distR="0" wp14:anchorId="3A8482FD" wp14:editId="08A20073">
            <wp:extent cx="4732020" cy="31242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741957" cy="3130761"/>
                    </a:xfrm>
                    <a:prstGeom prst="rect">
                      <a:avLst/>
                    </a:prstGeom>
                    <a:noFill/>
                  </pic:spPr>
                </pic:pic>
              </a:graphicData>
            </a:graphic>
          </wp:inline>
        </w:drawing>
      </w:r>
    </w:p>
    <w:p w:rsidR="00631669" w:rsidRPr="0024611A" w:rsidRDefault="00631669" w:rsidP="00631669">
      <w:pPr>
        <w:pStyle w:val="Caption"/>
        <w:spacing w:before="240" w:after="240"/>
        <w:ind w:left="720"/>
        <w:jc w:val="center"/>
        <w:rPr>
          <w:rFonts w:ascii="Arial" w:hAnsi="Arial"/>
          <w:i w:val="0"/>
          <w:iCs w:val="0"/>
          <w:sz w:val="20"/>
          <w:lang w:val="en-AU"/>
        </w:rPr>
      </w:pPr>
      <w:bookmarkStart w:id="536" w:name="_Toc364945394"/>
      <w:r w:rsidRPr="0024611A">
        <w:rPr>
          <w:rFonts w:ascii="Arial" w:hAnsi="Arial"/>
          <w:i w:val="0"/>
          <w:iCs w:val="0"/>
          <w:sz w:val="20"/>
          <w:lang w:val="en-AU"/>
        </w:rPr>
        <w:t xml:space="preserve">Figure </w:t>
      </w:r>
      <w:r w:rsidR="0090414C" w:rsidRPr="0024611A">
        <w:rPr>
          <w:rFonts w:ascii="Arial" w:hAnsi="Arial"/>
          <w:i w:val="0"/>
          <w:iCs w:val="0"/>
          <w:sz w:val="20"/>
          <w:lang w:val="en-AU"/>
        </w:rPr>
        <w:fldChar w:fldCharType="begin"/>
      </w:r>
      <w:r w:rsidRPr="0024611A">
        <w:rPr>
          <w:rFonts w:ascii="Arial" w:hAnsi="Arial"/>
          <w:i w:val="0"/>
          <w:iCs w:val="0"/>
          <w:sz w:val="20"/>
          <w:lang w:val="en-AU"/>
        </w:rPr>
        <w:instrText xml:space="preserve"> SEQ Figure \* ARABIC </w:instrText>
      </w:r>
      <w:r w:rsidR="0090414C" w:rsidRPr="0024611A">
        <w:rPr>
          <w:rFonts w:ascii="Arial" w:hAnsi="Arial"/>
          <w:i w:val="0"/>
          <w:iCs w:val="0"/>
          <w:sz w:val="20"/>
          <w:lang w:val="en-AU"/>
        </w:rPr>
        <w:fldChar w:fldCharType="separate"/>
      </w:r>
      <w:r w:rsidR="00751CEC">
        <w:rPr>
          <w:rFonts w:ascii="Arial" w:hAnsi="Arial"/>
          <w:i w:val="0"/>
          <w:iCs w:val="0"/>
          <w:noProof/>
          <w:sz w:val="20"/>
          <w:lang w:val="en-AU"/>
        </w:rPr>
        <w:t>30</w:t>
      </w:r>
      <w:r w:rsidR="0090414C" w:rsidRPr="0024611A">
        <w:rPr>
          <w:rFonts w:ascii="Arial" w:hAnsi="Arial"/>
          <w:i w:val="0"/>
          <w:iCs w:val="0"/>
          <w:sz w:val="20"/>
          <w:lang w:val="en-AU"/>
        </w:rPr>
        <w:fldChar w:fldCharType="end"/>
      </w:r>
      <w:r w:rsidRPr="0024611A">
        <w:rPr>
          <w:rFonts w:ascii="Arial" w:hAnsi="Arial"/>
          <w:i w:val="0"/>
          <w:iCs w:val="0"/>
          <w:sz w:val="20"/>
          <w:lang w:val="en-AU"/>
        </w:rPr>
        <w:t>:  Required Renewal Funding Profile Based on Current Condition Data</w:t>
      </w:r>
      <w:bookmarkEnd w:id="536"/>
    </w:p>
    <w:p w:rsidR="00E96F28" w:rsidRPr="00CF2212" w:rsidRDefault="006331D1" w:rsidP="00CF2212">
      <w:pPr>
        <w:pStyle w:val="Heading2"/>
      </w:pPr>
      <w:bookmarkStart w:id="537" w:name="_Toc364945309"/>
      <w:r w:rsidRPr="00CF2212">
        <w:t>New Works and Upgrade Plan</w:t>
      </w:r>
      <w:bookmarkEnd w:id="537"/>
    </w:p>
    <w:p w:rsidR="006331D1" w:rsidRDefault="006331D1" w:rsidP="00472812">
      <w:r w:rsidRPr="005520A3">
        <w:t>All new works (associated with service level increase or growth) are required to have individual supporting concept/business cases to justify their need and show how they meet strategic requirements.</w:t>
      </w:r>
    </w:p>
    <w:p w:rsidR="00472812" w:rsidRPr="005520A3" w:rsidRDefault="00472812" w:rsidP="00472812"/>
    <w:p w:rsidR="00E72241" w:rsidRDefault="000B1BF2" w:rsidP="00472812">
      <w:r>
        <w:t xml:space="preserve">New and upgrade projects are identified by service managers and the scope of works is developed with the assistance of projects managers from the Buildings and Property </w:t>
      </w:r>
      <w:r w:rsidR="005C38DE">
        <w:t>B</w:t>
      </w:r>
      <w:r>
        <w:t xml:space="preserve">ranch. In some instances when </w:t>
      </w:r>
      <w:r w:rsidR="00A96C5C">
        <w:t>developing the scope of renewal projects in order to meet the service manager’s requirements for fit for purpose, or to meet legislative requirements such as DDA upgrade works are incorporated into the scope of works. The project is then assessed and included into the various programs depending on the percentage of either renewal or upgrade components.</w:t>
      </w:r>
    </w:p>
    <w:p w:rsidR="00472812" w:rsidRPr="00CD7D4F" w:rsidRDefault="00472812" w:rsidP="00472812"/>
    <w:p w:rsidR="00306C00" w:rsidRDefault="00A96C5C" w:rsidP="00472812">
      <w:r>
        <w:t xml:space="preserve">The table below provides details of the funding for upgrade and new works over the past </w:t>
      </w:r>
      <w:r w:rsidR="00877B83">
        <w:t>6</w:t>
      </w:r>
      <w:r w:rsidR="00472812">
        <w:t xml:space="preserve"> years:</w:t>
      </w:r>
    </w:p>
    <w:p w:rsidR="008233FB" w:rsidRDefault="008233FB" w:rsidP="00472812"/>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035"/>
        <w:gridCol w:w="1059"/>
        <w:gridCol w:w="1134"/>
        <w:gridCol w:w="1134"/>
        <w:gridCol w:w="1134"/>
        <w:gridCol w:w="1134"/>
        <w:gridCol w:w="1105"/>
      </w:tblGrid>
      <w:tr w:rsidR="00472812" w:rsidRPr="00472812" w:rsidTr="00472812">
        <w:trPr>
          <w:cantSplit/>
          <w:jc w:val="center"/>
        </w:trPr>
        <w:tc>
          <w:tcPr>
            <w:tcW w:w="2035" w:type="dxa"/>
            <w:tcBorders>
              <w:top w:val="single" w:sz="4" w:space="0" w:color="000000"/>
              <w:left w:val="single" w:sz="4" w:space="0" w:color="000000"/>
              <w:bottom w:val="single" w:sz="4" w:space="0" w:color="000000"/>
              <w:right w:val="single" w:sz="4" w:space="0" w:color="000000"/>
            </w:tcBorders>
            <w:shd w:val="clear" w:color="000000" w:fill="95B3D7" w:themeFill="accent1" w:themeFillTint="99"/>
            <w:vAlign w:val="center"/>
          </w:tcPr>
          <w:p w:rsidR="00A24029" w:rsidRPr="00472812" w:rsidRDefault="00A24029" w:rsidP="00472812">
            <w:pPr>
              <w:spacing w:before="120" w:after="120"/>
              <w:jc w:val="left"/>
              <w:rPr>
                <w:b/>
              </w:rPr>
            </w:pPr>
            <w:r w:rsidRPr="00472812">
              <w:rPr>
                <w:b/>
              </w:rPr>
              <w:t>Budget Item</w:t>
            </w:r>
          </w:p>
        </w:tc>
        <w:tc>
          <w:tcPr>
            <w:tcW w:w="1059" w:type="dxa"/>
            <w:tcBorders>
              <w:top w:val="single" w:sz="4" w:space="0" w:color="000000"/>
              <w:left w:val="single" w:sz="4" w:space="0" w:color="000000"/>
              <w:bottom w:val="single" w:sz="4" w:space="0" w:color="000000"/>
              <w:right w:val="single" w:sz="4" w:space="0" w:color="000000"/>
            </w:tcBorders>
            <w:shd w:val="clear" w:color="000000" w:fill="95B3D7" w:themeFill="accent1" w:themeFillTint="99"/>
            <w:vAlign w:val="center"/>
          </w:tcPr>
          <w:p w:rsidR="00877B83" w:rsidRPr="00472812" w:rsidRDefault="00A24029" w:rsidP="00472812">
            <w:pPr>
              <w:spacing w:before="120" w:after="120"/>
              <w:jc w:val="center"/>
              <w:rPr>
                <w:b/>
              </w:rPr>
            </w:pPr>
            <w:r w:rsidRPr="00472812">
              <w:rPr>
                <w:b/>
              </w:rPr>
              <w:t>2008-09</w:t>
            </w:r>
            <w:r w:rsidR="00472812">
              <w:rPr>
                <w:b/>
              </w:rPr>
              <w:br/>
            </w:r>
            <w:r w:rsidR="00877B83" w:rsidRPr="00472812">
              <w:rPr>
                <w:b/>
              </w:rPr>
              <w:t>$’000</w:t>
            </w:r>
          </w:p>
        </w:tc>
        <w:tc>
          <w:tcPr>
            <w:tcW w:w="1134" w:type="dxa"/>
            <w:tcBorders>
              <w:top w:val="single" w:sz="4" w:space="0" w:color="000000"/>
              <w:left w:val="single" w:sz="4" w:space="0" w:color="000000"/>
              <w:bottom w:val="single" w:sz="4" w:space="0" w:color="000000"/>
              <w:right w:val="single" w:sz="4" w:space="0" w:color="000000"/>
            </w:tcBorders>
            <w:shd w:val="clear" w:color="000000" w:fill="95B3D7" w:themeFill="accent1" w:themeFillTint="99"/>
            <w:vAlign w:val="center"/>
          </w:tcPr>
          <w:p w:rsidR="00877B83" w:rsidRPr="00472812" w:rsidRDefault="00A24029" w:rsidP="00472812">
            <w:pPr>
              <w:spacing w:before="120" w:after="120"/>
              <w:jc w:val="center"/>
              <w:rPr>
                <w:b/>
              </w:rPr>
            </w:pPr>
            <w:r w:rsidRPr="00472812">
              <w:rPr>
                <w:b/>
              </w:rPr>
              <w:t>2009-10</w:t>
            </w:r>
            <w:r w:rsidR="00472812">
              <w:rPr>
                <w:b/>
              </w:rPr>
              <w:br/>
            </w:r>
            <w:r w:rsidR="00877B83" w:rsidRPr="00472812">
              <w:rPr>
                <w:b/>
              </w:rPr>
              <w:t>$’000</w:t>
            </w:r>
          </w:p>
        </w:tc>
        <w:tc>
          <w:tcPr>
            <w:tcW w:w="1134" w:type="dxa"/>
            <w:tcBorders>
              <w:top w:val="single" w:sz="4" w:space="0" w:color="000000"/>
              <w:left w:val="single" w:sz="4" w:space="0" w:color="000000"/>
              <w:bottom w:val="single" w:sz="4" w:space="0" w:color="000000"/>
              <w:right w:val="single" w:sz="4" w:space="0" w:color="000000"/>
            </w:tcBorders>
            <w:shd w:val="clear" w:color="000000" w:fill="95B3D7" w:themeFill="accent1" w:themeFillTint="99"/>
            <w:vAlign w:val="center"/>
          </w:tcPr>
          <w:p w:rsidR="00877B83" w:rsidRPr="00472812" w:rsidRDefault="00A24029" w:rsidP="00472812">
            <w:pPr>
              <w:spacing w:before="120" w:after="120"/>
              <w:jc w:val="center"/>
              <w:rPr>
                <w:b/>
              </w:rPr>
            </w:pPr>
            <w:r w:rsidRPr="00472812">
              <w:rPr>
                <w:b/>
              </w:rPr>
              <w:t>20010-11</w:t>
            </w:r>
            <w:r w:rsidR="00472812">
              <w:rPr>
                <w:b/>
              </w:rPr>
              <w:br/>
            </w:r>
            <w:r w:rsidR="00877B83" w:rsidRPr="00472812">
              <w:rPr>
                <w:b/>
              </w:rPr>
              <w:t>$’000</w:t>
            </w:r>
          </w:p>
        </w:tc>
        <w:tc>
          <w:tcPr>
            <w:tcW w:w="1134" w:type="dxa"/>
            <w:tcBorders>
              <w:top w:val="single" w:sz="4" w:space="0" w:color="000000"/>
              <w:left w:val="single" w:sz="4" w:space="0" w:color="000000"/>
              <w:bottom w:val="single" w:sz="4" w:space="0" w:color="000000"/>
              <w:right w:val="single" w:sz="4" w:space="0" w:color="000000"/>
            </w:tcBorders>
            <w:shd w:val="clear" w:color="000000" w:fill="95B3D7" w:themeFill="accent1" w:themeFillTint="99"/>
            <w:vAlign w:val="center"/>
          </w:tcPr>
          <w:p w:rsidR="00877B83" w:rsidRPr="00472812" w:rsidRDefault="00A24029" w:rsidP="00472812">
            <w:pPr>
              <w:spacing w:before="120" w:after="120"/>
              <w:jc w:val="center"/>
              <w:rPr>
                <w:b/>
              </w:rPr>
            </w:pPr>
            <w:r w:rsidRPr="00472812">
              <w:rPr>
                <w:b/>
              </w:rPr>
              <w:t>2011-12</w:t>
            </w:r>
            <w:r w:rsidR="00472812">
              <w:rPr>
                <w:b/>
              </w:rPr>
              <w:br/>
            </w:r>
            <w:r w:rsidR="00877B83" w:rsidRPr="00472812">
              <w:rPr>
                <w:b/>
              </w:rPr>
              <w:t>$’000</w:t>
            </w:r>
          </w:p>
        </w:tc>
        <w:tc>
          <w:tcPr>
            <w:tcW w:w="1134" w:type="dxa"/>
            <w:tcBorders>
              <w:top w:val="single" w:sz="4" w:space="0" w:color="000000"/>
              <w:left w:val="single" w:sz="4" w:space="0" w:color="000000"/>
              <w:bottom w:val="single" w:sz="4" w:space="0" w:color="000000"/>
              <w:right w:val="single" w:sz="4" w:space="0" w:color="000000"/>
            </w:tcBorders>
            <w:shd w:val="clear" w:color="000000" w:fill="95B3D7" w:themeFill="accent1" w:themeFillTint="99"/>
            <w:vAlign w:val="center"/>
          </w:tcPr>
          <w:p w:rsidR="00877B83" w:rsidRPr="00472812" w:rsidRDefault="00A24029" w:rsidP="00472812">
            <w:pPr>
              <w:spacing w:before="120" w:after="120"/>
              <w:jc w:val="center"/>
              <w:rPr>
                <w:b/>
              </w:rPr>
            </w:pPr>
            <w:r w:rsidRPr="00472812">
              <w:rPr>
                <w:b/>
              </w:rPr>
              <w:t>2012-13</w:t>
            </w:r>
            <w:r w:rsidR="00472812">
              <w:rPr>
                <w:b/>
              </w:rPr>
              <w:br/>
            </w:r>
            <w:r w:rsidR="00877B83" w:rsidRPr="00472812">
              <w:rPr>
                <w:b/>
              </w:rPr>
              <w:t>$’000</w:t>
            </w:r>
          </w:p>
        </w:tc>
        <w:tc>
          <w:tcPr>
            <w:tcW w:w="1105" w:type="dxa"/>
            <w:tcBorders>
              <w:top w:val="single" w:sz="4" w:space="0" w:color="000000"/>
              <w:left w:val="single" w:sz="4" w:space="0" w:color="000000"/>
              <w:bottom w:val="single" w:sz="4" w:space="0" w:color="000000"/>
              <w:right w:val="single" w:sz="4" w:space="0" w:color="000000"/>
            </w:tcBorders>
            <w:shd w:val="clear" w:color="000000" w:fill="95B3D7" w:themeFill="accent1" w:themeFillTint="99"/>
            <w:vAlign w:val="center"/>
          </w:tcPr>
          <w:p w:rsidR="00877B83" w:rsidRPr="00472812" w:rsidRDefault="00A24029" w:rsidP="00472812">
            <w:pPr>
              <w:spacing w:before="120" w:after="120"/>
              <w:jc w:val="center"/>
              <w:rPr>
                <w:b/>
              </w:rPr>
            </w:pPr>
            <w:r w:rsidRPr="00472812">
              <w:rPr>
                <w:b/>
              </w:rPr>
              <w:t>2013-14</w:t>
            </w:r>
            <w:r w:rsidR="00472812">
              <w:rPr>
                <w:b/>
              </w:rPr>
              <w:br/>
            </w:r>
            <w:r w:rsidR="00877B83" w:rsidRPr="00472812">
              <w:rPr>
                <w:b/>
              </w:rPr>
              <w:t>$’000</w:t>
            </w:r>
          </w:p>
        </w:tc>
      </w:tr>
      <w:tr w:rsidR="00A24029" w:rsidRPr="00472812" w:rsidTr="00472812">
        <w:trPr>
          <w:cantSplit/>
          <w:jc w:val="center"/>
        </w:trPr>
        <w:tc>
          <w:tcPr>
            <w:tcW w:w="20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4029" w:rsidRPr="00472812" w:rsidRDefault="00A24029" w:rsidP="00472812">
            <w:pPr>
              <w:spacing w:before="120" w:after="120"/>
              <w:jc w:val="left"/>
            </w:pPr>
            <w:r w:rsidRPr="00472812">
              <w:t>Upgrade</w:t>
            </w:r>
          </w:p>
        </w:tc>
        <w:tc>
          <w:tcPr>
            <w:tcW w:w="1059" w:type="dxa"/>
            <w:tcBorders>
              <w:top w:val="single" w:sz="4" w:space="0" w:color="000000"/>
              <w:left w:val="single" w:sz="4" w:space="0" w:color="000000"/>
              <w:bottom w:val="single" w:sz="4" w:space="0" w:color="000000"/>
              <w:right w:val="single" w:sz="4" w:space="0" w:color="000000"/>
            </w:tcBorders>
            <w:shd w:val="clear" w:color="auto" w:fill="auto"/>
          </w:tcPr>
          <w:p w:rsidR="00A24029" w:rsidRPr="00472812" w:rsidRDefault="00A24029" w:rsidP="00472812">
            <w:pPr>
              <w:tabs>
                <w:tab w:val="decimal" w:pos="554"/>
              </w:tabs>
              <w:spacing w:before="120" w:after="120"/>
              <w:jc w:val="center"/>
            </w:pPr>
            <w:r w:rsidRPr="00472812">
              <w:t>3,604</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4029" w:rsidRPr="00472812" w:rsidRDefault="00A24029" w:rsidP="00472812">
            <w:pPr>
              <w:tabs>
                <w:tab w:val="decimal" w:pos="587"/>
              </w:tabs>
              <w:spacing w:before="120" w:after="120"/>
              <w:jc w:val="center"/>
            </w:pPr>
            <w:r w:rsidRPr="00472812">
              <w:t>1,494</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4029" w:rsidRPr="00472812" w:rsidRDefault="00A24029" w:rsidP="00472812">
            <w:pPr>
              <w:tabs>
                <w:tab w:val="decimal" w:pos="639"/>
              </w:tabs>
              <w:spacing w:before="120" w:after="120"/>
              <w:jc w:val="center"/>
            </w:pPr>
            <w:r w:rsidRPr="00472812">
              <w:t>2,866</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4029" w:rsidRPr="00472812" w:rsidRDefault="00A24029" w:rsidP="00472812">
            <w:pPr>
              <w:tabs>
                <w:tab w:val="decimal" w:pos="569"/>
              </w:tabs>
              <w:spacing w:before="120" w:after="120"/>
              <w:jc w:val="center"/>
            </w:pPr>
            <w:r w:rsidRPr="00472812">
              <w:t>2,004</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4029" w:rsidRPr="00472812" w:rsidRDefault="00A24029" w:rsidP="00472812">
            <w:pPr>
              <w:tabs>
                <w:tab w:val="decimal" w:pos="450"/>
              </w:tabs>
              <w:spacing w:before="120" w:after="120"/>
              <w:jc w:val="center"/>
            </w:pPr>
            <w:r w:rsidRPr="00472812">
              <w:t>90</w:t>
            </w:r>
          </w:p>
        </w:tc>
        <w:tc>
          <w:tcPr>
            <w:tcW w:w="11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4029" w:rsidRPr="00472812" w:rsidRDefault="00A24029" w:rsidP="00472812">
            <w:pPr>
              <w:tabs>
                <w:tab w:val="decimal" w:pos="512"/>
              </w:tabs>
              <w:spacing w:before="120" w:after="120"/>
              <w:jc w:val="center"/>
            </w:pPr>
            <w:r w:rsidRPr="00472812">
              <w:t>1,605</w:t>
            </w:r>
          </w:p>
        </w:tc>
      </w:tr>
      <w:tr w:rsidR="00A24029" w:rsidRPr="00472812" w:rsidTr="00472812">
        <w:trPr>
          <w:cantSplit/>
          <w:jc w:val="center"/>
        </w:trPr>
        <w:tc>
          <w:tcPr>
            <w:tcW w:w="20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4029" w:rsidRPr="00472812" w:rsidRDefault="00A24029" w:rsidP="00472812">
            <w:pPr>
              <w:spacing w:before="120" w:after="120"/>
              <w:jc w:val="left"/>
            </w:pPr>
            <w:r w:rsidRPr="00472812">
              <w:t>New Works</w:t>
            </w:r>
          </w:p>
        </w:tc>
        <w:tc>
          <w:tcPr>
            <w:tcW w:w="1059" w:type="dxa"/>
            <w:tcBorders>
              <w:top w:val="single" w:sz="4" w:space="0" w:color="000000"/>
              <w:left w:val="single" w:sz="4" w:space="0" w:color="000000"/>
              <w:bottom w:val="single" w:sz="4" w:space="0" w:color="000000"/>
              <w:right w:val="single" w:sz="4" w:space="0" w:color="000000"/>
            </w:tcBorders>
            <w:shd w:val="clear" w:color="auto" w:fill="auto"/>
          </w:tcPr>
          <w:p w:rsidR="00A24029" w:rsidRPr="00472812" w:rsidRDefault="00A24029" w:rsidP="00472812">
            <w:pPr>
              <w:tabs>
                <w:tab w:val="decimal" w:pos="554"/>
              </w:tabs>
              <w:spacing w:before="120" w:after="120"/>
              <w:jc w:val="center"/>
            </w:pPr>
            <w:r w:rsidRPr="00472812">
              <w:t>1,272</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4029" w:rsidRPr="00472812" w:rsidRDefault="00A24029" w:rsidP="00472812">
            <w:pPr>
              <w:tabs>
                <w:tab w:val="decimal" w:pos="587"/>
              </w:tabs>
              <w:spacing w:before="120" w:after="120"/>
              <w:jc w:val="center"/>
            </w:pPr>
            <w:r w:rsidRPr="00472812">
              <w:t>4,007</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4029" w:rsidRPr="00472812" w:rsidRDefault="00A24029" w:rsidP="00472812">
            <w:pPr>
              <w:tabs>
                <w:tab w:val="decimal" w:pos="639"/>
              </w:tabs>
              <w:spacing w:before="120" w:after="120"/>
              <w:jc w:val="center"/>
            </w:pPr>
            <w:r w:rsidRPr="00472812">
              <w:t>11,984</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4029" w:rsidRPr="00472812" w:rsidRDefault="00A24029" w:rsidP="00472812">
            <w:pPr>
              <w:tabs>
                <w:tab w:val="decimal" w:pos="569"/>
              </w:tabs>
              <w:spacing w:before="120" w:after="120"/>
              <w:jc w:val="center"/>
            </w:pPr>
            <w:r w:rsidRPr="00472812">
              <w:t>7,143</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4029" w:rsidRPr="00472812" w:rsidRDefault="00A24029" w:rsidP="00472812">
            <w:pPr>
              <w:tabs>
                <w:tab w:val="decimal" w:pos="450"/>
              </w:tabs>
              <w:spacing w:before="120" w:after="120"/>
              <w:jc w:val="center"/>
            </w:pPr>
            <w:r w:rsidRPr="00472812">
              <w:t>2,868</w:t>
            </w:r>
          </w:p>
        </w:tc>
        <w:tc>
          <w:tcPr>
            <w:tcW w:w="11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4029" w:rsidRPr="00472812" w:rsidRDefault="00A24029" w:rsidP="00472812">
            <w:pPr>
              <w:tabs>
                <w:tab w:val="decimal" w:pos="512"/>
              </w:tabs>
              <w:spacing w:before="120" w:after="120"/>
              <w:jc w:val="center"/>
            </w:pPr>
            <w:r w:rsidRPr="00472812">
              <w:t>2,595</w:t>
            </w:r>
          </w:p>
        </w:tc>
      </w:tr>
    </w:tbl>
    <w:p w:rsidR="00D60852" w:rsidRPr="0024611A" w:rsidRDefault="00D60852" w:rsidP="00D60852">
      <w:pPr>
        <w:pStyle w:val="Caption"/>
        <w:spacing w:before="240" w:after="240"/>
        <w:ind w:left="720"/>
        <w:jc w:val="center"/>
        <w:rPr>
          <w:rFonts w:ascii="Arial" w:hAnsi="Arial"/>
          <w:i w:val="0"/>
          <w:iCs w:val="0"/>
          <w:sz w:val="20"/>
          <w:lang w:val="en-AU"/>
        </w:rPr>
      </w:pPr>
      <w:bookmarkStart w:id="538" w:name="_Toc364945447"/>
      <w:r w:rsidRPr="0024611A">
        <w:rPr>
          <w:rFonts w:ascii="Arial" w:hAnsi="Arial"/>
          <w:i w:val="0"/>
          <w:iCs w:val="0"/>
          <w:sz w:val="20"/>
          <w:lang w:val="en-AU"/>
        </w:rPr>
        <w:t xml:space="preserve">Table </w:t>
      </w:r>
      <w:r w:rsidR="0090414C" w:rsidRPr="0024611A">
        <w:rPr>
          <w:rFonts w:ascii="Arial" w:hAnsi="Arial"/>
          <w:i w:val="0"/>
          <w:iCs w:val="0"/>
          <w:sz w:val="20"/>
          <w:lang w:val="en-AU"/>
        </w:rPr>
        <w:fldChar w:fldCharType="begin"/>
      </w:r>
      <w:r w:rsidRPr="0024611A">
        <w:rPr>
          <w:rFonts w:ascii="Arial" w:hAnsi="Arial"/>
          <w:i w:val="0"/>
          <w:iCs w:val="0"/>
          <w:sz w:val="20"/>
          <w:lang w:val="en-AU"/>
        </w:rPr>
        <w:instrText xml:space="preserve"> SEQ Table \* ARABIC </w:instrText>
      </w:r>
      <w:r w:rsidR="0090414C" w:rsidRPr="0024611A">
        <w:rPr>
          <w:rFonts w:ascii="Arial" w:hAnsi="Arial"/>
          <w:i w:val="0"/>
          <w:iCs w:val="0"/>
          <w:sz w:val="20"/>
          <w:lang w:val="en-AU"/>
        </w:rPr>
        <w:fldChar w:fldCharType="separate"/>
      </w:r>
      <w:r w:rsidR="00751CEC">
        <w:rPr>
          <w:rFonts w:ascii="Arial" w:hAnsi="Arial"/>
          <w:i w:val="0"/>
          <w:iCs w:val="0"/>
          <w:noProof/>
          <w:sz w:val="20"/>
          <w:lang w:val="en-AU"/>
        </w:rPr>
        <w:t>43</w:t>
      </w:r>
      <w:r w:rsidR="0090414C" w:rsidRPr="0024611A">
        <w:rPr>
          <w:rFonts w:ascii="Arial" w:hAnsi="Arial"/>
          <w:i w:val="0"/>
          <w:iCs w:val="0"/>
          <w:sz w:val="20"/>
          <w:lang w:val="en-AU"/>
        </w:rPr>
        <w:fldChar w:fldCharType="end"/>
      </w:r>
      <w:r w:rsidRPr="0024611A">
        <w:rPr>
          <w:rFonts w:ascii="Arial" w:hAnsi="Arial"/>
          <w:i w:val="0"/>
          <w:iCs w:val="0"/>
          <w:sz w:val="20"/>
          <w:lang w:val="en-AU"/>
        </w:rPr>
        <w:t>:  Funding for Upgrades and New Works</w:t>
      </w:r>
      <w:bookmarkEnd w:id="538"/>
    </w:p>
    <w:p w:rsidR="009F2FE6" w:rsidRPr="006331D1" w:rsidRDefault="009F2FE6" w:rsidP="003E5B9F">
      <w:pPr>
        <w:pStyle w:val="StyleHeading3Heading3Char10ptBefore6pt"/>
      </w:pPr>
      <w:bookmarkStart w:id="539" w:name="_Toc364945310"/>
      <w:r>
        <w:t>New Works and Upgrade Activities</w:t>
      </w:r>
      <w:bookmarkEnd w:id="539"/>
    </w:p>
    <w:p w:rsidR="00306C00" w:rsidRDefault="00306C00" w:rsidP="001D0A3A">
      <w:pPr>
        <w:ind w:left="720"/>
      </w:pPr>
      <w:r w:rsidRPr="00306C00">
        <w:t>Council’s Asset Management Policy accords priority to renewal works ahead of upgrade and new works.   A plausible budget allocation situation, as per council</w:t>
      </w:r>
      <w:r w:rsidR="008473C2">
        <w:t>’</w:t>
      </w:r>
      <w:r w:rsidRPr="00306C00">
        <w:t>s feedback across Victoria in the recent MAV Step program, suggests a blend of about 70% Renewal and 30% Upgrades/New Works.</w:t>
      </w:r>
    </w:p>
    <w:p w:rsidR="001D0A3A" w:rsidRPr="00306C00" w:rsidRDefault="001D0A3A" w:rsidP="001D0A3A">
      <w:pPr>
        <w:ind w:left="720"/>
      </w:pPr>
    </w:p>
    <w:p w:rsidR="00306C00" w:rsidRDefault="00306C00" w:rsidP="001D0A3A">
      <w:pPr>
        <w:keepNext/>
        <w:keepLines/>
        <w:ind w:left="720"/>
      </w:pPr>
      <w:r w:rsidRPr="00306C00">
        <w:t>In recent years the capital works budgets for buildings had been biased towards new works and upgrades with the fol</w:t>
      </w:r>
      <w:r w:rsidR="001D0A3A">
        <w:t>lowing projects being initiated:</w:t>
      </w:r>
    </w:p>
    <w:p w:rsidR="001D0A3A" w:rsidRPr="00306C00" w:rsidRDefault="001D0A3A" w:rsidP="001D0A3A">
      <w:pPr>
        <w:keepNext/>
        <w:keepLines/>
        <w:ind w:left="720"/>
      </w:pPr>
    </w:p>
    <w:p w:rsidR="00306C00" w:rsidRPr="001D0A3A" w:rsidRDefault="00306C00" w:rsidP="008348B5">
      <w:pPr>
        <w:pStyle w:val="ListParagraph"/>
        <w:keepNext/>
        <w:keepLines/>
        <w:numPr>
          <w:ilvl w:val="0"/>
          <w:numId w:val="92"/>
        </w:numPr>
        <w:rPr>
          <w:rFonts w:ascii="Arial" w:hAnsi="Arial" w:cs="Arial"/>
          <w:sz w:val="20"/>
        </w:rPr>
      </w:pPr>
      <w:r w:rsidRPr="001D0A3A">
        <w:rPr>
          <w:rFonts w:ascii="Arial" w:hAnsi="Arial" w:cs="Arial"/>
          <w:sz w:val="20"/>
        </w:rPr>
        <w:t>Edinburgh Gardens Cricket Pavilion;</w:t>
      </w:r>
    </w:p>
    <w:p w:rsidR="00306C00" w:rsidRPr="001D0A3A" w:rsidRDefault="00306C00" w:rsidP="008348B5">
      <w:pPr>
        <w:pStyle w:val="ListParagraph"/>
        <w:keepNext/>
        <w:keepLines/>
        <w:numPr>
          <w:ilvl w:val="0"/>
          <w:numId w:val="92"/>
        </w:numPr>
        <w:rPr>
          <w:rFonts w:ascii="Arial" w:hAnsi="Arial" w:cs="Arial"/>
          <w:sz w:val="20"/>
        </w:rPr>
      </w:pPr>
      <w:r w:rsidRPr="001D0A3A">
        <w:rPr>
          <w:rFonts w:ascii="Arial" w:hAnsi="Arial" w:cs="Arial"/>
          <w:sz w:val="20"/>
        </w:rPr>
        <w:t>Collingwood Leisure Centre Redevelopment;</w:t>
      </w:r>
    </w:p>
    <w:p w:rsidR="00306C00" w:rsidRPr="001D0A3A" w:rsidRDefault="00306C00" w:rsidP="008348B5">
      <w:pPr>
        <w:pStyle w:val="ListParagraph"/>
        <w:keepNext/>
        <w:keepLines/>
        <w:numPr>
          <w:ilvl w:val="0"/>
          <w:numId w:val="92"/>
        </w:numPr>
        <w:rPr>
          <w:rFonts w:ascii="Arial" w:hAnsi="Arial" w:cs="Arial"/>
          <w:sz w:val="20"/>
        </w:rPr>
      </w:pPr>
      <w:r w:rsidRPr="001D0A3A">
        <w:rPr>
          <w:rFonts w:ascii="Arial" w:hAnsi="Arial" w:cs="Arial"/>
          <w:sz w:val="20"/>
        </w:rPr>
        <w:t>Victoria Park Redevelopment;</w:t>
      </w:r>
    </w:p>
    <w:p w:rsidR="00306C00" w:rsidRPr="001D0A3A" w:rsidRDefault="00306C00" w:rsidP="008348B5">
      <w:pPr>
        <w:pStyle w:val="ListParagraph"/>
        <w:keepNext/>
        <w:keepLines/>
        <w:numPr>
          <w:ilvl w:val="0"/>
          <w:numId w:val="92"/>
        </w:numPr>
        <w:rPr>
          <w:rFonts w:ascii="Arial" w:hAnsi="Arial" w:cs="Arial"/>
          <w:sz w:val="20"/>
        </w:rPr>
      </w:pPr>
      <w:r w:rsidRPr="001D0A3A">
        <w:rPr>
          <w:rFonts w:ascii="Arial" w:hAnsi="Arial" w:cs="Arial"/>
          <w:sz w:val="20"/>
        </w:rPr>
        <w:t>Ramsden Street Sports Pavilion;</w:t>
      </w:r>
    </w:p>
    <w:p w:rsidR="00306C00" w:rsidRPr="00306C00" w:rsidRDefault="00306C00" w:rsidP="008348B5">
      <w:pPr>
        <w:pStyle w:val="ListParagraph"/>
        <w:keepNext/>
        <w:keepLines/>
        <w:numPr>
          <w:ilvl w:val="0"/>
          <w:numId w:val="92"/>
        </w:numPr>
        <w:rPr>
          <w:rFonts w:ascii="Arial" w:hAnsi="Arial" w:cs="Arial"/>
          <w:sz w:val="20"/>
        </w:rPr>
      </w:pPr>
      <w:r w:rsidRPr="00306C00">
        <w:rPr>
          <w:rFonts w:ascii="Arial" w:hAnsi="Arial" w:cs="Arial"/>
          <w:sz w:val="20"/>
        </w:rPr>
        <w:t>North Fitzroy Community Hub;</w:t>
      </w:r>
    </w:p>
    <w:p w:rsidR="00306C00" w:rsidRPr="00306C00" w:rsidRDefault="00306C00" w:rsidP="008348B5">
      <w:pPr>
        <w:pStyle w:val="ListParagraph"/>
        <w:keepNext/>
        <w:keepLines/>
        <w:numPr>
          <w:ilvl w:val="0"/>
          <w:numId w:val="92"/>
        </w:numPr>
        <w:rPr>
          <w:rFonts w:ascii="Arial" w:hAnsi="Arial" w:cs="Arial"/>
          <w:sz w:val="20"/>
        </w:rPr>
      </w:pPr>
      <w:r w:rsidRPr="00306C00">
        <w:rPr>
          <w:rFonts w:ascii="Arial" w:hAnsi="Arial" w:cs="Arial"/>
          <w:sz w:val="20"/>
        </w:rPr>
        <w:t xml:space="preserve">Collingwood Town Hall </w:t>
      </w:r>
      <w:r w:rsidR="00927AFA">
        <w:rPr>
          <w:rFonts w:ascii="Arial" w:hAnsi="Arial" w:cs="Arial"/>
          <w:sz w:val="20"/>
        </w:rPr>
        <w:t>and</w:t>
      </w:r>
      <w:r w:rsidRPr="00306C00">
        <w:rPr>
          <w:rFonts w:ascii="Arial" w:hAnsi="Arial" w:cs="Arial"/>
          <w:sz w:val="20"/>
        </w:rPr>
        <w:t xml:space="preserve"> Precinct Redevelopment; and</w:t>
      </w:r>
    </w:p>
    <w:p w:rsidR="00306C00" w:rsidRPr="00306C00" w:rsidRDefault="00306C00" w:rsidP="008348B5">
      <w:pPr>
        <w:pStyle w:val="ListParagraph"/>
        <w:keepNext/>
        <w:keepLines/>
        <w:numPr>
          <w:ilvl w:val="0"/>
          <w:numId w:val="92"/>
        </w:numPr>
        <w:rPr>
          <w:rFonts w:ascii="Arial" w:hAnsi="Arial" w:cs="Arial"/>
          <w:sz w:val="20"/>
        </w:rPr>
      </w:pPr>
      <w:r w:rsidRPr="00306C00">
        <w:rPr>
          <w:rFonts w:ascii="Arial" w:hAnsi="Arial" w:cs="Arial"/>
          <w:sz w:val="20"/>
        </w:rPr>
        <w:t>Various Adaptive Assets Programs.</w:t>
      </w:r>
    </w:p>
    <w:p w:rsidR="001D0A3A" w:rsidRDefault="001D0A3A" w:rsidP="001D0A3A">
      <w:pPr>
        <w:ind w:left="720"/>
      </w:pPr>
    </w:p>
    <w:p w:rsidR="00306C00" w:rsidRDefault="00306C00" w:rsidP="001D0A3A">
      <w:pPr>
        <w:ind w:left="720"/>
      </w:pPr>
      <w:r w:rsidRPr="00306C00">
        <w:t>This is understandable in view of Council’s drive to implement ESD principles on buildings, and the replacement of ageing building assets which are usually accompanied with improved level of service and increased capacity due to higher expectations of Yarra’s community.</w:t>
      </w:r>
    </w:p>
    <w:p w:rsidR="001D0A3A" w:rsidRPr="00306C00" w:rsidRDefault="001D0A3A" w:rsidP="001D0A3A">
      <w:pPr>
        <w:ind w:left="720"/>
      </w:pPr>
    </w:p>
    <w:p w:rsidR="00306C00" w:rsidRDefault="00306C00" w:rsidP="001D0A3A">
      <w:pPr>
        <w:ind w:left="720"/>
      </w:pPr>
      <w:r w:rsidRPr="00306C00">
        <w:t>It is also reasonable to m</w:t>
      </w:r>
      <w:r w:rsidR="00CE5EFF">
        <w:t>ention that some of the upgrade</w:t>
      </w:r>
      <w:r w:rsidRPr="00306C00">
        <w:t>/new works may include the renewal components. For example, the redevelopment of Victoria Park involved some existing pavilions the renewal components of which should ideally be accounted for separately.</w:t>
      </w:r>
    </w:p>
    <w:p w:rsidR="001D0A3A" w:rsidRPr="00306C00" w:rsidRDefault="001D0A3A" w:rsidP="001D0A3A">
      <w:pPr>
        <w:ind w:left="720"/>
      </w:pPr>
    </w:p>
    <w:p w:rsidR="00306C00" w:rsidRPr="00306C00" w:rsidRDefault="00306C00" w:rsidP="001D0A3A">
      <w:pPr>
        <w:ind w:left="720"/>
      </w:pPr>
      <w:r w:rsidRPr="00306C00">
        <w:t>The adopted capital works budget for 2012/13 with a mix of 70% Renewal and 30% Upgrades/ New Works demonstrates a closer alignment with Council’s Asset Management Policy.</w:t>
      </w:r>
    </w:p>
    <w:p w:rsidR="009F2FE6" w:rsidRDefault="009F2FE6" w:rsidP="003E5B9F">
      <w:pPr>
        <w:pStyle w:val="StyleHeading3Heading3Char10ptBefore6pt"/>
      </w:pPr>
      <w:bookmarkStart w:id="540" w:name="_Toc364945311"/>
      <w:r>
        <w:t>New Works and Upgrade Responsibilities</w:t>
      </w:r>
      <w:bookmarkEnd w:id="540"/>
    </w:p>
    <w:p w:rsidR="009F2FE6" w:rsidRPr="009F2FE6" w:rsidRDefault="00A96C5C" w:rsidP="001D0A3A">
      <w:pPr>
        <w:ind w:left="720"/>
      </w:pPr>
      <w:r>
        <w:t>It is the responsibility of the service manager to identify and recommend New or Upgrade projects for inclusion in the capita</w:t>
      </w:r>
      <w:r w:rsidR="0062635B">
        <w:t>l works program whereas t</w:t>
      </w:r>
      <w:r>
        <w:t xml:space="preserve">he delivery of projects is the responsibility of the project managers within the </w:t>
      </w:r>
      <w:r w:rsidR="005C38DE">
        <w:t>B</w:t>
      </w:r>
      <w:r>
        <w:t xml:space="preserve">uildings and </w:t>
      </w:r>
      <w:r w:rsidR="005C38DE">
        <w:t>P</w:t>
      </w:r>
      <w:r>
        <w:t xml:space="preserve">roperty </w:t>
      </w:r>
      <w:r w:rsidR="005C38DE">
        <w:t>B</w:t>
      </w:r>
      <w:r>
        <w:t>ranch.</w:t>
      </w:r>
    </w:p>
    <w:p w:rsidR="00D95743" w:rsidRPr="006331D1" w:rsidRDefault="00D95743" w:rsidP="003E5B9F">
      <w:pPr>
        <w:pStyle w:val="StyleHeading3Heading3Char10ptBefore6pt"/>
      </w:pPr>
      <w:bookmarkStart w:id="541" w:name="_Toc364945312"/>
      <w:r w:rsidRPr="006331D1">
        <w:t>Project Prioritisation Process</w:t>
      </w:r>
      <w:bookmarkEnd w:id="541"/>
    </w:p>
    <w:p w:rsidR="00D95743" w:rsidRDefault="00D95743" w:rsidP="001D0A3A">
      <w:pPr>
        <w:ind w:left="720"/>
      </w:pPr>
      <w:r w:rsidRPr="00CD7D4F">
        <w:t xml:space="preserve">A systemic process </w:t>
      </w:r>
      <w:r w:rsidR="00874AF1">
        <w:t xml:space="preserve">has been developed to </w:t>
      </w:r>
      <w:r w:rsidRPr="00CD7D4F">
        <w:t>imp</w:t>
      </w:r>
      <w:r w:rsidR="0067277B">
        <w:t>rove the visibility of decision-</w:t>
      </w:r>
      <w:r w:rsidRPr="00CD7D4F">
        <w:t xml:space="preserve">making and provide a focus on successful delivery of strategic project outcomes. </w:t>
      </w:r>
    </w:p>
    <w:p w:rsidR="00874AF1" w:rsidRDefault="00874AF1" w:rsidP="001D0A3A">
      <w:pPr>
        <w:ind w:left="720"/>
      </w:pPr>
    </w:p>
    <w:p w:rsidR="00874AF1" w:rsidRDefault="00874AF1" w:rsidP="001D0A3A">
      <w:pPr>
        <w:ind w:left="720"/>
        <w:rPr>
          <w:szCs w:val="18"/>
        </w:rPr>
      </w:pPr>
      <w:r w:rsidRPr="00874AF1">
        <w:t>Projects are identified through the Council Plan, Policies, Master Plans, Strategies, Asset Management Plans and identified service needs. The project identification and scope is the responsibility of Service Manager, with support provided by the Manager Sustainable Asset Management.</w:t>
      </w:r>
      <w:r>
        <w:t xml:space="preserve"> </w:t>
      </w:r>
      <w:r w:rsidRPr="00874AF1">
        <w:rPr>
          <w:szCs w:val="18"/>
        </w:rPr>
        <w:t xml:space="preserve">Service Managers </w:t>
      </w:r>
      <w:r>
        <w:rPr>
          <w:szCs w:val="18"/>
        </w:rPr>
        <w:t>are</w:t>
      </w:r>
      <w:r w:rsidRPr="00874AF1">
        <w:rPr>
          <w:szCs w:val="18"/>
        </w:rPr>
        <w:t xml:space="preserve"> required to develop the project scope for projects that have been identified or nominated by Councillors during the budget process.</w:t>
      </w:r>
    </w:p>
    <w:p w:rsidR="00874AF1" w:rsidRPr="00874AF1" w:rsidRDefault="00874AF1" w:rsidP="001D0A3A">
      <w:pPr>
        <w:ind w:left="720"/>
      </w:pPr>
    </w:p>
    <w:p w:rsidR="00874AF1" w:rsidRPr="00050793" w:rsidRDefault="00874AF1" w:rsidP="001D0A3A">
      <w:pPr>
        <w:ind w:left="720"/>
      </w:pPr>
      <w:r w:rsidRPr="00050793">
        <w:t xml:space="preserve">In the initiation stage a Project Bid Application will be developed for all </w:t>
      </w:r>
      <w:r w:rsidRPr="00874AF1">
        <w:t>known projects supported by strategies, master plans or endorsed by Council. Service Managers will develop a priority list of all upgrade and new capital projects for each program under their control. The bid application will be entered into Council</w:t>
      </w:r>
      <w:r w:rsidR="008473C2">
        <w:t>’</w:t>
      </w:r>
      <w:r w:rsidRPr="00874AF1">
        <w:t xml:space="preserve">s data base and </w:t>
      </w:r>
      <w:r w:rsidR="001D0A3A" w:rsidRPr="00050793">
        <w:t>will include the:</w:t>
      </w:r>
    </w:p>
    <w:p w:rsidR="001D0A3A" w:rsidRPr="00874AF1" w:rsidRDefault="001D0A3A" w:rsidP="001D0A3A">
      <w:pPr>
        <w:ind w:left="720"/>
        <w:rPr>
          <w:color w:val="000000"/>
        </w:rPr>
      </w:pPr>
    </w:p>
    <w:p w:rsidR="00874AF1" w:rsidRPr="001D0A3A" w:rsidRDefault="00874AF1" w:rsidP="008348B5">
      <w:pPr>
        <w:pStyle w:val="ListParagraph"/>
        <w:numPr>
          <w:ilvl w:val="0"/>
          <w:numId w:val="93"/>
        </w:numPr>
        <w:rPr>
          <w:rFonts w:ascii="Arial" w:hAnsi="Arial" w:cs="Arial"/>
          <w:sz w:val="20"/>
        </w:rPr>
      </w:pPr>
      <w:r w:rsidRPr="001D0A3A">
        <w:rPr>
          <w:rFonts w:ascii="Arial" w:hAnsi="Arial" w:cs="Arial"/>
          <w:sz w:val="20"/>
        </w:rPr>
        <w:t>Project Name;</w:t>
      </w:r>
    </w:p>
    <w:p w:rsidR="00874AF1" w:rsidRPr="001D0A3A" w:rsidRDefault="00874AF1" w:rsidP="008348B5">
      <w:pPr>
        <w:pStyle w:val="ListParagraph"/>
        <w:numPr>
          <w:ilvl w:val="0"/>
          <w:numId w:val="93"/>
        </w:numPr>
        <w:rPr>
          <w:rFonts w:ascii="Arial" w:hAnsi="Arial" w:cs="Arial"/>
          <w:sz w:val="20"/>
        </w:rPr>
      </w:pPr>
      <w:r w:rsidRPr="001D0A3A">
        <w:rPr>
          <w:rFonts w:ascii="Arial" w:hAnsi="Arial" w:cs="Arial"/>
          <w:sz w:val="20"/>
        </w:rPr>
        <w:t>Asset type;</w:t>
      </w:r>
    </w:p>
    <w:p w:rsidR="00874AF1" w:rsidRPr="001D0A3A" w:rsidRDefault="00874AF1" w:rsidP="008348B5">
      <w:pPr>
        <w:pStyle w:val="ListParagraph"/>
        <w:numPr>
          <w:ilvl w:val="0"/>
          <w:numId w:val="93"/>
        </w:numPr>
        <w:rPr>
          <w:rFonts w:ascii="Arial" w:hAnsi="Arial" w:cs="Arial"/>
          <w:sz w:val="20"/>
        </w:rPr>
      </w:pPr>
      <w:r w:rsidRPr="001D0A3A">
        <w:rPr>
          <w:rFonts w:ascii="Arial" w:hAnsi="Arial" w:cs="Arial"/>
          <w:sz w:val="20"/>
        </w:rPr>
        <w:t>Detailed Project Description;</w:t>
      </w:r>
    </w:p>
    <w:p w:rsidR="00874AF1" w:rsidRPr="001D0A3A" w:rsidRDefault="00874AF1" w:rsidP="008348B5">
      <w:pPr>
        <w:pStyle w:val="ListParagraph"/>
        <w:numPr>
          <w:ilvl w:val="0"/>
          <w:numId w:val="93"/>
        </w:numPr>
        <w:rPr>
          <w:rFonts w:ascii="Arial" w:hAnsi="Arial" w:cs="Arial"/>
          <w:sz w:val="20"/>
        </w:rPr>
      </w:pPr>
      <w:r w:rsidRPr="001D0A3A">
        <w:rPr>
          <w:rFonts w:ascii="Arial" w:hAnsi="Arial" w:cs="Arial"/>
          <w:sz w:val="20"/>
        </w:rPr>
        <w:t>Brief one line project description;</w:t>
      </w:r>
    </w:p>
    <w:p w:rsidR="00874AF1" w:rsidRPr="001D0A3A" w:rsidRDefault="00874AF1" w:rsidP="008348B5">
      <w:pPr>
        <w:pStyle w:val="ListParagraph"/>
        <w:numPr>
          <w:ilvl w:val="0"/>
          <w:numId w:val="93"/>
        </w:numPr>
        <w:rPr>
          <w:rFonts w:ascii="Arial" w:hAnsi="Arial" w:cs="Arial"/>
          <w:sz w:val="20"/>
        </w:rPr>
      </w:pPr>
      <w:r w:rsidRPr="001D0A3A">
        <w:rPr>
          <w:rFonts w:ascii="Arial" w:hAnsi="Arial" w:cs="Arial"/>
          <w:sz w:val="20"/>
        </w:rPr>
        <w:t>Service Category;</w:t>
      </w:r>
    </w:p>
    <w:p w:rsidR="00874AF1" w:rsidRPr="001D0A3A" w:rsidRDefault="00874AF1" w:rsidP="008348B5">
      <w:pPr>
        <w:pStyle w:val="ListParagraph"/>
        <w:numPr>
          <w:ilvl w:val="0"/>
          <w:numId w:val="93"/>
        </w:numPr>
        <w:rPr>
          <w:rFonts w:ascii="Arial" w:hAnsi="Arial" w:cs="Arial"/>
          <w:sz w:val="20"/>
        </w:rPr>
      </w:pPr>
      <w:r w:rsidRPr="001D0A3A">
        <w:rPr>
          <w:rFonts w:ascii="Arial" w:hAnsi="Arial" w:cs="Arial"/>
          <w:sz w:val="20"/>
        </w:rPr>
        <w:t>Priority Ranking;</w:t>
      </w:r>
    </w:p>
    <w:p w:rsidR="00874AF1" w:rsidRPr="001D0A3A" w:rsidRDefault="00874AF1" w:rsidP="008348B5">
      <w:pPr>
        <w:pStyle w:val="ListParagraph"/>
        <w:numPr>
          <w:ilvl w:val="0"/>
          <w:numId w:val="93"/>
        </w:numPr>
        <w:rPr>
          <w:rFonts w:ascii="Arial" w:hAnsi="Arial" w:cs="Arial"/>
          <w:sz w:val="20"/>
        </w:rPr>
      </w:pPr>
      <w:r w:rsidRPr="001D0A3A">
        <w:rPr>
          <w:rFonts w:ascii="Arial" w:hAnsi="Arial" w:cs="Arial"/>
          <w:sz w:val="20"/>
        </w:rPr>
        <w:t>Detailed 10 Year financial projection including expenditure and income; and</w:t>
      </w:r>
    </w:p>
    <w:p w:rsidR="00874AF1" w:rsidRPr="001D0A3A" w:rsidRDefault="00874AF1" w:rsidP="008348B5">
      <w:pPr>
        <w:pStyle w:val="ListParagraph"/>
        <w:numPr>
          <w:ilvl w:val="0"/>
          <w:numId w:val="93"/>
        </w:numPr>
        <w:rPr>
          <w:rFonts w:ascii="Arial" w:hAnsi="Arial" w:cs="Arial"/>
          <w:sz w:val="20"/>
        </w:rPr>
      </w:pPr>
      <w:r w:rsidRPr="001D0A3A">
        <w:rPr>
          <w:rFonts w:ascii="Arial" w:hAnsi="Arial" w:cs="Arial"/>
          <w:sz w:val="20"/>
        </w:rPr>
        <w:t>Furth</w:t>
      </w:r>
      <w:r w:rsidR="001D0A3A">
        <w:rPr>
          <w:rFonts w:ascii="Arial" w:hAnsi="Arial" w:cs="Arial"/>
          <w:sz w:val="20"/>
        </w:rPr>
        <w:t>er 20 year financial projection.</w:t>
      </w:r>
    </w:p>
    <w:p w:rsidR="00874AF1" w:rsidRPr="00874AF1" w:rsidRDefault="00874AF1" w:rsidP="001D0A3A">
      <w:pPr>
        <w:ind w:left="720"/>
      </w:pPr>
    </w:p>
    <w:p w:rsidR="00874AF1" w:rsidRPr="00874AF1" w:rsidRDefault="00874AF1" w:rsidP="001D0A3A">
      <w:pPr>
        <w:ind w:left="720"/>
      </w:pPr>
      <w:r w:rsidRPr="00874AF1">
        <w:t>The Project Bid Application will be evaluated by an Evaluation Panel before a project is approved for inclusion within the draft Capital Works Budget. For more complex projects, specific budget approval may be required during the project initiation stages for a feasibility study and concept design. Projects that are recommended will then require a detailed project implementation plan (PIP) to be developed</w:t>
      </w:r>
    </w:p>
    <w:p w:rsidR="00874AF1" w:rsidRPr="00874AF1" w:rsidRDefault="00874AF1" w:rsidP="001D0A3A">
      <w:pPr>
        <w:ind w:left="720"/>
      </w:pPr>
    </w:p>
    <w:p w:rsidR="00874AF1" w:rsidRPr="00874AF1" w:rsidRDefault="00874AF1" w:rsidP="001D0A3A">
      <w:pPr>
        <w:ind w:left="720"/>
      </w:pPr>
      <w:r w:rsidRPr="00874AF1">
        <w:t>The Service Manager requires sign off from their Director and needs to ensure that the project has been adequately scoped and estimates for the works are of adequate accuracy before an application form is completed.</w:t>
      </w:r>
    </w:p>
    <w:p w:rsidR="00874AF1" w:rsidRPr="00874AF1" w:rsidRDefault="00874AF1" w:rsidP="001D0A3A">
      <w:pPr>
        <w:ind w:left="720"/>
      </w:pPr>
    </w:p>
    <w:p w:rsidR="00874AF1" w:rsidRDefault="00874AF1" w:rsidP="001D0A3A">
      <w:pPr>
        <w:ind w:left="720"/>
      </w:pPr>
      <w:r w:rsidRPr="00874AF1">
        <w:t>The Project Manager who will be responsible for the delivery of the project needs to confirm that there is agreement that the project can be delivered on time and on budget. Project initiation is the responsibility of the Service Manager, working closely and in conjunction with the Project Manager.</w:t>
      </w:r>
    </w:p>
    <w:p w:rsidR="001D0A3A" w:rsidRPr="00874AF1" w:rsidRDefault="001D0A3A" w:rsidP="001D0A3A">
      <w:pPr>
        <w:ind w:left="720"/>
      </w:pPr>
    </w:p>
    <w:p w:rsidR="00874AF1" w:rsidRDefault="00874AF1" w:rsidP="001D0A3A">
      <w:pPr>
        <w:ind w:left="720"/>
      </w:pPr>
      <w:r w:rsidRPr="00874AF1">
        <w:t>Once projects bids have been submitted they will evaluated by the Evaluation Panel. The E</w:t>
      </w:r>
      <w:r w:rsidR="001D0A3A">
        <w:t>valuation Panel will consist of:</w:t>
      </w:r>
    </w:p>
    <w:p w:rsidR="001D0A3A" w:rsidRPr="00874AF1" w:rsidRDefault="001D0A3A" w:rsidP="001D0A3A">
      <w:pPr>
        <w:ind w:left="720"/>
      </w:pPr>
    </w:p>
    <w:p w:rsidR="00874AF1" w:rsidRPr="001D0A3A" w:rsidRDefault="00874AF1" w:rsidP="008348B5">
      <w:pPr>
        <w:pStyle w:val="ListParagraph"/>
        <w:numPr>
          <w:ilvl w:val="0"/>
          <w:numId w:val="93"/>
        </w:numPr>
        <w:rPr>
          <w:rFonts w:ascii="Arial" w:hAnsi="Arial" w:cs="Arial"/>
          <w:sz w:val="20"/>
        </w:rPr>
      </w:pPr>
      <w:r w:rsidRPr="001D0A3A">
        <w:rPr>
          <w:rFonts w:ascii="Arial" w:hAnsi="Arial" w:cs="Arial"/>
          <w:sz w:val="20"/>
        </w:rPr>
        <w:t>Manager Sustainable Asset Management</w:t>
      </w:r>
    </w:p>
    <w:p w:rsidR="00874AF1" w:rsidRPr="001D0A3A" w:rsidRDefault="00874AF1" w:rsidP="008348B5">
      <w:pPr>
        <w:pStyle w:val="ListParagraph"/>
        <w:numPr>
          <w:ilvl w:val="0"/>
          <w:numId w:val="93"/>
        </w:numPr>
        <w:rPr>
          <w:rFonts w:ascii="Arial" w:hAnsi="Arial" w:cs="Arial"/>
          <w:sz w:val="20"/>
        </w:rPr>
      </w:pPr>
      <w:r w:rsidRPr="001D0A3A">
        <w:rPr>
          <w:rFonts w:ascii="Arial" w:hAnsi="Arial" w:cs="Arial"/>
          <w:sz w:val="20"/>
        </w:rPr>
        <w:t>Manager Finance</w:t>
      </w:r>
    </w:p>
    <w:p w:rsidR="00874AF1" w:rsidRPr="001D0A3A" w:rsidRDefault="00874AF1" w:rsidP="008348B5">
      <w:pPr>
        <w:pStyle w:val="ListParagraph"/>
        <w:numPr>
          <w:ilvl w:val="0"/>
          <w:numId w:val="93"/>
        </w:numPr>
        <w:rPr>
          <w:rFonts w:ascii="Arial" w:hAnsi="Arial" w:cs="Arial"/>
          <w:sz w:val="20"/>
        </w:rPr>
      </w:pPr>
      <w:r w:rsidRPr="001D0A3A">
        <w:rPr>
          <w:rFonts w:ascii="Arial" w:hAnsi="Arial" w:cs="Arial"/>
          <w:sz w:val="20"/>
        </w:rPr>
        <w:t xml:space="preserve">Manager Community Planning </w:t>
      </w:r>
      <w:r w:rsidR="00927AFA">
        <w:rPr>
          <w:rFonts w:ascii="Arial" w:hAnsi="Arial" w:cs="Arial"/>
          <w:sz w:val="20"/>
        </w:rPr>
        <w:t>and</w:t>
      </w:r>
      <w:r w:rsidRPr="001D0A3A">
        <w:rPr>
          <w:rFonts w:ascii="Arial" w:hAnsi="Arial" w:cs="Arial"/>
          <w:sz w:val="20"/>
        </w:rPr>
        <w:t xml:space="preserve"> Advocacy</w:t>
      </w:r>
    </w:p>
    <w:p w:rsidR="00874AF1" w:rsidRPr="001D0A3A" w:rsidRDefault="00874AF1" w:rsidP="008348B5">
      <w:pPr>
        <w:pStyle w:val="ListParagraph"/>
        <w:numPr>
          <w:ilvl w:val="0"/>
          <w:numId w:val="93"/>
        </w:numPr>
        <w:rPr>
          <w:rFonts w:ascii="Arial" w:hAnsi="Arial" w:cs="Arial"/>
          <w:sz w:val="20"/>
        </w:rPr>
      </w:pPr>
      <w:r w:rsidRPr="001D0A3A">
        <w:rPr>
          <w:rFonts w:ascii="Arial" w:hAnsi="Arial" w:cs="Arial"/>
          <w:sz w:val="20"/>
        </w:rPr>
        <w:t>Manager</w:t>
      </w:r>
      <w:r w:rsidR="005C38DE">
        <w:rPr>
          <w:rFonts w:ascii="Arial" w:hAnsi="Arial" w:cs="Arial"/>
          <w:sz w:val="20"/>
        </w:rPr>
        <w:t>,</w:t>
      </w:r>
      <w:r w:rsidRPr="001D0A3A">
        <w:rPr>
          <w:rFonts w:ascii="Arial" w:hAnsi="Arial" w:cs="Arial"/>
          <w:sz w:val="20"/>
        </w:rPr>
        <w:t xml:space="preserve"> Buildings </w:t>
      </w:r>
      <w:r w:rsidR="00927AFA">
        <w:rPr>
          <w:rFonts w:ascii="Arial" w:hAnsi="Arial" w:cs="Arial"/>
          <w:sz w:val="20"/>
        </w:rPr>
        <w:t>and</w:t>
      </w:r>
      <w:r w:rsidRPr="001D0A3A">
        <w:rPr>
          <w:rFonts w:ascii="Arial" w:hAnsi="Arial" w:cs="Arial"/>
          <w:sz w:val="20"/>
        </w:rPr>
        <w:t xml:space="preserve"> Property </w:t>
      </w:r>
    </w:p>
    <w:p w:rsidR="00874AF1" w:rsidRPr="001D0A3A" w:rsidRDefault="00874AF1" w:rsidP="008348B5">
      <w:pPr>
        <w:pStyle w:val="ListParagraph"/>
        <w:numPr>
          <w:ilvl w:val="0"/>
          <w:numId w:val="93"/>
        </w:numPr>
        <w:rPr>
          <w:rFonts w:ascii="Arial" w:hAnsi="Arial" w:cs="Arial"/>
          <w:sz w:val="20"/>
        </w:rPr>
      </w:pPr>
      <w:r w:rsidRPr="001D0A3A">
        <w:rPr>
          <w:rFonts w:ascii="Arial" w:hAnsi="Arial" w:cs="Arial"/>
          <w:sz w:val="20"/>
        </w:rPr>
        <w:t xml:space="preserve">Risk Management </w:t>
      </w:r>
      <w:r w:rsidR="00927AFA">
        <w:rPr>
          <w:rFonts w:ascii="Arial" w:hAnsi="Arial" w:cs="Arial"/>
          <w:sz w:val="20"/>
        </w:rPr>
        <w:t>and</w:t>
      </w:r>
      <w:r w:rsidRPr="001D0A3A">
        <w:rPr>
          <w:rFonts w:ascii="Arial" w:hAnsi="Arial" w:cs="Arial"/>
          <w:sz w:val="20"/>
        </w:rPr>
        <w:t xml:space="preserve"> Insurance Co-ordinator</w:t>
      </w:r>
    </w:p>
    <w:p w:rsidR="00874AF1" w:rsidRPr="001D0A3A" w:rsidRDefault="00874AF1" w:rsidP="008348B5">
      <w:pPr>
        <w:pStyle w:val="ListParagraph"/>
        <w:numPr>
          <w:ilvl w:val="0"/>
          <w:numId w:val="93"/>
        </w:numPr>
        <w:rPr>
          <w:rFonts w:ascii="Arial" w:hAnsi="Arial" w:cs="Arial"/>
          <w:sz w:val="20"/>
        </w:rPr>
      </w:pPr>
      <w:r w:rsidRPr="001D0A3A">
        <w:rPr>
          <w:rFonts w:ascii="Arial" w:hAnsi="Arial" w:cs="Arial"/>
          <w:sz w:val="20"/>
        </w:rPr>
        <w:t xml:space="preserve">Environment Co-ordinator; and </w:t>
      </w:r>
    </w:p>
    <w:p w:rsidR="00874AF1" w:rsidRPr="001D0A3A" w:rsidRDefault="001D0A3A" w:rsidP="008348B5">
      <w:pPr>
        <w:pStyle w:val="ListParagraph"/>
        <w:numPr>
          <w:ilvl w:val="0"/>
          <w:numId w:val="93"/>
        </w:numPr>
        <w:rPr>
          <w:rFonts w:ascii="Arial" w:hAnsi="Arial" w:cs="Arial"/>
          <w:sz w:val="20"/>
        </w:rPr>
      </w:pPr>
      <w:r>
        <w:rPr>
          <w:rFonts w:ascii="Arial" w:hAnsi="Arial" w:cs="Arial"/>
          <w:sz w:val="20"/>
        </w:rPr>
        <w:t>S</w:t>
      </w:r>
      <w:r w:rsidR="00874AF1" w:rsidRPr="001D0A3A">
        <w:rPr>
          <w:rFonts w:ascii="Arial" w:hAnsi="Arial" w:cs="Arial"/>
          <w:sz w:val="20"/>
        </w:rPr>
        <w:t>upported by the Capital Works Planner</w:t>
      </w:r>
    </w:p>
    <w:p w:rsidR="00874AF1" w:rsidRPr="00874AF1" w:rsidRDefault="00874AF1" w:rsidP="001D0A3A">
      <w:pPr>
        <w:ind w:left="720"/>
      </w:pPr>
    </w:p>
    <w:p w:rsidR="00874AF1" w:rsidRDefault="00874AF1" w:rsidP="001D0A3A">
      <w:pPr>
        <w:ind w:left="720"/>
      </w:pPr>
      <w:r w:rsidRPr="00874AF1">
        <w:t>When evaluating project bids the panel will ensure that bids are consistent with Council</w:t>
      </w:r>
      <w:r w:rsidR="008473C2">
        <w:t>’</w:t>
      </w:r>
      <w:r w:rsidRPr="00874AF1">
        <w:t>s Asset Manag</w:t>
      </w:r>
      <w:r w:rsidR="001D0A3A">
        <w:t>ement Policy in particular that:</w:t>
      </w:r>
    </w:p>
    <w:p w:rsidR="001D0A3A" w:rsidRPr="00874AF1" w:rsidRDefault="001D0A3A" w:rsidP="001D0A3A">
      <w:pPr>
        <w:ind w:left="720"/>
      </w:pPr>
    </w:p>
    <w:p w:rsidR="00874AF1" w:rsidRPr="001D0A3A" w:rsidRDefault="00874AF1" w:rsidP="008348B5">
      <w:pPr>
        <w:pStyle w:val="ListParagraph"/>
        <w:numPr>
          <w:ilvl w:val="0"/>
          <w:numId w:val="93"/>
        </w:numPr>
        <w:rPr>
          <w:rFonts w:ascii="Arial" w:hAnsi="Arial" w:cs="Arial"/>
          <w:sz w:val="20"/>
        </w:rPr>
      </w:pPr>
      <w:r w:rsidRPr="001D0A3A">
        <w:rPr>
          <w:rFonts w:ascii="Arial" w:hAnsi="Arial" w:cs="Arial"/>
          <w:sz w:val="20"/>
        </w:rPr>
        <w:t>Prior to the consideration of any new asset acquisition and/or major redevelopment/ upgrade to an existing asset, a detailed cost-benefit analysis including life cycle costing, has been developed and consultation undertaken with the community;</w:t>
      </w:r>
    </w:p>
    <w:p w:rsidR="00874AF1" w:rsidRPr="001D0A3A" w:rsidRDefault="00874AF1" w:rsidP="008348B5">
      <w:pPr>
        <w:pStyle w:val="ListParagraph"/>
        <w:numPr>
          <w:ilvl w:val="0"/>
          <w:numId w:val="93"/>
        </w:numPr>
        <w:rPr>
          <w:rFonts w:ascii="Arial" w:hAnsi="Arial" w:cs="Arial"/>
          <w:sz w:val="20"/>
        </w:rPr>
      </w:pPr>
      <w:r w:rsidRPr="001D0A3A">
        <w:rPr>
          <w:rFonts w:ascii="Arial" w:hAnsi="Arial" w:cs="Arial"/>
          <w:sz w:val="20"/>
        </w:rPr>
        <w:t>Decisions to provide new services or assets to the community shall be based on information that justifies initial expenditure and includes the long term ongoing investment required to ensure the services and assets can continue to perform for the benefit of current and future generations; and</w:t>
      </w:r>
    </w:p>
    <w:p w:rsidR="00874AF1" w:rsidRPr="001D0A3A" w:rsidRDefault="00874AF1" w:rsidP="008348B5">
      <w:pPr>
        <w:pStyle w:val="ListParagraph"/>
        <w:numPr>
          <w:ilvl w:val="0"/>
          <w:numId w:val="93"/>
        </w:numPr>
        <w:rPr>
          <w:rFonts w:ascii="Arial" w:hAnsi="Arial" w:cs="Arial"/>
          <w:sz w:val="20"/>
        </w:rPr>
      </w:pPr>
      <w:r w:rsidRPr="001D0A3A">
        <w:rPr>
          <w:rFonts w:ascii="Arial" w:hAnsi="Arial" w:cs="Arial"/>
          <w:sz w:val="20"/>
        </w:rPr>
        <w:t>Council shall aim to prioritise the provision of funding for legal compliance, renewal, maintenance, and operation of existing assets in preference to financing new works or asset upgrades.</w:t>
      </w:r>
    </w:p>
    <w:p w:rsidR="00874AF1" w:rsidRPr="00874AF1" w:rsidRDefault="00874AF1" w:rsidP="001D0A3A">
      <w:pPr>
        <w:ind w:left="720"/>
      </w:pPr>
    </w:p>
    <w:p w:rsidR="00874AF1" w:rsidRDefault="00874AF1" w:rsidP="001D0A3A">
      <w:pPr>
        <w:ind w:left="720"/>
      </w:pPr>
      <w:r w:rsidRPr="00874AF1">
        <w:t>All projects including those nominated by Councillors during the budget process will be evaluated using the information supplied on the application form under the following classifi</w:t>
      </w:r>
      <w:r w:rsidR="001D0A3A">
        <w:t>cations:</w:t>
      </w:r>
    </w:p>
    <w:p w:rsidR="001D0A3A" w:rsidRPr="001D0A3A" w:rsidRDefault="001D0A3A" w:rsidP="000E7FA6">
      <w:pPr>
        <w:pStyle w:val="ListParagraph"/>
        <w:ind w:left="1080"/>
        <w:rPr>
          <w:rFonts w:ascii="Arial" w:hAnsi="Arial" w:cs="Arial"/>
          <w:sz w:val="20"/>
        </w:rPr>
      </w:pPr>
    </w:p>
    <w:p w:rsidR="00874AF1" w:rsidRPr="001D0A3A" w:rsidRDefault="00874AF1" w:rsidP="008348B5">
      <w:pPr>
        <w:pStyle w:val="ListParagraph"/>
        <w:numPr>
          <w:ilvl w:val="0"/>
          <w:numId w:val="93"/>
        </w:numPr>
        <w:rPr>
          <w:rFonts w:ascii="Arial" w:hAnsi="Arial" w:cs="Arial"/>
          <w:sz w:val="20"/>
        </w:rPr>
      </w:pPr>
      <w:r w:rsidRPr="001D0A3A">
        <w:rPr>
          <w:rFonts w:ascii="Arial" w:hAnsi="Arial" w:cs="Arial"/>
          <w:sz w:val="20"/>
        </w:rPr>
        <w:t>Council Plan/Council approved Strategy, Master Plan or Asset Management Plan;</w:t>
      </w:r>
    </w:p>
    <w:p w:rsidR="00874AF1" w:rsidRPr="001D0A3A" w:rsidRDefault="00874AF1" w:rsidP="008348B5">
      <w:pPr>
        <w:pStyle w:val="ListParagraph"/>
        <w:numPr>
          <w:ilvl w:val="0"/>
          <w:numId w:val="93"/>
        </w:numPr>
        <w:rPr>
          <w:rFonts w:ascii="Arial" w:hAnsi="Arial" w:cs="Arial"/>
          <w:sz w:val="20"/>
        </w:rPr>
      </w:pPr>
      <w:r w:rsidRPr="001D0A3A">
        <w:rPr>
          <w:rFonts w:ascii="Arial" w:hAnsi="Arial" w:cs="Arial"/>
          <w:sz w:val="20"/>
        </w:rPr>
        <w:t>Community Benefit;</w:t>
      </w:r>
    </w:p>
    <w:p w:rsidR="00874AF1" w:rsidRPr="001D0A3A" w:rsidRDefault="00874AF1" w:rsidP="008348B5">
      <w:pPr>
        <w:pStyle w:val="ListParagraph"/>
        <w:numPr>
          <w:ilvl w:val="0"/>
          <w:numId w:val="93"/>
        </w:numPr>
        <w:rPr>
          <w:rFonts w:ascii="Arial" w:hAnsi="Arial" w:cs="Arial"/>
          <w:sz w:val="20"/>
        </w:rPr>
      </w:pPr>
      <w:r w:rsidRPr="001D0A3A">
        <w:rPr>
          <w:rFonts w:ascii="Arial" w:hAnsi="Arial" w:cs="Arial"/>
          <w:sz w:val="20"/>
        </w:rPr>
        <w:t>Financial Impact;</w:t>
      </w:r>
    </w:p>
    <w:p w:rsidR="00874AF1" w:rsidRPr="001D0A3A" w:rsidRDefault="00874AF1" w:rsidP="008348B5">
      <w:pPr>
        <w:pStyle w:val="ListParagraph"/>
        <w:numPr>
          <w:ilvl w:val="0"/>
          <w:numId w:val="93"/>
        </w:numPr>
        <w:rPr>
          <w:rFonts w:ascii="Arial" w:hAnsi="Arial" w:cs="Arial"/>
          <w:sz w:val="20"/>
        </w:rPr>
      </w:pPr>
      <w:r w:rsidRPr="001D0A3A">
        <w:rPr>
          <w:rFonts w:ascii="Arial" w:hAnsi="Arial" w:cs="Arial"/>
          <w:sz w:val="20"/>
        </w:rPr>
        <w:t>Environmental Sustainability; and</w:t>
      </w:r>
    </w:p>
    <w:p w:rsidR="00874AF1" w:rsidRPr="001D0A3A" w:rsidRDefault="00874AF1" w:rsidP="008348B5">
      <w:pPr>
        <w:pStyle w:val="ListParagraph"/>
        <w:numPr>
          <w:ilvl w:val="0"/>
          <w:numId w:val="93"/>
        </w:numPr>
        <w:rPr>
          <w:rFonts w:ascii="Arial" w:hAnsi="Arial" w:cs="Arial"/>
          <w:sz w:val="20"/>
        </w:rPr>
      </w:pPr>
      <w:r w:rsidRPr="001D0A3A">
        <w:rPr>
          <w:rFonts w:ascii="Arial" w:hAnsi="Arial" w:cs="Arial"/>
          <w:sz w:val="20"/>
        </w:rPr>
        <w:t>Risk Management.</w:t>
      </w:r>
    </w:p>
    <w:p w:rsidR="00874AF1" w:rsidRPr="00874AF1" w:rsidRDefault="00874AF1" w:rsidP="001D0A3A">
      <w:pPr>
        <w:ind w:left="720"/>
      </w:pPr>
    </w:p>
    <w:p w:rsidR="00874AF1" w:rsidRPr="00874AF1" w:rsidRDefault="00874AF1" w:rsidP="001D0A3A">
      <w:pPr>
        <w:ind w:left="720"/>
        <w:rPr>
          <w:rFonts w:cs="Arial"/>
        </w:rPr>
      </w:pPr>
      <w:r w:rsidRPr="00874AF1">
        <w:rPr>
          <w:rFonts w:cs="Arial"/>
        </w:rPr>
        <w:t>When recommending the draft capital works program, the following parameters will also be used to sort the priority of projects:-</w:t>
      </w:r>
    </w:p>
    <w:p w:rsidR="00874AF1" w:rsidRPr="00874AF1" w:rsidRDefault="00874AF1" w:rsidP="001D0A3A">
      <w:pPr>
        <w:ind w:left="720"/>
        <w:rPr>
          <w:rFonts w:cs="Arial"/>
        </w:rPr>
      </w:pPr>
    </w:p>
    <w:p w:rsidR="00874AF1" w:rsidRPr="001D0A3A" w:rsidRDefault="00874AF1" w:rsidP="008348B5">
      <w:pPr>
        <w:pStyle w:val="ListParagraph"/>
        <w:numPr>
          <w:ilvl w:val="0"/>
          <w:numId w:val="94"/>
        </w:numPr>
        <w:rPr>
          <w:rFonts w:ascii="Arial" w:hAnsi="Arial" w:cs="Arial"/>
          <w:sz w:val="20"/>
        </w:rPr>
      </w:pPr>
      <w:r w:rsidRPr="001D0A3A">
        <w:rPr>
          <w:rFonts w:ascii="Arial" w:hAnsi="Arial" w:cs="Arial"/>
          <w:sz w:val="20"/>
        </w:rPr>
        <w:t xml:space="preserve">The Council Plan, the long term financial plan (LTFP) and the relevant Asset Management Plan (AMP) are the core considerations for proposing capital programs; </w:t>
      </w:r>
    </w:p>
    <w:p w:rsidR="00874AF1" w:rsidRPr="001D0A3A" w:rsidRDefault="00874AF1" w:rsidP="008348B5">
      <w:pPr>
        <w:pStyle w:val="ListParagraph"/>
        <w:numPr>
          <w:ilvl w:val="0"/>
          <w:numId w:val="94"/>
        </w:numPr>
        <w:rPr>
          <w:rFonts w:ascii="Arial" w:hAnsi="Arial" w:cs="Arial"/>
          <w:sz w:val="20"/>
        </w:rPr>
      </w:pPr>
      <w:r w:rsidRPr="001D0A3A">
        <w:rPr>
          <w:rFonts w:ascii="Arial" w:hAnsi="Arial" w:cs="Arial"/>
          <w:sz w:val="20"/>
        </w:rPr>
        <w:t>Projects are sorted into renewals, upgrades, new or compliance projects, initial priority ranking is provided by the Service Manager;</w:t>
      </w:r>
    </w:p>
    <w:p w:rsidR="00874AF1" w:rsidRPr="001D0A3A" w:rsidRDefault="00874AF1" w:rsidP="008348B5">
      <w:pPr>
        <w:pStyle w:val="ListParagraph"/>
        <w:numPr>
          <w:ilvl w:val="0"/>
          <w:numId w:val="94"/>
        </w:numPr>
        <w:rPr>
          <w:rFonts w:ascii="Arial" w:hAnsi="Arial" w:cs="Arial"/>
          <w:sz w:val="20"/>
        </w:rPr>
      </w:pPr>
      <w:r w:rsidRPr="001D0A3A">
        <w:rPr>
          <w:rFonts w:ascii="Arial" w:hAnsi="Arial" w:cs="Arial"/>
          <w:sz w:val="20"/>
        </w:rPr>
        <w:t>Projects submitted for consideration shall be given a priority if they are derived from a Strategic Plan, AMP, Master Plan, UDF (and the like) or from a specific Council or Executive resolution;</w:t>
      </w:r>
    </w:p>
    <w:p w:rsidR="00874AF1" w:rsidRDefault="00874AF1" w:rsidP="008348B5">
      <w:pPr>
        <w:pStyle w:val="ListParagraph"/>
        <w:numPr>
          <w:ilvl w:val="0"/>
          <w:numId w:val="94"/>
        </w:numPr>
        <w:rPr>
          <w:rFonts w:ascii="Arial" w:hAnsi="Arial" w:cs="Arial"/>
          <w:sz w:val="20"/>
        </w:rPr>
      </w:pPr>
      <w:r w:rsidRPr="001D0A3A">
        <w:rPr>
          <w:rFonts w:ascii="Arial" w:hAnsi="Arial" w:cs="Arial"/>
          <w:sz w:val="20"/>
        </w:rPr>
        <w:t xml:space="preserve">Complex new and upgrade projects over $250k may be planned to be delivered over a </w:t>
      </w:r>
      <w:r w:rsidR="001D0A3A">
        <w:rPr>
          <w:rFonts w:ascii="Arial" w:hAnsi="Arial" w:cs="Arial"/>
          <w:sz w:val="20"/>
        </w:rPr>
        <w:t>two</w:t>
      </w:r>
      <w:r w:rsidRPr="001D0A3A">
        <w:rPr>
          <w:rFonts w:ascii="Arial" w:hAnsi="Arial" w:cs="Arial"/>
          <w:sz w:val="20"/>
        </w:rPr>
        <w:t>-three year period. The</w:t>
      </w:r>
      <w:r w:rsidR="001D0A3A" w:rsidRPr="001D0A3A">
        <w:rPr>
          <w:rFonts w:ascii="Arial" w:hAnsi="Arial" w:cs="Arial"/>
          <w:sz w:val="20"/>
        </w:rPr>
        <w:t xml:space="preserve"> typical delivery model may be:</w:t>
      </w:r>
    </w:p>
    <w:p w:rsidR="00874AF1" w:rsidRPr="001D0A3A" w:rsidRDefault="00874AF1" w:rsidP="008348B5">
      <w:pPr>
        <w:pStyle w:val="ListParagraph"/>
        <w:numPr>
          <w:ilvl w:val="1"/>
          <w:numId w:val="94"/>
        </w:numPr>
        <w:rPr>
          <w:rFonts w:ascii="Arial" w:hAnsi="Arial" w:cs="Arial"/>
          <w:sz w:val="20"/>
        </w:rPr>
      </w:pPr>
      <w:r w:rsidRPr="001D0A3A">
        <w:rPr>
          <w:rFonts w:ascii="Arial" w:hAnsi="Arial" w:cs="Arial"/>
          <w:sz w:val="20"/>
        </w:rPr>
        <w:t xml:space="preserve">Year 1 -Concept planning, consultation </w:t>
      </w:r>
      <w:r w:rsidR="00927AFA">
        <w:rPr>
          <w:rFonts w:ascii="Arial" w:hAnsi="Arial" w:cs="Arial"/>
          <w:sz w:val="20"/>
        </w:rPr>
        <w:t>and</w:t>
      </w:r>
      <w:r w:rsidRPr="001D0A3A">
        <w:rPr>
          <w:rFonts w:ascii="Arial" w:hAnsi="Arial" w:cs="Arial"/>
          <w:sz w:val="20"/>
        </w:rPr>
        <w:t xml:space="preserve"> sign off of project brief;</w:t>
      </w:r>
    </w:p>
    <w:p w:rsidR="00874AF1" w:rsidRPr="001D0A3A" w:rsidRDefault="00874AF1" w:rsidP="008348B5">
      <w:pPr>
        <w:pStyle w:val="ListParagraph"/>
        <w:numPr>
          <w:ilvl w:val="1"/>
          <w:numId w:val="94"/>
        </w:numPr>
        <w:rPr>
          <w:rFonts w:ascii="Arial" w:hAnsi="Arial" w:cs="Arial"/>
          <w:sz w:val="20"/>
        </w:rPr>
      </w:pPr>
      <w:r w:rsidRPr="001D0A3A">
        <w:rPr>
          <w:rFonts w:ascii="Arial" w:hAnsi="Arial" w:cs="Arial"/>
          <w:sz w:val="20"/>
        </w:rPr>
        <w:t>Year 2 - Detailed design and obtaining permits;</w:t>
      </w:r>
      <w:r w:rsidR="001D0A3A">
        <w:rPr>
          <w:rFonts w:ascii="Arial" w:hAnsi="Arial" w:cs="Arial"/>
          <w:sz w:val="20"/>
        </w:rPr>
        <w:t xml:space="preserve"> and</w:t>
      </w:r>
    </w:p>
    <w:p w:rsidR="00874AF1" w:rsidRPr="001D0A3A" w:rsidRDefault="00874AF1" w:rsidP="008348B5">
      <w:pPr>
        <w:pStyle w:val="ListParagraph"/>
        <w:numPr>
          <w:ilvl w:val="1"/>
          <w:numId w:val="94"/>
        </w:numPr>
        <w:rPr>
          <w:rFonts w:ascii="Arial" w:hAnsi="Arial" w:cs="Arial"/>
          <w:sz w:val="20"/>
        </w:rPr>
      </w:pPr>
      <w:r w:rsidRPr="001D0A3A">
        <w:rPr>
          <w:rFonts w:ascii="Arial" w:hAnsi="Arial" w:cs="Arial"/>
          <w:sz w:val="20"/>
        </w:rPr>
        <w:t>Year 3 - Construction and defects liability monitoring.</w:t>
      </w:r>
    </w:p>
    <w:p w:rsidR="00874AF1" w:rsidRPr="00A24486" w:rsidRDefault="00874AF1" w:rsidP="008348B5">
      <w:pPr>
        <w:pStyle w:val="ListParagraph"/>
        <w:numPr>
          <w:ilvl w:val="0"/>
          <w:numId w:val="93"/>
        </w:numPr>
        <w:rPr>
          <w:rFonts w:ascii="Arial" w:hAnsi="Arial" w:cs="Arial"/>
          <w:sz w:val="20"/>
        </w:rPr>
      </w:pPr>
      <w:r w:rsidRPr="00A24486">
        <w:rPr>
          <w:rFonts w:ascii="Arial" w:hAnsi="Arial" w:cs="Arial"/>
          <w:sz w:val="20"/>
        </w:rPr>
        <w:t>Discussions and sign</w:t>
      </w:r>
      <w:r w:rsidR="000A0C29">
        <w:rPr>
          <w:rFonts w:ascii="Arial" w:hAnsi="Arial" w:cs="Arial"/>
          <w:sz w:val="20"/>
        </w:rPr>
        <w:t>-</w:t>
      </w:r>
      <w:r w:rsidRPr="00A24486">
        <w:rPr>
          <w:rFonts w:ascii="Arial" w:hAnsi="Arial" w:cs="Arial"/>
          <w:sz w:val="20"/>
        </w:rPr>
        <w:t xml:space="preserve">off between the Asset Owner, Service Manager and Project Manager </w:t>
      </w:r>
      <w:r w:rsidR="000A0C29">
        <w:rPr>
          <w:rFonts w:ascii="Arial" w:hAnsi="Arial" w:cs="Arial"/>
          <w:sz w:val="20"/>
        </w:rPr>
        <w:t>are</w:t>
      </w:r>
      <w:r w:rsidRPr="00A24486">
        <w:rPr>
          <w:rFonts w:ascii="Arial" w:hAnsi="Arial" w:cs="Arial"/>
          <w:sz w:val="20"/>
        </w:rPr>
        <w:t xml:space="preserve"> required in the development of projects. For renewal projects Asset Owner and Service Manager sign</w:t>
      </w:r>
      <w:r w:rsidR="000A0C29">
        <w:rPr>
          <w:rFonts w:ascii="Arial" w:hAnsi="Arial" w:cs="Arial"/>
          <w:sz w:val="20"/>
        </w:rPr>
        <w:t>-</w:t>
      </w:r>
      <w:r w:rsidRPr="00A24486">
        <w:rPr>
          <w:rFonts w:ascii="Arial" w:hAnsi="Arial" w:cs="Arial"/>
          <w:sz w:val="20"/>
        </w:rPr>
        <w:t>off is required. For new and upgrade projects the Service Manager requires sign off from both Asset Owner and Project Manager;</w:t>
      </w:r>
    </w:p>
    <w:p w:rsidR="00874AF1" w:rsidRPr="00A24486" w:rsidRDefault="00874AF1" w:rsidP="008348B5">
      <w:pPr>
        <w:pStyle w:val="ListParagraph"/>
        <w:numPr>
          <w:ilvl w:val="0"/>
          <w:numId w:val="93"/>
        </w:numPr>
        <w:rPr>
          <w:rFonts w:ascii="Arial" w:hAnsi="Arial" w:cs="Arial"/>
          <w:sz w:val="20"/>
        </w:rPr>
      </w:pPr>
      <w:r w:rsidRPr="00A24486">
        <w:rPr>
          <w:rFonts w:ascii="Arial" w:hAnsi="Arial" w:cs="Arial"/>
          <w:sz w:val="20"/>
        </w:rPr>
        <w:t>Where possible, projects should be submitted after integrated discussions across asset classes has occurred to encourage optimum use of resources and outputs; and</w:t>
      </w:r>
    </w:p>
    <w:p w:rsidR="00073EB9" w:rsidRPr="00A24486" w:rsidRDefault="00874AF1" w:rsidP="008348B5">
      <w:pPr>
        <w:pStyle w:val="ListParagraph"/>
        <w:numPr>
          <w:ilvl w:val="0"/>
          <w:numId w:val="93"/>
        </w:numPr>
        <w:rPr>
          <w:rFonts w:ascii="Arial" w:hAnsi="Arial" w:cs="Arial"/>
          <w:sz w:val="20"/>
        </w:rPr>
      </w:pPr>
      <w:r w:rsidRPr="00A24486">
        <w:rPr>
          <w:rFonts w:ascii="Arial" w:hAnsi="Arial" w:cs="Arial"/>
          <w:sz w:val="20"/>
        </w:rPr>
        <w:t>Projects without some level of mature planning will not progress. For example</w:t>
      </w:r>
      <w:r w:rsidR="000A0C29">
        <w:rPr>
          <w:rFonts w:ascii="Arial" w:hAnsi="Arial" w:cs="Arial"/>
          <w:sz w:val="20"/>
        </w:rPr>
        <w:t>,</w:t>
      </w:r>
      <w:r w:rsidRPr="00A24486">
        <w:rPr>
          <w:rFonts w:ascii="Arial" w:hAnsi="Arial" w:cs="Arial"/>
          <w:sz w:val="20"/>
        </w:rPr>
        <w:t xml:space="preserve"> projects that are poorly scoped, or lack consultation will not be supported.</w:t>
      </w:r>
    </w:p>
    <w:p w:rsidR="00073EB9" w:rsidRPr="009F2FE6" w:rsidRDefault="009F2FE6" w:rsidP="003E5B9F">
      <w:pPr>
        <w:pStyle w:val="StyleHeading3Heading3Char10ptBefore6pt"/>
      </w:pPr>
      <w:bookmarkStart w:id="542" w:name="_Toc364945313"/>
      <w:r>
        <w:t xml:space="preserve">10 Year </w:t>
      </w:r>
      <w:r w:rsidR="00073EB9" w:rsidRPr="009F2FE6">
        <w:t xml:space="preserve">New </w:t>
      </w:r>
      <w:r>
        <w:t>Works and Upgrade</w:t>
      </w:r>
      <w:r w:rsidR="00073EB9" w:rsidRPr="009F2FE6">
        <w:t xml:space="preserve"> Capital Works Programme</w:t>
      </w:r>
      <w:bookmarkEnd w:id="542"/>
    </w:p>
    <w:p w:rsidR="0012538F" w:rsidRDefault="00073EB9" w:rsidP="00A24486">
      <w:pPr>
        <w:ind w:left="720"/>
      </w:pPr>
      <w:r w:rsidRPr="00CD7D4F">
        <w:t>New development works relating to growth and level of service is projected to total $</w:t>
      </w:r>
      <w:r w:rsidR="00ED3BE6">
        <w:t>105</w:t>
      </w:r>
      <w:r w:rsidRPr="00CD7D4F">
        <w:t xml:space="preserve"> million over the </w:t>
      </w:r>
      <w:r w:rsidR="00ED3BE6">
        <w:t>next ten years</w:t>
      </w:r>
      <w:r w:rsidRPr="00CD7D4F">
        <w:t>.</w:t>
      </w:r>
      <w:r w:rsidR="0077670A" w:rsidRPr="00CD7D4F">
        <w:t xml:space="preserve"> </w:t>
      </w:r>
    </w:p>
    <w:p w:rsidR="00430953" w:rsidRDefault="00430953" w:rsidP="00A24486">
      <w:pPr>
        <w:ind w:left="720"/>
      </w:pPr>
    </w:p>
    <w:p w:rsidR="0077670A" w:rsidRDefault="0012538F" w:rsidP="00A24486">
      <w:pPr>
        <w:ind w:left="720"/>
      </w:pPr>
      <w:r>
        <w:t xml:space="preserve">The new works and upgrade </w:t>
      </w:r>
      <w:r w:rsidR="00ED3BE6">
        <w:t xml:space="preserve">budgets are </w:t>
      </w:r>
      <w:r w:rsidR="00073EB9" w:rsidRPr="00CD7D4F">
        <w:t xml:space="preserve">shown in the </w:t>
      </w:r>
      <w:r>
        <w:t>Figure</w:t>
      </w:r>
      <w:r w:rsidR="00073EB9" w:rsidRPr="00CD7D4F">
        <w:t xml:space="preserve"> below:</w:t>
      </w:r>
    </w:p>
    <w:p w:rsidR="00E113F5" w:rsidRPr="00CD7D4F" w:rsidRDefault="00E113F5" w:rsidP="00A24486">
      <w:pPr>
        <w:ind w:left="720"/>
      </w:pPr>
    </w:p>
    <w:p w:rsidR="00ED3BE6" w:rsidRDefault="00877B83" w:rsidP="00E113F5">
      <w:pPr>
        <w:pStyle w:val="BodyTextIndent"/>
        <w:ind w:left="709"/>
        <w:jc w:val="right"/>
      </w:pPr>
      <w:r w:rsidRPr="00877B83">
        <w:rPr>
          <w:noProof/>
        </w:rPr>
        <w:drawing>
          <wp:inline distT="0" distB="0" distL="0" distR="0" wp14:anchorId="49F7FBC4" wp14:editId="49826CB0">
            <wp:extent cx="5240215" cy="2998177"/>
            <wp:effectExtent l="0" t="0" r="17780" b="12065"/>
            <wp:docPr id="236"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E113F5" w:rsidRPr="009B244A" w:rsidRDefault="00E113F5" w:rsidP="00E113F5">
      <w:pPr>
        <w:pStyle w:val="Caption"/>
        <w:spacing w:before="240" w:after="240"/>
        <w:ind w:left="709"/>
        <w:jc w:val="center"/>
        <w:rPr>
          <w:rFonts w:ascii="Arial" w:hAnsi="Arial"/>
          <w:i w:val="0"/>
          <w:iCs w:val="0"/>
          <w:sz w:val="20"/>
          <w:szCs w:val="18"/>
          <w:lang w:val="en-AU"/>
        </w:rPr>
      </w:pPr>
      <w:bookmarkStart w:id="543" w:name="_Toc364945395"/>
      <w:r w:rsidRPr="009B244A">
        <w:rPr>
          <w:rFonts w:ascii="Arial" w:hAnsi="Arial"/>
          <w:i w:val="0"/>
          <w:iCs w:val="0"/>
          <w:sz w:val="20"/>
          <w:szCs w:val="18"/>
          <w:lang w:val="en-AU"/>
        </w:rPr>
        <w:t xml:space="preserve">Figure </w:t>
      </w:r>
      <w:r w:rsidR="0090414C" w:rsidRPr="009B244A">
        <w:rPr>
          <w:rFonts w:ascii="Arial" w:hAnsi="Arial"/>
          <w:i w:val="0"/>
          <w:iCs w:val="0"/>
          <w:sz w:val="20"/>
          <w:szCs w:val="18"/>
          <w:lang w:val="en-AU"/>
        </w:rPr>
        <w:fldChar w:fldCharType="begin"/>
      </w:r>
      <w:r w:rsidRPr="009B244A">
        <w:rPr>
          <w:rFonts w:ascii="Arial" w:hAnsi="Arial"/>
          <w:i w:val="0"/>
          <w:iCs w:val="0"/>
          <w:sz w:val="20"/>
          <w:szCs w:val="18"/>
          <w:lang w:val="en-AU"/>
        </w:rPr>
        <w:instrText xml:space="preserve"> SEQ Figure \* ARABIC </w:instrText>
      </w:r>
      <w:r w:rsidR="0090414C" w:rsidRPr="009B244A">
        <w:rPr>
          <w:rFonts w:ascii="Arial" w:hAnsi="Arial"/>
          <w:i w:val="0"/>
          <w:iCs w:val="0"/>
          <w:sz w:val="20"/>
          <w:szCs w:val="18"/>
          <w:lang w:val="en-AU"/>
        </w:rPr>
        <w:fldChar w:fldCharType="separate"/>
      </w:r>
      <w:r w:rsidR="00751CEC">
        <w:rPr>
          <w:rFonts w:ascii="Arial" w:hAnsi="Arial"/>
          <w:i w:val="0"/>
          <w:iCs w:val="0"/>
          <w:noProof/>
          <w:sz w:val="20"/>
          <w:szCs w:val="18"/>
          <w:lang w:val="en-AU"/>
        </w:rPr>
        <w:t>31</w:t>
      </w:r>
      <w:r w:rsidR="0090414C" w:rsidRPr="009B244A">
        <w:rPr>
          <w:rFonts w:ascii="Arial" w:hAnsi="Arial"/>
          <w:i w:val="0"/>
          <w:iCs w:val="0"/>
          <w:sz w:val="20"/>
          <w:szCs w:val="18"/>
          <w:lang w:val="en-AU"/>
        </w:rPr>
        <w:fldChar w:fldCharType="end"/>
      </w:r>
      <w:r w:rsidRPr="009B244A">
        <w:rPr>
          <w:rFonts w:ascii="Arial" w:hAnsi="Arial"/>
          <w:i w:val="0"/>
          <w:iCs w:val="0"/>
          <w:sz w:val="20"/>
          <w:szCs w:val="18"/>
          <w:lang w:val="en-AU"/>
        </w:rPr>
        <w:t>:  10 Year New Capital Works Programme</w:t>
      </w:r>
      <w:r w:rsidR="001C4DA2" w:rsidRPr="009B244A">
        <w:rPr>
          <w:rFonts w:ascii="Arial" w:hAnsi="Arial"/>
          <w:i w:val="0"/>
          <w:iCs w:val="0"/>
          <w:sz w:val="20"/>
          <w:szCs w:val="18"/>
          <w:lang w:val="en-AU"/>
        </w:rPr>
        <w:t xml:space="preserve"> for Upgrade and New Work</w:t>
      </w:r>
      <w:r w:rsidR="00D60852" w:rsidRPr="009B244A">
        <w:rPr>
          <w:rFonts w:ascii="Arial" w:hAnsi="Arial"/>
          <w:i w:val="0"/>
          <w:iCs w:val="0"/>
          <w:sz w:val="20"/>
          <w:szCs w:val="18"/>
          <w:lang w:val="en-AU"/>
        </w:rPr>
        <w:t>s</w:t>
      </w:r>
      <w:bookmarkEnd w:id="543"/>
    </w:p>
    <w:p w:rsidR="00E96F28" w:rsidRPr="00CF2212" w:rsidRDefault="00D263FC" w:rsidP="00CF2212">
      <w:pPr>
        <w:pStyle w:val="Heading2"/>
      </w:pPr>
      <w:bookmarkStart w:id="544" w:name="_Toc286645713"/>
      <w:bookmarkStart w:id="545" w:name="_Toc364945314"/>
      <w:bookmarkStart w:id="546" w:name="OLE_LINK9"/>
      <w:bookmarkStart w:id="547" w:name="OLE_LINK10"/>
      <w:r w:rsidRPr="00CF2212">
        <w:t xml:space="preserve">Asset </w:t>
      </w:r>
      <w:r w:rsidR="00E96F28" w:rsidRPr="00CF2212">
        <w:t xml:space="preserve">Disposal </w:t>
      </w:r>
      <w:bookmarkEnd w:id="544"/>
      <w:r w:rsidRPr="00CF2212">
        <w:t>and Rationalisation Plan</w:t>
      </w:r>
      <w:bookmarkEnd w:id="545"/>
    </w:p>
    <w:bookmarkEnd w:id="546"/>
    <w:bookmarkEnd w:id="547"/>
    <w:p w:rsidR="00D263FC" w:rsidRDefault="00290697" w:rsidP="00E113F5">
      <w:r w:rsidRPr="00CD7D4F">
        <w:t>Disposal is any work associated with the disposal or decommissioning of an asset (i.e. sale, demolition, or relocation. Disposal is the retirement or sale of assets whether surplus or superseded by ne</w:t>
      </w:r>
      <w:r w:rsidR="00E113F5">
        <w:t>w or improved systems.</w:t>
      </w:r>
    </w:p>
    <w:p w:rsidR="00E113F5" w:rsidRDefault="00E113F5" w:rsidP="00E113F5"/>
    <w:p w:rsidR="00290697" w:rsidRDefault="00290697" w:rsidP="00E113F5">
      <w:r w:rsidRPr="00CD7D4F">
        <w:t>Assets may become surplus to requirements for any of the following reasons:</w:t>
      </w:r>
    </w:p>
    <w:p w:rsidR="00E113F5" w:rsidRPr="00CD7D4F" w:rsidRDefault="00E113F5" w:rsidP="00E113F5"/>
    <w:p w:rsidR="00290697" w:rsidRPr="00E113F5" w:rsidRDefault="00290697" w:rsidP="008348B5">
      <w:pPr>
        <w:pStyle w:val="ListParagraph"/>
        <w:numPr>
          <w:ilvl w:val="0"/>
          <w:numId w:val="95"/>
        </w:numPr>
        <w:rPr>
          <w:rFonts w:ascii="Arial" w:hAnsi="Arial" w:cs="Arial"/>
          <w:sz w:val="20"/>
        </w:rPr>
      </w:pPr>
      <w:r w:rsidRPr="00E113F5">
        <w:rPr>
          <w:rFonts w:ascii="Arial" w:hAnsi="Arial" w:cs="Arial"/>
          <w:sz w:val="20"/>
        </w:rPr>
        <w:t>under utilisation</w:t>
      </w:r>
    </w:p>
    <w:p w:rsidR="00290697" w:rsidRPr="00E113F5" w:rsidRDefault="00290697" w:rsidP="008348B5">
      <w:pPr>
        <w:pStyle w:val="ListParagraph"/>
        <w:numPr>
          <w:ilvl w:val="0"/>
          <w:numId w:val="95"/>
        </w:numPr>
        <w:rPr>
          <w:rFonts w:ascii="Arial" w:hAnsi="Arial" w:cs="Arial"/>
          <w:sz w:val="20"/>
        </w:rPr>
      </w:pPr>
      <w:r w:rsidRPr="00E113F5">
        <w:rPr>
          <w:rFonts w:ascii="Arial" w:hAnsi="Arial" w:cs="Arial"/>
          <w:sz w:val="20"/>
        </w:rPr>
        <w:t>obsolescence</w:t>
      </w:r>
    </w:p>
    <w:p w:rsidR="00290697" w:rsidRPr="00E113F5" w:rsidRDefault="00290697" w:rsidP="008348B5">
      <w:pPr>
        <w:pStyle w:val="ListParagraph"/>
        <w:numPr>
          <w:ilvl w:val="0"/>
          <w:numId w:val="95"/>
        </w:numPr>
        <w:rPr>
          <w:rFonts w:ascii="Arial" w:hAnsi="Arial" w:cs="Arial"/>
          <w:sz w:val="20"/>
        </w:rPr>
      </w:pPr>
      <w:r w:rsidRPr="00E113F5">
        <w:rPr>
          <w:rFonts w:ascii="Arial" w:hAnsi="Arial" w:cs="Arial"/>
          <w:sz w:val="20"/>
        </w:rPr>
        <w:t>provision exceeds required level of service</w:t>
      </w:r>
    </w:p>
    <w:p w:rsidR="00290697" w:rsidRPr="00E113F5" w:rsidRDefault="00290697" w:rsidP="008348B5">
      <w:pPr>
        <w:pStyle w:val="ListParagraph"/>
        <w:numPr>
          <w:ilvl w:val="0"/>
          <w:numId w:val="95"/>
        </w:numPr>
        <w:rPr>
          <w:rFonts w:ascii="Arial" w:hAnsi="Arial" w:cs="Arial"/>
          <w:sz w:val="20"/>
        </w:rPr>
      </w:pPr>
      <w:r w:rsidRPr="00E113F5">
        <w:rPr>
          <w:rFonts w:ascii="Arial" w:hAnsi="Arial" w:cs="Arial"/>
          <w:sz w:val="20"/>
        </w:rPr>
        <w:t>assets replaced before its predicted economic life</w:t>
      </w:r>
    </w:p>
    <w:p w:rsidR="00290697" w:rsidRPr="00E113F5" w:rsidRDefault="00290697" w:rsidP="008348B5">
      <w:pPr>
        <w:pStyle w:val="ListParagraph"/>
        <w:numPr>
          <w:ilvl w:val="0"/>
          <w:numId w:val="95"/>
        </w:numPr>
        <w:rPr>
          <w:rFonts w:ascii="Arial" w:hAnsi="Arial" w:cs="Arial"/>
          <w:sz w:val="20"/>
        </w:rPr>
      </w:pPr>
      <w:r w:rsidRPr="00E113F5">
        <w:rPr>
          <w:rFonts w:ascii="Arial" w:hAnsi="Arial" w:cs="Arial"/>
          <w:sz w:val="20"/>
        </w:rPr>
        <w:t>uneconomic to upgrade or operate</w:t>
      </w:r>
    </w:p>
    <w:p w:rsidR="00290697" w:rsidRPr="00E113F5" w:rsidRDefault="00290697" w:rsidP="008348B5">
      <w:pPr>
        <w:pStyle w:val="ListParagraph"/>
        <w:numPr>
          <w:ilvl w:val="0"/>
          <w:numId w:val="95"/>
        </w:numPr>
        <w:rPr>
          <w:rFonts w:ascii="Arial" w:hAnsi="Arial" w:cs="Arial"/>
          <w:sz w:val="20"/>
        </w:rPr>
      </w:pPr>
      <w:r w:rsidRPr="00E113F5">
        <w:rPr>
          <w:rFonts w:ascii="Arial" w:hAnsi="Arial" w:cs="Arial"/>
          <w:sz w:val="20"/>
        </w:rPr>
        <w:t>policy changes that result, for example, in a reductions in levels of service</w:t>
      </w:r>
    </w:p>
    <w:p w:rsidR="00290697" w:rsidRPr="00E113F5" w:rsidRDefault="00290697" w:rsidP="008348B5">
      <w:pPr>
        <w:pStyle w:val="ListParagraph"/>
        <w:numPr>
          <w:ilvl w:val="0"/>
          <w:numId w:val="95"/>
        </w:numPr>
        <w:rPr>
          <w:rFonts w:ascii="Arial" w:hAnsi="Arial" w:cs="Arial"/>
          <w:sz w:val="20"/>
        </w:rPr>
      </w:pPr>
      <w:r w:rsidRPr="00E113F5">
        <w:rPr>
          <w:rFonts w:ascii="Arial" w:hAnsi="Arial" w:cs="Arial"/>
          <w:sz w:val="20"/>
        </w:rPr>
        <w:t>potential risk of ownership</w:t>
      </w:r>
      <w:r w:rsidR="00125736" w:rsidRPr="00E113F5">
        <w:rPr>
          <w:rFonts w:ascii="Arial" w:hAnsi="Arial" w:cs="Arial"/>
          <w:sz w:val="20"/>
        </w:rPr>
        <w:t xml:space="preserve"> (financial, environmental, legal, social, vandalism)</w:t>
      </w:r>
    </w:p>
    <w:p w:rsidR="00290697" w:rsidRPr="00E113F5" w:rsidRDefault="00290697" w:rsidP="008348B5">
      <w:pPr>
        <w:pStyle w:val="ListParagraph"/>
        <w:numPr>
          <w:ilvl w:val="0"/>
          <w:numId w:val="95"/>
        </w:numPr>
        <w:rPr>
          <w:rFonts w:ascii="Arial" w:hAnsi="Arial" w:cs="Arial"/>
          <w:sz w:val="20"/>
        </w:rPr>
      </w:pPr>
      <w:r w:rsidRPr="00E113F5">
        <w:rPr>
          <w:rFonts w:ascii="Arial" w:hAnsi="Arial" w:cs="Arial"/>
          <w:sz w:val="20"/>
        </w:rPr>
        <w:t>service provided by other means</w:t>
      </w:r>
    </w:p>
    <w:p w:rsidR="00125736" w:rsidRPr="006331D1" w:rsidRDefault="00321251" w:rsidP="003E5B9F">
      <w:pPr>
        <w:pStyle w:val="StyleHeading3Heading3Char10ptBefore6pt"/>
      </w:pPr>
      <w:bookmarkStart w:id="548" w:name="_Toc364945315"/>
      <w:r>
        <w:t>Disposal</w:t>
      </w:r>
      <w:r w:rsidR="00125736" w:rsidRPr="006331D1">
        <w:t xml:space="preserve"> Strategy</w:t>
      </w:r>
      <w:bookmarkEnd w:id="548"/>
    </w:p>
    <w:p w:rsidR="00125736" w:rsidRDefault="00125736" w:rsidP="00E113F5">
      <w:pPr>
        <w:ind w:left="720"/>
      </w:pPr>
      <w:r w:rsidRPr="00125736">
        <w:t>Council has in place an Asset Disposal Policy (2002) and Asset Disposal Procedures (2002)</w:t>
      </w:r>
      <w:r w:rsidR="008233FB">
        <w:t xml:space="preserve">. </w:t>
      </w:r>
      <w:r w:rsidRPr="00125736">
        <w:t>In general, responsibility for declaring an asset surplus to requirements rests with the Service Manager responsible for the control of the asset</w:t>
      </w:r>
      <w:r w:rsidR="00FB6D48">
        <w:t>, except in relation to Council-</w:t>
      </w:r>
      <w:r w:rsidRPr="00125736">
        <w:t>owned land, where Council must resolve upon the proposed sale.  The Branch Manager responsible for the control of the asset, in liaison with either the Chief Financial Officer, will be responsible for carrying out the disposal process.</w:t>
      </w:r>
    </w:p>
    <w:p w:rsidR="00E96F28" w:rsidRPr="00CF2212" w:rsidRDefault="008E706D" w:rsidP="00E113F5">
      <w:pPr>
        <w:pStyle w:val="Heading2"/>
        <w:keepLines/>
      </w:pPr>
      <w:bookmarkStart w:id="549" w:name="_Toc287273323"/>
      <w:bookmarkStart w:id="550" w:name="_Toc287273420"/>
      <w:bookmarkStart w:id="551" w:name="_Toc287273517"/>
      <w:bookmarkStart w:id="552" w:name="_Toc286649906"/>
      <w:bookmarkStart w:id="553" w:name="_Toc286649987"/>
      <w:bookmarkStart w:id="554" w:name="_Toc286652244"/>
      <w:bookmarkStart w:id="555" w:name="_Toc287273324"/>
      <w:bookmarkStart w:id="556" w:name="_Toc287273421"/>
      <w:bookmarkStart w:id="557" w:name="_Toc287273518"/>
      <w:bookmarkStart w:id="558" w:name="_Toc286649907"/>
      <w:bookmarkStart w:id="559" w:name="_Toc286649988"/>
      <w:bookmarkStart w:id="560" w:name="_Toc286652245"/>
      <w:bookmarkStart w:id="561" w:name="_Toc287273325"/>
      <w:bookmarkStart w:id="562" w:name="_Toc287273422"/>
      <w:bookmarkStart w:id="563" w:name="_Toc287273519"/>
      <w:bookmarkStart w:id="564" w:name="_Toc286649909"/>
      <w:bookmarkStart w:id="565" w:name="_Toc286649990"/>
      <w:bookmarkStart w:id="566" w:name="_Toc286652247"/>
      <w:bookmarkStart w:id="567" w:name="_Toc287273327"/>
      <w:bookmarkStart w:id="568" w:name="_Toc287273424"/>
      <w:bookmarkStart w:id="569" w:name="_Toc287273521"/>
      <w:bookmarkStart w:id="570" w:name="_Toc286649910"/>
      <w:bookmarkStart w:id="571" w:name="_Toc286649991"/>
      <w:bookmarkStart w:id="572" w:name="_Toc286652248"/>
      <w:bookmarkStart w:id="573" w:name="_Toc287273328"/>
      <w:bookmarkStart w:id="574" w:name="_Toc287273425"/>
      <w:bookmarkStart w:id="575" w:name="_Toc287273522"/>
      <w:bookmarkStart w:id="576" w:name="_Toc286649911"/>
      <w:bookmarkStart w:id="577" w:name="_Toc286649992"/>
      <w:bookmarkStart w:id="578" w:name="_Toc286652249"/>
      <w:bookmarkStart w:id="579" w:name="_Toc287273329"/>
      <w:bookmarkStart w:id="580" w:name="_Toc287273426"/>
      <w:bookmarkStart w:id="581" w:name="_Toc287273523"/>
      <w:bookmarkStart w:id="582" w:name="_Toc286649912"/>
      <w:bookmarkStart w:id="583" w:name="_Toc286649993"/>
      <w:bookmarkStart w:id="584" w:name="_Toc286652250"/>
      <w:bookmarkStart w:id="585" w:name="_Toc287273330"/>
      <w:bookmarkStart w:id="586" w:name="_Toc287273427"/>
      <w:bookmarkStart w:id="587" w:name="_Toc287273524"/>
      <w:bookmarkStart w:id="588" w:name="_Toc286649913"/>
      <w:bookmarkStart w:id="589" w:name="_Toc286649994"/>
      <w:bookmarkStart w:id="590" w:name="_Toc286652251"/>
      <w:bookmarkStart w:id="591" w:name="_Toc287273331"/>
      <w:bookmarkStart w:id="592" w:name="_Toc287273428"/>
      <w:bookmarkStart w:id="593" w:name="_Toc287273525"/>
      <w:bookmarkStart w:id="594" w:name="_Toc286649914"/>
      <w:bookmarkStart w:id="595" w:name="_Toc286649995"/>
      <w:bookmarkStart w:id="596" w:name="_Toc286652252"/>
      <w:bookmarkStart w:id="597" w:name="_Toc287273332"/>
      <w:bookmarkStart w:id="598" w:name="_Toc287273429"/>
      <w:bookmarkStart w:id="599" w:name="_Toc287273526"/>
      <w:bookmarkStart w:id="600" w:name="_Toc287273333"/>
      <w:bookmarkStart w:id="601" w:name="_Toc287273430"/>
      <w:bookmarkStart w:id="602" w:name="_Toc287273527"/>
      <w:bookmarkStart w:id="603" w:name="_Toc287273334"/>
      <w:bookmarkStart w:id="604" w:name="_Toc287273431"/>
      <w:bookmarkStart w:id="605" w:name="_Toc287273528"/>
      <w:bookmarkStart w:id="606" w:name="_Toc287273335"/>
      <w:bookmarkStart w:id="607" w:name="_Toc287273432"/>
      <w:bookmarkStart w:id="608" w:name="_Toc287273529"/>
      <w:bookmarkStart w:id="609" w:name="_Toc287273336"/>
      <w:bookmarkStart w:id="610" w:name="_Toc287273433"/>
      <w:bookmarkStart w:id="611" w:name="_Toc287273530"/>
      <w:bookmarkStart w:id="612" w:name="_Toc287273337"/>
      <w:bookmarkStart w:id="613" w:name="_Toc287273434"/>
      <w:bookmarkStart w:id="614" w:name="_Toc287273531"/>
      <w:bookmarkStart w:id="615" w:name="_Toc287273338"/>
      <w:bookmarkStart w:id="616" w:name="_Toc287273435"/>
      <w:bookmarkStart w:id="617" w:name="_Toc287273532"/>
      <w:bookmarkStart w:id="618" w:name="_Toc287273339"/>
      <w:bookmarkStart w:id="619" w:name="_Toc287273436"/>
      <w:bookmarkStart w:id="620" w:name="_Toc287273533"/>
      <w:bookmarkStart w:id="621" w:name="_Toc287273341"/>
      <w:bookmarkStart w:id="622" w:name="_Toc287273438"/>
      <w:bookmarkStart w:id="623" w:name="_Toc287273535"/>
      <w:bookmarkStart w:id="624" w:name="_Toc364945316"/>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r w:rsidRPr="00CF2212">
        <w:t>Infrastructure Sustainability</w:t>
      </w:r>
      <w:bookmarkEnd w:id="624"/>
    </w:p>
    <w:p w:rsidR="00E96F28" w:rsidRPr="00CD7D4F" w:rsidRDefault="00E96F28" w:rsidP="003E5B9F">
      <w:pPr>
        <w:pStyle w:val="StyleHeading3Heading3Char10ptBefore6pt"/>
      </w:pPr>
      <w:bookmarkStart w:id="625" w:name="_Toc287544990"/>
      <w:bookmarkStart w:id="626" w:name="_Toc287547072"/>
      <w:bookmarkStart w:id="627" w:name="_Toc287548003"/>
      <w:bookmarkStart w:id="628" w:name="_Toc287865061"/>
      <w:bookmarkStart w:id="629" w:name="_Toc287981367"/>
      <w:bookmarkStart w:id="630" w:name="_Toc287986239"/>
      <w:bookmarkStart w:id="631" w:name="_Toc287989027"/>
      <w:bookmarkStart w:id="632" w:name="_Toc269810740"/>
      <w:bookmarkStart w:id="633" w:name="_Toc269810834"/>
      <w:bookmarkStart w:id="634" w:name="_Toc269815486"/>
      <w:bookmarkStart w:id="635" w:name="_Toc269846391"/>
      <w:bookmarkStart w:id="636" w:name="_Toc270519817"/>
      <w:bookmarkStart w:id="637" w:name="_Toc270519871"/>
      <w:bookmarkStart w:id="638" w:name="_Toc270605300"/>
      <w:bookmarkStart w:id="639" w:name="_Toc270605467"/>
      <w:bookmarkStart w:id="640" w:name="_Toc270682967"/>
      <w:bookmarkEnd w:id="625"/>
      <w:bookmarkEnd w:id="626"/>
      <w:bookmarkEnd w:id="627"/>
      <w:bookmarkEnd w:id="628"/>
      <w:bookmarkEnd w:id="629"/>
      <w:bookmarkEnd w:id="630"/>
      <w:bookmarkEnd w:id="631"/>
      <w:r w:rsidRPr="00CD7D4F">
        <w:t xml:space="preserve"> </w:t>
      </w:r>
      <w:bookmarkStart w:id="641" w:name="_Toc287277208"/>
      <w:bookmarkStart w:id="642" w:name="_Toc364945317"/>
      <w:bookmarkStart w:id="643" w:name="_Toc271708918"/>
      <w:bookmarkStart w:id="644" w:name="_Toc271786782"/>
      <w:bookmarkStart w:id="645" w:name="_Toc271810905"/>
      <w:r w:rsidRPr="00CD7D4F">
        <w:t>Overview</w:t>
      </w:r>
      <w:bookmarkEnd w:id="641"/>
      <w:bookmarkEnd w:id="642"/>
    </w:p>
    <w:p w:rsidR="000B568A" w:rsidRDefault="000B568A" w:rsidP="00E113F5">
      <w:pPr>
        <w:keepNext/>
        <w:keepLines/>
        <w:ind w:left="720"/>
      </w:pPr>
      <w:r w:rsidRPr="00CD7D4F">
        <w:t xml:space="preserve">This section describes how assets are managed in a sustainable way consistent with the guiding principles of the </w:t>
      </w:r>
      <w:r w:rsidR="008E706D">
        <w:t>Council</w:t>
      </w:r>
      <w:r w:rsidRPr="00CD7D4F">
        <w:t xml:space="preserve"> Plan.</w:t>
      </w:r>
    </w:p>
    <w:p w:rsidR="00E113F5" w:rsidRPr="00CD7D4F" w:rsidRDefault="00E113F5" w:rsidP="00E113F5">
      <w:pPr>
        <w:keepNext/>
        <w:keepLines/>
        <w:ind w:left="720"/>
      </w:pPr>
    </w:p>
    <w:p w:rsidR="000B568A" w:rsidRDefault="000B568A" w:rsidP="00E113F5">
      <w:pPr>
        <w:keepNext/>
        <w:keepLines/>
        <w:ind w:left="720"/>
      </w:pPr>
      <w:r w:rsidRPr="00CD7D4F">
        <w:t>Sustainability Development means that the decisions and actions of an entity effectively balance the needs of present and future customers. Ensuring that the interrelated components of environmental, economic</w:t>
      </w:r>
      <w:r w:rsidR="008E706D">
        <w:t xml:space="preserve"> and</w:t>
      </w:r>
      <w:r w:rsidRPr="00CD7D4F">
        <w:t xml:space="preserve"> social well-being are considered is essential for the Council to take a sustainable development approach. From an asset management perspective, sustainability is critical, as many assets have a long lifespan and the asset itself and any externalities must be ‘future-proofed’ in order to meet the needs and expe</w:t>
      </w:r>
      <w:r w:rsidR="00E113F5">
        <w:t>ctations of future generations.</w:t>
      </w:r>
    </w:p>
    <w:p w:rsidR="00E113F5" w:rsidRPr="00CD7D4F" w:rsidRDefault="00E113F5" w:rsidP="00E113F5">
      <w:pPr>
        <w:keepNext/>
        <w:keepLines/>
        <w:ind w:left="720"/>
      </w:pPr>
    </w:p>
    <w:p w:rsidR="008E706D" w:rsidRDefault="000B568A" w:rsidP="00E113F5">
      <w:pPr>
        <w:ind w:left="720"/>
      </w:pPr>
      <w:r w:rsidRPr="00CD7D4F">
        <w:t xml:space="preserve">In order to turn sustainable development from an aspirational goal into a business as usual practice, Council has developed a set of “Principles” that underpin in part the philosophy of the </w:t>
      </w:r>
      <w:r w:rsidR="006A6C2D">
        <w:t xml:space="preserve"> Yarra</w:t>
      </w:r>
      <w:r w:rsidR="00622DC3">
        <w:t xml:space="preserve"> City Council</w:t>
      </w:r>
      <w:r w:rsidRPr="00CD7D4F">
        <w:t xml:space="preserve">.  </w:t>
      </w:r>
      <w:r w:rsidR="008E706D" w:rsidRPr="008E706D">
        <w:t xml:space="preserve">Council has adopted an Environmentally Sustainable Design (ESD) Buildings Policy to support Council’s commitment to reducing Yarra’s eco-footprint and working to restore our local environment, addressing climate change, reducing the use of limited resources such as energy and water, as well as minimising our waste and pollution, </w:t>
      </w:r>
      <w:r w:rsidR="00E113F5">
        <w:t xml:space="preserve">as stated in the Council Plan. </w:t>
      </w:r>
    </w:p>
    <w:p w:rsidR="00E113F5" w:rsidRPr="008E706D" w:rsidRDefault="00E113F5" w:rsidP="00E113F5">
      <w:pPr>
        <w:ind w:left="720"/>
      </w:pPr>
    </w:p>
    <w:p w:rsidR="008E706D" w:rsidRDefault="008E706D" w:rsidP="00E113F5">
      <w:pPr>
        <w:ind w:left="720"/>
      </w:pPr>
      <w:r w:rsidRPr="008E706D">
        <w:t xml:space="preserve">The consideration of environmental issues and initiatives is important in maximising the efficiency of the facilities provided by Council and directly links with </w:t>
      </w:r>
      <w:r w:rsidR="00E113F5">
        <w:t>adopted environment strategies.</w:t>
      </w:r>
    </w:p>
    <w:p w:rsidR="00E113F5" w:rsidRPr="008E706D" w:rsidRDefault="00E113F5" w:rsidP="00E113F5">
      <w:pPr>
        <w:ind w:left="720"/>
      </w:pPr>
    </w:p>
    <w:p w:rsidR="00E93138" w:rsidRDefault="008E706D" w:rsidP="00E113F5">
      <w:pPr>
        <w:ind w:left="720"/>
      </w:pPr>
      <w:r w:rsidRPr="008E706D">
        <w:t xml:space="preserve">Council’s environment management strategy for buildings has the initial primary focus on major </w:t>
      </w:r>
      <w:r w:rsidR="00D24C93" w:rsidRPr="008E706D">
        <w:t>greenhouse</w:t>
      </w:r>
      <w:r w:rsidRPr="008E706D">
        <w:t xml:space="preserve"> gas emission and water consumption saving opportunities. The Strategic Transport and Environment Branch provide</w:t>
      </w:r>
    </w:p>
    <w:p w:rsidR="008E706D" w:rsidRDefault="008E706D" w:rsidP="00E113F5">
      <w:pPr>
        <w:ind w:left="720"/>
      </w:pPr>
      <w:r w:rsidRPr="008E706D">
        <w:t xml:space="preserve"> technical and strategic environmental advice to Council and Council departments.</w:t>
      </w:r>
    </w:p>
    <w:p w:rsidR="00E113F5" w:rsidRPr="008E706D" w:rsidRDefault="00E113F5" w:rsidP="00E113F5">
      <w:pPr>
        <w:ind w:left="720"/>
      </w:pPr>
    </w:p>
    <w:p w:rsidR="008E706D" w:rsidRDefault="008E706D" w:rsidP="00E113F5">
      <w:pPr>
        <w:ind w:left="720"/>
      </w:pPr>
      <w:r w:rsidRPr="008E706D">
        <w:t>Minimum energy or sustainability performance standards have been developed to meet specific energy, water and waste targets particularly</w:t>
      </w:r>
      <w:r w:rsidR="00E113F5">
        <w:t xml:space="preserve"> in relation to new buildings. </w:t>
      </w:r>
    </w:p>
    <w:p w:rsidR="00E113F5" w:rsidRPr="008E706D" w:rsidRDefault="00E113F5" w:rsidP="00E113F5">
      <w:pPr>
        <w:ind w:left="720"/>
      </w:pPr>
    </w:p>
    <w:p w:rsidR="008E706D" w:rsidRDefault="008E706D" w:rsidP="00E113F5">
      <w:pPr>
        <w:ind w:left="720"/>
      </w:pPr>
      <w:r w:rsidRPr="008E706D">
        <w:t>T</w:t>
      </w:r>
      <w:r w:rsidR="008233FB">
        <w:t>he policy also aims t</w:t>
      </w:r>
      <w:r w:rsidRPr="008E706D">
        <w:t>o i</w:t>
      </w:r>
      <w:r w:rsidR="008233FB">
        <w:t>mprove environmental efficiency by</w:t>
      </w:r>
      <w:r w:rsidRPr="008E706D">
        <w:t xml:space="preserve"> the retrofitting of existing building when the opportunity arises as part of maintenance or renewal activities</w:t>
      </w:r>
      <w:r w:rsidR="008233FB">
        <w:t>, and is used when</w:t>
      </w:r>
      <w:r w:rsidRPr="008E706D">
        <w:t xml:space="preserve"> educating users in the</w:t>
      </w:r>
      <w:r w:rsidR="00E113F5">
        <w:t xml:space="preserve"> use of energy saving devices.</w:t>
      </w:r>
    </w:p>
    <w:p w:rsidR="00E113F5" w:rsidRPr="008E706D" w:rsidRDefault="00E113F5" w:rsidP="00E113F5">
      <w:pPr>
        <w:ind w:left="720"/>
      </w:pPr>
    </w:p>
    <w:p w:rsidR="008E706D" w:rsidRDefault="008E706D" w:rsidP="00E113F5">
      <w:pPr>
        <w:ind w:left="720"/>
      </w:pPr>
      <w:r w:rsidRPr="008E706D">
        <w:t>Monitoring of building energy and water consumption data is well underway with some of the major buildings</w:t>
      </w:r>
      <w:r w:rsidR="008233FB">
        <w:t>.</w:t>
      </w:r>
      <w:r w:rsidRPr="008E706D">
        <w:t xml:space="preserve"> </w:t>
      </w:r>
      <w:r w:rsidR="008233FB">
        <w:t>T</w:t>
      </w:r>
      <w:r w:rsidRPr="008E706D">
        <w:t>he knowledge gained will highlight buildings that are not operating at peak efficiency or have easily identifiable cost and energy/water saving opportunities. A review of these systems should examine opportunities to couple infrastructure and environmental monitoring processes.</w:t>
      </w:r>
    </w:p>
    <w:p w:rsidR="00E113F5" w:rsidRPr="008E706D" w:rsidRDefault="00E113F5" w:rsidP="00E113F5">
      <w:pPr>
        <w:ind w:left="720"/>
      </w:pPr>
    </w:p>
    <w:p w:rsidR="008E706D" w:rsidRPr="008E706D" w:rsidRDefault="008E706D" w:rsidP="00E113F5">
      <w:pPr>
        <w:ind w:left="720"/>
      </w:pPr>
      <w:r w:rsidRPr="008E706D">
        <w:t>All planning and operations for the Council buildings will be undertaken with full consideration of environmental issues. Opportunities for implementing energy saving initiatives are actively encouraged, investigated and implemented where appropriate.</w:t>
      </w:r>
    </w:p>
    <w:p w:rsidR="00CE31C4" w:rsidRPr="00CD7D4F" w:rsidRDefault="00CE31C4" w:rsidP="00E113F5">
      <w:pPr>
        <w:ind w:left="720"/>
      </w:pPr>
    </w:p>
    <w:p w:rsidR="00CE31C4" w:rsidRDefault="00CE31C4" w:rsidP="00E113F5">
      <w:pPr>
        <w:ind w:left="720"/>
        <w:rPr>
          <w:rFonts w:cs="Arial"/>
        </w:rPr>
      </w:pPr>
      <w:r w:rsidRPr="00CD7D4F">
        <w:rPr>
          <w:rFonts w:cs="Arial"/>
        </w:rPr>
        <w:t xml:space="preserve">By considering these principles at appropriate places in the asset management planning process, asset managers will be ensuring that the Council’s assets are managed in a sustainable way. </w:t>
      </w:r>
    </w:p>
    <w:p w:rsidR="00E96F28" w:rsidRPr="00CD7D4F" w:rsidRDefault="00E113F5" w:rsidP="003E5B9F">
      <w:pPr>
        <w:pStyle w:val="StyleHeading3Heading3Char10ptBefore6pt"/>
      </w:pPr>
      <w:bookmarkStart w:id="646" w:name="_Toc288471725"/>
      <w:bookmarkStart w:id="647" w:name="_Toc288471799"/>
      <w:bookmarkStart w:id="648" w:name="_Toc288471872"/>
      <w:bookmarkStart w:id="649" w:name="_Toc364945318"/>
      <w:bookmarkEnd w:id="646"/>
      <w:bookmarkEnd w:id="647"/>
      <w:bookmarkEnd w:id="648"/>
      <w:r>
        <w:t>Environmental O</w:t>
      </w:r>
      <w:r w:rsidR="00E96F28" w:rsidRPr="00CD7D4F">
        <w:t>utcomes</w:t>
      </w:r>
      <w:bookmarkEnd w:id="649"/>
    </w:p>
    <w:p w:rsidR="000A11F6" w:rsidRPr="00FC6F0D" w:rsidRDefault="00FC6F0D" w:rsidP="00E113F5">
      <w:pPr>
        <w:ind w:left="720"/>
      </w:pPr>
      <w:r>
        <w:t>The p</w:t>
      </w:r>
      <w:r w:rsidR="000A11F6" w:rsidRPr="00FC6F0D">
        <w:t xml:space="preserve">rinciples that relate to (or have an aspect </w:t>
      </w:r>
      <w:r>
        <w:t>t</w:t>
      </w:r>
      <w:r w:rsidR="000A11F6" w:rsidRPr="00FC6F0D">
        <w:t>o)</w:t>
      </w:r>
      <w:r w:rsidR="00A42E55" w:rsidRPr="00FC6F0D">
        <w:t xml:space="preserve"> environmental</w:t>
      </w:r>
      <w:r w:rsidR="000A11F6" w:rsidRPr="00FC6F0D">
        <w:t xml:space="preserve"> sustainability outcomes are:</w:t>
      </w:r>
    </w:p>
    <w:p w:rsidR="000A11F6" w:rsidRPr="00FC6F0D" w:rsidRDefault="000A11F6" w:rsidP="00E113F5">
      <w:pPr>
        <w:ind w:left="720"/>
      </w:pPr>
    </w:p>
    <w:p w:rsidR="00146E7F" w:rsidRPr="00E113F5" w:rsidRDefault="00146E7F" w:rsidP="008348B5">
      <w:pPr>
        <w:pStyle w:val="ListParagraph"/>
        <w:numPr>
          <w:ilvl w:val="0"/>
          <w:numId w:val="96"/>
        </w:numPr>
        <w:rPr>
          <w:rFonts w:ascii="Arial" w:hAnsi="Arial" w:cs="Arial"/>
          <w:sz w:val="20"/>
        </w:rPr>
      </w:pPr>
      <w:r w:rsidRPr="00E113F5">
        <w:rPr>
          <w:rFonts w:ascii="Arial" w:hAnsi="Arial" w:cs="Arial"/>
          <w:sz w:val="20"/>
        </w:rPr>
        <w:t xml:space="preserve">Work together on </w:t>
      </w:r>
      <w:r w:rsidR="00FC6F0D" w:rsidRPr="00E113F5">
        <w:rPr>
          <w:rFonts w:ascii="Arial" w:hAnsi="Arial" w:cs="Arial"/>
          <w:sz w:val="20"/>
        </w:rPr>
        <w:t>s</w:t>
      </w:r>
      <w:r w:rsidRPr="00E113F5">
        <w:rPr>
          <w:rFonts w:ascii="Arial" w:hAnsi="Arial" w:cs="Arial"/>
          <w:sz w:val="20"/>
        </w:rPr>
        <w:t>trategic priorities</w:t>
      </w:r>
      <w:r w:rsidR="00E113F5">
        <w:rPr>
          <w:rFonts w:ascii="Arial" w:hAnsi="Arial" w:cs="Arial"/>
          <w:sz w:val="20"/>
        </w:rPr>
        <w:t>;</w:t>
      </w:r>
    </w:p>
    <w:p w:rsidR="00146E7F" w:rsidRPr="00E113F5" w:rsidRDefault="00146E7F" w:rsidP="008348B5">
      <w:pPr>
        <w:pStyle w:val="ListParagraph"/>
        <w:numPr>
          <w:ilvl w:val="0"/>
          <w:numId w:val="96"/>
        </w:numPr>
        <w:rPr>
          <w:rFonts w:ascii="Arial" w:hAnsi="Arial" w:cs="Arial"/>
          <w:sz w:val="20"/>
        </w:rPr>
      </w:pPr>
      <w:r w:rsidRPr="00E113F5">
        <w:rPr>
          <w:rFonts w:ascii="Arial" w:hAnsi="Arial" w:cs="Arial"/>
          <w:sz w:val="20"/>
        </w:rPr>
        <w:t>Plan for sustainability</w:t>
      </w:r>
      <w:r w:rsidR="00E113F5">
        <w:rPr>
          <w:rFonts w:ascii="Arial" w:hAnsi="Arial" w:cs="Arial"/>
          <w:sz w:val="20"/>
        </w:rPr>
        <w:t>; and</w:t>
      </w:r>
    </w:p>
    <w:p w:rsidR="00146E7F" w:rsidRPr="00E113F5" w:rsidRDefault="00146E7F" w:rsidP="008348B5">
      <w:pPr>
        <w:pStyle w:val="ListParagraph"/>
        <w:numPr>
          <w:ilvl w:val="0"/>
          <w:numId w:val="96"/>
        </w:numPr>
        <w:rPr>
          <w:rFonts w:ascii="Arial" w:hAnsi="Arial" w:cs="Arial"/>
          <w:sz w:val="20"/>
        </w:rPr>
      </w:pPr>
      <w:r w:rsidRPr="00E113F5">
        <w:rPr>
          <w:rFonts w:ascii="Arial" w:hAnsi="Arial" w:cs="Arial"/>
          <w:sz w:val="20"/>
        </w:rPr>
        <w:t>Make the best use of every dollar spent (Value management)</w:t>
      </w:r>
      <w:r w:rsidR="00E113F5">
        <w:rPr>
          <w:rFonts w:ascii="Arial" w:hAnsi="Arial" w:cs="Arial"/>
          <w:sz w:val="20"/>
        </w:rPr>
        <w:t>.</w:t>
      </w:r>
    </w:p>
    <w:p w:rsidR="000A11F6" w:rsidRPr="00CD7D4F" w:rsidRDefault="000A11F6" w:rsidP="00E113F5">
      <w:pPr>
        <w:ind w:left="720"/>
        <w:rPr>
          <w:strike/>
        </w:rPr>
      </w:pPr>
    </w:p>
    <w:p w:rsidR="00CE31C4" w:rsidRDefault="00CE31C4" w:rsidP="00E113F5">
      <w:pPr>
        <w:ind w:left="720"/>
      </w:pPr>
      <w:r w:rsidRPr="00CD7D4F">
        <w:t xml:space="preserve">Another challenge is how to protect environmental values of the </w:t>
      </w:r>
      <w:r w:rsidR="00146E7F">
        <w:t>infrastructure and facility assets</w:t>
      </w:r>
      <w:r w:rsidRPr="00CD7D4F">
        <w:t xml:space="preserve"> for a sustainable future, while addressing the growing demand for facilities.  Strategic planning is necessary to manage this issue.</w:t>
      </w:r>
    </w:p>
    <w:p w:rsidR="00E113F5" w:rsidRPr="00CD7D4F" w:rsidRDefault="00E113F5" w:rsidP="00E113F5">
      <w:pPr>
        <w:ind w:left="720"/>
      </w:pPr>
    </w:p>
    <w:p w:rsidR="00CE31C4" w:rsidRDefault="00CE31C4" w:rsidP="00E113F5">
      <w:pPr>
        <w:ind w:left="720"/>
      </w:pPr>
      <w:r w:rsidRPr="00CD7D4F">
        <w:t>There are some measures incorporated in current maintenance and management practices to ensure environmental sustainability. The region anticipates improving its processes and practices to reduce the ecological footprint of the cemetery and crematoria services and provide a clean and green local environment.</w:t>
      </w:r>
    </w:p>
    <w:p w:rsidR="00E113F5" w:rsidRDefault="00E113F5" w:rsidP="00E113F5">
      <w:pPr>
        <w:ind w:left="720"/>
      </w:pPr>
    </w:p>
    <w:p w:rsidR="00E113F5" w:rsidRDefault="00E113F5" w:rsidP="00E113F5">
      <w:pPr>
        <w:ind w:left="720"/>
      </w:pPr>
    </w:p>
    <w:p w:rsidR="00DF1D3F" w:rsidRDefault="00DF1D3F" w:rsidP="00E113F5">
      <w:pPr>
        <w:ind w:left="720"/>
      </w:pPr>
    </w:p>
    <w:p w:rsidR="00DF1D3F" w:rsidRDefault="00DF1D3F" w:rsidP="00E113F5">
      <w:pPr>
        <w:ind w:left="720"/>
        <w:sectPr w:rsidR="00DF1D3F" w:rsidSect="001C4DA2">
          <w:type w:val="oddPage"/>
          <w:pgSz w:w="11906" w:h="16838" w:code="9"/>
          <w:pgMar w:top="1418" w:right="1418" w:bottom="851" w:left="1418" w:header="284" w:footer="312" w:gutter="0"/>
          <w:cols w:space="720"/>
          <w:docGrid w:linePitch="360"/>
        </w:sectPr>
      </w:pPr>
    </w:p>
    <w:p w:rsidR="00E96F28" w:rsidRDefault="00E96F28" w:rsidP="00E113F5">
      <w:pPr>
        <w:pStyle w:val="Heading1"/>
      </w:pPr>
      <w:bookmarkStart w:id="650" w:name="_Toc364945319"/>
      <w:bookmarkEnd w:id="632"/>
      <w:bookmarkEnd w:id="633"/>
      <w:bookmarkEnd w:id="634"/>
      <w:bookmarkEnd w:id="635"/>
      <w:bookmarkEnd w:id="636"/>
      <w:bookmarkEnd w:id="637"/>
      <w:bookmarkEnd w:id="638"/>
      <w:bookmarkEnd w:id="639"/>
      <w:bookmarkEnd w:id="640"/>
      <w:bookmarkEnd w:id="643"/>
      <w:bookmarkEnd w:id="644"/>
      <w:bookmarkEnd w:id="645"/>
      <w:r w:rsidRPr="00E062A4">
        <w:t>F</w:t>
      </w:r>
      <w:r w:rsidR="00E113F5">
        <w:t>inancial Summary</w:t>
      </w:r>
      <w:bookmarkEnd w:id="650"/>
    </w:p>
    <w:p w:rsidR="00647506" w:rsidRPr="006F599F" w:rsidRDefault="00647506" w:rsidP="00647506">
      <w:pPr>
        <w:rPr>
          <w:sz w:val="8"/>
        </w:rPr>
      </w:pPr>
      <w:bookmarkStart w:id="651" w:name="_Toc269810745"/>
      <w:bookmarkStart w:id="652" w:name="_Toc269810839"/>
      <w:bookmarkStart w:id="653" w:name="_Toc269815491"/>
      <w:bookmarkStart w:id="654" w:name="_Toc269846396"/>
      <w:bookmarkStart w:id="655" w:name="_Toc270519876"/>
      <w:bookmarkStart w:id="656" w:name="_Toc270605305"/>
      <w:bookmarkStart w:id="657" w:name="_Toc270605472"/>
      <w:bookmarkStart w:id="658" w:name="_Toc270682972"/>
      <w:bookmarkStart w:id="659" w:name="_Toc271708923"/>
      <w:bookmarkStart w:id="660" w:name="_Toc271786787"/>
      <w:bookmarkStart w:id="661" w:name="_Toc271810910"/>
    </w:p>
    <w:p w:rsidR="00E96F28" w:rsidRPr="00CF2212" w:rsidRDefault="00E96F28" w:rsidP="00CF2212">
      <w:pPr>
        <w:pStyle w:val="Heading2"/>
      </w:pPr>
      <w:bookmarkStart w:id="662" w:name="_Toc364945320"/>
      <w:r w:rsidRPr="00CF2212">
        <w:t>Overview</w:t>
      </w:r>
      <w:bookmarkEnd w:id="651"/>
      <w:bookmarkEnd w:id="652"/>
      <w:bookmarkEnd w:id="653"/>
      <w:bookmarkEnd w:id="654"/>
      <w:bookmarkEnd w:id="655"/>
      <w:bookmarkEnd w:id="656"/>
      <w:bookmarkEnd w:id="657"/>
      <w:bookmarkEnd w:id="658"/>
      <w:bookmarkEnd w:id="659"/>
      <w:bookmarkEnd w:id="660"/>
      <w:bookmarkEnd w:id="661"/>
      <w:r w:rsidR="00F11810" w:rsidRPr="00CF2212">
        <w:t xml:space="preserve"> of Financial Statement</w:t>
      </w:r>
      <w:bookmarkEnd w:id="662"/>
    </w:p>
    <w:p w:rsidR="00CF006C" w:rsidRPr="00CD7D4F" w:rsidRDefault="000E7FA6" w:rsidP="006421CE">
      <w:r>
        <w:t>This section summarises</w:t>
      </w:r>
      <w:r w:rsidR="00CF006C" w:rsidRPr="00CD7D4F">
        <w:t xml:space="preserve"> the costs of owning and operating assets to meet current and proposed service level requirements while catering for existing and anticipated demand. Included are the financial implications of creating, operating, maintaining and renewing assets, with these implications reflecting existing initiatives to maximise value for money.</w:t>
      </w:r>
    </w:p>
    <w:p w:rsidR="001431CB" w:rsidRDefault="001431CB" w:rsidP="006421CE"/>
    <w:p w:rsidR="00CF006C" w:rsidRDefault="00CF006C" w:rsidP="006421CE">
      <w:r w:rsidRPr="00CD7D4F">
        <w:t>The financial summary also identifies the monetary value of the assets managed under this plan and the major financial assumptions and risks associated with the plan.  Summary information about revenue and funding is included to provide context around the financial proposals represented by this plan, and to provide a perspective on the long-term financ</w:t>
      </w:r>
      <w:r w:rsidR="006421CE">
        <w:t>ial sustainability of the plan.</w:t>
      </w:r>
    </w:p>
    <w:p w:rsidR="006421CE" w:rsidRPr="00CD7D4F" w:rsidRDefault="006421CE" w:rsidP="006421CE"/>
    <w:p w:rsidR="00B30595" w:rsidRPr="00CD7D4F" w:rsidRDefault="00B30595" w:rsidP="006421CE">
      <w:r w:rsidRPr="00CD7D4F">
        <w:t xml:space="preserve">The high-level summaries presented here provide a view to financial implication of ensuring that assets can deliver agreed service levels while catering for growth and changes in demand. These summaries are drawn from </w:t>
      </w:r>
      <w:r w:rsidR="006A6C2D">
        <w:t>Yarra</w:t>
      </w:r>
      <w:r w:rsidR="008B7BE0">
        <w:t xml:space="preserve"> City Council</w:t>
      </w:r>
      <w:r w:rsidR="00F11810">
        <w:t>’</w:t>
      </w:r>
      <w:r w:rsidRPr="00CD7D4F">
        <w:t xml:space="preserve">s financial management information </w:t>
      </w:r>
      <w:r w:rsidR="008B7BE0">
        <w:t>systems and are consistent with the</w:t>
      </w:r>
      <w:r w:rsidRPr="00CD7D4F">
        <w:t xml:space="preserve"> Long Term </w:t>
      </w:r>
      <w:r w:rsidR="00F11810">
        <w:t xml:space="preserve">Financial </w:t>
      </w:r>
      <w:r w:rsidRPr="00CD7D4F">
        <w:t xml:space="preserve">Plan and budgeting processes. </w:t>
      </w:r>
    </w:p>
    <w:p w:rsidR="00E96F28" w:rsidRPr="00CF2212" w:rsidRDefault="004E5EA8" w:rsidP="00012E46">
      <w:pPr>
        <w:pStyle w:val="Heading2"/>
        <w:keepLines/>
      </w:pPr>
      <w:bookmarkStart w:id="663" w:name="_Toc364945321"/>
      <w:r w:rsidRPr="00CF2212">
        <w:t xml:space="preserve">Schedule of </w:t>
      </w:r>
      <w:r w:rsidR="00E96F28" w:rsidRPr="00CF2212">
        <w:t>Asset Valu</w:t>
      </w:r>
      <w:r w:rsidRPr="00CF2212">
        <w:t>ation</w:t>
      </w:r>
      <w:bookmarkEnd w:id="663"/>
      <w:r w:rsidRPr="00CF2212">
        <w:t xml:space="preserve"> </w:t>
      </w:r>
    </w:p>
    <w:p w:rsidR="00D16B75" w:rsidRDefault="000E7FA6" w:rsidP="00012E46">
      <w:pPr>
        <w:keepNext/>
        <w:keepLines/>
        <w:rPr>
          <w:lang w:val="en-NZ" w:eastAsia="en-GB"/>
        </w:rPr>
      </w:pPr>
      <w:r>
        <w:rPr>
          <w:lang w:val="en-NZ" w:eastAsia="en-GB"/>
        </w:rPr>
        <w:t>The t</w:t>
      </w:r>
      <w:r w:rsidR="00D16B75" w:rsidRPr="00CD7D4F">
        <w:rPr>
          <w:lang w:val="en-NZ" w:eastAsia="en-GB"/>
        </w:rPr>
        <w:t>able below provides a summary of the asset values of existing assets and</w:t>
      </w:r>
      <w:r w:rsidR="00012E46">
        <w:rPr>
          <w:lang w:val="en-NZ" w:eastAsia="en-GB"/>
        </w:rPr>
        <w:t xml:space="preserve"> associated depreciation values:</w:t>
      </w:r>
    </w:p>
    <w:p w:rsidR="00554054" w:rsidRDefault="00554054" w:rsidP="00012E46">
      <w:pPr>
        <w:keepNext/>
        <w:keepLines/>
        <w:rPr>
          <w:i/>
          <w:iCs/>
          <w:lang w:val="en-NZ" w:eastAsia="en-GB"/>
        </w:rPr>
      </w:pPr>
    </w:p>
    <w:tbl>
      <w:tblPr>
        <w:tblStyle w:val="TableGrid"/>
        <w:tblW w:w="7938" w:type="dxa"/>
        <w:tblInd w:w="675" w:type="dxa"/>
        <w:tblLook w:val="04A0" w:firstRow="1" w:lastRow="0" w:firstColumn="1" w:lastColumn="0" w:noHBand="0" w:noVBand="1"/>
      </w:tblPr>
      <w:tblGrid>
        <w:gridCol w:w="4093"/>
        <w:gridCol w:w="1577"/>
        <w:gridCol w:w="2268"/>
      </w:tblGrid>
      <w:tr w:rsidR="00554054" w:rsidRPr="00AF38C9" w:rsidTr="00B277ED">
        <w:trPr>
          <w:trHeight w:val="288"/>
        </w:trPr>
        <w:tc>
          <w:tcPr>
            <w:tcW w:w="7938" w:type="dxa"/>
            <w:gridSpan w:val="3"/>
            <w:tcBorders>
              <w:bottom w:val="single" w:sz="4" w:space="0" w:color="auto"/>
            </w:tcBorders>
            <w:shd w:val="clear" w:color="auto" w:fill="95B3D7" w:themeFill="accent1" w:themeFillTint="99"/>
            <w:vAlign w:val="center"/>
          </w:tcPr>
          <w:p w:rsidR="00554054" w:rsidRPr="00AF38C9" w:rsidRDefault="00554054" w:rsidP="00B277ED">
            <w:pPr>
              <w:keepNext/>
              <w:keepLines/>
              <w:jc w:val="center"/>
              <w:rPr>
                <w:rFonts w:cs="Arial"/>
                <w:b/>
              </w:rPr>
            </w:pPr>
            <w:r>
              <w:rPr>
                <w:rFonts w:cs="Arial"/>
                <w:b/>
              </w:rPr>
              <w:t>Buildings Primary Use and Replacement Value</w:t>
            </w:r>
          </w:p>
        </w:tc>
      </w:tr>
      <w:tr w:rsidR="00554054" w:rsidRPr="00AF38C9" w:rsidTr="00B277ED">
        <w:trPr>
          <w:trHeight w:val="288"/>
        </w:trPr>
        <w:tc>
          <w:tcPr>
            <w:tcW w:w="4093" w:type="dxa"/>
            <w:tcBorders>
              <w:bottom w:val="single" w:sz="4" w:space="0" w:color="auto"/>
            </w:tcBorders>
            <w:shd w:val="clear" w:color="auto" w:fill="D9D9D9" w:themeFill="background1" w:themeFillShade="D9"/>
            <w:vAlign w:val="center"/>
          </w:tcPr>
          <w:p w:rsidR="00554054" w:rsidRPr="00AF38C9" w:rsidRDefault="00554054" w:rsidP="00A56570">
            <w:pPr>
              <w:keepNext/>
              <w:keepLines/>
              <w:jc w:val="left"/>
              <w:rPr>
                <w:rFonts w:cs="Arial"/>
                <w:b/>
              </w:rPr>
            </w:pPr>
            <w:r w:rsidRPr="00AF38C9">
              <w:rPr>
                <w:rFonts w:cs="Arial"/>
                <w:b/>
              </w:rPr>
              <w:t>Service Area (Primary Use)</w:t>
            </w:r>
          </w:p>
        </w:tc>
        <w:tc>
          <w:tcPr>
            <w:tcW w:w="1577" w:type="dxa"/>
            <w:tcBorders>
              <w:bottom w:val="single" w:sz="4" w:space="0" w:color="auto"/>
            </w:tcBorders>
            <w:shd w:val="clear" w:color="auto" w:fill="D9D9D9" w:themeFill="background1" w:themeFillShade="D9"/>
            <w:noWrap/>
            <w:vAlign w:val="center"/>
          </w:tcPr>
          <w:p w:rsidR="00554054" w:rsidRPr="00AF38C9" w:rsidRDefault="00554054" w:rsidP="00A56570">
            <w:pPr>
              <w:keepNext/>
              <w:keepLines/>
              <w:jc w:val="center"/>
              <w:rPr>
                <w:rFonts w:cs="Arial"/>
                <w:b/>
              </w:rPr>
            </w:pPr>
            <w:r w:rsidRPr="00AF38C9">
              <w:rPr>
                <w:rFonts w:cs="Arial"/>
                <w:b/>
              </w:rPr>
              <w:t>Number</w:t>
            </w:r>
          </w:p>
        </w:tc>
        <w:tc>
          <w:tcPr>
            <w:tcW w:w="2268" w:type="dxa"/>
            <w:tcBorders>
              <w:bottom w:val="single" w:sz="4" w:space="0" w:color="auto"/>
            </w:tcBorders>
            <w:shd w:val="clear" w:color="auto" w:fill="D9D9D9" w:themeFill="background1" w:themeFillShade="D9"/>
            <w:vAlign w:val="center"/>
          </w:tcPr>
          <w:p w:rsidR="00554054" w:rsidRPr="00AF38C9" w:rsidRDefault="00554054" w:rsidP="00A56570">
            <w:pPr>
              <w:keepNext/>
              <w:keepLines/>
              <w:jc w:val="left"/>
              <w:rPr>
                <w:rFonts w:cs="Arial"/>
                <w:b/>
              </w:rPr>
            </w:pPr>
            <w:r w:rsidRPr="00AF38C9">
              <w:rPr>
                <w:rFonts w:cs="Arial"/>
                <w:b/>
              </w:rPr>
              <w:t>Replacement Value ($)</w:t>
            </w:r>
          </w:p>
        </w:tc>
      </w:tr>
      <w:tr w:rsidR="00554054" w:rsidRPr="00C259FC" w:rsidTr="00B277ED">
        <w:trPr>
          <w:trHeight w:val="170"/>
        </w:trPr>
        <w:tc>
          <w:tcPr>
            <w:tcW w:w="4093" w:type="dxa"/>
            <w:tcBorders>
              <w:top w:val="single" w:sz="4" w:space="0" w:color="auto"/>
              <w:left w:val="single" w:sz="4" w:space="0" w:color="auto"/>
              <w:bottom w:val="nil"/>
              <w:right w:val="single" w:sz="4" w:space="0" w:color="auto"/>
            </w:tcBorders>
            <w:vAlign w:val="center"/>
            <w:hideMark/>
          </w:tcPr>
          <w:p w:rsidR="00554054" w:rsidRPr="00C259FC" w:rsidRDefault="00554054" w:rsidP="00A56570">
            <w:pPr>
              <w:keepNext/>
              <w:keepLines/>
              <w:spacing w:before="20" w:after="20"/>
              <w:rPr>
                <w:rFonts w:cs="Arial"/>
                <w:color w:val="000000"/>
                <w:szCs w:val="18"/>
              </w:rPr>
            </w:pPr>
            <w:r w:rsidRPr="00C259FC">
              <w:rPr>
                <w:rFonts w:cs="Arial"/>
                <w:color w:val="000000"/>
                <w:szCs w:val="18"/>
              </w:rPr>
              <w:t>Child Care Centres</w:t>
            </w:r>
          </w:p>
        </w:tc>
        <w:tc>
          <w:tcPr>
            <w:tcW w:w="1577" w:type="dxa"/>
            <w:tcBorders>
              <w:top w:val="single" w:sz="4" w:space="0" w:color="auto"/>
              <w:left w:val="single" w:sz="4" w:space="0" w:color="auto"/>
              <w:bottom w:val="nil"/>
              <w:right w:val="single" w:sz="4" w:space="0" w:color="auto"/>
            </w:tcBorders>
            <w:noWrap/>
            <w:vAlign w:val="center"/>
            <w:hideMark/>
          </w:tcPr>
          <w:p w:rsidR="00554054" w:rsidRPr="00C259FC" w:rsidRDefault="00554054" w:rsidP="00A56570">
            <w:pPr>
              <w:keepNext/>
              <w:keepLines/>
              <w:spacing w:before="20" w:after="20"/>
              <w:jc w:val="center"/>
              <w:rPr>
                <w:rFonts w:cs="Arial"/>
                <w:color w:val="000000"/>
                <w:szCs w:val="18"/>
              </w:rPr>
            </w:pPr>
            <w:r w:rsidRPr="00C259FC">
              <w:rPr>
                <w:rFonts w:cs="Arial"/>
                <w:color w:val="000000"/>
                <w:szCs w:val="18"/>
              </w:rPr>
              <w:t>1</w:t>
            </w:r>
          </w:p>
        </w:tc>
        <w:tc>
          <w:tcPr>
            <w:tcW w:w="2268" w:type="dxa"/>
            <w:tcBorders>
              <w:top w:val="single" w:sz="4" w:space="0" w:color="auto"/>
              <w:left w:val="single" w:sz="4" w:space="0" w:color="auto"/>
              <w:bottom w:val="nil"/>
              <w:right w:val="single" w:sz="4" w:space="0" w:color="auto"/>
            </w:tcBorders>
            <w:vAlign w:val="center"/>
            <w:hideMark/>
          </w:tcPr>
          <w:p w:rsidR="00554054" w:rsidRPr="00C259FC" w:rsidRDefault="00554054" w:rsidP="00A56570">
            <w:pPr>
              <w:keepNext/>
              <w:keepLines/>
              <w:tabs>
                <w:tab w:val="decimal" w:pos="1562"/>
              </w:tabs>
              <w:spacing w:before="20" w:after="20"/>
              <w:jc w:val="left"/>
              <w:rPr>
                <w:rFonts w:cs="Arial"/>
                <w:color w:val="000000"/>
                <w:szCs w:val="18"/>
              </w:rPr>
            </w:pPr>
            <w:r>
              <w:rPr>
                <w:rFonts w:cs="Arial"/>
                <w:color w:val="000000"/>
                <w:szCs w:val="18"/>
              </w:rPr>
              <w:t>2,466,225</w:t>
            </w:r>
          </w:p>
        </w:tc>
      </w:tr>
      <w:tr w:rsidR="00554054" w:rsidRPr="00C259FC" w:rsidTr="00B277ED">
        <w:trPr>
          <w:trHeight w:val="170"/>
        </w:trPr>
        <w:tc>
          <w:tcPr>
            <w:tcW w:w="4093" w:type="dxa"/>
            <w:tcBorders>
              <w:top w:val="nil"/>
              <w:left w:val="single" w:sz="4" w:space="0" w:color="auto"/>
              <w:bottom w:val="nil"/>
              <w:right w:val="single" w:sz="4" w:space="0" w:color="auto"/>
            </w:tcBorders>
            <w:noWrap/>
            <w:vAlign w:val="center"/>
            <w:hideMark/>
          </w:tcPr>
          <w:p w:rsidR="00554054" w:rsidRPr="00C259FC" w:rsidRDefault="00554054" w:rsidP="00A56570">
            <w:pPr>
              <w:keepNext/>
              <w:keepLines/>
              <w:spacing w:before="20" w:after="20"/>
              <w:rPr>
                <w:rFonts w:cs="Arial"/>
                <w:color w:val="000000"/>
                <w:szCs w:val="18"/>
              </w:rPr>
            </w:pPr>
            <w:r w:rsidRPr="00C259FC">
              <w:rPr>
                <w:rFonts w:cs="Arial"/>
                <w:color w:val="000000"/>
                <w:szCs w:val="18"/>
              </w:rPr>
              <w:t>Factory</w:t>
            </w:r>
          </w:p>
        </w:tc>
        <w:tc>
          <w:tcPr>
            <w:tcW w:w="1577" w:type="dxa"/>
            <w:tcBorders>
              <w:top w:val="nil"/>
              <w:left w:val="single" w:sz="4" w:space="0" w:color="auto"/>
              <w:bottom w:val="nil"/>
              <w:right w:val="single" w:sz="4" w:space="0" w:color="auto"/>
            </w:tcBorders>
            <w:noWrap/>
            <w:vAlign w:val="center"/>
            <w:hideMark/>
          </w:tcPr>
          <w:p w:rsidR="00554054" w:rsidRPr="00C259FC" w:rsidRDefault="00554054" w:rsidP="00A56570">
            <w:pPr>
              <w:keepNext/>
              <w:keepLines/>
              <w:spacing w:before="20" w:after="20"/>
              <w:jc w:val="center"/>
              <w:rPr>
                <w:rFonts w:cs="Arial"/>
                <w:color w:val="000000"/>
                <w:szCs w:val="18"/>
              </w:rPr>
            </w:pPr>
            <w:r w:rsidRPr="00C259FC">
              <w:rPr>
                <w:rFonts w:cs="Arial"/>
                <w:color w:val="000000"/>
                <w:szCs w:val="18"/>
              </w:rPr>
              <w:t>1</w:t>
            </w:r>
          </w:p>
        </w:tc>
        <w:tc>
          <w:tcPr>
            <w:tcW w:w="2268" w:type="dxa"/>
            <w:tcBorders>
              <w:top w:val="nil"/>
              <w:left w:val="single" w:sz="4" w:space="0" w:color="auto"/>
              <w:bottom w:val="nil"/>
              <w:right w:val="single" w:sz="4" w:space="0" w:color="auto"/>
            </w:tcBorders>
            <w:vAlign w:val="center"/>
            <w:hideMark/>
          </w:tcPr>
          <w:p w:rsidR="00554054" w:rsidRPr="00C259FC" w:rsidRDefault="00554054" w:rsidP="00A56570">
            <w:pPr>
              <w:keepNext/>
              <w:keepLines/>
              <w:tabs>
                <w:tab w:val="decimal" w:pos="1562"/>
              </w:tabs>
              <w:spacing w:before="20" w:after="20"/>
              <w:jc w:val="left"/>
              <w:rPr>
                <w:rFonts w:cs="Arial"/>
                <w:color w:val="000000"/>
                <w:szCs w:val="18"/>
              </w:rPr>
            </w:pPr>
            <w:r>
              <w:rPr>
                <w:rFonts w:cs="Arial"/>
                <w:color w:val="000000"/>
                <w:szCs w:val="18"/>
              </w:rPr>
              <w:t>832,140</w:t>
            </w:r>
          </w:p>
        </w:tc>
      </w:tr>
      <w:tr w:rsidR="00554054" w:rsidRPr="00C259FC" w:rsidTr="00B277ED">
        <w:trPr>
          <w:trHeight w:val="170"/>
        </w:trPr>
        <w:tc>
          <w:tcPr>
            <w:tcW w:w="4093" w:type="dxa"/>
            <w:tcBorders>
              <w:top w:val="nil"/>
              <w:left w:val="single" w:sz="4" w:space="0" w:color="auto"/>
              <w:bottom w:val="nil"/>
              <w:right w:val="single" w:sz="4" w:space="0" w:color="auto"/>
            </w:tcBorders>
            <w:noWrap/>
            <w:vAlign w:val="center"/>
            <w:hideMark/>
          </w:tcPr>
          <w:p w:rsidR="00554054" w:rsidRPr="00C259FC" w:rsidRDefault="00554054" w:rsidP="00A56570">
            <w:pPr>
              <w:keepNext/>
              <w:keepLines/>
              <w:spacing w:before="20" w:after="20"/>
              <w:rPr>
                <w:rFonts w:cs="Arial"/>
                <w:color w:val="000000"/>
                <w:szCs w:val="18"/>
              </w:rPr>
            </w:pPr>
            <w:r w:rsidRPr="00C259FC">
              <w:rPr>
                <w:rFonts w:cs="Arial"/>
                <w:color w:val="000000"/>
                <w:szCs w:val="18"/>
              </w:rPr>
              <w:t>Gallery</w:t>
            </w:r>
          </w:p>
        </w:tc>
        <w:tc>
          <w:tcPr>
            <w:tcW w:w="1577" w:type="dxa"/>
            <w:tcBorders>
              <w:top w:val="nil"/>
              <w:left w:val="single" w:sz="4" w:space="0" w:color="auto"/>
              <w:bottom w:val="nil"/>
              <w:right w:val="single" w:sz="4" w:space="0" w:color="auto"/>
            </w:tcBorders>
            <w:noWrap/>
            <w:vAlign w:val="center"/>
            <w:hideMark/>
          </w:tcPr>
          <w:p w:rsidR="00554054" w:rsidRPr="00C259FC" w:rsidRDefault="00554054" w:rsidP="00A56570">
            <w:pPr>
              <w:keepNext/>
              <w:keepLines/>
              <w:spacing w:before="20" w:after="20"/>
              <w:jc w:val="center"/>
              <w:rPr>
                <w:rFonts w:cs="Arial"/>
                <w:color w:val="000000"/>
                <w:szCs w:val="18"/>
              </w:rPr>
            </w:pPr>
            <w:r w:rsidRPr="00C259FC">
              <w:rPr>
                <w:rFonts w:cs="Arial"/>
                <w:color w:val="000000"/>
                <w:szCs w:val="18"/>
              </w:rPr>
              <w:t>1</w:t>
            </w:r>
          </w:p>
        </w:tc>
        <w:tc>
          <w:tcPr>
            <w:tcW w:w="2268" w:type="dxa"/>
            <w:tcBorders>
              <w:top w:val="nil"/>
              <w:left w:val="single" w:sz="4" w:space="0" w:color="auto"/>
              <w:bottom w:val="nil"/>
              <w:right w:val="single" w:sz="4" w:space="0" w:color="auto"/>
            </w:tcBorders>
            <w:vAlign w:val="center"/>
            <w:hideMark/>
          </w:tcPr>
          <w:p w:rsidR="00554054" w:rsidRPr="00C259FC" w:rsidRDefault="00554054" w:rsidP="00A56570">
            <w:pPr>
              <w:keepNext/>
              <w:keepLines/>
              <w:tabs>
                <w:tab w:val="decimal" w:pos="1562"/>
              </w:tabs>
              <w:spacing w:before="20" w:after="20"/>
              <w:jc w:val="left"/>
              <w:rPr>
                <w:rFonts w:cs="Arial"/>
                <w:color w:val="000000"/>
                <w:szCs w:val="18"/>
              </w:rPr>
            </w:pPr>
            <w:r>
              <w:rPr>
                <w:rFonts w:cs="Arial"/>
                <w:color w:val="000000"/>
                <w:szCs w:val="18"/>
              </w:rPr>
              <w:t>265,045</w:t>
            </w:r>
          </w:p>
        </w:tc>
      </w:tr>
      <w:tr w:rsidR="00554054" w:rsidRPr="00C259FC" w:rsidTr="00B277ED">
        <w:trPr>
          <w:trHeight w:val="170"/>
        </w:trPr>
        <w:tc>
          <w:tcPr>
            <w:tcW w:w="4093" w:type="dxa"/>
            <w:tcBorders>
              <w:top w:val="nil"/>
              <w:left w:val="single" w:sz="4" w:space="0" w:color="auto"/>
              <w:bottom w:val="nil"/>
              <w:right w:val="single" w:sz="4" w:space="0" w:color="auto"/>
            </w:tcBorders>
            <w:vAlign w:val="center"/>
            <w:hideMark/>
          </w:tcPr>
          <w:p w:rsidR="00554054" w:rsidRPr="00C259FC" w:rsidRDefault="00554054" w:rsidP="00A56570">
            <w:pPr>
              <w:keepNext/>
              <w:keepLines/>
              <w:spacing w:before="20" w:after="20"/>
              <w:rPr>
                <w:rFonts w:cs="Arial"/>
                <w:color w:val="000000"/>
                <w:szCs w:val="18"/>
              </w:rPr>
            </w:pPr>
            <w:r w:rsidRPr="00C259FC">
              <w:rPr>
                <w:rFonts w:cs="Arial"/>
                <w:color w:val="000000"/>
                <w:szCs w:val="18"/>
              </w:rPr>
              <w:t>Offices /Administration</w:t>
            </w:r>
          </w:p>
        </w:tc>
        <w:tc>
          <w:tcPr>
            <w:tcW w:w="1577" w:type="dxa"/>
            <w:tcBorders>
              <w:top w:val="nil"/>
              <w:left w:val="single" w:sz="4" w:space="0" w:color="auto"/>
              <w:bottom w:val="nil"/>
              <w:right w:val="single" w:sz="4" w:space="0" w:color="auto"/>
            </w:tcBorders>
            <w:noWrap/>
            <w:vAlign w:val="center"/>
            <w:hideMark/>
          </w:tcPr>
          <w:p w:rsidR="00554054" w:rsidRPr="00C259FC" w:rsidRDefault="00554054" w:rsidP="00A56570">
            <w:pPr>
              <w:keepNext/>
              <w:keepLines/>
              <w:spacing w:before="20" w:after="20"/>
              <w:jc w:val="center"/>
              <w:rPr>
                <w:rFonts w:cs="Arial"/>
                <w:color w:val="000000"/>
                <w:szCs w:val="18"/>
              </w:rPr>
            </w:pPr>
            <w:r w:rsidRPr="00C259FC">
              <w:rPr>
                <w:rFonts w:cs="Arial"/>
                <w:color w:val="000000"/>
                <w:szCs w:val="18"/>
              </w:rPr>
              <w:t>4</w:t>
            </w:r>
          </w:p>
        </w:tc>
        <w:tc>
          <w:tcPr>
            <w:tcW w:w="2268" w:type="dxa"/>
            <w:tcBorders>
              <w:top w:val="nil"/>
              <w:left w:val="single" w:sz="4" w:space="0" w:color="auto"/>
              <w:bottom w:val="nil"/>
              <w:right w:val="single" w:sz="4" w:space="0" w:color="auto"/>
            </w:tcBorders>
            <w:vAlign w:val="center"/>
            <w:hideMark/>
          </w:tcPr>
          <w:p w:rsidR="00554054" w:rsidRPr="00C259FC" w:rsidRDefault="00554054" w:rsidP="00A56570">
            <w:pPr>
              <w:keepNext/>
              <w:keepLines/>
              <w:tabs>
                <w:tab w:val="decimal" w:pos="1562"/>
              </w:tabs>
              <w:spacing w:before="20" w:after="20"/>
              <w:jc w:val="left"/>
              <w:rPr>
                <w:rFonts w:cs="Arial"/>
                <w:color w:val="000000"/>
                <w:szCs w:val="18"/>
              </w:rPr>
            </w:pPr>
            <w:r>
              <w:rPr>
                <w:rFonts w:cs="Arial"/>
                <w:color w:val="000000"/>
                <w:szCs w:val="18"/>
              </w:rPr>
              <w:t>1,473,805</w:t>
            </w:r>
          </w:p>
        </w:tc>
      </w:tr>
      <w:tr w:rsidR="00554054" w:rsidRPr="00C259FC" w:rsidTr="00B277ED">
        <w:trPr>
          <w:trHeight w:val="170"/>
        </w:trPr>
        <w:tc>
          <w:tcPr>
            <w:tcW w:w="4093" w:type="dxa"/>
            <w:tcBorders>
              <w:top w:val="nil"/>
              <w:left w:val="single" w:sz="4" w:space="0" w:color="auto"/>
              <w:bottom w:val="nil"/>
              <w:right w:val="single" w:sz="4" w:space="0" w:color="auto"/>
            </w:tcBorders>
            <w:vAlign w:val="center"/>
            <w:hideMark/>
          </w:tcPr>
          <w:p w:rsidR="00554054" w:rsidRPr="00C259FC" w:rsidRDefault="00554054" w:rsidP="00A56570">
            <w:pPr>
              <w:keepNext/>
              <w:keepLines/>
              <w:spacing w:before="20" w:after="20"/>
              <w:rPr>
                <w:rFonts w:cs="Arial"/>
                <w:color w:val="000000"/>
                <w:szCs w:val="18"/>
              </w:rPr>
            </w:pPr>
            <w:r w:rsidRPr="00C259FC">
              <w:rPr>
                <w:rFonts w:cs="Arial"/>
                <w:color w:val="000000"/>
                <w:szCs w:val="18"/>
              </w:rPr>
              <w:t>Pavilions / Clubrooms / Change rooms</w:t>
            </w:r>
          </w:p>
        </w:tc>
        <w:tc>
          <w:tcPr>
            <w:tcW w:w="1577" w:type="dxa"/>
            <w:tcBorders>
              <w:top w:val="nil"/>
              <w:left w:val="single" w:sz="4" w:space="0" w:color="auto"/>
              <w:bottom w:val="nil"/>
              <w:right w:val="single" w:sz="4" w:space="0" w:color="auto"/>
            </w:tcBorders>
            <w:noWrap/>
            <w:vAlign w:val="center"/>
            <w:hideMark/>
          </w:tcPr>
          <w:p w:rsidR="00554054" w:rsidRPr="00C259FC" w:rsidRDefault="00554054" w:rsidP="00A56570">
            <w:pPr>
              <w:keepNext/>
              <w:keepLines/>
              <w:spacing w:before="20" w:after="20"/>
              <w:jc w:val="center"/>
              <w:rPr>
                <w:rFonts w:cs="Arial"/>
                <w:color w:val="000000"/>
                <w:szCs w:val="18"/>
              </w:rPr>
            </w:pPr>
            <w:r w:rsidRPr="00C259FC">
              <w:rPr>
                <w:rFonts w:cs="Arial"/>
                <w:color w:val="000000"/>
                <w:szCs w:val="18"/>
              </w:rPr>
              <w:t>1</w:t>
            </w:r>
          </w:p>
        </w:tc>
        <w:tc>
          <w:tcPr>
            <w:tcW w:w="2268" w:type="dxa"/>
            <w:tcBorders>
              <w:top w:val="nil"/>
              <w:left w:val="single" w:sz="4" w:space="0" w:color="auto"/>
              <w:bottom w:val="nil"/>
              <w:right w:val="single" w:sz="4" w:space="0" w:color="auto"/>
            </w:tcBorders>
            <w:vAlign w:val="center"/>
            <w:hideMark/>
          </w:tcPr>
          <w:p w:rsidR="00554054" w:rsidRPr="00C259FC" w:rsidRDefault="00554054" w:rsidP="00A56570">
            <w:pPr>
              <w:keepNext/>
              <w:keepLines/>
              <w:tabs>
                <w:tab w:val="decimal" w:pos="1562"/>
              </w:tabs>
              <w:spacing w:before="20" w:after="20"/>
              <w:rPr>
                <w:rFonts w:cs="Arial"/>
                <w:color w:val="000000"/>
                <w:szCs w:val="18"/>
              </w:rPr>
            </w:pPr>
            <w:r>
              <w:rPr>
                <w:rFonts w:cs="Arial"/>
                <w:color w:val="000000"/>
                <w:szCs w:val="18"/>
              </w:rPr>
              <w:t>14,918,824</w:t>
            </w:r>
          </w:p>
        </w:tc>
      </w:tr>
      <w:tr w:rsidR="00554054" w:rsidRPr="00C259FC" w:rsidTr="00B277ED">
        <w:trPr>
          <w:trHeight w:val="170"/>
        </w:trPr>
        <w:tc>
          <w:tcPr>
            <w:tcW w:w="4093" w:type="dxa"/>
            <w:tcBorders>
              <w:top w:val="nil"/>
              <w:left w:val="single" w:sz="4" w:space="0" w:color="auto"/>
              <w:bottom w:val="nil"/>
              <w:right w:val="single" w:sz="4" w:space="0" w:color="auto"/>
            </w:tcBorders>
            <w:vAlign w:val="center"/>
            <w:hideMark/>
          </w:tcPr>
          <w:p w:rsidR="00554054" w:rsidRPr="00C259FC" w:rsidRDefault="00554054" w:rsidP="00A56570">
            <w:pPr>
              <w:keepNext/>
              <w:keepLines/>
              <w:spacing w:before="20" w:after="20"/>
              <w:rPr>
                <w:rFonts w:cs="Arial"/>
                <w:color w:val="000000"/>
                <w:szCs w:val="18"/>
              </w:rPr>
            </w:pPr>
            <w:r w:rsidRPr="00C259FC">
              <w:rPr>
                <w:rFonts w:cs="Arial"/>
                <w:color w:val="000000"/>
                <w:szCs w:val="18"/>
              </w:rPr>
              <w:t>Residences</w:t>
            </w:r>
          </w:p>
        </w:tc>
        <w:tc>
          <w:tcPr>
            <w:tcW w:w="1577" w:type="dxa"/>
            <w:tcBorders>
              <w:top w:val="nil"/>
              <w:left w:val="single" w:sz="4" w:space="0" w:color="auto"/>
              <w:bottom w:val="nil"/>
              <w:right w:val="single" w:sz="4" w:space="0" w:color="auto"/>
            </w:tcBorders>
            <w:noWrap/>
            <w:vAlign w:val="center"/>
            <w:hideMark/>
          </w:tcPr>
          <w:p w:rsidR="00554054" w:rsidRPr="00C259FC" w:rsidRDefault="00554054" w:rsidP="00A56570">
            <w:pPr>
              <w:keepNext/>
              <w:keepLines/>
              <w:spacing w:before="20" w:after="20"/>
              <w:jc w:val="center"/>
              <w:rPr>
                <w:rFonts w:cs="Arial"/>
                <w:color w:val="000000"/>
                <w:szCs w:val="18"/>
              </w:rPr>
            </w:pPr>
            <w:r w:rsidRPr="00C259FC">
              <w:rPr>
                <w:rFonts w:cs="Arial"/>
                <w:color w:val="000000"/>
                <w:szCs w:val="18"/>
              </w:rPr>
              <w:t>2</w:t>
            </w:r>
          </w:p>
        </w:tc>
        <w:tc>
          <w:tcPr>
            <w:tcW w:w="2268" w:type="dxa"/>
            <w:tcBorders>
              <w:top w:val="nil"/>
              <w:left w:val="single" w:sz="4" w:space="0" w:color="auto"/>
              <w:bottom w:val="nil"/>
              <w:right w:val="single" w:sz="4" w:space="0" w:color="auto"/>
            </w:tcBorders>
            <w:vAlign w:val="center"/>
            <w:hideMark/>
          </w:tcPr>
          <w:p w:rsidR="00554054" w:rsidRPr="00C259FC" w:rsidRDefault="00554054" w:rsidP="00A56570">
            <w:pPr>
              <w:keepNext/>
              <w:keepLines/>
              <w:tabs>
                <w:tab w:val="decimal" w:pos="1562"/>
              </w:tabs>
              <w:spacing w:before="20" w:after="20"/>
              <w:rPr>
                <w:rFonts w:cs="Arial"/>
                <w:color w:val="000000"/>
                <w:szCs w:val="18"/>
              </w:rPr>
            </w:pPr>
            <w:r>
              <w:rPr>
                <w:rFonts w:cs="Arial"/>
                <w:color w:val="000000"/>
                <w:szCs w:val="18"/>
              </w:rPr>
              <w:t>207,405</w:t>
            </w:r>
          </w:p>
        </w:tc>
      </w:tr>
      <w:tr w:rsidR="00554054" w:rsidRPr="00C259FC" w:rsidTr="00B277ED">
        <w:trPr>
          <w:trHeight w:val="170"/>
        </w:trPr>
        <w:tc>
          <w:tcPr>
            <w:tcW w:w="4093" w:type="dxa"/>
            <w:tcBorders>
              <w:top w:val="nil"/>
              <w:left w:val="single" w:sz="4" w:space="0" w:color="auto"/>
              <w:bottom w:val="nil"/>
              <w:right w:val="single" w:sz="4" w:space="0" w:color="auto"/>
            </w:tcBorders>
            <w:vAlign w:val="center"/>
            <w:hideMark/>
          </w:tcPr>
          <w:p w:rsidR="00554054" w:rsidRPr="00C259FC" w:rsidRDefault="00554054" w:rsidP="00A56570">
            <w:pPr>
              <w:keepNext/>
              <w:keepLines/>
              <w:spacing w:before="20" w:after="20"/>
              <w:rPr>
                <w:rFonts w:cs="Arial"/>
                <w:color w:val="000000"/>
                <w:szCs w:val="18"/>
              </w:rPr>
            </w:pPr>
            <w:r w:rsidRPr="00C259FC">
              <w:rPr>
                <w:rFonts w:cs="Arial"/>
                <w:color w:val="000000"/>
                <w:szCs w:val="18"/>
              </w:rPr>
              <w:t>Restaurant</w:t>
            </w:r>
          </w:p>
        </w:tc>
        <w:tc>
          <w:tcPr>
            <w:tcW w:w="1577" w:type="dxa"/>
            <w:tcBorders>
              <w:top w:val="nil"/>
              <w:left w:val="single" w:sz="4" w:space="0" w:color="auto"/>
              <w:bottom w:val="nil"/>
              <w:right w:val="single" w:sz="4" w:space="0" w:color="auto"/>
            </w:tcBorders>
            <w:noWrap/>
            <w:vAlign w:val="center"/>
            <w:hideMark/>
          </w:tcPr>
          <w:p w:rsidR="00554054" w:rsidRPr="00C259FC" w:rsidRDefault="00554054" w:rsidP="00A56570">
            <w:pPr>
              <w:keepNext/>
              <w:keepLines/>
              <w:spacing w:before="20" w:after="20"/>
              <w:jc w:val="center"/>
              <w:rPr>
                <w:rFonts w:cs="Arial"/>
                <w:color w:val="000000"/>
                <w:szCs w:val="18"/>
              </w:rPr>
            </w:pPr>
            <w:r w:rsidRPr="00C259FC">
              <w:rPr>
                <w:rFonts w:cs="Arial"/>
                <w:color w:val="000000"/>
                <w:szCs w:val="18"/>
              </w:rPr>
              <w:t>1</w:t>
            </w:r>
          </w:p>
        </w:tc>
        <w:tc>
          <w:tcPr>
            <w:tcW w:w="2268" w:type="dxa"/>
            <w:tcBorders>
              <w:top w:val="nil"/>
              <w:left w:val="single" w:sz="4" w:space="0" w:color="auto"/>
              <w:bottom w:val="nil"/>
              <w:right w:val="single" w:sz="4" w:space="0" w:color="auto"/>
            </w:tcBorders>
            <w:vAlign w:val="center"/>
            <w:hideMark/>
          </w:tcPr>
          <w:p w:rsidR="00554054" w:rsidRPr="00C259FC" w:rsidRDefault="00554054" w:rsidP="00A56570">
            <w:pPr>
              <w:keepNext/>
              <w:keepLines/>
              <w:tabs>
                <w:tab w:val="decimal" w:pos="1562"/>
              </w:tabs>
              <w:spacing w:before="20" w:after="20"/>
              <w:rPr>
                <w:rFonts w:cs="Arial"/>
                <w:color w:val="000000"/>
                <w:szCs w:val="18"/>
              </w:rPr>
            </w:pPr>
            <w:r w:rsidRPr="00C259FC">
              <w:rPr>
                <w:rFonts w:cs="Arial"/>
                <w:color w:val="000000"/>
                <w:szCs w:val="18"/>
              </w:rPr>
              <w:t>1,125,000</w:t>
            </w:r>
          </w:p>
        </w:tc>
      </w:tr>
      <w:tr w:rsidR="00554054" w:rsidRPr="00C259FC" w:rsidTr="00B277ED">
        <w:trPr>
          <w:trHeight w:val="170"/>
        </w:trPr>
        <w:tc>
          <w:tcPr>
            <w:tcW w:w="4093" w:type="dxa"/>
            <w:tcBorders>
              <w:top w:val="nil"/>
              <w:left w:val="single" w:sz="4" w:space="0" w:color="auto"/>
              <w:bottom w:val="nil"/>
              <w:right w:val="single" w:sz="4" w:space="0" w:color="auto"/>
            </w:tcBorders>
            <w:vAlign w:val="center"/>
            <w:hideMark/>
          </w:tcPr>
          <w:p w:rsidR="00554054" w:rsidRPr="00C259FC" w:rsidRDefault="00554054" w:rsidP="00A56570">
            <w:pPr>
              <w:keepNext/>
              <w:keepLines/>
              <w:spacing w:before="20" w:after="20"/>
              <w:rPr>
                <w:rFonts w:cs="Arial"/>
                <w:color w:val="000000"/>
                <w:szCs w:val="18"/>
              </w:rPr>
            </w:pPr>
            <w:r w:rsidRPr="00C259FC">
              <w:rPr>
                <w:rFonts w:cs="Arial"/>
                <w:color w:val="000000"/>
                <w:szCs w:val="18"/>
              </w:rPr>
              <w:t>Stores / Sheds / Garages</w:t>
            </w:r>
          </w:p>
        </w:tc>
        <w:tc>
          <w:tcPr>
            <w:tcW w:w="1577" w:type="dxa"/>
            <w:tcBorders>
              <w:top w:val="nil"/>
              <w:left w:val="single" w:sz="4" w:space="0" w:color="auto"/>
              <w:bottom w:val="single" w:sz="4" w:space="0" w:color="auto"/>
              <w:right w:val="single" w:sz="4" w:space="0" w:color="auto"/>
            </w:tcBorders>
            <w:noWrap/>
            <w:vAlign w:val="center"/>
            <w:hideMark/>
          </w:tcPr>
          <w:p w:rsidR="00554054" w:rsidRPr="00C259FC" w:rsidRDefault="00554054" w:rsidP="00A56570">
            <w:pPr>
              <w:keepNext/>
              <w:keepLines/>
              <w:spacing w:before="20" w:after="20"/>
              <w:jc w:val="center"/>
              <w:rPr>
                <w:rFonts w:cs="Arial"/>
                <w:color w:val="000000"/>
                <w:szCs w:val="18"/>
              </w:rPr>
            </w:pPr>
            <w:r w:rsidRPr="00C259FC">
              <w:rPr>
                <w:rFonts w:cs="Arial"/>
                <w:color w:val="000000"/>
                <w:szCs w:val="18"/>
              </w:rPr>
              <w:t>1</w:t>
            </w:r>
          </w:p>
        </w:tc>
        <w:tc>
          <w:tcPr>
            <w:tcW w:w="2268" w:type="dxa"/>
            <w:tcBorders>
              <w:top w:val="nil"/>
              <w:left w:val="single" w:sz="4" w:space="0" w:color="auto"/>
              <w:bottom w:val="single" w:sz="4" w:space="0" w:color="auto"/>
              <w:right w:val="single" w:sz="4" w:space="0" w:color="auto"/>
            </w:tcBorders>
            <w:vAlign w:val="center"/>
            <w:hideMark/>
          </w:tcPr>
          <w:p w:rsidR="00554054" w:rsidRPr="00C259FC" w:rsidRDefault="00554054" w:rsidP="00A56570">
            <w:pPr>
              <w:keepNext/>
              <w:keepLines/>
              <w:tabs>
                <w:tab w:val="decimal" w:pos="1562"/>
              </w:tabs>
              <w:spacing w:before="20" w:after="20"/>
              <w:rPr>
                <w:rFonts w:cs="Arial"/>
                <w:color w:val="000000"/>
                <w:szCs w:val="18"/>
              </w:rPr>
            </w:pPr>
            <w:r>
              <w:rPr>
                <w:rFonts w:cs="Arial"/>
                <w:color w:val="000000"/>
                <w:szCs w:val="18"/>
              </w:rPr>
              <w:t>10,000</w:t>
            </w:r>
          </w:p>
        </w:tc>
      </w:tr>
      <w:tr w:rsidR="00554054" w:rsidRPr="00C259FC" w:rsidTr="00B277ED">
        <w:trPr>
          <w:trHeight w:val="288"/>
        </w:trPr>
        <w:tc>
          <w:tcPr>
            <w:tcW w:w="4093" w:type="dxa"/>
            <w:tcBorders>
              <w:top w:val="nil"/>
              <w:bottom w:val="single" w:sz="4" w:space="0" w:color="auto"/>
            </w:tcBorders>
            <w:noWrap/>
            <w:vAlign w:val="center"/>
            <w:hideMark/>
          </w:tcPr>
          <w:p w:rsidR="00554054" w:rsidRPr="00C259FC" w:rsidRDefault="00554054" w:rsidP="00A56570">
            <w:pPr>
              <w:keepNext/>
              <w:keepLines/>
              <w:tabs>
                <w:tab w:val="left" w:pos="537"/>
              </w:tabs>
              <w:spacing w:before="20" w:after="20"/>
              <w:rPr>
                <w:rFonts w:cs="Arial"/>
                <w:b/>
                <w:color w:val="000000"/>
                <w:szCs w:val="18"/>
              </w:rPr>
            </w:pPr>
            <w:r w:rsidRPr="00C259FC">
              <w:rPr>
                <w:rFonts w:cs="Arial"/>
                <w:b/>
                <w:color w:val="000000"/>
                <w:szCs w:val="18"/>
              </w:rPr>
              <w:tab/>
              <w:t>Commercial (Total)</w:t>
            </w:r>
          </w:p>
        </w:tc>
        <w:tc>
          <w:tcPr>
            <w:tcW w:w="1577" w:type="dxa"/>
            <w:tcBorders>
              <w:top w:val="single" w:sz="4" w:space="0" w:color="auto"/>
              <w:bottom w:val="single" w:sz="4" w:space="0" w:color="auto"/>
            </w:tcBorders>
            <w:noWrap/>
            <w:vAlign w:val="center"/>
            <w:hideMark/>
          </w:tcPr>
          <w:p w:rsidR="00554054" w:rsidRPr="00C259FC" w:rsidRDefault="00554054" w:rsidP="00A56570">
            <w:pPr>
              <w:keepNext/>
              <w:keepLines/>
              <w:spacing w:before="20" w:after="20"/>
              <w:jc w:val="center"/>
              <w:rPr>
                <w:rFonts w:cs="Arial"/>
                <w:b/>
                <w:color w:val="000000"/>
                <w:szCs w:val="18"/>
              </w:rPr>
            </w:pPr>
            <w:r w:rsidRPr="00C259FC">
              <w:rPr>
                <w:rFonts w:cs="Arial"/>
                <w:b/>
                <w:color w:val="000000"/>
                <w:szCs w:val="18"/>
              </w:rPr>
              <w:t>12</w:t>
            </w:r>
          </w:p>
        </w:tc>
        <w:tc>
          <w:tcPr>
            <w:tcW w:w="2268" w:type="dxa"/>
            <w:tcBorders>
              <w:top w:val="single" w:sz="4" w:space="0" w:color="auto"/>
              <w:bottom w:val="single" w:sz="4" w:space="0" w:color="auto"/>
            </w:tcBorders>
            <w:noWrap/>
            <w:vAlign w:val="center"/>
            <w:hideMark/>
          </w:tcPr>
          <w:p w:rsidR="00554054" w:rsidRPr="00C259FC" w:rsidRDefault="00554054" w:rsidP="00A56570">
            <w:pPr>
              <w:keepNext/>
              <w:keepLines/>
              <w:tabs>
                <w:tab w:val="decimal" w:pos="1562"/>
              </w:tabs>
              <w:spacing w:before="20" w:after="20"/>
              <w:rPr>
                <w:rFonts w:cs="Arial"/>
                <w:b/>
                <w:color w:val="000000"/>
                <w:szCs w:val="18"/>
              </w:rPr>
            </w:pPr>
            <w:r>
              <w:rPr>
                <w:rFonts w:cs="Arial"/>
                <w:b/>
                <w:color w:val="000000"/>
                <w:szCs w:val="18"/>
              </w:rPr>
              <w:t>21,298,444</w:t>
            </w:r>
          </w:p>
        </w:tc>
      </w:tr>
      <w:tr w:rsidR="00554054" w:rsidRPr="00C259FC" w:rsidTr="00B277ED">
        <w:trPr>
          <w:trHeight w:val="170"/>
        </w:trPr>
        <w:tc>
          <w:tcPr>
            <w:tcW w:w="4093" w:type="dxa"/>
            <w:tcBorders>
              <w:top w:val="single" w:sz="4" w:space="0" w:color="auto"/>
              <w:left w:val="single" w:sz="4" w:space="0" w:color="auto"/>
              <w:bottom w:val="nil"/>
              <w:right w:val="single" w:sz="4" w:space="0" w:color="auto"/>
            </w:tcBorders>
            <w:vAlign w:val="center"/>
            <w:hideMark/>
          </w:tcPr>
          <w:p w:rsidR="00554054" w:rsidRPr="00C259FC" w:rsidRDefault="00554054" w:rsidP="00A56570">
            <w:pPr>
              <w:keepNext/>
              <w:keepLines/>
              <w:spacing w:before="20" w:after="20"/>
              <w:rPr>
                <w:rFonts w:cs="Arial"/>
                <w:color w:val="000000"/>
                <w:szCs w:val="18"/>
              </w:rPr>
            </w:pPr>
            <w:r w:rsidRPr="00C259FC">
              <w:rPr>
                <w:rFonts w:cs="Arial"/>
                <w:color w:val="000000"/>
                <w:szCs w:val="18"/>
              </w:rPr>
              <w:t>Child Care Centres</w:t>
            </w:r>
          </w:p>
        </w:tc>
        <w:tc>
          <w:tcPr>
            <w:tcW w:w="1577" w:type="dxa"/>
            <w:tcBorders>
              <w:top w:val="single" w:sz="4" w:space="0" w:color="auto"/>
              <w:left w:val="single" w:sz="4" w:space="0" w:color="auto"/>
              <w:bottom w:val="nil"/>
              <w:right w:val="single" w:sz="4" w:space="0" w:color="auto"/>
            </w:tcBorders>
            <w:vAlign w:val="center"/>
            <w:hideMark/>
          </w:tcPr>
          <w:p w:rsidR="00554054" w:rsidRPr="00C259FC" w:rsidRDefault="00554054" w:rsidP="00A56570">
            <w:pPr>
              <w:keepNext/>
              <w:keepLines/>
              <w:spacing w:before="20" w:after="20"/>
              <w:jc w:val="center"/>
              <w:rPr>
                <w:rFonts w:cs="Arial"/>
                <w:color w:val="000000"/>
                <w:szCs w:val="18"/>
              </w:rPr>
            </w:pPr>
            <w:r w:rsidRPr="00C259FC">
              <w:rPr>
                <w:rFonts w:cs="Arial"/>
                <w:color w:val="000000"/>
                <w:szCs w:val="18"/>
              </w:rPr>
              <w:t>9</w:t>
            </w:r>
          </w:p>
        </w:tc>
        <w:tc>
          <w:tcPr>
            <w:tcW w:w="2268" w:type="dxa"/>
            <w:tcBorders>
              <w:top w:val="single" w:sz="4" w:space="0" w:color="auto"/>
              <w:left w:val="single" w:sz="4" w:space="0" w:color="auto"/>
              <w:bottom w:val="nil"/>
              <w:right w:val="single" w:sz="4" w:space="0" w:color="auto"/>
            </w:tcBorders>
            <w:vAlign w:val="center"/>
          </w:tcPr>
          <w:p w:rsidR="00554054" w:rsidRPr="00C259FC" w:rsidRDefault="00554054" w:rsidP="00A56570">
            <w:pPr>
              <w:keepNext/>
              <w:keepLines/>
              <w:tabs>
                <w:tab w:val="decimal" w:pos="1562"/>
              </w:tabs>
              <w:spacing w:before="20" w:after="20"/>
              <w:rPr>
                <w:rFonts w:cs="Arial"/>
                <w:color w:val="000000"/>
                <w:szCs w:val="18"/>
              </w:rPr>
            </w:pPr>
            <w:r w:rsidRPr="00C259FC">
              <w:rPr>
                <w:rFonts w:cs="Arial"/>
                <w:color w:val="000000"/>
                <w:szCs w:val="18"/>
              </w:rPr>
              <w:t>7,073,337</w:t>
            </w:r>
          </w:p>
        </w:tc>
      </w:tr>
      <w:tr w:rsidR="00554054" w:rsidRPr="00C259FC" w:rsidTr="00B277ED">
        <w:trPr>
          <w:trHeight w:val="170"/>
        </w:trPr>
        <w:tc>
          <w:tcPr>
            <w:tcW w:w="4093" w:type="dxa"/>
            <w:tcBorders>
              <w:top w:val="nil"/>
              <w:left w:val="single" w:sz="4" w:space="0" w:color="auto"/>
              <w:bottom w:val="nil"/>
              <w:right w:val="single" w:sz="4" w:space="0" w:color="auto"/>
            </w:tcBorders>
            <w:noWrap/>
            <w:vAlign w:val="center"/>
            <w:hideMark/>
          </w:tcPr>
          <w:p w:rsidR="00554054" w:rsidRPr="00C259FC" w:rsidRDefault="00554054" w:rsidP="00A56570">
            <w:pPr>
              <w:keepNext/>
              <w:keepLines/>
              <w:spacing w:before="20" w:after="20"/>
              <w:rPr>
                <w:rFonts w:cs="Arial"/>
                <w:color w:val="000000"/>
                <w:szCs w:val="18"/>
              </w:rPr>
            </w:pPr>
            <w:r w:rsidRPr="00C259FC">
              <w:rPr>
                <w:rFonts w:cs="Arial"/>
                <w:color w:val="000000"/>
                <w:szCs w:val="18"/>
              </w:rPr>
              <w:t>Community Halls</w:t>
            </w:r>
          </w:p>
        </w:tc>
        <w:tc>
          <w:tcPr>
            <w:tcW w:w="1577" w:type="dxa"/>
            <w:tcBorders>
              <w:top w:val="nil"/>
              <w:left w:val="single" w:sz="4" w:space="0" w:color="auto"/>
              <w:bottom w:val="nil"/>
              <w:right w:val="single" w:sz="4" w:space="0" w:color="auto"/>
            </w:tcBorders>
            <w:noWrap/>
            <w:vAlign w:val="center"/>
            <w:hideMark/>
          </w:tcPr>
          <w:p w:rsidR="00554054" w:rsidRPr="00C259FC" w:rsidRDefault="00554054" w:rsidP="00A56570">
            <w:pPr>
              <w:keepNext/>
              <w:keepLines/>
              <w:spacing w:before="20" w:after="20"/>
              <w:jc w:val="center"/>
              <w:rPr>
                <w:rFonts w:cs="Arial"/>
                <w:color w:val="000000"/>
                <w:szCs w:val="18"/>
              </w:rPr>
            </w:pPr>
            <w:r w:rsidRPr="00C259FC">
              <w:rPr>
                <w:rFonts w:cs="Arial"/>
                <w:color w:val="000000"/>
                <w:szCs w:val="18"/>
              </w:rPr>
              <w:t>9</w:t>
            </w:r>
          </w:p>
        </w:tc>
        <w:tc>
          <w:tcPr>
            <w:tcW w:w="2268" w:type="dxa"/>
            <w:tcBorders>
              <w:top w:val="nil"/>
              <w:left w:val="single" w:sz="4" w:space="0" w:color="auto"/>
              <w:bottom w:val="nil"/>
              <w:right w:val="single" w:sz="4" w:space="0" w:color="auto"/>
            </w:tcBorders>
            <w:vAlign w:val="center"/>
          </w:tcPr>
          <w:p w:rsidR="00554054" w:rsidRPr="00C259FC" w:rsidRDefault="00554054" w:rsidP="00A56570">
            <w:pPr>
              <w:keepNext/>
              <w:keepLines/>
              <w:tabs>
                <w:tab w:val="decimal" w:pos="1562"/>
              </w:tabs>
              <w:spacing w:before="20" w:after="20"/>
              <w:rPr>
                <w:rFonts w:cs="Arial"/>
                <w:color w:val="000000"/>
                <w:szCs w:val="18"/>
              </w:rPr>
            </w:pPr>
            <w:r>
              <w:rPr>
                <w:rFonts w:cs="Arial"/>
                <w:color w:val="000000"/>
                <w:szCs w:val="18"/>
              </w:rPr>
              <w:t>4,103,181</w:t>
            </w:r>
          </w:p>
        </w:tc>
      </w:tr>
      <w:tr w:rsidR="00554054" w:rsidRPr="00C259FC" w:rsidTr="00B277ED">
        <w:trPr>
          <w:trHeight w:val="170"/>
        </w:trPr>
        <w:tc>
          <w:tcPr>
            <w:tcW w:w="4093" w:type="dxa"/>
            <w:tcBorders>
              <w:top w:val="nil"/>
              <w:left w:val="single" w:sz="4" w:space="0" w:color="auto"/>
              <w:bottom w:val="nil"/>
              <w:right w:val="single" w:sz="4" w:space="0" w:color="auto"/>
            </w:tcBorders>
            <w:noWrap/>
            <w:vAlign w:val="center"/>
            <w:hideMark/>
          </w:tcPr>
          <w:p w:rsidR="00554054" w:rsidRPr="00C259FC" w:rsidRDefault="00554054" w:rsidP="00A56570">
            <w:pPr>
              <w:keepNext/>
              <w:keepLines/>
              <w:spacing w:before="20" w:after="20"/>
              <w:rPr>
                <w:rFonts w:cs="Arial"/>
                <w:color w:val="000000"/>
                <w:szCs w:val="18"/>
              </w:rPr>
            </w:pPr>
            <w:r w:rsidRPr="00C259FC">
              <w:rPr>
                <w:rFonts w:cs="Arial"/>
                <w:color w:val="000000"/>
                <w:szCs w:val="18"/>
              </w:rPr>
              <w:t>Kindergartens</w:t>
            </w:r>
          </w:p>
        </w:tc>
        <w:tc>
          <w:tcPr>
            <w:tcW w:w="1577" w:type="dxa"/>
            <w:tcBorders>
              <w:top w:val="nil"/>
              <w:left w:val="single" w:sz="4" w:space="0" w:color="auto"/>
              <w:bottom w:val="nil"/>
              <w:right w:val="single" w:sz="4" w:space="0" w:color="auto"/>
            </w:tcBorders>
            <w:noWrap/>
            <w:vAlign w:val="center"/>
            <w:hideMark/>
          </w:tcPr>
          <w:p w:rsidR="00554054" w:rsidRPr="00C259FC" w:rsidRDefault="00554054" w:rsidP="00A56570">
            <w:pPr>
              <w:keepNext/>
              <w:keepLines/>
              <w:spacing w:before="20" w:after="20"/>
              <w:jc w:val="center"/>
              <w:rPr>
                <w:rFonts w:cs="Arial"/>
                <w:color w:val="000000"/>
                <w:szCs w:val="18"/>
              </w:rPr>
            </w:pPr>
            <w:r w:rsidRPr="00C259FC">
              <w:rPr>
                <w:rFonts w:cs="Arial"/>
                <w:color w:val="000000"/>
                <w:szCs w:val="18"/>
              </w:rPr>
              <w:t>4</w:t>
            </w:r>
          </w:p>
        </w:tc>
        <w:tc>
          <w:tcPr>
            <w:tcW w:w="2268" w:type="dxa"/>
            <w:tcBorders>
              <w:top w:val="nil"/>
              <w:left w:val="single" w:sz="4" w:space="0" w:color="auto"/>
              <w:bottom w:val="nil"/>
              <w:right w:val="single" w:sz="4" w:space="0" w:color="auto"/>
            </w:tcBorders>
            <w:vAlign w:val="center"/>
          </w:tcPr>
          <w:p w:rsidR="00554054" w:rsidRPr="00C259FC" w:rsidRDefault="00554054" w:rsidP="00A56570">
            <w:pPr>
              <w:keepNext/>
              <w:keepLines/>
              <w:tabs>
                <w:tab w:val="decimal" w:pos="1562"/>
              </w:tabs>
              <w:spacing w:before="20" w:after="20"/>
              <w:rPr>
                <w:rFonts w:cs="Arial"/>
                <w:color w:val="000000"/>
                <w:szCs w:val="18"/>
              </w:rPr>
            </w:pPr>
            <w:r>
              <w:rPr>
                <w:rFonts w:cs="Arial"/>
                <w:color w:val="000000"/>
                <w:szCs w:val="18"/>
              </w:rPr>
              <w:t>1,852,974</w:t>
            </w:r>
          </w:p>
        </w:tc>
      </w:tr>
      <w:tr w:rsidR="00554054" w:rsidRPr="00C259FC" w:rsidTr="00B277ED">
        <w:trPr>
          <w:trHeight w:val="170"/>
        </w:trPr>
        <w:tc>
          <w:tcPr>
            <w:tcW w:w="4093" w:type="dxa"/>
            <w:tcBorders>
              <w:top w:val="nil"/>
              <w:left w:val="single" w:sz="4" w:space="0" w:color="auto"/>
              <w:bottom w:val="nil"/>
              <w:right w:val="single" w:sz="4" w:space="0" w:color="auto"/>
            </w:tcBorders>
            <w:noWrap/>
            <w:vAlign w:val="center"/>
            <w:hideMark/>
          </w:tcPr>
          <w:p w:rsidR="00554054" w:rsidRPr="00C259FC" w:rsidRDefault="00554054" w:rsidP="00A56570">
            <w:pPr>
              <w:keepNext/>
              <w:keepLines/>
              <w:spacing w:before="20" w:after="20"/>
              <w:rPr>
                <w:rFonts w:cs="Arial"/>
                <w:color w:val="000000"/>
                <w:szCs w:val="18"/>
              </w:rPr>
            </w:pPr>
            <w:r w:rsidRPr="00C259FC">
              <w:rPr>
                <w:rFonts w:cs="Arial"/>
                <w:color w:val="000000"/>
                <w:szCs w:val="18"/>
              </w:rPr>
              <w:t>Libraries</w:t>
            </w:r>
          </w:p>
        </w:tc>
        <w:tc>
          <w:tcPr>
            <w:tcW w:w="1577" w:type="dxa"/>
            <w:tcBorders>
              <w:top w:val="nil"/>
              <w:left w:val="single" w:sz="4" w:space="0" w:color="auto"/>
              <w:bottom w:val="nil"/>
              <w:right w:val="single" w:sz="4" w:space="0" w:color="auto"/>
            </w:tcBorders>
            <w:noWrap/>
            <w:vAlign w:val="center"/>
            <w:hideMark/>
          </w:tcPr>
          <w:p w:rsidR="00554054" w:rsidRPr="00C259FC" w:rsidRDefault="00554054" w:rsidP="00A56570">
            <w:pPr>
              <w:keepNext/>
              <w:keepLines/>
              <w:spacing w:before="20" w:after="20"/>
              <w:jc w:val="center"/>
              <w:rPr>
                <w:rFonts w:cs="Arial"/>
                <w:color w:val="000000"/>
                <w:szCs w:val="18"/>
              </w:rPr>
            </w:pPr>
            <w:r w:rsidRPr="00C259FC">
              <w:rPr>
                <w:rFonts w:cs="Arial"/>
                <w:color w:val="000000"/>
                <w:szCs w:val="18"/>
              </w:rPr>
              <w:t>3</w:t>
            </w:r>
          </w:p>
        </w:tc>
        <w:tc>
          <w:tcPr>
            <w:tcW w:w="2268" w:type="dxa"/>
            <w:tcBorders>
              <w:top w:val="nil"/>
              <w:left w:val="single" w:sz="4" w:space="0" w:color="auto"/>
              <w:bottom w:val="nil"/>
              <w:right w:val="single" w:sz="4" w:space="0" w:color="auto"/>
            </w:tcBorders>
            <w:vAlign w:val="center"/>
          </w:tcPr>
          <w:p w:rsidR="00554054" w:rsidRPr="00C259FC" w:rsidRDefault="00554054" w:rsidP="00A56570">
            <w:pPr>
              <w:keepNext/>
              <w:keepLines/>
              <w:tabs>
                <w:tab w:val="decimal" w:pos="1562"/>
              </w:tabs>
              <w:spacing w:before="20" w:after="20"/>
              <w:rPr>
                <w:rFonts w:cs="Arial"/>
                <w:color w:val="000000"/>
                <w:szCs w:val="18"/>
              </w:rPr>
            </w:pPr>
            <w:r>
              <w:rPr>
                <w:rFonts w:cs="Arial"/>
                <w:color w:val="000000"/>
                <w:szCs w:val="18"/>
              </w:rPr>
              <w:t>13,090,525</w:t>
            </w:r>
          </w:p>
        </w:tc>
      </w:tr>
      <w:tr w:rsidR="00554054" w:rsidRPr="00C259FC" w:rsidTr="00B277ED">
        <w:trPr>
          <w:trHeight w:val="170"/>
        </w:trPr>
        <w:tc>
          <w:tcPr>
            <w:tcW w:w="4093" w:type="dxa"/>
            <w:tcBorders>
              <w:top w:val="nil"/>
              <w:left w:val="single" w:sz="4" w:space="0" w:color="auto"/>
              <w:bottom w:val="nil"/>
              <w:right w:val="single" w:sz="4" w:space="0" w:color="auto"/>
            </w:tcBorders>
            <w:vAlign w:val="center"/>
            <w:hideMark/>
          </w:tcPr>
          <w:p w:rsidR="00554054" w:rsidRPr="00C259FC" w:rsidRDefault="00554054" w:rsidP="00A56570">
            <w:pPr>
              <w:keepNext/>
              <w:keepLines/>
              <w:spacing w:before="20" w:after="20"/>
              <w:rPr>
                <w:rFonts w:cs="Arial"/>
                <w:color w:val="000000"/>
                <w:szCs w:val="18"/>
              </w:rPr>
            </w:pPr>
            <w:r w:rsidRPr="00C259FC">
              <w:rPr>
                <w:rFonts w:cs="Arial"/>
                <w:color w:val="000000"/>
                <w:szCs w:val="18"/>
              </w:rPr>
              <w:t>Maternal &amp; Child Health Centres</w:t>
            </w:r>
          </w:p>
        </w:tc>
        <w:tc>
          <w:tcPr>
            <w:tcW w:w="1577" w:type="dxa"/>
            <w:tcBorders>
              <w:top w:val="nil"/>
              <w:left w:val="single" w:sz="4" w:space="0" w:color="auto"/>
              <w:bottom w:val="nil"/>
              <w:right w:val="single" w:sz="4" w:space="0" w:color="auto"/>
            </w:tcBorders>
            <w:noWrap/>
            <w:vAlign w:val="center"/>
            <w:hideMark/>
          </w:tcPr>
          <w:p w:rsidR="00554054" w:rsidRPr="00C259FC" w:rsidRDefault="00554054" w:rsidP="00A56570">
            <w:pPr>
              <w:keepNext/>
              <w:keepLines/>
              <w:spacing w:before="20" w:after="20"/>
              <w:jc w:val="center"/>
              <w:rPr>
                <w:rFonts w:cs="Arial"/>
                <w:color w:val="000000"/>
                <w:szCs w:val="18"/>
              </w:rPr>
            </w:pPr>
            <w:r w:rsidRPr="00C259FC">
              <w:rPr>
                <w:rFonts w:cs="Arial"/>
                <w:color w:val="000000"/>
                <w:szCs w:val="18"/>
              </w:rPr>
              <w:t>5</w:t>
            </w:r>
          </w:p>
        </w:tc>
        <w:tc>
          <w:tcPr>
            <w:tcW w:w="2268" w:type="dxa"/>
            <w:tcBorders>
              <w:top w:val="nil"/>
              <w:left w:val="single" w:sz="4" w:space="0" w:color="auto"/>
              <w:bottom w:val="nil"/>
              <w:right w:val="single" w:sz="4" w:space="0" w:color="auto"/>
            </w:tcBorders>
            <w:vAlign w:val="center"/>
          </w:tcPr>
          <w:p w:rsidR="00554054" w:rsidRPr="00C259FC" w:rsidRDefault="00554054" w:rsidP="00A56570">
            <w:pPr>
              <w:keepNext/>
              <w:keepLines/>
              <w:tabs>
                <w:tab w:val="decimal" w:pos="1562"/>
              </w:tabs>
              <w:spacing w:before="20" w:after="20"/>
              <w:rPr>
                <w:rFonts w:cs="Arial"/>
                <w:color w:val="000000"/>
                <w:szCs w:val="18"/>
              </w:rPr>
            </w:pPr>
            <w:r>
              <w:rPr>
                <w:rFonts w:cs="Arial"/>
                <w:color w:val="000000"/>
                <w:szCs w:val="18"/>
              </w:rPr>
              <w:t>2,090,058</w:t>
            </w:r>
          </w:p>
        </w:tc>
      </w:tr>
      <w:tr w:rsidR="00554054" w:rsidRPr="00C259FC" w:rsidTr="00B277ED">
        <w:trPr>
          <w:trHeight w:val="170"/>
        </w:trPr>
        <w:tc>
          <w:tcPr>
            <w:tcW w:w="4093" w:type="dxa"/>
            <w:tcBorders>
              <w:top w:val="nil"/>
              <w:left w:val="single" w:sz="4" w:space="0" w:color="auto"/>
              <w:bottom w:val="nil"/>
              <w:right w:val="single" w:sz="4" w:space="0" w:color="auto"/>
            </w:tcBorders>
            <w:vAlign w:val="center"/>
            <w:hideMark/>
          </w:tcPr>
          <w:p w:rsidR="00554054" w:rsidRPr="00C259FC" w:rsidRDefault="00554054" w:rsidP="00A56570">
            <w:pPr>
              <w:keepNext/>
              <w:keepLines/>
              <w:spacing w:before="20" w:after="20"/>
              <w:rPr>
                <w:rFonts w:cs="Arial"/>
                <w:color w:val="000000"/>
                <w:szCs w:val="18"/>
              </w:rPr>
            </w:pPr>
            <w:r w:rsidRPr="00C259FC">
              <w:rPr>
                <w:rFonts w:cs="Arial"/>
                <w:color w:val="000000"/>
                <w:szCs w:val="18"/>
              </w:rPr>
              <w:t>Neighbourhood Houses</w:t>
            </w:r>
          </w:p>
        </w:tc>
        <w:tc>
          <w:tcPr>
            <w:tcW w:w="1577" w:type="dxa"/>
            <w:tcBorders>
              <w:top w:val="nil"/>
              <w:left w:val="single" w:sz="4" w:space="0" w:color="auto"/>
              <w:bottom w:val="nil"/>
              <w:right w:val="single" w:sz="4" w:space="0" w:color="auto"/>
            </w:tcBorders>
            <w:noWrap/>
            <w:vAlign w:val="center"/>
            <w:hideMark/>
          </w:tcPr>
          <w:p w:rsidR="00554054" w:rsidRPr="00C259FC" w:rsidRDefault="00554054" w:rsidP="00A56570">
            <w:pPr>
              <w:keepNext/>
              <w:keepLines/>
              <w:spacing w:before="20" w:after="20"/>
              <w:jc w:val="center"/>
              <w:rPr>
                <w:rFonts w:cs="Arial"/>
                <w:color w:val="000000"/>
                <w:szCs w:val="18"/>
              </w:rPr>
            </w:pPr>
            <w:r w:rsidRPr="00C259FC">
              <w:rPr>
                <w:rFonts w:cs="Arial"/>
                <w:color w:val="000000"/>
                <w:szCs w:val="18"/>
              </w:rPr>
              <w:t>5</w:t>
            </w:r>
          </w:p>
        </w:tc>
        <w:tc>
          <w:tcPr>
            <w:tcW w:w="2268" w:type="dxa"/>
            <w:tcBorders>
              <w:top w:val="nil"/>
              <w:left w:val="single" w:sz="4" w:space="0" w:color="auto"/>
              <w:bottom w:val="nil"/>
              <w:right w:val="single" w:sz="4" w:space="0" w:color="auto"/>
            </w:tcBorders>
            <w:vAlign w:val="center"/>
          </w:tcPr>
          <w:p w:rsidR="00554054" w:rsidRPr="00C259FC" w:rsidRDefault="00554054" w:rsidP="00A56570">
            <w:pPr>
              <w:keepNext/>
              <w:keepLines/>
              <w:tabs>
                <w:tab w:val="decimal" w:pos="1562"/>
              </w:tabs>
              <w:spacing w:before="20" w:after="20"/>
              <w:rPr>
                <w:rFonts w:cs="Arial"/>
                <w:color w:val="000000"/>
                <w:szCs w:val="18"/>
              </w:rPr>
            </w:pPr>
            <w:r>
              <w:rPr>
                <w:rFonts w:cs="Arial"/>
                <w:color w:val="000000"/>
                <w:szCs w:val="18"/>
              </w:rPr>
              <w:t>1,633,671</w:t>
            </w:r>
          </w:p>
        </w:tc>
      </w:tr>
      <w:tr w:rsidR="00554054" w:rsidRPr="00C259FC" w:rsidTr="00B277ED">
        <w:trPr>
          <w:trHeight w:val="170"/>
        </w:trPr>
        <w:tc>
          <w:tcPr>
            <w:tcW w:w="4093" w:type="dxa"/>
            <w:tcBorders>
              <w:top w:val="nil"/>
              <w:left w:val="single" w:sz="4" w:space="0" w:color="auto"/>
              <w:bottom w:val="nil"/>
              <w:right w:val="single" w:sz="4" w:space="0" w:color="auto"/>
            </w:tcBorders>
            <w:noWrap/>
            <w:vAlign w:val="center"/>
            <w:hideMark/>
          </w:tcPr>
          <w:p w:rsidR="00554054" w:rsidRPr="00C259FC" w:rsidRDefault="00554054" w:rsidP="00A56570">
            <w:pPr>
              <w:keepNext/>
              <w:keepLines/>
              <w:spacing w:before="20" w:after="20"/>
              <w:rPr>
                <w:rFonts w:cs="Arial"/>
                <w:color w:val="000000"/>
                <w:szCs w:val="18"/>
              </w:rPr>
            </w:pPr>
            <w:r w:rsidRPr="00C259FC">
              <w:rPr>
                <w:rFonts w:cs="Arial"/>
                <w:color w:val="000000"/>
                <w:szCs w:val="18"/>
              </w:rPr>
              <w:t>Residences</w:t>
            </w:r>
          </w:p>
        </w:tc>
        <w:tc>
          <w:tcPr>
            <w:tcW w:w="1577" w:type="dxa"/>
            <w:tcBorders>
              <w:top w:val="nil"/>
              <w:left w:val="single" w:sz="4" w:space="0" w:color="auto"/>
              <w:bottom w:val="nil"/>
              <w:right w:val="single" w:sz="4" w:space="0" w:color="auto"/>
            </w:tcBorders>
            <w:noWrap/>
            <w:vAlign w:val="center"/>
            <w:hideMark/>
          </w:tcPr>
          <w:p w:rsidR="00554054" w:rsidRPr="00C259FC" w:rsidRDefault="00554054" w:rsidP="00A56570">
            <w:pPr>
              <w:keepNext/>
              <w:keepLines/>
              <w:spacing w:before="20" w:after="20"/>
              <w:jc w:val="center"/>
              <w:rPr>
                <w:rFonts w:cs="Arial"/>
                <w:color w:val="000000"/>
                <w:szCs w:val="18"/>
              </w:rPr>
            </w:pPr>
            <w:r w:rsidRPr="00C259FC">
              <w:rPr>
                <w:rFonts w:cs="Arial"/>
                <w:color w:val="000000"/>
                <w:szCs w:val="18"/>
              </w:rPr>
              <w:t>2</w:t>
            </w:r>
          </w:p>
        </w:tc>
        <w:tc>
          <w:tcPr>
            <w:tcW w:w="2268" w:type="dxa"/>
            <w:tcBorders>
              <w:top w:val="nil"/>
              <w:left w:val="single" w:sz="4" w:space="0" w:color="auto"/>
              <w:bottom w:val="nil"/>
              <w:right w:val="single" w:sz="4" w:space="0" w:color="auto"/>
            </w:tcBorders>
            <w:vAlign w:val="center"/>
          </w:tcPr>
          <w:p w:rsidR="00554054" w:rsidRPr="00C259FC" w:rsidRDefault="00554054" w:rsidP="00A56570">
            <w:pPr>
              <w:keepNext/>
              <w:keepLines/>
              <w:tabs>
                <w:tab w:val="decimal" w:pos="1562"/>
              </w:tabs>
              <w:spacing w:before="20" w:after="20"/>
              <w:rPr>
                <w:rFonts w:cs="Arial"/>
                <w:color w:val="000000"/>
                <w:szCs w:val="18"/>
              </w:rPr>
            </w:pPr>
            <w:r>
              <w:rPr>
                <w:rFonts w:cs="Arial"/>
                <w:color w:val="000000"/>
                <w:szCs w:val="18"/>
              </w:rPr>
              <w:t>446,105</w:t>
            </w:r>
          </w:p>
        </w:tc>
      </w:tr>
      <w:tr w:rsidR="00554054" w:rsidRPr="00C259FC" w:rsidTr="00B277ED">
        <w:trPr>
          <w:trHeight w:val="170"/>
        </w:trPr>
        <w:tc>
          <w:tcPr>
            <w:tcW w:w="4093" w:type="dxa"/>
            <w:tcBorders>
              <w:top w:val="nil"/>
              <w:left w:val="single" w:sz="4" w:space="0" w:color="auto"/>
              <w:bottom w:val="nil"/>
              <w:right w:val="single" w:sz="4" w:space="0" w:color="auto"/>
            </w:tcBorders>
            <w:noWrap/>
            <w:vAlign w:val="center"/>
            <w:hideMark/>
          </w:tcPr>
          <w:p w:rsidR="00554054" w:rsidRPr="00C259FC" w:rsidRDefault="00554054" w:rsidP="00A56570">
            <w:pPr>
              <w:keepNext/>
              <w:keepLines/>
              <w:spacing w:before="20" w:after="20"/>
              <w:rPr>
                <w:rFonts w:cs="Arial"/>
                <w:color w:val="000000"/>
                <w:szCs w:val="18"/>
              </w:rPr>
            </w:pPr>
            <w:r w:rsidRPr="00C259FC">
              <w:rPr>
                <w:rFonts w:cs="Arial"/>
                <w:color w:val="000000"/>
                <w:szCs w:val="18"/>
              </w:rPr>
              <w:t>Seniors Centres</w:t>
            </w:r>
          </w:p>
        </w:tc>
        <w:tc>
          <w:tcPr>
            <w:tcW w:w="1577" w:type="dxa"/>
            <w:tcBorders>
              <w:top w:val="nil"/>
              <w:left w:val="single" w:sz="4" w:space="0" w:color="auto"/>
              <w:bottom w:val="nil"/>
              <w:right w:val="single" w:sz="4" w:space="0" w:color="auto"/>
            </w:tcBorders>
            <w:noWrap/>
            <w:vAlign w:val="center"/>
            <w:hideMark/>
          </w:tcPr>
          <w:p w:rsidR="00554054" w:rsidRPr="00C259FC" w:rsidRDefault="00554054" w:rsidP="00A56570">
            <w:pPr>
              <w:keepNext/>
              <w:keepLines/>
              <w:spacing w:before="20" w:after="20"/>
              <w:jc w:val="center"/>
              <w:rPr>
                <w:rFonts w:cs="Arial"/>
                <w:color w:val="000000"/>
                <w:szCs w:val="18"/>
              </w:rPr>
            </w:pPr>
            <w:r w:rsidRPr="00C259FC">
              <w:rPr>
                <w:rFonts w:cs="Arial"/>
                <w:color w:val="000000"/>
                <w:szCs w:val="18"/>
              </w:rPr>
              <w:t>2</w:t>
            </w:r>
          </w:p>
        </w:tc>
        <w:tc>
          <w:tcPr>
            <w:tcW w:w="2268" w:type="dxa"/>
            <w:tcBorders>
              <w:top w:val="nil"/>
              <w:left w:val="single" w:sz="4" w:space="0" w:color="auto"/>
              <w:bottom w:val="nil"/>
              <w:right w:val="single" w:sz="4" w:space="0" w:color="auto"/>
            </w:tcBorders>
            <w:vAlign w:val="center"/>
          </w:tcPr>
          <w:p w:rsidR="00554054" w:rsidRPr="00C259FC" w:rsidRDefault="00554054" w:rsidP="00A56570">
            <w:pPr>
              <w:keepNext/>
              <w:keepLines/>
              <w:tabs>
                <w:tab w:val="decimal" w:pos="1562"/>
              </w:tabs>
              <w:spacing w:before="20" w:after="20"/>
              <w:rPr>
                <w:rFonts w:cs="Arial"/>
                <w:color w:val="000000"/>
                <w:szCs w:val="18"/>
              </w:rPr>
            </w:pPr>
            <w:r>
              <w:rPr>
                <w:rFonts w:cs="Arial"/>
                <w:color w:val="000000"/>
                <w:szCs w:val="18"/>
              </w:rPr>
              <w:t>2,234,628</w:t>
            </w:r>
          </w:p>
        </w:tc>
      </w:tr>
      <w:tr w:rsidR="00554054" w:rsidRPr="00C259FC" w:rsidTr="00B277ED">
        <w:trPr>
          <w:trHeight w:val="170"/>
        </w:trPr>
        <w:tc>
          <w:tcPr>
            <w:tcW w:w="4093" w:type="dxa"/>
            <w:tcBorders>
              <w:top w:val="nil"/>
              <w:left w:val="single" w:sz="4" w:space="0" w:color="auto"/>
              <w:bottom w:val="nil"/>
              <w:right w:val="single" w:sz="4" w:space="0" w:color="auto"/>
            </w:tcBorders>
            <w:vAlign w:val="center"/>
            <w:hideMark/>
          </w:tcPr>
          <w:p w:rsidR="00554054" w:rsidRPr="00C259FC" w:rsidRDefault="00554054" w:rsidP="00A56570">
            <w:pPr>
              <w:keepNext/>
              <w:keepLines/>
              <w:spacing w:before="20" w:after="20"/>
              <w:rPr>
                <w:rFonts w:cs="Arial"/>
                <w:color w:val="000000"/>
                <w:szCs w:val="18"/>
              </w:rPr>
            </w:pPr>
            <w:r w:rsidRPr="00C259FC">
              <w:rPr>
                <w:rFonts w:cs="Arial"/>
                <w:color w:val="000000"/>
                <w:szCs w:val="18"/>
              </w:rPr>
              <w:t>Stores / Sheds / Garages</w:t>
            </w:r>
          </w:p>
        </w:tc>
        <w:tc>
          <w:tcPr>
            <w:tcW w:w="1577" w:type="dxa"/>
            <w:tcBorders>
              <w:top w:val="nil"/>
              <w:left w:val="single" w:sz="4" w:space="0" w:color="auto"/>
              <w:bottom w:val="nil"/>
              <w:right w:val="single" w:sz="4" w:space="0" w:color="auto"/>
            </w:tcBorders>
            <w:noWrap/>
            <w:vAlign w:val="center"/>
            <w:hideMark/>
          </w:tcPr>
          <w:p w:rsidR="00554054" w:rsidRPr="00C259FC" w:rsidRDefault="00554054" w:rsidP="00A56570">
            <w:pPr>
              <w:keepNext/>
              <w:keepLines/>
              <w:spacing w:before="20" w:after="20"/>
              <w:jc w:val="center"/>
              <w:rPr>
                <w:rFonts w:cs="Arial"/>
                <w:color w:val="000000"/>
                <w:szCs w:val="18"/>
              </w:rPr>
            </w:pPr>
            <w:r w:rsidRPr="00C259FC">
              <w:rPr>
                <w:rFonts w:cs="Arial"/>
                <w:color w:val="000000"/>
                <w:szCs w:val="18"/>
              </w:rPr>
              <w:t>2</w:t>
            </w:r>
          </w:p>
        </w:tc>
        <w:tc>
          <w:tcPr>
            <w:tcW w:w="2268" w:type="dxa"/>
            <w:tcBorders>
              <w:top w:val="nil"/>
              <w:left w:val="single" w:sz="4" w:space="0" w:color="auto"/>
              <w:bottom w:val="nil"/>
              <w:right w:val="single" w:sz="4" w:space="0" w:color="auto"/>
            </w:tcBorders>
            <w:vAlign w:val="center"/>
          </w:tcPr>
          <w:p w:rsidR="00554054" w:rsidRPr="00C259FC" w:rsidRDefault="00554054" w:rsidP="00A56570">
            <w:pPr>
              <w:keepNext/>
              <w:keepLines/>
              <w:tabs>
                <w:tab w:val="decimal" w:pos="1562"/>
              </w:tabs>
              <w:spacing w:before="20" w:after="20"/>
              <w:jc w:val="left"/>
              <w:rPr>
                <w:rFonts w:cs="Arial"/>
                <w:color w:val="000000"/>
                <w:szCs w:val="18"/>
              </w:rPr>
            </w:pPr>
            <w:r>
              <w:rPr>
                <w:rFonts w:cs="Arial"/>
                <w:color w:val="000000"/>
                <w:szCs w:val="18"/>
              </w:rPr>
              <w:t>15,409</w:t>
            </w:r>
          </w:p>
        </w:tc>
      </w:tr>
      <w:tr w:rsidR="00554054" w:rsidRPr="00C259FC" w:rsidTr="00B277ED">
        <w:trPr>
          <w:trHeight w:val="170"/>
        </w:trPr>
        <w:tc>
          <w:tcPr>
            <w:tcW w:w="4093" w:type="dxa"/>
            <w:tcBorders>
              <w:top w:val="nil"/>
              <w:left w:val="single" w:sz="4" w:space="0" w:color="auto"/>
              <w:bottom w:val="nil"/>
              <w:right w:val="single" w:sz="4" w:space="0" w:color="auto"/>
            </w:tcBorders>
            <w:vAlign w:val="center"/>
            <w:hideMark/>
          </w:tcPr>
          <w:p w:rsidR="00554054" w:rsidRPr="00C259FC" w:rsidRDefault="00554054" w:rsidP="00A56570">
            <w:pPr>
              <w:keepNext/>
              <w:keepLines/>
              <w:spacing w:before="20" w:after="20"/>
              <w:rPr>
                <w:rFonts w:cs="Arial"/>
                <w:color w:val="000000"/>
                <w:szCs w:val="18"/>
              </w:rPr>
            </w:pPr>
            <w:r w:rsidRPr="00C259FC">
              <w:rPr>
                <w:rFonts w:cs="Arial"/>
                <w:color w:val="000000"/>
                <w:szCs w:val="18"/>
              </w:rPr>
              <w:t>Structure</w:t>
            </w:r>
          </w:p>
        </w:tc>
        <w:tc>
          <w:tcPr>
            <w:tcW w:w="1577" w:type="dxa"/>
            <w:tcBorders>
              <w:top w:val="nil"/>
              <w:left w:val="single" w:sz="4" w:space="0" w:color="auto"/>
              <w:bottom w:val="nil"/>
              <w:right w:val="single" w:sz="4" w:space="0" w:color="auto"/>
            </w:tcBorders>
            <w:noWrap/>
            <w:vAlign w:val="center"/>
            <w:hideMark/>
          </w:tcPr>
          <w:p w:rsidR="00554054" w:rsidRPr="00C259FC" w:rsidRDefault="00554054" w:rsidP="00A56570">
            <w:pPr>
              <w:keepNext/>
              <w:keepLines/>
              <w:spacing w:before="20" w:after="20"/>
              <w:jc w:val="center"/>
              <w:rPr>
                <w:rFonts w:cs="Arial"/>
                <w:color w:val="000000"/>
                <w:szCs w:val="18"/>
              </w:rPr>
            </w:pPr>
            <w:r w:rsidRPr="00C259FC">
              <w:rPr>
                <w:rFonts w:cs="Arial"/>
                <w:color w:val="000000"/>
                <w:szCs w:val="18"/>
              </w:rPr>
              <w:t>1</w:t>
            </w:r>
          </w:p>
        </w:tc>
        <w:tc>
          <w:tcPr>
            <w:tcW w:w="2268" w:type="dxa"/>
            <w:tcBorders>
              <w:top w:val="nil"/>
              <w:left w:val="single" w:sz="4" w:space="0" w:color="auto"/>
              <w:bottom w:val="nil"/>
              <w:right w:val="single" w:sz="4" w:space="0" w:color="auto"/>
            </w:tcBorders>
            <w:vAlign w:val="center"/>
          </w:tcPr>
          <w:p w:rsidR="00554054" w:rsidRPr="00C259FC" w:rsidRDefault="00554054" w:rsidP="00A56570">
            <w:pPr>
              <w:keepNext/>
              <w:keepLines/>
              <w:tabs>
                <w:tab w:val="decimal" w:pos="1562"/>
              </w:tabs>
              <w:spacing w:before="20" w:after="20"/>
              <w:jc w:val="left"/>
              <w:rPr>
                <w:rFonts w:cs="Arial"/>
                <w:color w:val="000000"/>
                <w:szCs w:val="18"/>
              </w:rPr>
            </w:pPr>
            <w:r>
              <w:rPr>
                <w:rFonts w:cs="Arial"/>
                <w:color w:val="000000"/>
                <w:szCs w:val="18"/>
              </w:rPr>
              <w:t>57,000</w:t>
            </w:r>
          </w:p>
        </w:tc>
      </w:tr>
      <w:tr w:rsidR="00554054" w:rsidRPr="00C259FC" w:rsidTr="00B277ED">
        <w:trPr>
          <w:trHeight w:val="170"/>
        </w:trPr>
        <w:tc>
          <w:tcPr>
            <w:tcW w:w="4093" w:type="dxa"/>
            <w:tcBorders>
              <w:top w:val="nil"/>
              <w:left w:val="single" w:sz="4" w:space="0" w:color="auto"/>
              <w:bottom w:val="nil"/>
              <w:right w:val="single" w:sz="4" w:space="0" w:color="auto"/>
            </w:tcBorders>
            <w:vAlign w:val="center"/>
            <w:hideMark/>
          </w:tcPr>
          <w:p w:rsidR="00554054" w:rsidRPr="00C259FC" w:rsidRDefault="00554054" w:rsidP="00A56570">
            <w:pPr>
              <w:keepNext/>
              <w:keepLines/>
              <w:spacing w:before="20" w:after="20"/>
              <w:rPr>
                <w:rFonts w:cs="Arial"/>
                <w:color w:val="000000"/>
                <w:szCs w:val="18"/>
              </w:rPr>
            </w:pPr>
            <w:r w:rsidRPr="00C259FC">
              <w:rPr>
                <w:rFonts w:cs="Arial"/>
                <w:color w:val="000000"/>
                <w:szCs w:val="18"/>
              </w:rPr>
              <w:t>Theatre</w:t>
            </w:r>
          </w:p>
        </w:tc>
        <w:tc>
          <w:tcPr>
            <w:tcW w:w="1577" w:type="dxa"/>
            <w:tcBorders>
              <w:top w:val="nil"/>
              <w:left w:val="single" w:sz="4" w:space="0" w:color="auto"/>
              <w:bottom w:val="nil"/>
              <w:right w:val="single" w:sz="4" w:space="0" w:color="auto"/>
            </w:tcBorders>
            <w:noWrap/>
            <w:vAlign w:val="center"/>
            <w:hideMark/>
          </w:tcPr>
          <w:p w:rsidR="00554054" w:rsidRPr="00C259FC" w:rsidRDefault="00554054" w:rsidP="00A56570">
            <w:pPr>
              <w:keepNext/>
              <w:keepLines/>
              <w:spacing w:before="20" w:after="20"/>
              <w:jc w:val="center"/>
              <w:rPr>
                <w:rFonts w:cs="Arial"/>
                <w:color w:val="000000"/>
                <w:szCs w:val="18"/>
              </w:rPr>
            </w:pPr>
            <w:r w:rsidRPr="00C259FC">
              <w:rPr>
                <w:rFonts w:cs="Arial"/>
                <w:color w:val="000000"/>
                <w:szCs w:val="18"/>
              </w:rPr>
              <w:t>1</w:t>
            </w:r>
          </w:p>
        </w:tc>
        <w:tc>
          <w:tcPr>
            <w:tcW w:w="2268" w:type="dxa"/>
            <w:tcBorders>
              <w:top w:val="nil"/>
              <w:left w:val="single" w:sz="4" w:space="0" w:color="auto"/>
              <w:bottom w:val="nil"/>
              <w:right w:val="single" w:sz="4" w:space="0" w:color="auto"/>
            </w:tcBorders>
            <w:vAlign w:val="center"/>
          </w:tcPr>
          <w:p w:rsidR="00554054" w:rsidRPr="00C259FC" w:rsidRDefault="00554054" w:rsidP="00A56570">
            <w:pPr>
              <w:keepNext/>
              <w:keepLines/>
              <w:tabs>
                <w:tab w:val="decimal" w:pos="1562"/>
              </w:tabs>
              <w:spacing w:before="20" w:after="20"/>
              <w:jc w:val="left"/>
              <w:rPr>
                <w:rFonts w:cs="Arial"/>
                <w:color w:val="000000"/>
                <w:szCs w:val="18"/>
              </w:rPr>
            </w:pPr>
            <w:r>
              <w:rPr>
                <w:rFonts w:cs="Arial"/>
                <w:color w:val="000000"/>
                <w:szCs w:val="18"/>
              </w:rPr>
              <w:t>1,771,350</w:t>
            </w:r>
          </w:p>
        </w:tc>
      </w:tr>
      <w:tr w:rsidR="00554054" w:rsidRPr="00C259FC" w:rsidTr="00B277ED">
        <w:trPr>
          <w:trHeight w:val="170"/>
        </w:trPr>
        <w:tc>
          <w:tcPr>
            <w:tcW w:w="4093" w:type="dxa"/>
            <w:tcBorders>
              <w:top w:val="nil"/>
              <w:left w:val="single" w:sz="4" w:space="0" w:color="auto"/>
              <w:bottom w:val="nil"/>
              <w:right w:val="single" w:sz="4" w:space="0" w:color="auto"/>
            </w:tcBorders>
            <w:vAlign w:val="center"/>
            <w:hideMark/>
          </w:tcPr>
          <w:p w:rsidR="00554054" w:rsidRPr="00C259FC" w:rsidRDefault="00554054" w:rsidP="00A56570">
            <w:pPr>
              <w:keepNext/>
              <w:keepLines/>
              <w:spacing w:before="20" w:after="20"/>
              <w:rPr>
                <w:rFonts w:cs="Arial"/>
                <w:color w:val="000000"/>
                <w:szCs w:val="18"/>
              </w:rPr>
            </w:pPr>
            <w:r w:rsidRPr="00C259FC">
              <w:rPr>
                <w:rFonts w:cs="Arial"/>
                <w:color w:val="000000"/>
                <w:szCs w:val="18"/>
              </w:rPr>
              <w:t>Youth Centre</w:t>
            </w:r>
          </w:p>
        </w:tc>
        <w:tc>
          <w:tcPr>
            <w:tcW w:w="1577" w:type="dxa"/>
            <w:tcBorders>
              <w:top w:val="nil"/>
              <w:left w:val="single" w:sz="4" w:space="0" w:color="auto"/>
              <w:bottom w:val="single" w:sz="4" w:space="0" w:color="auto"/>
              <w:right w:val="single" w:sz="4" w:space="0" w:color="auto"/>
            </w:tcBorders>
            <w:noWrap/>
            <w:vAlign w:val="center"/>
            <w:hideMark/>
          </w:tcPr>
          <w:p w:rsidR="00554054" w:rsidRPr="00C259FC" w:rsidRDefault="00554054" w:rsidP="00A56570">
            <w:pPr>
              <w:keepNext/>
              <w:keepLines/>
              <w:spacing w:before="20" w:after="20"/>
              <w:jc w:val="center"/>
              <w:rPr>
                <w:rFonts w:cs="Arial"/>
                <w:color w:val="000000"/>
                <w:szCs w:val="18"/>
              </w:rPr>
            </w:pPr>
            <w:r w:rsidRPr="00C259FC">
              <w:rPr>
                <w:rFonts w:cs="Arial"/>
                <w:color w:val="000000"/>
                <w:szCs w:val="18"/>
              </w:rPr>
              <w:t>1</w:t>
            </w:r>
          </w:p>
        </w:tc>
        <w:tc>
          <w:tcPr>
            <w:tcW w:w="2268" w:type="dxa"/>
            <w:tcBorders>
              <w:top w:val="nil"/>
              <w:left w:val="single" w:sz="4" w:space="0" w:color="auto"/>
              <w:bottom w:val="single" w:sz="4" w:space="0" w:color="auto"/>
              <w:right w:val="single" w:sz="4" w:space="0" w:color="auto"/>
            </w:tcBorders>
            <w:vAlign w:val="center"/>
          </w:tcPr>
          <w:p w:rsidR="00554054" w:rsidRPr="00C259FC" w:rsidRDefault="00554054" w:rsidP="00A56570">
            <w:pPr>
              <w:keepNext/>
              <w:keepLines/>
              <w:tabs>
                <w:tab w:val="decimal" w:pos="1562"/>
              </w:tabs>
              <w:spacing w:before="20" w:after="20"/>
              <w:jc w:val="left"/>
              <w:rPr>
                <w:rFonts w:cs="Arial"/>
                <w:color w:val="000000"/>
                <w:szCs w:val="18"/>
              </w:rPr>
            </w:pPr>
            <w:r>
              <w:rPr>
                <w:rFonts w:cs="Arial"/>
                <w:color w:val="000000"/>
                <w:szCs w:val="18"/>
              </w:rPr>
              <w:t>1,455,300</w:t>
            </w:r>
          </w:p>
        </w:tc>
      </w:tr>
      <w:tr w:rsidR="00554054" w:rsidRPr="00C259FC" w:rsidTr="00B277ED">
        <w:trPr>
          <w:trHeight w:val="288"/>
        </w:trPr>
        <w:tc>
          <w:tcPr>
            <w:tcW w:w="4093" w:type="dxa"/>
            <w:tcBorders>
              <w:top w:val="nil"/>
              <w:left w:val="single" w:sz="4" w:space="0" w:color="auto"/>
              <w:bottom w:val="single" w:sz="4" w:space="0" w:color="auto"/>
              <w:right w:val="single" w:sz="4" w:space="0" w:color="auto"/>
            </w:tcBorders>
            <w:noWrap/>
            <w:vAlign w:val="center"/>
            <w:hideMark/>
          </w:tcPr>
          <w:p w:rsidR="00554054" w:rsidRPr="00C259FC" w:rsidRDefault="00554054" w:rsidP="00A56570">
            <w:pPr>
              <w:keepNext/>
              <w:keepLines/>
              <w:tabs>
                <w:tab w:val="left" w:pos="537"/>
              </w:tabs>
              <w:spacing w:before="20" w:after="20"/>
              <w:rPr>
                <w:rFonts w:cs="Arial"/>
                <w:b/>
                <w:color w:val="000000"/>
                <w:szCs w:val="18"/>
              </w:rPr>
            </w:pPr>
            <w:r>
              <w:rPr>
                <w:rFonts w:cs="Arial"/>
                <w:b/>
                <w:color w:val="000000"/>
                <w:szCs w:val="18"/>
              </w:rPr>
              <w:tab/>
              <w:t>Community Services (Total)</w:t>
            </w:r>
          </w:p>
        </w:tc>
        <w:tc>
          <w:tcPr>
            <w:tcW w:w="1577" w:type="dxa"/>
            <w:tcBorders>
              <w:top w:val="single" w:sz="4" w:space="0" w:color="auto"/>
              <w:left w:val="single" w:sz="4" w:space="0" w:color="auto"/>
              <w:bottom w:val="single" w:sz="4" w:space="0" w:color="auto"/>
            </w:tcBorders>
            <w:noWrap/>
            <w:vAlign w:val="center"/>
            <w:hideMark/>
          </w:tcPr>
          <w:p w:rsidR="00554054" w:rsidRPr="00C259FC" w:rsidRDefault="00554054" w:rsidP="00A56570">
            <w:pPr>
              <w:keepNext/>
              <w:keepLines/>
              <w:spacing w:before="20" w:after="20"/>
              <w:jc w:val="center"/>
              <w:rPr>
                <w:rFonts w:cs="Arial"/>
                <w:b/>
                <w:color w:val="000000"/>
                <w:szCs w:val="18"/>
              </w:rPr>
            </w:pPr>
            <w:r w:rsidRPr="00C259FC">
              <w:rPr>
                <w:rFonts w:cs="Arial"/>
                <w:b/>
                <w:color w:val="000000"/>
                <w:szCs w:val="18"/>
              </w:rPr>
              <w:t>44</w:t>
            </w:r>
          </w:p>
        </w:tc>
        <w:tc>
          <w:tcPr>
            <w:tcW w:w="2268" w:type="dxa"/>
            <w:tcBorders>
              <w:top w:val="single" w:sz="4" w:space="0" w:color="auto"/>
              <w:bottom w:val="single" w:sz="4" w:space="0" w:color="auto"/>
            </w:tcBorders>
            <w:vAlign w:val="center"/>
          </w:tcPr>
          <w:p w:rsidR="00554054" w:rsidRPr="00C259FC" w:rsidRDefault="00554054" w:rsidP="00A56570">
            <w:pPr>
              <w:keepNext/>
              <w:keepLines/>
              <w:tabs>
                <w:tab w:val="decimal" w:pos="1562"/>
              </w:tabs>
              <w:spacing w:before="20" w:after="20"/>
              <w:jc w:val="left"/>
              <w:rPr>
                <w:rFonts w:cs="Arial"/>
                <w:b/>
                <w:color w:val="000000"/>
                <w:szCs w:val="18"/>
              </w:rPr>
            </w:pPr>
            <w:r>
              <w:rPr>
                <w:rFonts w:cs="Arial"/>
                <w:b/>
                <w:color w:val="000000"/>
                <w:szCs w:val="18"/>
              </w:rPr>
              <w:t>35,823,538</w:t>
            </w:r>
          </w:p>
        </w:tc>
      </w:tr>
      <w:tr w:rsidR="00554054" w:rsidRPr="00C259FC" w:rsidTr="00B277ED">
        <w:trPr>
          <w:trHeight w:val="170"/>
        </w:trPr>
        <w:tc>
          <w:tcPr>
            <w:tcW w:w="4093" w:type="dxa"/>
            <w:tcBorders>
              <w:top w:val="single" w:sz="4" w:space="0" w:color="auto"/>
              <w:left w:val="single" w:sz="4" w:space="0" w:color="auto"/>
              <w:bottom w:val="nil"/>
              <w:right w:val="single" w:sz="4" w:space="0" w:color="auto"/>
            </w:tcBorders>
            <w:noWrap/>
            <w:vAlign w:val="center"/>
          </w:tcPr>
          <w:p w:rsidR="00554054" w:rsidRPr="00C259FC" w:rsidRDefault="00554054" w:rsidP="00A56570">
            <w:pPr>
              <w:keepNext/>
              <w:keepLines/>
              <w:spacing w:before="20" w:after="20"/>
              <w:rPr>
                <w:rFonts w:cs="Arial"/>
                <w:color w:val="000000"/>
                <w:szCs w:val="18"/>
              </w:rPr>
            </w:pPr>
            <w:r w:rsidRPr="00C259FC">
              <w:rPr>
                <w:rFonts w:cs="Arial"/>
                <w:color w:val="000000"/>
                <w:szCs w:val="18"/>
              </w:rPr>
              <w:t xml:space="preserve">Depot </w:t>
            </w:r>
          </w:p>
        </w:tc>
        <w:tc>
          <w:tcPr>
            <w:tcW w:w="1577" w:type="dxa"/>
            <w:tcBorders>
              <w:top w:val="single" w:sz="4" w:space="0" w:color="auto"/>
              <w:left w:val="single" w:sz="4" w:space="0" w:color="auto"/>
              <w:bottom w:val="nil"/>
              <w:right w:val="single" w:sz="4" w:space="0" w:color="auto"/>
            </w:tcBorders>
            <w:noWrap/>
            <w:vAlign w:val="center"/>
          </w:tcPr>
          <w:p w:rsidR="00554054" w:rsidRPr="00C259FC" w:rsidRDefault="00554054" w:rsidP="00A56570">
            <w:pPr>
              <w:keepNext/>
              <w:keepLines/>
              <w:spacing w:before="20" w:after="20"/>
              <w:jc w:val="center"/>
              <w:rPr>
                <w:rFonts w:cs="Arial"/>
                <w:color w:val="000000"/>
                <w:szCs w:val="18"/>
              </w:rPr>
            </w:pPr>
            <w:r w:rsidRPr="00C259FC">
              <w:rPr>
                <w:rFonts w:cs="Arial"/>
                <w:color w:val="000000"/>
                <w:szCs w:val="18"/>
              </w:rPr>
              <w:t>5</w:t>
            </w:r>
          </w:p>
        </w:tc>
        <w:tc>
          <w:tcPr>
            <w:tcW w:w="2268" w:type="dxa"/>
            <w:tcBorders>
              <w:top w:val="single" w:sz="4" w:space="0" w:color="auto"/>
              <w:left w:val="single" w:sz="4" w:space="0" w:color="auto"/>
              <w:bottom w:val="nil"/>
              <w:right w:val="single" w:sz="4" w:space="0" w:color="auto"/>
            </w:tcBorders>
            <w:vAlign w:val="center"/>
          </w:tcPr>
          <w:p w:rsidR="00554054" w:rsidRPr="00C259FC" w:rsidRDefault="00554054" w:rsidP="00A56570">
            <w:pPr>
              <w:keepNext/>
              <w:keepLines/>
              <w:tabs>
                <w:tab w:val="decimal" w:pos="1562"/>
              </w:tabs>
              <w:spacing w:before="20" w:after="20"/>
              <w:jc w:val="left"/>
              <w:rPr>
                <w:rFonts w:cs="Arial"/>
                <w:color w:val="000000"/>
                <w:szCs w:val="18"/>
              </w:rPr>
            </w:pPr>
            <w:r>
              <w:rPr>
                <w:rFonts w:cs="Arial"/>
                <w:color w:val="000000"/>
                <w:szCs w:val="18"/>
              </w:rPr>
              <w:t>2,063,435</w:t>
            </w:r>
          </w:p>
        </w:tc>
      </w:tr>
      <w:tr w:rsidR="00554054" w:rsidRPr="00C259FC" w:rsidTr="00B277ED">
        <w:trPr>
          <w:trHeight w:val="170"/>
        </w:trPr>
        <w:tc>
          <w:tcPr>
            <w:tcW w:w="4093" w:type="dxa"/>
            <w:tcBorders>
              <w:top w:val="nil"/>
              <w:left w:val="single" w:sz="4" w:space="0" w:color="auto"/>
              <w:bottom w:val="nil"/>
              <w:right w:val="single" w:sz="4" w:space="0" w:color="auto"/>
            </w:tcBorders>
            <w:noWrap/>
            <w:vAlign w:val="center"/>
          </w:tcPr>
          <w:p w:rsidR="00554054" w:rsidRPr="00C259FC" w:rsidRDefault="00554054" w:rsidP="00A56570">
            <w:pPr>
              <w:keepNext/>
              <w:keepLines/>
              <w:spacing w:before="20" w:after="20"/>
              <w:rPr>
                <w:rFonts w:cs="Arial"/>
                <w:color w:val="000000"/>
                <w:szCs w:val="18"/>
              </w:rPr>
            </w:pPr>
            <w:r w:rsidRPr="00C259FC">
              <w:rPr>
                <w:rFonts w:cs="Arial"/>
                <w:color w:val="000000"/>
                <w:szCs w:val="18"/>
              </w:rPr>
              <w:t>Office / Administration</w:t>
            </w:r>
          </w:p>
        </w:tc>
        <w:tc>
          <w:tcPr>
            <w:tcW w:w="1577" w:type="dxa"/>
            <w:tcBorders>
              <w:top w:val="nil"/>
              <w:left w:val="single" w:sz="4" w:space="0" w:color="auto"/>
              <w:bottom w:val="nil"/>
              <w:right w:val="single" w:sz="4" w:space="0" w:color="auto"/>
            </w:tcBorders>
            <w:noWrap/>
            <w:vAlign w:val="center"/>
          </w:tcPr>
          <w:p w:rsidR="00554054" w:rsidRPr="00C259FC" w:rsidRDefault="00554054" w:rsidP="00A56570">
            <w:pPr>
              <w:keepNext/>
              <w:keepLines/>
              <w:spacing w:before="20" w:after="20"/>
              <w:jc w:val="center"/>
              <w:rPr>
                <w:rFonts w:cs="Arial"/>
                <w:color w:val="000000"/>
                <w:szCs w:val="18"/>
              </w:rPr>
            </w:pPr>
            <w:r w:rsidRPr="00C259FC">
              <w:rPr>
                <w:rFonts w:cs="Arial"/>
                <w:color w:val="000000"/>
                <w:szCs w:val="18"/>
              </w:rPr>
              <w:t>3</w:t>
            </w:r>
          </w:p>
        </w:tc>
        <w:tc>
          <w:tcPr>
            <w:tcW w:w="2268" w:type="dxa"/>
            <w:tcBorders>
              <w:top w:val="nil"/>
              <w:left w:val="single" w:sz="4" w:space="0" w:color="auto"/>
              <w:bottom w:val="nil"/>
              <w:right w:val="single" w:sz="4" w:space="0" w:color="auto"/>
            </w:tcBorders>
            <w:vAlign w:val="center"/>
          </w:tcPr>
          <w:p w:rsidR="00554054" w:rsidRPr="00C259FC" w:rsidRDefault="00554054" w:rsidP="00A56570">
            <w:pPr>
              <w:keepNext/>
              <w:keepLines/>
              <w:tabs>
                <w:tab w:val="decimal" w:pos="1562"/>
              </w:tabs>
              <w:spacing w:before="20" w:after="20"/>
              <w:jc w:val="left"/>
              <w:rPr>
                <w:rFonts w:cs="Arial"/>
                <w:color w:val="000000"/>
                <w:szCs w:val="18"/>
              </w:rPr>
            </w:pPr>
            <w:r>
              <w:rPr>
                <w:rFonts w:cs="Arial"/>
                <w:color w:val="000000"/>
                <w:szCs w:val="18"/>
              </w:rPr>
              <w:t>1,145,514</w:t>
            </w:r>
          </w:p>
        </w:tc>
      </w:tr>
      <w:tr w:rsidR="00554054" w:rsidRPr="00C259FC" w:rsidTr="00B277ED">
        <w:trPr>
          <w:trHeight w:val="170"/>
        </w:trPr>
        <w:tc>
          <w:tcPr>
            <w:tcW w:w="4093" w:type="dxa"/>
            <w:tcBorders>
              <w:top w:val="nil"/>
              <w:left w:val="single" w:sz="4" w:space="0" w:color="auto"/>
              <w:bottom w:val="nil"/>
              <w:right w:val="single" w:sz="4" w:space="0" w:color="auto"/>
            </w:tcBorders>
            <w:noWrap/>
            <w:vAlign w:val="center"/>
          </w:tcPr>
          <w:p w:rsidR="00554054" w:rsidRPr="00C259FC" w:rsidRDefault="00554054" w:rsidP="00A56570">
            <w:pPr>
              <w:keepNext/>
              <w:keepLines/>
              <w:spacing w:before="20" w:after="20"/>
              <w:rPr>
                <w:rFonts w:cs="Arial"/>
                <w:color w:val="000000"/>
                <w:szCs w:val="18"/>
              </w:rPr>
            </w:pPr>
            <w:r w:rsidRPr="00C259FC">
              <w:rPr>
                <w:rFonts w:cs="Arial"/>
                <w:color w:val="000000"/>
                <w:szCs w:val="18"/>
              </w:rPr>
              <w:t>Stores / Sheds / Garages</w:t>
            </w:r>
          </w:p>
        </w:tc>
        <w:tc>
          <w:tcPr>
            <w:tcW w:w="1577" w:type="dxa"/>
            <w:tcBorders>
              <w:top w:val="nil"/>
              <w:left w:val="single" w:sz="4" w:space="0" w:color="auto"/>
              <w:bottom w:val="nil"/>
              <w:right w:val="single" w:sz="4" w:space="0" w:color="auto"/>
            </w:tcBorders>
            <w:noWrap/>
            <w:vAlign w:val="center"/>
          </w:tcPr>
          <w:p w:rsidR="00554054" w:rsidRPr="00C259FC" w:rsidRDefault="00554054" w:rsidP="00A56570">
            <w:pPr>
              <w:keepNext/>
              <w:keepLines/>
              <w:spacing w:before="20" w:after="20"/>
              <w:jc w:val="center"/>
              <w:rPr>
                <w:rFonts w:cs="Arial"/>
                <w:color w:val="000000"/>
                <w:szCs w:val="18"/>
              </w:rPr>
            </w:pPr>
            <w:r w:rsidRPr="00C259FC">
              <w:rPr>
                <w:rFonts w:cs="Arial"/>
                <w:color w:val="000000"/>
                <w:szCs w:val="18"/>
              </w:rPr>
              <w:t>13</w:t>
            </w:r>
          </w:p>
        </w:tc>
        <w:tc>
          <w:tcPr>
            <w:tcW w:w="2268" w:type="dxa"/>
            <w:tcBorders>
              <w:top w:val="nil"/>
              <w:left w:val="single" w:sz="4" w:space="0" w:color="auto"/>
              <w:bottom w:val="nil"/>
              <w:right w:val="single" w:sz="4" w:space="0" w:color="auto"/>
            </w:tcBorders>
            <w:vAlign w:val="center"/>
          </w:tcPr>
          <w:p w:rsidR="00554054" w:rsidRPr="00C259FC" w:rsidRDefault="00554054" w:rsidP="00A56570">
            <w:pPr>
              <w:keepNext/>
              <w:keepLines/>
              <w:tabs>
                <w:tab w:val="decimal" w:pos="1562"/>
              </w:tabs>
              <w:spacing w:before="20" w:after="20"/>
              <w:jc w:val="left"/>
              <w:rPr>
                <w:rFonts w:cs="Arial"/>
                <w:color w:val="000000"/>
                <w:szCs w:val="18"/>
              </w:rPr>
            </w:pPr>
            <w:r>
              <w:rPr>
                <w:rFonts w:cs="Arial"/>
                <w:color w:val="000000"/>
                <w:szCs w:val="18"/>
              </w:rPr>
              <w:t>1,384,786</w:t>
            </w:r>
          </w:p>
        </w:tc>
      </w:tr>
      <w:tr w:rsidR="00554054" w:rsidRPr="00C259FC" w:rsidTr="00B277ED">
        <w:trPr>
          <w:trHeight w:val="170"/>
        </w:trPr>
        <w:tc>
          <w:tcPr>
            <w:tcW w:w="4093" w:type="dxa"/>
            <w:tcBorders>
              <w:top w:val="nil"/>
              <w:left w:val="single" w:sz="4" w:space="0" w:color="auto"/>
              <w:bottom w:val="nil"/>
              <w:right w:val="single" w:sz="4" w:space="0" w:color="auto"/>
            </w:tcBorders>
            <w:noWrap/>
            <w:vAlign w:val="center"/>
          </w:tcPr>
          <w:p w:rsidR="00554054" w:rsidRPr="00C259FC" w:rsidRDefault="00554054" w:rsidP="00A56570">
            <w:pPr>
              <w:keepNext/>
              <w:keepLines/>
              <w:spacing w:before="20" w:after="20"/>
              <w:rPr>
                <w:rFonts w:cs="Arial"/>
                <w:color w:val="000000"/>
                <w:szCs w:val="18"/>
              </w:rPr>
            </w:pPr>
            <w:r w:rsidRPr="00C259FC">
              <w:rPr>
                <w:rFonts w:cs="Arial"/>
                <w:color w:val="000000"/>
                <w:szCs w:val="18"/>
              </w:rPr>
              <w:t>Town Halls</w:t>
            </w:r>
          </w:p>
        </w:tc>
        <w:tc>
          <w:tcPr>
            <w:tcW w:w="1577" w:type="dxa"/>
            <w:tcBorders>
              <w:top w:val="nil"/>
              <w:left w:val="single" w:sz="4" w:space="0" w:color="auto"/>
              <w:bottom w:val="single" w:sz="4" w:space="0" w:color="auto"/>
              <w:right w:val="single" w:sz="4" w:space="0" w:color="auto"/>
            </w:tcBorders>
            <w:noWrap/>
            <w:vAlign w:val="center"/>
          </w:tcPr>
          <w:p w:rsidR="00554054" w:rsidRPr="00C259FC" w:rsidRDefault="00554054" w:rsidP="00A56570">
            <w:pPr>
              <w:keepNext/>
              <w:keepLines/>
              <w:spacing w:before="20" w:after="20"/>
              <w:jc w:val="center"/>
              <w:rPr>
                <w:rFonts w:cs="Arial"/>
                <w:color w:val="000000"/>
                <w:szCs w:val="18"/>
              </w:rPr>
            </w:pPr>
            <w:r w:rsidRPr="00C259FC">
              <w:rPr>
                <w:rFonts w:cs="Arial"/>
                <w:color w:val="000000"/>
                <w:szCs w:val="18"/>
              </w:rPr>
              <w:t>3</w:t>
            </w:r>
          </w:p>
        </w:tc>
        <w:tc>
          <w:tcPr>
            <w:tcW w:w="2268" w:type="dxa"/>
            <w:tcBorders>
              <w:top w:val="nil"/>
              <w:left w:val="single" w:sz="4" w:space="0" w:color="auto"/>
              <w:bottom w:val="single" w:sz="4" w:space="0" w:color="auto"/>
              <w:right w:val="single" w:sz="4" w:space="0" w:color="auto"/>
            </w:tcBorders>
            <w:vAlign w:val="center"/>
          </w:tcPr>
          <w:p w:rsidR="00554054" w:rsidRPr="00C259FC" w:rsidRDefault="00554054" w:rsidP="00A56570">
            <w:pPr>
              <w:keepNext/>
              <w:keepLines/>
              <w:tabs>
                <w:tab w:val="decimal" w:pos="1562"/>
              </w:tabs>
              <w:spacing w:before="20" w:after="20"/>
              <w:jc w:val="left"/>
              <w:rPr>
                <w:rFonts w:cs="Arial"/>
                <w:color w:val="000000"/>
                <w:szCs w:val="18"/>
              </w:rPr>
            </w:pPr>
            <w:r>
              <w:rPr>
                <w:rFonts w:cs="Arial"/>
                <w:color w:val="000000"/>
                <w:szCs w:val="18"/>
              </w:rPr>
              <w:t>101,901,576</w:t>
            </w:r>
          </w:p>
        </w:tc>
      </w:tr>
      <w:tr w:rsidR="00554054" w:rsidRPr="00C259FC" w:rsidTr="00B277ED">
        <w:trPr>
          <w:trHeight w:val="170"/>
        </w:trPr>
        <w:tc>
          <w:tcPr>
            <w:tcW w:w="4093" w:type="dxa"/>
            <w:tcBorders>
              <w:top w:val="nil"/>
              <w:left w:val="single" w:sz="4" w:space="0" w:color="auto"/>
              <w:bottom w:val="single" w:sz="4" w:space="0" w:color="auto"/>
              <w:right w:val="single" w:sz="4" w:space="0" w:color="auto"/>
            </w:tcBorders>
            <w:noWrap/>
            <w:vAlign w:val="center"/>
          </w:tcPr>
          <w:p w:rsidR="00554054" w:rsidRPr="00C259FC" w:rsidRDefault="00554054" w:rsidP="00A56570">
            <w:pPr>
              <w:keepNext/>
              <w:keepLines/>
              <w:tabs>
                <w:tab w:val="left" w:pos="537"/>
              </w:tabs>
              <w:spacing w:before="20" w:after="20"/>
              <w:rPr>
                <w:rFonts w:cs="Arial"/>
                <w:b/>
                <w:color w:val="000000"/>
                <w:szCs w:val="18"/>
              </w:rPr>
            </w:pPr>
            <w:r>
              <w:rPr>
                <w:rFonts w:cs="Arial"/>
                <w:b/>
                <w:color w:val="000000"/>
                <w:szCs w:val="18"/>
              </w:rPr>
              <w:tab/>
              <w:t>Council Operations (Total)</w:t>
            </w:r>
          </w:p>
        </w:tc>
        <w:tc>
          <w:tcPr>
            <w:tcW w:w="1577" w:type="dxa"/>
            <w:tcBorders>
              <w:top w:val="single" w:sz="4" w:space="0" w:color="auto"/>
              <w:left w:val="single" w:sz="4" w:space="0" w:color="auto"/>
              <w:bottom w:val="single" w:sz="4" w:space="0" w:color="auto"/>
              <w:right w:val="single" w:sz="4" w:space="0" w:color="auto"/>
            </w:tcBorders>
            <w:noWrap/>
            <w:vAlign w:val="center"/>
          </w:tcPr>
          <w:p w:rsidR="00554054" w:rsidRPr="00C259FC" w:rsidRDefault="00554054" w:rsidP="00A56570">
            <w:pPr>
              <w:keepNext/>
              <w:keepLines/>
              <w:spacing w:before="20" w:after="20"/>
              <w:jc w:val="center"/>
              <w:rPr>
                <w:rFonts w:cs="Arial"/>
                <w:b/>
                <w:color w:val="000000"/>
                <w:szCs w:val="18"/>
              </w:rPr>
            </w:pPr>
            <w:r w:rsidRPr="00C259FC">
              <w:rPr>
                <w:rFonts w:cs="Arial"/>
                <w:b/>
                <w:color w:val="000000"/>
                <w:szCs w:val="18"/>
              </w:rPr>
              <w:t>24</w:t>
            </w:r>
          </w:p>
        </w:tc>
        <w:tc>
          <w:tcPr>
            <w:tcW w:w="2268" w:type="dxa"/>
            <w:tcBorders>
              <w:top w:val="single" w:sz="4" w:space="0" w:color="auto"/>
              <w:left w:val="single" w:sz="4" w:space="0" w:color="auto"/>
              <w:bottom w:val="single" w:sz="4" w:space="0" w:color="auto"/>
              <w:right w:val="single" w:sz="4" w:space="0" w:color="auto"/>
            </w:tcBorders>
            <w:vAlign w:val="center"/>
          </w:tcPr>
          <w:p w:rsidR="00554054" w:rsidRPr="00C259FC" w:rsidRDefault="00554054" w:rsidP="00A56570">
            <w:pPr>
              <w:keepNext/>
              <w:keepLines/>
              <w:tabs>
                <w:tab w:val="decimal" w:pos="1562"/>
              </w:tabs>
              <w:spacing w:before="20" w:after="20"/>
              <w:jc w:val="left"/>
              <w:rPr>
                <w:rFonts w:cs="Arial"/>
                <w:b/>
                <w:color w:val="000000"/>
                <w:szCs w:val="18"/>
              </w:rPr>
            </w:pPr>
            <w:r>
              <w:rPr>
                <w:rFonts w:cs="Arial"/>
                <w:b/>
                <w:color w:val="000000"/>
                <w:szCs w:val="18"/>
              </w:rPr>
              <w:t>106,495,311</w:t>
            </w:r>
          </w:p>
        </w:tc>
      </w:tr>
      <w:tr w:rsidR="00554054" w:rsidRPr="00C259FC" w:rsidTr="00B277ED">
        <w:trPr>
          <w:trHeight w:val="170"/>
        </w:trPr>
        <w:tc>
          <w:tcPr>
            <w:tcW w:w="4093" w:type="dxa"/>
            <w:tcBorders>
              <w:top w:val="single" w:sz="4" w:space="0" w:color="auto"/>
              <w:left w:val="single" w:sz="4" w:space="0" w:color="auto"/>
              <w:bottom w:val="nil"/>
            </w:tcBorders>
            <w:noWrap/>
            <w:vAlign w:val="center"/>
          </w:tcPr>
          <w:p w:rsidR="00554054" w:rsidRPr="00C259FC" w:rsidRDefault="00554054" w:rsidP="00A56570">
            <w:pPr>
              <w:keepNext/>
              <w:keepLines/>
              <w:spacing w:before="20" w:after="20"/>
              <w:rPr>
                <w:rFonts w:cs="Arial"/>
                <w:color w:val="000000"/>
                <w:szCs w:val="18"/>
              </w:rPr>
            </w:pPr>
            <w:r w:rsidRPr="00C259FC">
              <w:rPr>
                <w:rFonts w:cs="Arial"/>
                <w:color w:val="000000"/>
                <w:szCs w:val="18"/>
              </w:rPr>
              <w:t>Leisure Centres</w:t>
            </w:r>
          </w:p>
        </w:tc>
        <w:tc>
          <w:tcPr>
            <w:tcW w:w="1577" w:type="dxa"/>
            <w:tcBorders>
              <w:top w:val="single" w:sz="4" w:space="0" w:color="auto"/>
              <w:bottom w:val="nil"/>
            </w:tcBorders>
            <w:noWrap/>
            <w:vAlign w:val="center"/>
          </w:tcPr>
          <w:p w:rsidR="00554054" w:rsidRPr="00C259FC" w:rsidRDefault="00554054" w:rsidP="00A56570">
            <w:pPr>
              <w:keepNext/>
              <w:keepLines/>
              <w:spacing w:before="20" w:after="20"/>
              <w:jc w:val="center"/>
              <w:rPr>
                <w:rFonts w:cs="Arial"/>
                <w:color w:val="000000"/>
                <w:szCs w:val="18"/>
              </w:rPr>
            </w:pPr>
            <w:r w:rsidRPr="00C259FC">
              <w:rPr>
                <w:rFonts w:cs="Arial"/>
                <w:color w:val="000000"/>
                <w:szCs w:val="18"/>
              </w:rPr>
              <w:t>4</w:t>
            </w:r>
          </w:p>
        </w:tc>
        <w:tc>
          <w:tcPr>
            <w:tcW w:w="2268" w:type="dxa"/>
            <w:tcBorders>
              <w:top w:val="single" w:sz="4" w:space="0" w:color="auto"/>
              <w:bottom w:val="nil"/>
              <w:right w:val="single" w:sz="4" w:space="0" w:color="auto"/>
            </w:tcBorders>
            <w:vAlign w:val="center"/>
          </w:tcPr>
          <w:p w:rsidR="00554054" w:rsidRPr="00C259FC" w:rsidRDefault="00554054" w:rsidP="00A56570">
            <w:pPr>
              <w:keepNext/>
              <w:keepLines/>
              <w:tabs>
                <w:tab w:val="decimal" w:pos="1562"/>
              </w:tabs>
              <w:spacing w:before="20" w:after="20"/>
              <w:jc w:val="left"/>
              <w:rPr>
                <w:rFonts w:cs="Arial"/>
                <w:color w:val="000000"/>
                <w:szCs w:val="18"/>
              </w:rPr>
            </w:pPr>
            <w:r>
              <w:rPr>
                <w:rFonts w:cs="Arial"/>
                <w:color w:val="000000"/>
                <w:szCs w:val="18"/>
              </w:rPr>
              <w:t>32,876,480</w:t>
            </w:r>
          </w:p>
        </w:tc>
      </w:tr>
      <w:tr w:rsidR="00554054" w:rsidRPr="00C259FC" w:rsidTr="00B277ED">
        <w:trPr>
          <w:trHeight w:val="170"/>
        </w:trPr>
        <w:tc>
          <w:tcPr>
            <w:tcW w:w="4093" w:type="dxa"/>
            <w:tcBorders>
              <w:top w:val="nil"/>
              <w:left w:val="single" w:sz="4" w:space="0" w:color="auto"/>
              <w:bottom w:val="nil"/>
            </w:tcBorders>
            <w:noWrap/>
            <w:vAlign w:val="center"/>
          </w:tcPr>
          <w:p w:rsidR="00554054" w:rsidRPr="00C259FC" w:rsidRDefault="00554054" w:rsidP="00A56570">
            <w:pPr>
              <w:keepNext/>
              <w:keepLines/>
              <w:spacing w:before="20" w:after="20"/>
              <w:rPr>
                <w:rFonts w:cs="Arial"/>
                <w:color w:val="000000"/>
                <w:szCs w:val="18"/>
              </w:rPr>
            </w:pPr>
            <w:r w:rsidRPr="00C259FC">
              <w:rPr>
                <w:rFonts w:cs="Arial"/>
                <w:color w:val="000000"/>
                <w:szCs w:val="18"/>
              </w:rPr>
              <w:t>Offices /Administration</w:t>
            </w:r>
          </w:p>
        </w:tc>
        <w:tc>
          <w:tcPr>
            <w:tcW w:w="1577" w:type="dxa"/>
            <w:tcBorders>
              <w:top w:val="nil"/>
              <w:bottom w:val="nil"/>
            </w:tcBorders>
            <w:noWrap/>
            <w:vAlign w:val="center"/>
          </w:tcPr>
          <w:p w:rsidR="00554054" w:rsidRPr="00C259FC" w:rsidRDefault="00554054" w:rsidP="00A56570">
            <w:pPr>
              <w:keepNext/>
              <w:keepLines/>
              <w:spacing w:before="20" w:after="20"/>
              <w:jc w:val="center"/>
              <w:rPr>
                <w:rFonts w:cs="Arial"/>
                <w:color w:val="000000"/>
                <w:szCs w:val="18"/>
              </w:rPr>
            </w:pPr>
            <w:r w:rsidRPr="00C259FC">
              <w:rPr>
                <w:rFonts w:cs="Arial"/>
                <w:color w:val="000000"/>
                <w:szCs w:val="18"/>
              </w:rPr>
              <w:t>1</w:t>
            </w:r>
          </w:p>
        </w:tc>
        <w:tc>
          <w:tcPr>
            <w:tcW w:w="2268" w:type="dxa"/>
            <w:tcBorders>
              <w:top w:val="nil"/>
              <w:bottom w:val="nil"/>
              <w:right w:val="single" w:sz="4" w:space="0" w:color="auto"/>
            </w:tcBorders>
            <w:vAlign w:val="center"/>
          </w:tcPr>
          <w:p w:rsidR="00554054" w:rsidRPr="00C259FC" w:rsidRDefault="00554054" w:rsidP="00A56570">
            <w:pPr>
              <w:keepNext/>
              <w:keepLines/>
              <w:tabs>
                <w:tab w:val="decimal" w:pos="1562"/>
              </w:tabs>
              <w:spacing w:before="20" w:after="20"/>
              <w:jc w:val="left"/>
              <w:rPr>
                <w:rFonts w:cs="Arial"/>
                <w:color w:val="000000"/>
                <w:szCs w:val="18"/>
              </w:rPr>
            </w:pPr>
            <w:r>
              <w:rPr>
                <w:rFonts w:cs="Arial"/>
                <w:color w:val="000000"/>
                <w:szCs w:val="18"/>
              </w:rPr>
              <w:t>1,290,000</w:t>
            </w:r>
          </w:p>
        </w:tc>
      </w:tr>
      <w:tr w:rsidR="00554054" w:rsidRPr="00C259FC" w:rsidTr="00B277ED">
        <w:trPr>
          <w:trHeight w:val="170"/>
        </w:trPr>
        <w:tc>
          <w:tcPr>
            <w:tcW w:w="4093" w:type="dxa"/>
            <w:tcBorders>
              <w:top w:val="nil"/>
              <w:left w:val="single" w:sz="4" w:space="0" w:color="auto"/>
              <w:bottom w:val="nil"/>
            </w:tcBorders>
            <w:noWrap/>
            <w:vAlign w:val="center"/>
          </w:tcPr>
          <w:p w:rsidR="00554054" w:rsidRPr="00C259FC" w:rsidRDefault="00554054" w:rsidP="00A56570">
            <w:pPr>
              <w:keepNext/>
              <w:keepLines/>
              <w:spacing w:before="20" w:after="20"/>
              <w:rPr>
                <w:rFonts w:cs="Arial"/>
                <w:color w:val="000000"/>
                <w:szCs w:val="18"/>
              </w:rPr>
            </w:pPr>
            <w:r w:rsidRPr="00C259FC">
              <w:rPr>
                <w:rFonts w:cs="Arial"/>
                <w:color w:val="000000"/>
                <w:szCs w:val="18"/>
              </w:rPr>
              <w:t>Stores / Sheds / Garages</w:t>
            </w:r>
          </w:p>
        </w:tc>
        <w:tc>
          <w:tcPr>
            <w:tcW w:w="1577" w:type="dxa"/>
            <w:tcBorders>
              <w:top w:val="nil"/>
              <w:bottom w:val="single" w:sz="4" w:space="0" w:color="auto"/>
            </w:tcBorders>
            <w:noWrap/>
            <w:vAlign w:val="center"/>
          </w:tcPr>
          <w:p w:rsidR="00554054" w:rsidRPr="00C259FC" w:rsidRDefault="00554054" w:rsidP="00A56570">
            <w:pPr>
              <w:keepNext/>
              <w:keepLines/>
              <w:spacing w:before="20" w:after="20"/>
              <w:jc w:val="center"/>
              <w:rPr>
                <w:rFonts w:cs="Arial"/>
                <w:color w:val="000000"/>
                <w:szCs w:val="18"/>
              </w:rPr>
            </w:pPr>
            <w:r w:rsidRPr="00C259FC">
              <w:rPr>
                <w:rFonts w:cs="Arial"/>
                <w:color w:val="000000"/>
                <w:szCs w:val="18"/>
              </w:rPr>
              <w:t>4</w:t>
            </w:r>
          </w:p>
        </w:tc>
        <w:tc>
          <w:tcPr>
            <w:tcW w:w="2268" w:type="dxa"/>
            <w:tcBorders>
              <w:top w:val="nil"/>
              <w:bottom w:val="single" w:sz="4" w:space="0" w:color="auto"/>
              <w:right w:val="single" w:sz="4" w:space="0" w:color="auto"/>
            </w:tcBorders>
            <w:vAlign w:val="center"/>
          </w:tcPr>
          <w:p w:rsidR="00554054" w:rsidRPr="00C259FC" w:rsidRDefault="00554054" w:rsidP="00A56570">
            <w:pPr>
              <w:keepNext/>
              <w:keepLines/>
              <w:tabs>
                <w:tab w:val="decimal" w:pos="1562"/>
              </w:tabs>
              <w:spacing w:before="20" w:after="20"/>
              <w:jc w:val="left"/>
              <w:rPr>
                <w:rFonts w:cs="Arial"/>
                <w:color w:val="000000"/>
                <w:szCs w:val="18"/>
              </w:rPr>
            </w:pPr>
            <w:r>
              <w:rPr>
                <w:rFonts w:cs="Arial"/>
                <w:color w:val="000000"/>
                <w:szCs w:val="18"/>
              </w:rPr>
              <w:t>305,038</w:t>
            </w:r>
          </w:p>
        </w:tc>
      </w:tr>
      <w:tr w:rsidR="00554054" w:rsidRPr="00C259FC" w:rsidTr="00B277ED">
        <w:trPr>
          <w:trHeight w:val="170"/>
        </w:trPr>
        <w:tc>
          <w:tcPr>
            <w:tcW w:w="4093" w:type="dxa"/>
            <w:tcBorders>
              <w:top w:val="nil"/>
              <w:left w:val="single" w:sz="4" w:space="0" w:color="auto"/>
              <w:bottom w:val="single" w:sz="4" w:space="0" w:color="auto"/>
            </w:tcBorders>
            <w:noWrap/>
            <w:vAlign w:val="center"/>
          </w:tcPr>
          <w:p w:rsidR="00554054" w:rsidRPr="00C259FC" w:rsidRDefault="00554054" w:rsidP="00A56570">
            <w:pPr>
              <w:keepNext/>
              <w:keepLines/>
              <w:tabs>
                <w:tab w:val="left" w:pos="537"/>
              </w:tabs>
              <w:spacing w:before="20" w:after="20"/>
              <w:rPr>
                <w:rFonts w:cs="Arial"/>
                <w:b/>
                <w:color w:val="000000"/>
                <w:szCs w:val="18"/>
              </w:rPr>
            </w:pPr>
            <w:r>
              <w:rPr>
                <w:rFonts w:cs="Arial"/>
                <w:b/>
                <w:color w:val="000000"/>
                <w:szCs w:val="18"/>
              </w:rPr>
              <w:tab/>
              <w:t>Leisure Services (Total)</w:t>
            </w:r>
          </w:p>
        </w:tc>
        <w:tc>
          <w:tcPr>
            <w:tcW w:w="1577" w:type="dxa"/>
            <w:tcBorders>
              <w:top w:val="single" w:sz="4" w:space="0" w:color="auto"/>
              <w:bottom w:val="single" w:sz="4" w:space="0" w:color="auto"/>
            </w:tcBorders>
            <w:noWrap/>
            <w:vAlign w:val="center"/>
          </w:tcPr>
          <w:p w:rsidR="00554054" w:rsidRPr="00C259FC" w:rsidRDefault="00554054" w:rsidP="00A56570">
            <w:pPr>
              <w:keepNext/>
              <w:keepLines/>
              <w:spacing w:before="20" w:after="20"/>
              <w:jc w:val="center"/>
              <w:rPr>
                <w:rFonts w:cs="Arial"/>
                <w:b/>
                <w:color w:val="000000"/>
                <w:szCs w:val="18"/>
              </w:rPr>
            </w:pPr>
            <w:r w:rsidRPr="00C259FC">
              <w:rPr>
                <w:rFonts w:cs="Arial"/>
                <w:b/>
                <w:color w:val="000000"/>
                <w:szCs w:val="18"/>
              </w:rPr>
              <w:t>9</w:t>
            </w:r>
          </w:p>
        </w:tc>
        <w:tc>
          <w:tcPr>
            <w:tcW w:w="2268" w:type="dxa"/>
            <w:tcBorders>
              <w:top w:val="single" w:sz="4" w:space="0" w:color="auto"/>
              <w:bottom w:val="single" w:sz="4" w:space="0" w:color="auto"/>
              <w:right w:val="single" w:sz="4" w:space="0" w:color="auto"/>
            </w:tcBorders>
            <w:vAlign w:val="center"/>
          </w:tcPr>
          <w:p w:rsidR="00554054" w:rsidRPr="00C259FC" w:rsidRDefault="00554054" w:rsidP="00A56570">
            <w:pPr>
              <w:keepNext/>
              <w:keepLines/>
              <w:tabs>
                <w:tab w:val="decimal" w:pos="1562"/>
              </w:tabs>
              <w:spacing w:before="20" w:after="20"/>
              <w:jc w:val="left"/>
              <w:rPr>
                <w:rFonts w:cs="Arial"/>
                <w:b/>
                <w:color w:val="000000"/>
                <w:szCs w:val="18"/>
              </w:rPr>
            </w:pPr>
            <w:r>
              <w:rPr>
                <w:rFonts w:cs="Arial"/>
                <w:b/>
                <w:color w:val="000000"/>
                <w:szCs w:val="18"/>
              </w:rPr>
              <w:t>34,471,518</w:t>
            </w:r>
          </w:p>
        </w:tc>
      </w:tr>
      <w:tr w:rsidR="00554054" w:rsidRPr="00C259FC" w:rsidTr="00B277ED">
        <w:trPr>
          <w:trHeight w:val="170"/>
        </w:trPr>
        <w:tc>
          <w:tcPr>
            <w:tcW w:w="4093" w:type="dxa"/>
            <w:tcBorders>
              <w:top w:val="single" w:sz="4" w:space="0" w:color="auto"/>
              <w:left w:val="single" w:sz="4" w:space="0" w:color="auto"/>
              <w:bottom w:val="nil"/>
              <w:right w:val="single" w:sz="4" w:space="0" w:color="auto"/>
            </w:tcBorders>
            <w:noWrap/>
            <w:vAlign w:val="center"/>
          </w:tcPr>
          <w:p w:rsidR="00554054" w:rsidRPr="00C259FC" w:rsidRDefault="00554054" w:rsidP="00A56570">
            <w:pPr>
              <w:keepNext/>
              <w:keepLines/>
              <w:spacing w:before="20" w:after="20"/>
              <w:rPr>
                <w:rFonts w:cs="Arial"/>
                <w:color w:val="000000"/>
                <w:szCs w:val="18"/>
              </w:rPr>
            </w:pPr>
            <w:r w:rsidRPr="00C259FC">
              <w:rPr>
                <w:rFonts w:cs="Arial"/>
                <w:color w:val="000000"/>
                <w:szCs w:val="18"/>
              </w:rPr>
              <w:t>Bowling Club</w:t>
            </w:r>
          </w:p>
        </w:tc>
        <w:tc>
          <w:tcPr>
            <w:tcW w:w="1577" w:type="dxa"/>
            <w:tcBorders>
              <w:top w:val="single" w:sz="4" w:space="0" w:color="auto"/>
              <w:left w:val="single" w:sz="4" w:space="0" w:color="auto"/>
              <w:bottom w:val="nil"/>
              <w:right w:val="single" w:sz="4" w:space="0" w:color="auto"/>
            </w:tcBorders>
            <w:noWrap/>
            <w:vAlign w:val="center"/>
          </w:tcPr>
          <w:p w:rsidR="00554054" w:rsidRPr="00C259FC" w:rsidRDefault="00554054" w:rsidP="00A56570">
            <w:pPr>
              <w:keepNext/>
              <w:keepLines/>
              <w:spacing w:before="20" w:after="20"/>
              <w:jc w:val="center"/>
              <w:rPr>
                <w:rFonts w:cs="Arial"/>
                <w:color w:val="000000"/>
                <w:szCs w:val="18"/>
              </w:rPr>
            </w:pPr>
            <w:r w:rsidRPr="00C259FC">
              <w:rPr>
                <w:rFonts w:cs="Arial"/>
                <w:color w:val="000000"/>
                <w:szCs w:val="18"/>
              </w:rPr>
              <w:t>2</w:t>
            </w:r>
          </w:p>
        </w:tc>
        <w:tc>
          <w:tcPr>
            <w:tcW w:w="2268" w:type="dxa"/>
            <w:tcBorders>
              <w:top w:val="single" w:sz="4" w:space="0" w:color="auto"/>
              <w:left w:val="single" w:sz="4" w:space="0" w:color="auto"/>
              <w:bottom w:val="nil"/>
              <w:right w:val="single" w:sz="4" w:space="0" w:color="auto"/>
            </w:tcBorders>
            <w:vAlign w:val="center"/>
          </w:tcPr>
          <w:p w:rsidR="00554054" w:rsidRPr="00C259FC" w:rsidRDefault="00554054" w:rsidP="00A56570">
            <w:pPr>
              <w:keepNext/>
              <w:keepLines/>
              <w:tabs>
                <w:tab w:val="decimal" w:pos="1562"/>
              </w:tabs>
              <w:spacing w:before="20" w:after="20"/>
              <w:jc w:val="left"/>
              <w:rPr>
                <w:rFonts w:cs="Arial"/>
                <w:color w:val="000000"/>
                <w:szCs w:val="18"/>
              </w:rPr>
            </w:pPr>
            <w:r>
              <w:rPr>
                <w:rFonts w:cs="Arial"/>
                <w:color w:val="000000"/>
                <w:szCs w:val="18"/>
              </w:rPr>
              <w:t>4,012,444</w:t>
            </w:r>
          </w:p>
        </w:tc>
      </w:tr>
      <w:tr w:rsidR="00554054" w:rsidRPr="00C259FC" w:rsidTr="00B277ED">
        <w:trPr>
          <w:trHeight w:val="170"/>
        </w:trPr>
        <w:tc>
          <w:tcPr>
            <w:tcW w:w="4093" w:type="dxa"/>
            <w:tcBorders>
              <w:top w:val="nil"/>
              <w:left w:val="single" w:sz="4" w:space="0" w:color="auto"/>
              <w:bottom w:val="nil"/>
              <w:right w:val="single" w:sz="4" w:space="0" w:color="auto"/>
            </w:tcBorders>
            <w:noWrap/>
            <w:vAlign w:val="center"/>
          </w:tcPr>
          <w:p w:rsidR="00554054" w:rsidRPr="00C259FC" w:rsidRDefault="00554054" w:rsidP="00A56570">
            <w:pPr>
              <w:keepNext/>
              <w:keepLines/>
              <w:spacing w:before="20" w:after="20"/>
              <w:rPr>
                <w:rFonts w:cs="Arial"/>
                <w:color w:val="000000"/>
                <w:szCs w:val="18"/>
              </w:rPr>
            </w:pPr>
            <w:r w:rsidRPr="00C259FC">
              <w:rPr>
                <w:rFonts w:cs="Arial"/>
                <w:color w:val="000000"/>
                <w:szCs w:val="18"/>
              </w:rPr>
              <w:t>Pavilions / Clubrooms / Change rooms</w:t>
            </w:r>
          </w:p>
        </w:tc>
        <w:tc>
          <w:tcPr>
            <w:tcW w:w="1577" w:type="dxa"/>
            <w:tcBorders>
              <w:top w:val="nil"/>
              <w:left w:val="single" w:sz="4" w:space="0" w:color="auto"/>
              <w:bottom w:val="nil"/>
              <w:right w:val="single" w:sz="4" w:space="0" w:color="auto"/>
            </w:tcBorders>
            <w:noWrap/>
            <w:vAlign w:val="center"/>
          </w:tcPr>
          <w:p w:rsidR="00554054" w:rsidRPr="00C259FC" w:rsidRDefault="00554054" w:rsidP="00A56570">
            <w:pPr>
              <w:keepNext/>
              <w:keepLines/>
              <w:spacing w:before="20" w:after="20"/>
              <w:jc w:val="center"/>
              <w:rPr>
                <w:rFonts w:cs="Arial"/>
                <w:color w:val="000000"/>
                <w:szCs w:val="18"/>
              </w:rPr>
            </w:pPr>
            <w:r w:rsidRPr="00C259FC">
              <w:rPr>
                <w:rFonts w:cs="Arial"/>
                <w:color w:val="000000"/>
                <w:szCs w:val="18"/>
              </w:rPr>
              <w:t>21</w:t>
            </w:r>
          </w:p>
        </w:tc>
        <w:tc>
          <w:tcPr>
            <w:tcW w:w="2268" w:type="dxa"/>
            <w:tcBorders>
              <w:top w:val="nil"/>
              <w:left w:val="single" w:sz="4" w:space="0" w:color="auto"/>
              <w:bottom w:val="nil"/>
              <w:right w:val="single" w:sz="4" w:space="0" w:color="auto"/>
            </w:tcBorders>
            <w:vAlign w:val="center"/>
          </w:tcPr>
          <w:p w:rsidR="00554054" w:rsidRPr="00C259FC" w:rsidRDefault="00554054" w:rsidP="00A56570">
            <w:pPr>
              <w:keepNext/>
              <w:keepLines/>
              <w:tabs>
                <w:tab w:val="decimal" w:pos="1562"/>
              </w:tabs>
              <w:spacing w:before="20" w:after="20"/>
              <w:jc w:val="left"/>
              <w:rPr>
                <w:rFonts w:cs="Arial"/>
                <w:color w:val="000000"/>
                <w:szCs w:val="18"/>
              </w:rPr>
            </w:pPr>
            <w:r>
              <w:rPr>
                <w:rFonts w:cs="Arial"/>
                <w:color w:val="000000"/>
                <w:szCs w:val="18"/>
              </w:rPr>
              <w:t>21,767,790</w:t>
            </w:r>
          </w:p>
        </w:tc>
      </w:tr>
      <w:tr w:rsidR="00554054" w:rsidRPr="00C259FC" w:rsidTr="00B277ED">
        <w:trPr>
          <w:trHeight w:val="170"/>
        </w:trPr>
        <w:tc>
          <w:tcPr>
            <w:tcW w:w="4093" w:type="dxa"/>
            <w:tcBorders>
              <w:top w:val="nil"/>
              <w:left w:val="single" w:sz="4" w:space="0" w:color="auto"/>
              <w:bottom w:val="nil"/>
              <w:right w:val="single" w:sz="4" w:space="0" w:color="auto"/>
            </w:tcBorders>
            <w:noWrap/>
            <w:vAlign w:val="center"/>
          </w:tcPr>
          <w:p w:rsidR="00554054" w:rsidRPr="00C259FC" w:rsidRDefault="00554054" w:rsidP="00A56570">
            <w:pPr>
              <w:keepNext/>
              <w:keepLines/>
              <w:spacing w:before="20" w:after="20"/>
              <w:rPr>
                <w:rFonts w:cs="Arial"/>
                <w:color w:val="000000"/>
                <w:szCs w:val="18"/>
              </w:rPr>
            </w:pPr>
            <w:r w:rsidRPr="00C259FC">
              <w:rPr>
                <w:rFonts w:cs="Arial"/>
                <w:color w:val="000000"/>
                <w:szCs w:val="18"/>
              </w:rPr>
              <w:t>Public Toilets</w:t>
            </w:r>
          </w:p>
        </w:tc>
        <w:tc>
          <w:tcPr>
            <w:tcW w:w="1577" w:type="dxa"/>
            <w:tcBorders>
              <w:top w:val="nil"/>
              <w:left w:val="single" w:sz="4" w:space="0" w:color="auto"/>
              <w:bottom w:val="nil"/>
              <w:right w:val="single" w:sz="4" w:space="0" w:color="auto"/>
            </w:tcBorders>
            <w:noWrap/>
            <w:vAlign w:val="center"/>
          </w:tcPr>
          <w:p w:rsidR="00554054" w:rsidRPr="00C259FC" w:rsidRDefault="00554054" w:rsidP="00A56570">
            <w:pPr>
              <w:keepNext/>
              <w:keepLines/>
              <w:spacing w:before="20" w:after="20"/>
              <w:jc w:val="center"/>
              <w:rPr>
                <w:rFonts w:cs="Arial"/>
                <w:color w:val="000000"/>
                <w:szCs w:val="18"/>
              </w:rPr>
            </w:pPr>
            <w:r w:rsidRPr="00C259FC">
              <w:rPr>
                <w:rFonts w:cs="Arial"/>
                <w:color w:val="000000"/>
                <w:szCs w:val="18"/>
              </w:rPr>
              <w:t>11</w:t>
            </w:r>
          </w:p>
        </w:tc>
        <w:tc>
          <w:tcPr>
            <w:tcW w:w="2268" w:type="dxa"/>
            <w:tcBorders>
              <w:top w:val="nil"/>
              <w:left w:val="single" w:sz="4" w:space="0" w:color="auto"/>
              <w:bottom w:val="nil"/>
              <w:right w:val="single" w:sz="4" w:space="0" w:color="auto"/>
            </w:tcBorders>
            <w:vAlign w:val="center"/>
          </w:tcPr>
          <w:p w:rsidR="00554054" w:rsidRPr="00C259FC" w:rsidRDefault="00554054" w:rsidP="00A56570">
            <w:pPr>
              <w:keepNext/>
              <w:keepLines/>
              <w:tabs>
                <w:tab w:val="decimal" w:pos="1562"/>
              </w:tabs>
              <w:spacing w:before="20" w:after="20"/>
              <w:rPr>
                <w:rFonts w:cs="Arial"/>
                <w:color w:val="000000"/>
                <w:szCs w:val="18"/>
              </w:rPr>
            </w:pPr>
            <w:r w:rsidRPr="00C259FC">
              <w:rPr>
                <w:rFonts w:cs="Arial"/>
                <w:color w:val="000000"/>
                <w:szCs w:val="18"/>
              </w:rPr>
              <w:t xml:space="preserve"> </w:t>
            </w:r>
            <w:r>
              <w:rPr>
                <w:rFonts w:cs="Arial"/>
                <w:color w:val="000000"/>
                <w:szCs w:val="18"/>
              </w:rPr>
              <w:t>1,757,224</w:t>
            </w:r>
          </w:p>
        </w:tc>
      </w:tr>
      <w:tr w:rsidR="00554054" w:rsidRPr="00C259FC" w:rsidTr="00B277ED">
        <w:trPr>
          <w:trHeight w:val="170"/>
        </w:trPr>
        <w:tc>
          <w:tcPr>
            <w:tcW w:w="4093" w:type="dxa"/>
            <w:tcBorders>
              <w:top w:val="nil"/>
              <w:left w:val="single" w:sz="4" w:space="0" w:color="auto"/>
              <w:bottom w:val="nil"/>
              <w:right w:val="single" w:sz="4" w:space="0" w:color="auto"/>
            </w:tcBorders>
            <w:noWrap/>
            <w:vAlign w:val="center"/>
          </w:tcPr>
          <w:p w:rsidR="00554054" w:rsidRPr="00C259FC" w:rsidRDefault="00554054" w:rsidP="00A56570">
            <w:pPr>
              <w:keepNext/>
              <w:keepLines/>
              <w:spacing w:before="20" w:after="20"/>
              <w:rPr>
                <w:rFonts w:cs="Arial"/>
                <w:color w:val="000000"/>
                <w:szCs w:val="18"/>
              </w:rPr>
            </w:pPr>
            <w:r w:rsidRPr="00C259FC">
              <w:rPr>
                <w:rFonts w:cs="Arial"/>
                <w:color w:val="000000"/>
                <w:szCs w:val="18"/>
              </w:rPr>
              <w:t>Rotundas</w:t>
            </w:r>
          </w:p>
        </w:tc>
        <w:tc>
          <w:tcPr>
            <w:tcW w:w="1577" w:type="dxa"/>
            <w:tcBorders>
              <w:top w:val="nil"/>
              <w:left w:val="single" w:sz="4" w:space="0" w:color="auto"/>
              <w:bottom w:val="nil"/>
              <w:right w:val="single" w:sz="4" w:space="0" w:color="auto"/>
            </w:tcBorders>
            <w:noWrap/>
            <w:vAlign w:val="center"/>
          </w:tcPr>
          <w:p w:rsidR="00554054" w:rsidRPr="00C259FC" w:rsidRDefault="00554054" w:rsidP="00A56570">
            <w:pPr>
              <w:keepNext/>
              <w:keepLines/>
              <w:spacing w:before="20" w:after="20"/>
              <w:jc w:val="center"/>
              <w:rPr>
                <w:rFonts w:cs="Arial"/>
                <w:color w:val="000000"/>
                <w:szCs w:val="18"/>
              </w:rPr>
            </w:pPr>
            <w:r w:rsidRPr="00C259FC">
              <w:rPr>
                <w:rFonts w:cs="Arial"/>
                <w:color w:val="000000"/>
                <w:szCs w:val="18"/>
              </w:rPr>
              <w:t>10</w:t>
            </w:r>
          </w:p>
        </w:tc>
        <w:tc>
          <w:tcPr>
            <w:tcW w:w="2268" w:type="dxa"/>
            <w:tcBorders>
              <w:top w:val="nil"/>
              <w:left w:val="single" w:sz="4" w:space="0" w:color="auto"/>
              <w:bottom w:val="nil"/>
              <w:right w:val="single" w:sz="4" w:space="0" w:color="auto"/>
            </w:tcBorders>
            <w:vAlign w:val="center"/>
          </w:tcPr>
          <w:p w:rsidR="00554054" w:rsidRPr="00C259FC" w:rsidRDefault="00554054" w:rsidP="00A56570">
            <w:pPr>
              <w:keepNext/>
              <w:keepLines/>
              <w:tabs>
                <w:tab w:val="decimal" w:pos="1562"/>
              </w:tabs>
              <w:spacing w:before="20" w:after="20"/>
              <w:rPr>
                <w:rFonts w:cs="Arial"/>
                <w:color w:val="000000"/>
                <w:szCs w:val="18"/>
              </w:rPr>
            </w:pPr>
            <w:r w:rsidRPr="00C259FC">
              <w:rPr>
                <w:rFonts w:cs="Arial"/>
                <w:color w:val="000000"/>
                <w:szCs w:val="18"/>
              </w:rPr>
              <w:t xml:space="preserve"> </w:t>
            </w:r>
            <w:r>
              <w:rPr>
                <w:rFonts w:cs="Arial"/>
                <w:color w:val="000000"/>
                <w:szCs w:val="18"/>
              </w:rPr>
              <w:t>568,675</w:t>
            </w:r>
            <w:r w:rsidRPr="00C259FC">
              <w:rPr>
                <w:rFonts w:cs="Arial"/>
                <w:color w:val="000000"/>
                <w:szCs w:val="18"/>
              </w:rPr>
              <w:t xml:space="preserve"> </w:t>
            </w:r>
          </w:p>
        </w:tc>
      </w:tr>
      <w:tr w:rsidR="00554054" w:rsidRPr="00C259FC" w:rsidTr="00B277ED">
        <w:trPr>
          <w:trHeight w:val="170"/>
        </w:trPr>
        <w:tc>
          <w:tcPr>
            <w:tcW w:w="4093" w:type="dxa"/>
            <w:tcBorders>
              <w:top w:val="nil"/>
              <w:left w:val="single" w:sz="4" w:space="0" w:color="auto"/>
              <w:bottom w:val="nil"/>
              <w:right w:val="single" w:sz="4" w:space="0" w:color="auto"/>
            </w:tcBorders>
            <w:noWrap/>
            <w:vAlign w:val="center"/>
          </w:tcPr>
          <w:p w:rsidR="00554054" w:rsidRPr="00C259FC" w:rsidRDefault="00554054" w:rsidP="00A56570">
            <w:pPr>
              <w:keepNext/>
              <w:keepLines/>
              <w:spacing w:before="20" w:after="20"/>
              <w:rPr>
                <w:rFonts w:cs="Arial"/>
                <w:color w:val="000000"/>
                <w:szCs w:val="18"/>
              </w:rPr>
            </w:pPr>
            <w:r w:rsidRPr="00C259FC">
              <w:rPr>
                <w:rFonts w:cs="Arial"/>
                <w:color w:val="000000"/>
                <w:szCs w:val="18"/>
              </w:rPr>
              <w:t>Stores / Sheds / Garages</w:t>
            </w:r>
          </w:p>
        </w:tc>
        <w:tc>
          <w:tcPr>
            <w:tcW w:w="1577" w:type="dxa"/>
            <w:tcBorders>
              <w:top w:val="nil"/>
              <w:left w:val="single" w:sz="4" w:space="0" w:color="auto"/>
              <w:bottom w:val="nil"/>
              <w:right w:val="single" w:sz="4" w:space="0" w:color="auto"/>
            </w:tcBorders>
            <w:noWrap/>
            <w:vAlign w:val="center"/>
          </w:tcPr>
          <w:p w:rsidR="00554054" w:rsidRPr="00C259FC" w:rsidRDefault="00554054" w:rsidP="00A56570">
            <w:pPr>
              <w:keepNext/>
              <w:keepLines/>
              <w:spacing w:before="20" w:after="20"/>
              <w:jc w:val="center"/>
              <w:rPr>
                <w:rFonts w:cs="Arial"/>
                <w:color w:val="000000"/>
                <w:szCs w:val="18"/>
              </w:rPr>
            </w:pPr>
            <w:r w:rsidRPr="00C259FC">
              <w:rPr>
                <w:rFonts w:cs="Arial"/>
                <w:color w:val="000000"/>
                <w:szCs w:val="18"/>
              </w:rPr>
              <w:t>5</w:t>
            </w:r>
          </w:p>
        </w:tc>
        <w:tc>
          <w:tcPr>
            <w:tcW w:w="2268" w:type="dxa"/>
            <w:tcBorders>
              <w:top w:val="nil"/>
              <w:left w:val="single" w:sz="4" w:space="0" w:color="auto"/>
              <w:bottom w:val="nil"/>
              <w:right w:val="single" w:sz="4" w:space="0" w:color="auto"/>
            </w:tcBorders>
            <w:vAlign w:val="center"/>
          </w:tcPr>
          <w:p w:rsidR="00554054" w:rsidRPr="00C259FC" w:rsidRDefault="00554054" w:rsidP="00A56570">
            <w:pPr>
              <w:keepNext/>
              <w:keepLines/>
              <w:tabs>
                <w:tab w:val="decimal" w:pos="1562"/>
              </w:tabs>
              <w:spacing w:before="20" w:after="20"/>
              <w:jc w:val="left"/>
              <w:rPr>
                <w:rFonts w:cs="Arial"/>
                <w:color w:val="000000"/>
                <w:szCs w:val="18"/>
              </w:rPr>
            </w:pPr>
            <w:r>
              <w:rPr>
                <w:rFonts w:cs="Arial"/>
                <w:color w:val="000000"/>
                <w:szCs w:val="18"/>
              </w:rPr>
              <w:t>201,970</w:t>
            </w:r>
          </w:p>
        </w:tc>
      </w:tr>
      <w:tr w:rsidR="00554054" w:rsidRPr="00C259FC" w:rsidTr="00B277ED">
        <w:trPr>
          <w:trHeight w:val="170"/>
        </w:trPr>
        <w:tc>
          <w:tcPr>
            <w:tcW w:w="4093" w:type="dxa"/>
            <w:tcBorders>
              <w:top w:val="nil"/>
              <w:left w:val="single" w:sz="4" w:space="0" w:color="auto"/>
              <w:bottom w:val="nil"/>
              <w:right w:val="single" w:sz="4" w:space="0" w:color="auto"/>
            </w:tcBorders>
            <w:noWrap/>
            <w:vAlign w:val="center"/>
          </w:tcPr>
          <w:p w:rsidR="00554054" w:rsidRPr="000B4AFC" w:rsidRDefault="00554054" w:rsidP="00A56570">
            <w:pPr>
              <w:keepNext/>
              <w:keepLines/>
              <w:spacing w:before="20" w:after="20"/>
              <w:rPr>
                <w:rFonts w:cs="Arial"/>
                <w:color w:val="000000"/>
                <w:szCs w:val="18"/>
              </w:rPr>
            </w:pPr>
            <w:r w:rsidRPr="000B4AFC">
              <w:rPr>
                <w:rFonts w:cs="Arial"/>
                <w:color w:val="000000"/>
                <w:szCs w:val="18"/>
              </w:rPr>
              <w:t>Structures</w:t>
            </w:r>
          </w:p>
        </w:tc>
        <w:tc>
          <w:tcPr>
            <w:tcW w:w="1577" w:type="dxa"/>
            <w:tcBorders>
              <w:top w:val="nil"/>
              <w:left w:val="single" w:sz="4" w:space="0" w:color="auto"/>
              <w:bottom w:val="single" w:sz="4" w:space="0" w:color="auto"/>
              <w:right w:val="single" w:sz="4" w:space="0" w:color="auto"/>
            </w:tcBorders>
            <w:noWrap/>
            <w:vAlign w:val="center"/>
          </w:tcPr>
          <w:p w:rsidR="00554054" w:rsidRPr="000B4AFC" w:rsidRDefault="00554054" w:rsidP="00A56570">
            <w:pPr>
              <w:keepNext/>
              <w:keepLines/>
              <w:spacing w:before="20" w:after="20"/>
              <w:jc w:val="center"/>
              <w:rPr>
                <w:rFonts w:cs="Arial"/>
                <w:color w:val="000000"/>
                <w:szCs w:val="18"/>
              </w:rPr>
            </w:pPr>
            <w:r w:rsidRPr="000B4AFC">
              <w:rPr>
                <w:rFonts w:cs="Arial"/>
                <w:color w:val="000000"/>
                <w:szCs w:val="18"/>
              </w:rPr>
              <w:t>6</w:t>
            </w:r>
          </w:p>
        </w:tc>
        <w:tc>
          <w:tcPr>
            <w:tcW w:w="2268" w:type="dxa"/>
            <w:tcBorders>
              <w:top w:val="nil"/>
              <w:left w:val="single" w:sz="4" w:space="0" w:color="auto"/>
              <w:bottom w:val="single" w:sz="4" w:space="0" w:color="auto"/>
              <w:right w:val="single" w:sz="4" w:space="0" w:color="auto"/>
            </w:tcBorders>
            <w:vAlign w:val="center"/>
          </w:tcPr>
          <w:p w:rsidR="00554054" w:rsidRPr="00C259FC" w:rsidRDefault="00554054" w:rsidP="00A56570">
            <w:pPr>
              <w:keepNext/>
              <w:keepLines/>
              <w:tabs>
                <w:tab w:val="decimal" w:pos="1562"/>
              </w:tabs>
              <w:spacing w:before="20" w:after="20"/>
              <w:jc w:val="left"/>
              <w:rPr>
                <w:rFonts w:cs="Arial"/>
                <w:color w:val="000000"/>
                <w:szCs w:val="18"/>
              </w:rPr>
            </w:pPr>
            <w:r w:rsidRPr="00C259FC">
              <w:rPr>
                <w:rFonts w:cs="Arial"/>
                <w:color w:val="000000"/>
                <w:szCs w:val="18"/>
              </w:rPr>
              <w:t>1</w:t>
            </w:r>
            <w:r>
              <w:rPr>
                <w:rFonts w:cs="Arial"/>
                <w:color w:val="000000"/>
                <w:szCs w:val="18"/>
              </w:rPr>
              <w:t>77,775</w:t>
            </w:r>
          </w:p>
        </w:tc>
      </w:tr>
      <w:tr w:rsidR="00554054" w:rsidRPr="00C259FC" w:rsidTr="00B277ED">
        <w:trPr>
          <w:trHeight w:val="170"/>
        </w:trPr>
        <w:tc>
          <w:tcPr>
            <w:tcW w:w="4093" w:type="dxa"/>
            <w:tcBorders>
              <w:top w:val="nil"/>
              <w:left w:val="single" w:sz="4" w:space="0" w:color="auto"/>
              <w:bottom w:val="single" w:sz="4" w:space="0" w:color="auto"/>
              <w:right w:val="single" w:sz="4" w:space="0" w:color="auto"/>
            </w:tcBorders>
            <w:noWrap/>
            <w:vAlign w:val="center"/>
          </w:tcPr>
          <w:p w:rsidR="00554054" w:rsidRPr="000B4AFC" w:rsidRDefault="00554054" w:rsidP="00A56570">
            <w:pPr>
              <w:keepNext/>
              <w:keepLines/>
              <w:tabs>
                <w:tab w:val="left" w:pos="537"/>
              </w:tabs>
              <w:spacing w:before="20" w:after="20"/>
              <w:rPr>
                <w:rFonts w:cs="Arial"/>
                <w:b/>
                <w:color w:val="000000"/>
                <w:szCs w:val="18"/>
              </w:rPr>
            </w:pPr>
            <w:r w:rsidRPr="000B4AFC">
              <w:rPr>
                <w:rFonts w:cs="Arial"/>
                <w:b/>
                <w:color w:val="000000"/>
                <w:szCs w:val="18"/>
              </w:rPr>
              <w:tab/>
              <w:t>Recreation &amp; Open Space (Total)</w:t>
            </w:r>
          </w:p>
        </w:tc>
        <w:tc>
          <w:tcPr>
            <w:tcW w:w="1577" w:type="dxa"/>
            <w:tcBorders>
              <w:top w:val="single" w:sz="4" w:space="0" w:color="auto"/>
              <w:left w:val="single" w:sz="4" w:space="0" w:color="auto"/>
              <w:bottom w:val="single" w:sz="4" w:space="0" w:color="auto"/>
              <w:right w:val="single" w:sz="4" w:space="0" w:color="auto"/>
            </w:tcBorders>
            <w:noWrap/>
            <w:vAlign w:val="center"/>
          </w:tcPr>
          <w:p w:rsidR="00554054" w:rsidRPr="000B4AFC" w:rsidRDefault="00554054" w:rsidP="00A56570">
            <w:pPr>
              <w:keepNext/>
              <w:keepLines/>
              <w:spacing w:before="20" w:after="20"/>
              <w:jc w:val="center"/>
              <w:rPr>
                <w:rFonts w:cs="Arial"/>
                <w:b/>
                <w:color w:val="000000"/>
                <w:szCs w:val="18"/>
              </w:rPr>
            </w:pPr>
            <w:r w:rsidRPr="000B4AFC">
              <w:rPr>
                <w:rFonts w:cs="Arial"/>
                <w:b/>
                <w:color w:val="000000"/>
                <w:szCs w:val="18"/>
              </w:rPr>
              <w:t>55</w:t>
            </w:r>
          </w:p>
        </w:tc>
        <w:tc>
          <w:tcPr>
            <w:tcW w:w="2268" w:type="dxa"/>
            <w:tcBorders>
              <w:top w:val="single" w:sz="4" w:space="0" w:color="auto"/>
              <w:left w:val="single" w:sz="4" w:space="0" w:color="auto"/>
              <w:bottom w:val="single" w:sz="4" w:space="0" w:color="auto"/>
              <w:right w:val="single" w:sz="4" w:space="0" w:color="auto"/>
            </w:tcBorders>
            <w:vAlign w:val="center"/>
          </w:tcPr>
          <w:p w:rsidR="00554054" w:rsidRPr="00C259FC" w:rsidRDefault="00554054" w:rsidP="00A56570">
            <w:pPr>
              <w:keepNext/>
              <w:keepLines/>
              <w:tabs>
                <w:tab w:val="decimal" w:pos="1562"/>
              </w:tabs>
              <w:spacing w:before="20" w:after="20"/>
              <w:jc w:val="left"/>
              <w:rPr>
                <w:rFonts w:cs="Arial"/>
                <w:b/>
                <w:color w:val="000000"/>
                <w:szCs w:val="18"/>
              </w:rPr>
            </w:pPr>
            <w:r w:rsidRPr="00C259FC">
              <w:rPr>
                <w:rFonts w:cs="Arial"/>
                <w:b/>
                <w:color w:val="000000"/>
                <w:szCs w:val="18"/>
              </w:rPr>
              <w:t>28,4</w:t>
            </w:r>
            <w:r>
              <w:rPr>
                <w:rFonts w:cs="Arial"/>
                <w:b/>
                <w:color w:val="000000"/>
                <w:szCs w:val="18"/>
              </w:rPr>
              <w:t>85,878</w:t>
            </w:r>
          </w:p>
        </w:tc>
      </w:tr>
      <w:tr w:rsidR="00554054" w:rsidRPr="00C259FC" w:rsidTr="00B277ED">
        <w:trPr>
          <w:trHeight w:val="170"/>
        </w:trPr>
        <w:tc>
          <w:tcPr>
            <w:tcW w:w="4093" w:type="dxa"/>
            <w:tcBorders>
              <w:top w:val="single" w:sz="4" w:space="0" w:color="auto"/>
              <w:left w:val="single" w:sz="4" w:space="0" w:color="auto"/>
              <w:bottom w:val="nil"/>
              <w:right w:val="single" w:sz="4" w:space="0" w:color="auto"/>
            </w:tcBorders>
            <w:noWrap/>
            <w:vAlign w:val="center"/>
          </w:tcPr>
          <w:p w:rsidR="00554054" w:rsidRPr="000B4AFC" w:rsidRDefault="00554054" w:rsidP="00A56570">
            <w:pPr>
              <w:keepNext/>
              <w:keepLines/>
              <w:spacing w:before="20" w:after="20"/>
              <w:rPr>
                <w:rFonts w:cs="Arial"/>
                <w:color w:val="000000"/>
                <w:szCs w:val="18"/>
              </w:rPr>
            </w:pPr>
            <w:r w:rsidRPr="000B4AFC">
              <w:rPr>
                <w:rFonts w:cs="Arial"/>
                <w:color w:val="000000"/>
                <w:szCs w:val="18"/>
              </w:rPr>
              <w:t>Public Toilets</w:t>
            </w:r>
          </w:p>
        </w:tc>
        <w:tc>
          <w:tcPr>
            <w:tcW w:w="1577" w:type="dxa"/>
            <w:tcBorders>
              <w:top w:val="single" w:sz="4" w:space="0" w:color="auto"/>
              <w:left w:val="single" w:sz="4" w:space="0" w:color="auto"/>
              <w:bottom w:val="single" w:sz="4" w:space="0" w:color="auto"/>
              <w:right w:val="single" w:sz="4" w:space="0" w:color="auto"/>
            </w:tcBorders>
            <w:noWrap/>
            <w:vAlign w:val="center"/>
          </w:tcPr>
          <w:p w:rsidR="00554054" w:rsidRPr="000B4AFC" w:rsidRDefault="00554054" w:rsidP="00A56570">
            <w:pPr>
              <w:keepNext/>
              <w:keepLines/>
              <w:spacing w:before="20" w:after="20"/>
              <w:jc w:val="center"/>
              <w:rPr>
                <w:rFonts w:cs="Arial"/>
                <w:color w:val="000000"/>
                <w:szCs w:val="18"/>
              </w:rPr>
            </w:pPr>
            <w:r w:rsidRPr="000B4AFC">
              <w:rPr>
                <w:rFonts w:cs="Arial"/>
                <w:color w:val="000000"/>
                <w:szCs w:val="18"/>
              </w:rPr>
              <w:t>9</w:t>
            </w:r>
          </w:p>
        </w:tc>
        <w:tc>
          <w:tcPr>
            <w:tcW w:w="2268" w:type="dxa"/>
            <w:tcBorders>
              <w:top w:val="single" w:sz="4" w:space="0" w:color="auto"/>
              <w:left w:val="single" w:sz="4" w:space="0" w:color="auto"/>
              <w:bottom w:val="single" w:sz="4" w:space="0" w:color="auto"/>
              <w:right w:val="single" w:sz="4" w:space="0" w:color="auto"/>
            </w:tcBorders>
            <w:vAlign w:val="center"/>
          </w:tcPr>
          <w:p w:rsidR="00554054" w:rsidRPr="007532D0" w:rsidRDefault="00554054" w:rsidP="00A56570">
            <w:pPr>
              <w:keepNext/>
              <w:keepLines/>
              <w:tabs>
                <w:tab w:val="decimal" w:pos="1562"/>
              </w:tabs>
              <w:spacing w:before="20" w:after="20"/>
              <w:jc w:val="left"/>
              <w:rPr>
                <w:rFonts w:cs="Arial"/>
                <w:color w:val="000000"/>
                <w:szCs w:val="18"/>
              </w:rPr>
            </w:pPr>
            <w:r w:rsidRPr="007532D0">
              <w:rPr>
                <w:rFonts w:cs="Arial"/>
                <w:color w:val="000000"/>
                <w:szCs w:val="18"/>
              </w:rPr>
              <w:t>1,232,148</w:t>
            </w:r>
          </w:p>
        </w:tc>
      </w:tr>
      <w:tr w:rsidR="00554054" w:rsidRPr="00C259FC" w:rsidTr="00B277ED">
        <w:trPr>
          <w:trHeight w:val="170"/>
        </w:trPr>
        <w:tc>
          <w:tcPr>
            <w:tcW w:w="4093" w:type="dxa"/>
            <w:tcBorders>
              <w:top w:val="nil"/>
              <w:left w:val="single" w:sz="4" w:space="0" w:color="auto"/>
              <w:bottom w:val="single" w:sz="4" w:space="0" w:color="auto"/>
              <w:right w:val="single" w:sz="4" w:space="0" w:color="auto"/>
            </w:tcBorders>
            <w:noWrap/>
            <w:vAlign w:val="center"/>
          </w:tcPr>
          <w:p w:rsidR="00554054" w:rsidRPr="000B4AFC" w:rsidRDefault="00554054" w:rsidP="00A56570">
            <w:pPr>
              <w:keepNext/>
              <w:keepLines/>
              <w:tabs>
                <w:tab w:val="left" w:pos="537"/>
              </w:tabs>
              <w:spacing w:before="20" w:after="20"/>
              <w:rPr>
                <w:rFonts w:cs="Arial"/>
                <w:b/>
                <w:color w:val="000000"/>
                <w:szCs w:val="18"/>
              </w:rPr>
            </w:pPr>
            <w:r w:rsidRPr="000B4AFC">
              <w:rPr>
                <w:rFonts w:cs="Arial"/>
                <w:b/>
                <w:color w:val="000000"/>
                <w:szCs w:val="18"/>
              </w:rPr>
              <w:tab/>
              <w:t>Amenity (Total)</w:t>
            </w:r>
          </w:p>
        </w:tc>
        <w:tc>
          <w:tcPr>
            <w:tcW w:w="1577" w:type="dxa"/>
            <w:tcBorders>
              <w:top w:val="single" w:sz="4" w:space="0" w:color="auto"/>
              <w:left w:val="single" w:sz="4" w:space="0" w:color="auto"/>
              <w:bottom w:val="single" w:sz="4" w:space="0" w:color="auto"/>
              <w:right w:val="single" w:sz="4" w:space="0" w:color="auto"/>
            </w:tcBorders>
            <w:noWrap/>
            <w:vAlign w:val="center"/>
          </w:tcPr>
          <w:p w:rsidR="00554054" w:rsidRPr="000B4AFC" w:rsidRDefault="00554054" w:rsidP="00A56570">
            <w:pPr>
              <w:keepNext/>
              <w:keepLines/>
              <w:spacing w:before="20" w:after="20"/>
              <w:jc w:val="center"/>
              <w:rPr>
                <w:rFonts w:cs="Arial"/>
                <w:b/>
                <w:color w:val="000000"/>
                <w:szCs w:val="18"/>
              </w:rPr>
            </w:pPr>
            <w:r w:rsidRPr="000B4AFC">
              <w:rPr>
                <w:rFonts w:cs="Arial"/>
                <w:b/>
                <w:color w:val="000000"/>
                <w:szCs w:val="18"/>
              </w:rPr>
              <w:t>9</w:t>
            </w:r>
          </w:p>
        </w:tc>
        <w:tc>
          <w:tcPr>
            <w:tcW w:w="2268" w:type="dxa"/>
            <w:tcBorders>
              <w:top w:val="single" w:sz="4" w:space="0" w:color="auto"/>
              <w:left w:val="single" w:sz="4" w:space="0" w:color="auto"/>
              <w:bottom w:val="single" w:sz="4" w:space="0" w:color="auto"/>
              <w:right w:val="single" w:sz="4" w:space="0" w:color="auto"/>
            </w:tcBorders>
            <w:vAlign w:val="center"/>
          </w:tcPr>
          <w:p w:rsidR="00554054" w:rsidRPr="00C259FC" w:rsidRDefault="00554054" w:rsidP="00A56570">
            <w:pPr>
              <w:keepNext/>
              <w:keepLines/>
              <w:tabs>
                <w:tab w:val="decimal" w:pos="1562"/>
              </w:tabs>
              <w:spacing w:before="20" w:after="20"/>
              <w:jc w:val="left"/>
              <w:rPr>
                <w:rFonts w:cs="Arial"/>
                <w:b/>
                <w:color w:val="000000"/>
                <w:szCs w:val="18"/>
              </w:rPr>
            </w:pPr>
            <w:r>
              <w:rPr>
                <w:rFonts w:cs="Arial"/>
                <w:b/>
                <w:color w:val="000000"/>
                <w:szCs w:val="18"/>
              </w:rPr>
              <w:t>1,232,148</w:t>
            </w:r>
          </w:p>
        </w:tc>
      </w:tr>
      <w:tr w:rsidR="00554054" w:rsidRPr="00C259FC" w:rsidTr="00B277ED">
        <w:trPr>
          <w:trHeight w:val="170"/>
        </w:trPr>
        <w:tc>
          <w:tcPr>
            <w:tcW w:w="4093" w:type="dxa"/>
            <w:tcBorders>
              <w:top w:val="single" w:sz="4" w:space="0" w:color="auto"/>
              <w:left w:val="single" w:sz="4" w:space="0" w:color="auto"/>
              <w:bottom w:val="nil"/>
              <w:right w:val="single" w:sz="4" w:space="0" w:color="auto"/>
            </w:tcBorders>
            <w:noWrap/>
            <w:vAlign w:val="center"/>
          </w:tcPr>
          <w:p w:rsidR="00554054" w:rsidRPr="000B4AFC" w:rsidRDefault="00554054" w:rsidP="00A56570">
            <w:pPr>
              <w:keepNext/>
              <w:keepLines/>
              <w:spacing w:before="20" w:after="20"/>
              <w:rPr>
                <w:rFonts w:cs="Arial"/>
                <w:color w:val="000000"/>
                <w:szCs w:val="18"/>
              </w:rPr>
            </w:pPr>
            <w:r w:rsidRPr="000B4AFC">
              <w:rPr>
                <w:rFonts w:cs="Arial"/>
                <w:color w:val="000000"/>
                <w:szCs w:val="18"/>
              </w:rPr>
              <w:t>Structures</w:t>
            </w:r>
          </w:p>
        </w:tc>
        <w:tc>
          <w:tcPr>
            <w:tcW w:w="1577" w:type="dxa"/>
            <w:tcBorders>
              <w:top w:val="single" w:sz="4" w:space="0" w:color="auto"/>
              <w:left w:val="single" w:sz="4" w:space="0" w:color="auto"/>
              <w:bottom w:val="single" w:sz="4" w:space="0" w:color="auto"/>
              <w:right w:val="single" w:sz="4" w:space="0" w:color="auto"/>
            </w:tcBorders>
            <w:noWrap/>
            <w:vAlign w:val="center"/>
          </w:tcPr>
          <w:p w:rsidR="00554054" w:rsidRPr="000B4AFC" w:rsidRDefault="00554054" w:rsidP="00A56570">
            <w:pPr>
              <w:keepNext/>
              <w:keepLines/>
              <w:spacing w:before="20" w:after="20"/>
              <w:jc w:val="center"/>
              <w:rPr>
                <w:rFonts w:cs="Arial"/>
                <w:color w:val="000000"/>
                <w:szCs w:val="18"/>
              </w:rPr>
            </w:pPr>
            <w:r w:rsidRPr="000B4AFC">
              <w:rPr>
                <w:rFonts w:cs="Arial"/>
                <w:color w:val="000000"/>
                <w:szCs w:val="18"/>
              </w:rPr>
              <w:t>6</w:t>
            </w:r>
          </w:p>
        </w:tc>
        <w:tc>
          <w:tcPr>
            <w:tcW w:w="2268" w:type="dxa"/>
            <w:tcBorders>
              <w:top w:val="single" w:sz="4" w:space="0" w:color="auto"/>
              <w:left w:val="single" w:sz="4" w:space="0" w:color="auto"/>
              <w:bottom w:val="single" w:sz="4" w:space="0" w:color="auto"/>
              <w:right w:val="single" w:sz="4" w:space="0" w:color="auto"/>
            </w:tcBorders>
            <w:vAlign w:val="center"/>
          </w:tcPr>
          <w:p w:rsidR="00554054" w:rsidRPr="007532D0" w:rsidRDefault="00554054" w:rsidP="00A56570">
            <w:pPr>
              <w:keepNext/>
              <w:keepLines/>
              <w:tabs>
                <w:tab w:val="decimal" w:pos="1562"/>
              </w:tabs>
              <w:spacing w:before="20" w:after="20"/>
              <w:jc w:val="left"/>
              <w:rPr>
                <w:rFonts w:cs="Arial"/>
                <w:color w:val="000000"/>
                <w:szCs w:val="18"/>
              </w:rPr>
            </w:pPr>
            <w:r w:rsidRPr="007532D0">
              <w:rPr>
                <w:rFonts w:cs="Arial"/>
                <w:color w:val="000000"/>
                <w:szCs w:val="18"/>
              </w:rPr>
              <w:t>240,000</w:t>
            </w:r>
          </w:p>
        </w:tc>
      </w:tr>
      <w:tr w:rsidR="00554054" w:rsidRPr="00C259FC" w:rsidTr="00B277ED">
        <w:trPr>
          <w:trHeight w:val="170"/>
        </w:trPr>
        <w:tc>
          <w:tcPr>
            <w:tcW w:w="4093" w:type="dxa"/>
            <w:tcBorders>
              <w:top w:val="nil"/>
              <w:left w:val="single" w:sz="4" w:space="0" w:color="auto"/>
              <w:bottom w:val="single" w:sz="4" w:space="0" w:color="auto"/>
              <w:right w:val="single" w:sz="4" w:space="0" w:color="auto"/>
            </w:tcBorders>
            <w:noWrap/>
            <w:vAlign w:val="center"/>
          </w:tcPr>
          <w:p w:rsidR="00554054" w:rsidRPr="00C259FC" w:rsidRDefault="00554054" w:rsidP="00A56570">
            <w:pPr>
              <w:keepNext/>
              <w:keepLines/>
              <w:tabs>
                <w:tab w:val="left" w:pos="537"/>
              </w:tabs>
              <w:spacing w:before="20" w:after="20"/>
              <w:rPr>
                <w:rFonts w:cs="Arial"/>
                <w:b/>
                <w:color w:val="000000"/>
                <w:szCs w:val="18"/>
              </w:rPr>
            </w:pPr>
            <w:r>
              <w:rPr>
                <w:rFonts w:cs="Arial"/>
                <w:b/>
                <w:color w:val="000000"/>
                <w:szCs w:val="18"/>
              </w:rPr>
              <w:tab/>
              <w:t>Miscellaneous (Total)</w:t>
            </w:r>
          </w:p>
        </w:tc>
        <w:tc>
          <w:tcPr>
            <w:tcW w:w="1577" w:type="dxa"/>
            <w:tcBorders>
              <w:top w:val="single" w:sz="4" w:space="0" w:color="auto"/>
              <w:left w:val="single" w:sz="4" w:space="0" w:color="auto"/>
              <w:bottom w:val="single" w:sz="4" w:space="0" w:color="auto"/>
              <w:right w:val="single" w:sz="4" w:space="0" w:color="auto"/>
            </w:tcBorders>
            <w:noWrap/>
            <w:vAlign w:val="center"/>
          </w:tcPr>
          <w:p w:rsidR="00554054" w:rsidRPr="00C259FC" w:rsidRDefault="00554054" w:rsidP="00A56570">
            <w:pPr>
              <w:keepNext/>
              <w:keepLines/>
              <w:spacing w:before="20" w:after="20"/>
              <w:jc w:val="center"/>
              <w:rPr>
                <w:rFonts w:cs="Arial"/>
                <w:b/>
                <w:color w:val="000000"/>
                <w:szCs w:val="18"/>
              </w:rPr>
            </w:pPr>
            <w:r w:rsidRPr="00C259FC">
              <w:rPr>
                <w:rFonts w:cs="Arial"/>
                <w:b/>
                <w:color w:val="000000"/>
                <w:szCs w:val="18"/>
              </w:rPr>
              <w:t>6</w:t>
            </w:r>
          </w:p>
        </w:tc>
        <w:tc>
          <w:tcPr>
            <w:tcW w:w="2268" w:type="dxa"/>
            <w:tcBorders>
              <w:top w:val="single" w:sz="4" w:space="0" w:color="auto"/>
              <w:left w:val="single" w:sz="4" w:space="0" w:color="auto"/>
              <w:bottom w:val="single" w:sz="4" w:space="0" w:color="auto"/>
              <w:right w:val="single" w:sz="4" w:space="0" w:color="auto"/>
            </w:tcBorders>
            <w:vAlign w:val="center"/>
          </w:tcPr>
          <w:p w:rsidR="00554054" w:rsidRPr="00C259FC" w:rsidRDefault="00554054" w:rsidP="00A56570">
            <w:pPr>
              <w:keepNext/>
              <w:keepLines/>
              <w:tabs>
                <w:tab w:val="decimal" w:pos="1562"/>
              </w:tabs>
              <w:spacing w:before="20" w:after="20"/>
              <w:jc w:val="left"/>
              <w:rPr>
                <w:rFonts w:cs="Arial"/>
                <w:b/>
                <w:color w:val="000000"/>
                <w:szCs w:val="18"/>
              </w:rPr>
            </w:pPr>
            <w:r w:rsidRPr="00C259FC">
              <w:rPr>
                <w:rFonts w:cs="Arial"/>
                <w:b/>
                <w:color w:val="000000"/>
                <w:szCs w:val="18"/>
              </w:rPr>
              <w:t>24</w:t>
            </w:r>
            <w:r>
              <w:rPr>
                <w:rFonts w:cs="Arial"/>
                <w:b/>
                <w:color w:val="000000"/>
                <w:szCs w:val="18"/>
              </w:rPr>
              <w:t>0,000</w:t>
            </w:r>
          </w:p>
        </w:tc>
      </w:tr>
      <w:tr w:rsidR="00554054" w:rsidRPr="00C259FC" w:rsidTr="00B277ED">
        <w:trPr>
          <w:trHeight w:val="170"/>
        </w:trPr>
        <w:tc>
          <w:tcPr>
            <w:tcW w:w="4093" w:type="dxa"/>
            <w:tcBorders>
              <w:top w:val="single" w:sz="4" w:space="0" w:color="auto"/>
              <w:left w:val="nil"/>
              <w:bottom w:val="nil"/>
              <w:right w:val="single" w:sz="4" w:space="0" w:color="auto"/>
            </w:tcBorders>
            <w:noWrap/>
            <w:vAlign w:val="center"/>
          </w:tcPr>
          <w:p w:rsidR="00554054" w:rsidRPr="00C259FC" w:rsidRDefault="00554054" w:rsidP="00A56570">
            <w:pPr>
              <w:keepNext/>
              <w:keepLines/>
              <w:tabs>
                <w:tab w:val="left" w:pos="537"/>
              </w:tabs>
              <w:spacing w:before="20" w:after="20"/>
              <w:rPr>
                <w:rFonts w:cs="Arial"/>
                <w:b/>
                <w:color w:val="000000"/>
                <w:szCs w:val="18"/>
              </w:rPr>
            </w:pPr>
            <w:r>
              <w:rPr>
                <w:rFonts w:cs="Arial"/>
                <w:b/>
                <w:color w:val="000000"/>
                <w:szCs w:val="18"/>
              </w:rPr>
              <w:tab/>
            </w:r>
          </w:p>
        </w:tc>
        <w:tc>
          <w:tcPr>
            <w:tcW w:w="1577" w:type="dxa"/>
            <w:tcBorders>
              <w:top w:val="single" w:sz="4" w:space="0" w:color="auto"/>
              <w:left w:val="single" w:sz="4" w:space="0" w:color="auto"/>
              <w:bottom w:val="double" w:sz="4" w:space="0" w:color="auto"/>
            </w:tcBorders>
            <w:noWrap/>
            <w:vAlign w:val="center"/>
          </w:tcPr>
          <w:p w:rsidR="00554054" w:rsidRPr="00C259FC" w:rsidRDefault="00554054" w:rsidP="00A56570">
            <w:pPr>
              <w:keepNext/>
              <w:keepLines/>
              <w:spacing w:before="20" w:after="20"/>
              <w:jc w:val="center"/>
              <w:rPr>
                <w:rFonts w:cs="Arial"/>
                <w:b/>
                <w:color w:val="000000"/>
                <w:szCs w:val="18"/>
              </w:rPr>
            </w:pPr>
            <w:r w:rsidRPr="00C259FC">
              <w:rPr>
                <w:rFonts w:cs="Arial"/>
                <w:b/>
                <w:color w:val="000000"/>
                <w:szCs w:val="18"/>
              </w:rPr>
              <w:t>159</w:t>
            </w:r>
          </w:p>
        </w:tc>
        <w:tc>
          <w:tcPr>
            <w:tcW w:w="2268" w:type="dxa"/>
            <w:tcBorders>
              <w:top w:val="single" w:sz="4" w:space="0" w:color="auto"/>
              <w:bottom w:val="double" w:sz="4" w:space="0" w:color="auto"/>
            </w:tcBorders>
            <w:vAlign w:val="center"/>
          </w:tcPr>
          <w:p w:rsidR="00554054" w:rsidRPr="00C259FC" w:rsidRDefault="00554054" w:rsidP="00A56570">
            <w:pPr>
              <w:keepNext/>
              <w:keepLines/>
              <w:tabs>
                <w:tab w:val="decimal" w:pos="1562"/>
              </w:tabs>
              <w:spacing w:before="20" w:after="20"/>
              <w:jc w:val="left"/>
              <w:rPr>
                <w:rFonts w:cs="Arial"/>
                <w:b/>
                <w:color w:val="000000"/>
                <w:szCs w:val="18"/>
              </w:rPr>
            </w:pPr>
            <w:r w:rsidRPr="00C259FC">
              <w:rPr>
                <w:rFonts w:cs="Arial"/>
                <w:b/>
                <w:color w:val="000000"/>
                <w:szCs w:val="18"/>
              </w:rPr>
              <w:t>228,0</w:t>
            </w:r>
            <w:r>
              <w:rPr>
                <w:rFonts w:cs="Arial"/>
                <w:b/>
                <w:color w:val="000000"/>
                <w:szCs w:val="18"/>
              </w:rPr>
              <w:t>46,837</w:t>
            </w:r>
          </w:p>
        </w:tc>
      </w:tr>
    </w:tbl>
    <w:p w:rsidR="00647506" w:rsidRPr="0024611A" w:rsidRDefault="00647506" w:rsidP="00FC370B">
      <w:pPr>
        <w:pStyle w:val="Caption"/>
        <w:spacing w:before="240" w:after="240"/>
        <w:ind w:left="0"/>
        <w:jc w:val="center"/>
        <w:rPr>
          <w:rFonts w:ascii="Arial" w:hAnsi="Arial"/>
          <w:i w:val="0"/>
          <w:iCs w:val="0"/>
          <w:sz w:val="20"/>
          <w:lang w:val="en-AU"/>
        </w:rPr>
      </w:pPr>
      <w:bookmarkStart w:id="664" w:name="_Toc364945448"/>
      <w:r w:rsidRPr="0024611A">
        <w:rPr>
          <w:rFonts w:ascii="Arial" w:hAnsi="Arial"/>
          <w:i w:val="0"/>
          <w:iCs w:val="0"/>
          <w:sz w:val="20"/>
          <w:lang w:val="en-AU"/>
        </w:rPr>
        <w:t xml:space="preserve">Table </w:t>
      </w:r>
      <w:r w:rsidR="0090414C" w:rsidRPr="0024611A">
        <w:rPr>
          <w:rFonts w:ascii="Arial" w:hAnsi="Arial"/>
          <w:i w:val="0"/>
          <w:iCs w:val="0"/>
          <w:sz w:val="20"/>
          <w:lang w:val="en-AU"/>
        </w:rPr>
        <w:fldChar w:fldCharType="begin"/>
      </w:r>
      <w:r w:rsidRPr="0024611A">
        <w:rPr>
          <w:rFonts w:ascii="Arial" w:hAnsi="Arial"/>
          <w:i w:val="0"/>
          <w:iCs w:val="0"/>
          <w:sz w:val="20"/>
          <w:lang w:val="en-AU"/>
        </w:rPr>
        <w:instrText xml:space="preserve"> SEQ Table \* ARABIC </w:instrText>
      </w:r>
      <w:r w:rsidR="0090414C" w:rsidRPr="0024611A">
        <w:rPr>
          <w:rFonts w:ascii="Arial" w:hAnsi="Arial"/>
          <w:i w:val="0"/>
          <w:iCs w:val="0"/>
          <w:sz w:val="20"/>
          <w:lang w:val="en-AU"/>
        </w:rPr>
        <w:fldChar w:fldCharType="separate"/>
      </w:r>
      <w:r w:rsidR="00751CEC">
        <w:rPr>
          <w:rFonts w:ascii="Arial" w:hAnsi="Arial"/>
          <w:i w:val="0"/>
          <w:iCs w:val="0"/>
          <w:noProof/>
          <w:sz w:val="20"/>
          <w:lang w:val="en-AU"/>
        </w:rPr>
        <w:t>44</w:t>
      </w:r>
      <w:r w:rsidR="0090414C" w:rsidRPr="0024611A">
        <w:rPr>
          <w:rFonts w:ascii="Arial" w:hAnsi="Arial"/>
          <w:i w:val="0"/>
          <w:iCs w:val="0"/>
          <w:sz w:val="20"/>
          <w:lang w:val="en-AU"/>
        </w:rPr>
        <w:fldChar w:fldCharType="end"/>
      </w:r>
      <w:r w:rsidRPr="0024611A">
        <w:rPr>
          <w:rFonts w:ascii="Arial" w:hAnsi="Arial"/>
          <w:i w:val="0"/>
          <w:iCs w:val="0"/>
          <w:sz w:val="20"/>
          <w:lang w:val="en-AU"/>
        </w:rPr>
        <w:t xml:space="preserve">:  </w:t>
      </w:r>
      <w:r w:rsidR="00DB6C3B" w:rsidRPr="0024611A">
        <w:rPr>
          <w:rFonts w:ascii="Arial" w:hAnsi="Arial"/>
          <w:i w:val="0"/>
          <w:iCs w:val="0"/>
          <w:sz w:val="20"/>
          <w:lang w:val="en-AU"/>
        </w:rPr>
        <w:t>Buildings Primary Use and Replacement Value</w:t>
      </w:r>
      <w:bookmarkEnd w:id="664"/>
    </w:p>
    <w:p w:rsidR="00EC3B6A" w:rsidRPr="00CF2212" w:rsidRDefault="00EC3B6A" w:rsidP="00554054">
      <w:pPr>
        <w:pStyle w:val="Heading2"/>
        <w:keepLines/>
      </w:pPr>
      <w:bookmarkStart w:id="665" w:name="_Toc364945322"/>
      <w:r w:rsidRPr="00CF2212">
        <w:t>Operational Expenditure (OPEX) Summary</w:t>
      </w:r>
      <w:bookmarkEnd w:id="665"/>
    </w:p>
    <w:p w:rsidR="00EC3B6A" w:rsidRPr="00CD7D4F" w:rsidRDefault="00EC3B6A" w:rsidP="00554054">
      <w:pPr>
        <w:pStyle w:val="StyleHeading3Heading3Char10ptBefore6pt"/>
        <w:keepLines/>
      </w:pPr>
      <w:bookmarkStart w:id="666" w:name="_Toc364945323"/>
      <w:r>
        <w:t>Operations and Maintenance Expenditure</w:t>
      </w:r>
      <w:bookmarkEnd w:id="666"/>
    </w:p>
    <w:p w:rsidR="00EC3B6A" w:rsidRDefault="00A50F27" w:rsidP="00554054">
      <w:pPr>
        <w:keepNext/>
        <w:keepLines/>
        <w:ind w:left="720"/>
        <w:rPr>
          <w:lang w:val="en-NZ" w:eastAsia="en-GB"/>
        </w:rPr>
      </w:pPr>
      <w:r>
        <w:rPr>
          <w:lang w:val="en-NZ" w:eastAsia="en-GB"/>
        </w:rPr>
        <w:t xml:space="preserve">Provided in the table below is a </w:t>
      </w:r>
      <w:r w:rsidR="00EC3B6A" w:rsidRPr="00CD7D4F">
        <w:rPr>
          <w:lang w:val="en-NZ" w:eastAsia="en-GB"/>
        </w:rPr>
        <w:t xml:space="preserve">summary of operational </w:t>
      </w:r>
      <w:r>
        <w:rPr>
          <w:lang w:val="en-NZ" w:eastAsia="en-GB"/>
        </w:rPr>
        <w:t xml:space="preserve">and maintenance </w:t>
      </w:r>
      <w:r w:rsidR="00EC3B6A" w:rsidRPr="00CD7D4F">
        <w:rPr>
          <w:lang w:val="en-NZ" w:eastAsia="en-GB"/>
        </w:rPr>
        <w:t xml:space="preserve">expenditure by year for the </w:t>
      </w:r>
      <w:r w:rsidR="006C7138">
        <w:rPr>
          <w:lang w:val="en-NZ" w:eastAsia="en-GB"/>
        </w:rPr>
        <w:t>next 10 years</w:t>
      </w:r>
      <w:r w:rsidR="005F7081">
        <w:rPr>
          <w:lang w:val="en-NZ" w:eastAsia="en-GB"/>
        </w:rPr>
        <w:t>.  This</w:t>
      </w:r>
      <w:r w:rsidR="006C7138">
        <w:rPr>
          <w:lang w:val="en-NZ" w:eastAsia="en-GB"/>
        </w:rPr>
        <w:t xml:space="preserve"> includes</w:t>
      </w:r>
      <w:r w:rsidR="00EC3B6A" w:rsidRPr="00CD7D4F">
        <w:rPr>
          <w:lang w:val="en-NZ" w:eastAsia="en-GB"/>
        </w:rPr>
        <w:t>:</w:t>
      </w:r>
    </w:p>
    <w:p w:rsidR="005F7081" w:rsidRPr="00CD7D4F" w:rsidRDefault="005F7081" w:rsidP="00554054">
      <w:pPr>
        <w:keepNext/>
        <w:keepLines/>
        <w:ind w:left="720"/>
        <w:rPr>
          <w:lang w:val="en-NZ" w:eastAsia="en-GB"/>
        </w:rPr>
      </w:pPr>
    </w:p>
    <w:p w:rsidR="00EC3B6A" w:rsidRPr="005F7081" w:rsidRDefault="00EC3B6A" w:rsidP="00554054">
      <w:pPr>
        <w:pStyle w:val="ListParagraph"/>
        <w:keepNext/>
        <w:keepLines/>
        <w:numPr>
          <w:ilvl w:val="0"/>
          <w:numId w:val="97"/>
        </w:numPr>
        <w:rPr>
          <w:rFonts w:ascii="Arial" w:hAnsi="Arial" w:cs="Arial"/>
          <w:sz w:val="20"/>
          <w:lang w:val="en-NZ" w:eastAsia="en-GB"/>
        </w:rPr>
      </w:pPr>
      <w:r w:rsidRPr="005F7081">
        <w:rPr>
          <w:rFonts w:ascii="Arial" w:hAnsi="Arial" w:cs="Arial"/>
          <w:sz w:val="20"/>
          <w:lang w:val="en-NZ" w:eastAsia="en-GB"/>
        </w:rPr>
        <w:t>total operating expenditure</w:t>
      </w:r>
      <w:r w:rsidR="005F7081">
        <w:rPr>
          <w:rFonts w:ascii="Arial" w:hAnsi="Arial" w:cs="Arial"/>
          <w:sz w:val="20"/>
          <w:lang w:val="en-NZ" w:eastAsia="en-GB"/>
        </w:rPr>
        <w:t>; and</w:t>
      </w:r>
    </w:p>
    <w:p w:rsidR="00EC3B6A" w:rsidRPr="005F7081" w:rsidRDefault="00A50F27" w:rsidP="00554054">
      <w:pPr>
        <w:pStyle w:val="ListParagraph"/>
        <w:keepNext/>
        <w:keepLines/>
        <w:numPr>
          <w:ilvl w:val="0"/>
          <w:numId w:val="97"/>
        </w:numPr>
        <w:rPr>
          <w:rFonts w:ascii="Arial" w:hAnsi="Arial" w:cs="Arial"/>
          <w:sz w:val="20"/>
          <w:lang w:val="en-NZ" w:eastAsia="en-GB"/>
        </w:rPr>
      </w:pPr>
      <w:r w:rsidRPr="005F7081">
        <w:rPr>
          <w:rFonts w:ascii="Arial" w:hAnsi="Arial" w:cs="Arial"/>
          <w:sz w:val="20"/>
          <w:lang w:val="en-NZ" w:eastAsia="en-GB"/>
        </w:rPr>
        <w:t xml:space="preserve">the </w:t>
      </w:r>
      <w:r w:rsidR="00EC3B6A" w:rsidRPr="005F7081">
        <w:rPr>
          <w:rFonts w:ascii="Arial" w:hAnsi="Arial" w:cs="Arial"/>
          <w:sz w:val="20"/>
          <w:lang w:val="en-NZ" w:eastAsia="en-GB"/>
        </w:rPr>
        <w:t>breakdown of operational expenditure</w:t>
      </w:r>
      <w:r w:rsidR="005F7081">
        <w:rPr>
          <w:rFonts w:ascii="Arial" w:hAnsi="Arial" w:cs="Arial"/>
          <w:sz w:val="20"/>
          <w:lang w:val="en-NZ" w:eastAsia="en-GB"/>
        </w:rPr>
        <w:t>, which</w:t>
      </w:r>
      <w:r w:rsidR="00EC3B6A" w:rsidRPr="005F7081">
        <w:rPr>
          <w:rFonts w:ascii="Arial" w:hAnsi="Arial" w:cs="Arial"/>
          <w:sz w:val="20"/>
          <w:lang w:val="en-NZ" w:eastAsia="en-GB"/>
        </w:rPr>
        <w:t xml:space="preserve"> </w:t>
      </w:r>
      <w:r w:rsidRPr="005F7081">
        <w:rPr>
          <w:rFonts w:ascii="Arial" w:hAnsi="Arial" w:cs="Arial"/>
          <w:sz w:val="20"/>
          <w:lang w:val="en-NZ" w:eastAsia="en-GB"/>
        </w:rPr>
        <w:t>includes</w:t>
      </w:r>
      <w:r w:rsidR="005F7081">
        <w:rPr>
          <w:rFonts w:ascii="Arial" w:hAnsi="Arial" w:cs="Arial"/>
          <w:sz w:val="20"/>
          <w:lang w:val="en-NZ" w:eastAsia="en-GB"/>
        </w:rPr>
        <w:t>:</w:t>
      </w:r>
    </w:p>
    <w:p w:rsidR="00EC3B6A" w:rsidRPr="005F7081" w:rsidRDefault="00EC3B6A" w:rsidP="00554054">
      <w:pPr>
        <w:pStyle w:val="ListParagraph"/>
        <w:keepNext/>
        <w:keepLines/>
        <w:numPr>
          <w:ilvl w:val="1"/>
          <w:numId w:val="97"/>
        </w:numPr>
        <w:rPr>
          <w:rFonts w:ascii="Arial" w:hAnsi="Arial" w:cs="Arial"/>
          <w:sz w:val="20"/>
          <w:lang w:val="en-NZ" w:eastAsia="en-GB"/>
        </w:rPr>
      </w:pPr>
      <w:r w:rsidRPr="005F7081">
        <w:rPr>
          <w:rFonts w:ascii="Arial" w:hAnsi="Arial" w:cs="Arial"/>
          <w:sz w:val="20"/>
          <w:lang w:val="en-NZ" w:eastAsia="en-GB"/>
        </w:rPr>
        <w:t xml:space="preserve">maintenance costs </w:t>
      </w:r>
    </w:p>
    <w:p w:rsidR="00A50F27" w:rsidRPr="005F7081" w:rsidRDefault="00EC3B6A" w:rsidP="008348B5">
      <w:pPr>
        <w:pStyle w:val="ListParagraph"/>
        <w:numPr>
          <w:ilvl w:val="1"/>
          <w:numId w:val="97"/>
        </w:numPr>
        <w:rPr>
          <w:rFonts w:ascii="Arial" w:hAnsi="Arial" w:cs="Arial"/>
          <w:sz w:val="20"/>
          <w:lang w:val="en-NZ" w:eastAsia="en-GB"/>
        </w:rPr>
      </w:pPr>
      <w:r w:rsidRPr="005F7081">
        <w:rPr>
          <w:rFonts w:ascii="Arial" w:hAnsi="Arial" w:cs="Arial"/>
          <w:sz w:val="20"/>
          <w:lang w:val="en-NZ" w:eastAsia="en-GB"/>
        </w:rPr>
        <w:t xml:space="preserve">other operational costs (e.g. electricity, </w:t>
      </w:r>
      <w:r w:rsidR="00927AFA">
        <w:rPr>
          <w:rFonts w:ascii="Arial" w:hAnsi="Arial" w:cs="Arial"/>
          <w:sz w:val="20"/>
          <w:lang w:val="en-NZ" w:eastAsia="en-GB"/>
        </w:rPr>
        <w:t xml:space="preserve">gas  and </w:t>
      </w:r>
      <w:r w:rsidR="00A50F27" w:rsidRPr="005F7081">
        <w:rPr>
          <w:rFonts w:ascii="Arial" w:hAnsi="Arial" w:cs="Arial"/>
          <w:sz w:val="20"/>
          <w:lang w:val="en-NZ" w:eastAsia="en-GB"/>
        </w:rPr>
        <w:t>water)</w:t>
      </w:r>
      <w:r w:rsidRPr="005F7081">
        <w:rPr>
          <w:rFonts w:ascii="Arial" w:hAnsi="Arial" w:cs="Arial"/>
          <w:sz w:val="20"/>
          <w:lang w:val="en-NZ" w:eastAsia="en-GB"/>
        </w:rPr>
        <w:t xml:space="preserve">, </w:t>
      </w:r>
      <w:r w:rsidR="00A50F27" w:rsidRPr="005F7081">
        <w:rPr>
          <w:rFonts w:ascii="Arial" w:hAnsi="Arial" w:cs="Arial"/>
          <w:sz w:val="20"/>
          <w:lang w:val="en-NZ" w:eastAsia="en-GB"/>
        </w:rPr>
        <w:t>and</w:t>
      </w:r>
      <w:r w:rsidR="00F92992" w:rsidRPr="005F7081">
        <w:rPr>
          <w:rFonts w:ascii="Arial" w:hAnsi="Arial" w:cs="Arial"/>
          <w:sz w:val="20"/>
          <w:lang w:val="en-NZ" w:eastAsia="en-GB"/>
        </w:rPr>
        <w:t xml:space="preserve"> </w:t>
      </w:r>
      <w:r w:rsidR="00A50F27" w:rsidRPr="005F7081">
        <w:rPr>
          <w:rFonts w:ascii="Arial" w:hAnsi="Arial" w:cs="Arial"/>
          <w:sz w:val="20"/>
          <w:lang w:val="en-NZ" w:eastAsia="en-GB"/>
        </w:rPr>
        <w:t xml:space="preserve">Facility upkeep (e.g. security </w:t>
      </w:r>
      <w:r w:rsidR="00927AFA">
        <w:rPr>
          <w:rFonts w:ascii="Arial" w:hAnsi="Arial" w:cs="Arial"/>
          <w:sz w:val="20"/>
          <w:lang w:val="en-NZ" w:eastAsia="en-GB"/>
        </w:rPr>
        <w:t>and</w:t>
      </w:r>
      <w:r w:rsidR="00A50F27" w:rsidRPr="005F7081">
        <w:rPr>
          <w:rFonts w:ascii="Arial" w:hAnsi="Arial" w:cs="Arial"/>
          <w:sz w:val="20"/>
          <w:lang w:val="en-NZ" w:eastAsia="en-GB"/>
        </w:rPr>
        <w:t xml:space="preserve"> cleaning)</w:t>
      </w:r>
    </w:p>
    <w:p w:rsidR="00D01E49" w:rsidRPr="00F92992" w:rsidRDefault="00D01E49" w:rsidP="00D01E49">
      <w:pPr>
        <w:ind w:left="720"/>
        <w:rPr>
          <w:lang w:val="en-NZ" w:eastAsia="en-GB"/>
        </w:rPr>
      </w:pPr>
    </w:p>
    <w:tbl>
      <w:tblPr>
        <w:tblW w:w="8469" w:type="dxa"/>
        <w:jc w:val="right"/>
        <w:tblLayout w:type="fixed"/>
        <w:tblLook w:val="04A0" w:firstRow="1" w:lastRow="0" w:firstColumn="1" w:lastColumn="0" w:noHBand="0" w:noVBand="1"/>
      </w:tblPr>
      <w:tblGrid>
        <w:gridCol w:w="1269"/>
        <w:gridCol w:w="713"/>
        <w:gridCol w:w="709"/>
        <w:gridCol w:w="709"/>
        <w:gridCol w:w="850"/>
        <w:gridCol w:w="709"/>
        <w:gridCol w:w="709"/>
        <w:gridCol w:w="709"/>
        <w:gridCol w:w="708"/>
        <w:gridCol w:w="709"/>
        <w:gridCol w:w="675"/>
      </w:tblGrid>
      <w:tr w:rsidR="00A249BF" w:rsidRPr="00A249BF" w:rsidTr="00A249BF">
        <w:trPr>
          <w:cantSplit/>
          <w:jc w:val="right"/>
        </w:trPr>
        <w:tc>
          <w:tcPr>
            <w:tcW w:w="1269" w:type="dxa"/>
            <w:tcBorders>
              <w:top w:val="nil"/>
              <w:left w:val="nil"/>
              <w:bottom w:val="nil"/>
              <w:right w:val="single" w:sz="4" w:space="0" w:color="auto"/>
            </w:tcBorders>
            <w:shd w:val="clear" w:color="auto" w:fill="auto"/>
            <w:noWrap/>
            <w:hideMark/>
          </w:tcPr>
          <w:p w:rsidR="00F92992" w:rsidRPr="00A249BF" w:rsidRDefault="00F92992" w:rsidP="00A249BF">
            <w:pPr>
              <w:spacing w:before="120" w:after="120"/>
              <w:rPr>
                <w:sz w:val="18"/>
              </w:rPr>
            </w:pPr>
          </w:p>
        </w:tc>
        <w:tc>
          <w:tcPr>
            <w:tcW w:w="713" w:type="dxa"/>
            <w:tcBorders>
              <w:top w:val="single" w:sz="4" w:space="0" w:color="auto"/>
              <w:left w:val="single" w:sz="4" w:space="0" w:color="auto"/>
              <w:bottom w:val="single" w:sz="4" w:space="0" w:color="auto"/>
              <w:right w:val="single" w:sz="4" w:space="0" w:color="auto"/>
            </w:tcBorders>
            <w:shd w:val="clear" w:color="000000" w:fill="95B3D7" w:themeFill="accent1" w:themeFillTint="99"/>
            <w:hideMark/>
          </w:tcPr>
          <w:p w:rsidR="00F92992" w:rsidRPr="00A249BF" w:rsidRDefault="00F92992" w:rsidP="00A249BF">
            <w:pPr>
              <w:spacing w:before="120" w:after="120"/>
              <w:jc w:val="center"/>
              <w:rPr>
                <w:b/>
                <w:sz w:val="18"/>
              </w:rPr>
            </w:pPr>
            <w:r w:rsidRPr="00A249BF">
              <w:rPr>
                <w:b/>
                <w:sz w:val="18"/>
              </w:rPr>
              <w:t>2013- 14</w:t>
            </w:r>
          </w:p>
        </w:tc>
        <w:tc>
          <w:tcPr>
            <w:tcW w:w="709" w:type="dxa"/>
            <w:tcBorders>
              <w:top w:val="single" w:sz="8" w:space="0" w:color="000000"/>
              <w:left w:val="single" w:sz="4" w:space="0" w:color="auto"/>
              <w:bottom w:val="single" w:sz="4" w:space="0" w:color="auto"/>
              <w:right w:val="single" w:sz="8" w:space="0" w:color="000000"/>
            </w:tcBorders>
            <w:shd w:val="clear" w:color="000000" w:fill="95B3D7" w:themeFill="accent1" w:themeFillTint="99"/>
            <w:hideMark/>
          </w:tcPr>
          <w:p w:rsidR="00F92992" w:rsidRPr="00A249BF" w:rsidRDefault="00F92992" w:rsidP="00A249BF">
            <w:pPr>
              <w:spacing w:before="120" w:after="120"/>
              <w:jc w:val="center"/>
              <w:rPr>
                <w:b/>
                <w:sz w:val="18"/>
              </w:rPr>
            </w:pPr>
            <w:r w:rsidRPr="00A249BF">
              <w:rPr>
                <w:b/>
                <w:sz w:val="18"/>
              </w:rPr>
              <w:t>2014 – 15</w:t>
            </w:r>
          </w:p>
        </w:tc>
        <w:tc>
          <w:tcPr>
            <w:tcW w:w="709" w:type="dxa"/>
            <w:tcBorders>
              <w:top w:val="single" w:sz="8" w:space="0" w:color="000000"/>
              <w:left w:val="nil"/>
              <w:bottom w:val="single" w:sz="4" w:space="0" w:color="auto"/>
              <w:right w:val="single" w:sz="8" w:space="0" w:color="000000"/>
            </w:tcBorders>
            <w:shd w:val="clear" w:color="000000" w:fill="95B3D7" w:themeFill="accent1" w:themeFillTint="99"/>
            <w:hideMark/>
          </w:tcPr>
          <w:p w:rsidR="00F92992" w:rsidRPr="00A249BF" w:rsidRDefault="00F92992" w:rsidP="00A249BF">
            <w:pPr>
              <w:spacing w:before="120" w:after="120"/>
              <w:jc w:val="center"/>
              <w:rPr>
                <w:b/>
                <w:sz w:val="18"/>
              </w:rPr>
            </w:pPr>
            <w:r w:rsidRPr="00A249BF">
              <w:rPr>
                <w:b/>
                <w:sz w:val="18"/>
              </w:rPr>
              <w:t>2015 - 16</w:t>
            </w:r>
          </w:p>
        </w:tc>
        <w:tc>
          <w:tcPr>
            <w:tcW w:w="850" w:type="dxa"/>
            <w:tcBorders>
              <w:top w:val="single" w:sz="8" w:space="0" w:color="000000"/>
              <w:left w:val="nil"/>
              <w:bottom w:val="single" w:sz="4" w:space="0" w:color="auto"/>
              <w:right w:val="single" w:sz="8" w:space="0" w:color="000000"/>
            </w:tcBorders>
            <w:shd w:val="clear" w:color="000000" w:fill="95B3D7" w:themeFill="accent1" w:themeFillTint="99"/>
            <w:hideMark/>
          </w:tcPr>
          <w:p w:rsidR="00F92992" w:rsidRPr="00A249BF" w:rsidRDefault="00F92992" w:rsidP="00A249BF">
            <w:pPr>
              <w:spacing w:before="120" w:after="120"/>
              <w:jc w:val="center"/>
              <w:rPr>
                <w:b/>
                <w:sz w:val="18"/>
              </w:rPr>
            </w:pPr>
            <w:r w:rsidRPr="00A249BF">
              <w:rPr>
                <w:b/>
                <w:sz w:val="18"/>
              </w:rPr>
              <w:t>2016 - 17</w:t>
            </w:r>
          </w:p>
        </w:tc>
        <w:tc>
          <w:tcPr>
            <w:tcW w:w="709" w:type="dxa"/>
            <w:tcBorders>
              <w:top w:val="single" w:sz="8" w:space="0" w:color="000000"/>
              <w:left w:val="nil"/>
              <w:bottom w:val="single" w:sz="4" w:space="0" w:color="auto"/>
              <w:right w:val="single" w:sz="8" w:space="0" w:color="000000"/>
            </w:tcBorders>
            <w:shd w:val="clear" w:color="000000" w:fill="95B3D7" w:themeFill="accent1" w:themeFillTint="99"/>
            <w:hideMark/>
          </w:tcPr>
          <w:p w:rsidR="00F92992" w:rsidRPr="00A249BF" w:rsidRDefault="00F92992" w:rsidP="00A249BF">
            <w:pPr>
              <w:spacing w:before="120" w:after="120"/>
              <w:jc w:val="center"/>
              <w:rPr>
                <w:b/>
                <w:sz w:val="18"/>
              </w:rPr>
            </w:pPr>
            <w:r w:rsidRPr="00A249BF">
              <w:rPr>
                <w:b/>
                <w:sz w:val="18"/>
              </w:rPr>
              <w:t>2017- 18</w:t>
            </w:r>
          </w:p>
        </w:tc>
        <w:tc>
          <w:tcPr>
            <w:tcW w:w="709" w:type="dxa"/>
            <w:tcBorders>
              <w:top w:val="single" w:sz="8" w:space="0" w:color="000000"/>
              <w:left w:val="nil"/>
              <w:bottom w:val="single" w:sz="4" w:space="0" w:color="auto"/>
              <w:right w:val="single" w:sz="8" w:space="0" w:color="000000"/>
            </w:tcBorders>
            <w:shd w:val="clear" w:color="000000" w:fill="95B3D7" w:themeFill="accent1" w:themeFillTint="99"/>
            <w:hideMark/>
          </w:tcPr>
          <w:p w:rsidR="00F92992" w:rsidRPr="00A249BF" w:rsidRDefault="00F92992" w:rsidP="00A249BF">
            <w:pPr>
              <w:spacing w:before="120" w:after="120"/>
              <w:jc w:val="center"/>
              <w:rPr>
                <w:b/>
                <w:sz w:val="18"/>
              </w:rPr>
            </w:pPr>
            <w:r w:rsidRPr="00A249BF">
              <w:rPr>
                <w:b/>
                <w:sz w:val="18"/>
              </w:rPr>
              <w:t>2018 – 19</w:t>
            </w:r>
          </w:p>
        </w:tc>
        <w:tc>
          <w:tcPr>
            <w:tcW w:w="709" w:type="dxa"/>
            <w:tcBorders>
              <w:top w:val="single" w:sz="8" w:space="0" w:color="000000"/>
              <w:left w:val="nil"/>
              <w:bottom w:val="single" w:sz="4" w:space="0" w:color="auto"/>
              <w:right w:val="single" w:sz="8" w:space="0" w:color="000000"/>
            </w:tcBorders>
            <w:shd w:val="clear" w:color="000000" w:fill="95B3D7" w:themeFill="accent1" w:themeFillTint="99"/>
            <w:hideMark/>
          </w:tcPr>
          <w:p w:rsidR="00F92992" w:rsidRPr="00A249BF" w:rsidRDefault="00F92992" w:rsidP="00A249BF">
            <w:pPr>
              <w:spacing w:before="120" w:after="120"/>
              <w:jc w:val="center"/>
              <w:rPr>
                <w:b/>
                <w:sz w:val="18"/>
              </w:rPr>
            </w:pPr>
            <w:r w:rsidRPr="00A249BF">
              <w:rPr>
                <w:b/>
                <w:sz w:val="18"/>
              </w:rPr>
              <w:t>2019- 20</w:t>
            </w:r>
          </w:p>
        </w:tc>
        <w:tc>
          <w:tcPr>
            <w:tcW w:w="708" w:type="dxa"/>
            <w:tcBorders>
              <w:top w:val="single" w:sz="8" w:space="0" w:color="000000"/>
              <w:left w:val="nil"/>
              <w:bottom w:val="single" w:sz="4" w:space="0" w:color="auto"/>
              <w:right w:val="single" w:sz="8" w:space="0" w:color="000000"/>
            </w:tcBorders>
            <w:shd w:val="clear" w:color="000000" w:fill="95B3D7" w:themeFill="accent1" w:themeFillTint="99"/>
            <w:hideMark/>
          </w:tcPr>
          <w:p w:rsidR="00F92992" w:rsidRPr="00A249BF" w:rsidRDefault="00F92992" w:rsidP="00A249BF">
            <w:pPr>
              <w:spacing w:before="120" w:after="120"/>
              <w:jc w:val="center"/>
              <w:rPr>
                <w:b/>
                <w:sz w:val="18"/>
              </w:rPr>
            </w:pPr>
            <w:r w:rsidRPr="00A249BF">
              <w:rPr>
                <w:b/>
                <w:sz w:val="18"/>
              </w:rPr>
              <w:t>2020 – 21</w:t>
            </w:r>
          </w:p>
        </w:tc>
        <w:tc>
          <w:tcPr>
            <w:tcW w:w="709" w:type="dxa"/>
            <w:tcBorders>
              <w:top w:val="single" w:sz="8" w:space="0" w:color="000000"/>
              <w:left w:val="nil"/>
              <w:bottom w:val="single" w:sz="4" w:space="0" w:color="auto"/>
              <w:right w:val="single" w:sz="8" w:space="0" w:color="000000"/>
            </w:tcBorders>
            <w:shd w:val="clear" w:color="000000" w:fill="95B3D7" w:themeFill="accent1" w:themeFillTint="99"/>
            <w:hideMark/>
          </w:tcPr>
          <w:p w:rsidR="00F92992" w:rsidRPr="00A249BF" w:rsidRDefault="00F92992" w:rsidP="00A249BF">
            <w:pPr>
              <w:spacing w:before="120" w:after="120"/>
              <w:jc w:val="center"/>
              <w:rPr>
                <w:b/>
                <w:sz w:val="18"/>
              </w:rPr>
            </w:pPr>
            <w:r w:rsidRPr="00A249BF">
              <w:rPr>
                <w:b/>
                <w:sz w:val="18"/>
              </w:rPr>
              <w:t>2021 - 22</w:t>
            </w:r>
          </w:p>
        </w:tc>
        <w:tc>
          <w:tcPr>
            <w:tcW w:w="675" w:type="dxa"/>
            <w:tcBorders>
              <w:top w:val="single" w:sz="8" w:space="0" w:color="000000"/>
              <w:left w:val="nil"/>
              <w:bottom w:val="single" w:sz="4" w:space="0" w:color="auto"/>
              <w:right w:val="single" w:sz="8" w:space="0" w:color="000000"/>
            </w:tcBorders>
            <w:shd w:val="clear" w:color="000000" w:fill="95B3D7" w:themeFill="accent1" w:themeFillTint="99"/>
            <w:hideMark/>
          </w:tcPr>
          <w:p w:rsidR="00F92992" w:rsidRPr="00A249BF" w:rsidRDefault="00F92992" w:rsidP="00A249BF">
            <w:pPr>
              <w:spacing w:before="120" w:after="120"/>
              <w:jc w:val="center"/>
              <w:rPr>
                <w:b/>
                <w:sz w:val="18"/>
              </w:rPr>
            </w:pPr>
            <w:r w:rsidRPr="00A249BF">
              <w:rPr>
                <w:b/>
                <w:sz w:val="18"/>
              </w:rPr>
              <w:t>2022 - 23</w:t>
            </w:r>
          </w:p>
        </w:tc>
      </w:tr>
      <w:tr w:rsidR="00A249BF" w:rsidRPr="00A249BF" w:rsidTr="00A249BF">
        <w:trPr>
          <w:cantSplit/>
          <w:jc w:val="right"/>
        </w:trPr>
        <w:tc>
          <w:tcPr>
            <w:tcW w:w="1269" w:type="dxa"/>
            <w:tcBorders>
              <w:top w:val="single" w:sz="4" w:space="0" w:color="auto"/>
              <w:left w:val="single" w:sz="4" w:space="0" w:color="auto"/>
              <w:bottom w:val="single" w:sz="4" w:space="0" w:color="auto"/>
              <w:right w:val="single" w:sz="4" w:space="0" w:color="auto"/>
            </w:tcBorders>
            <w:shd w:val="clear" w:color="auto" w:fill="auto"/>
            <w:noWrap/>
            <w:hideMark/>
          </w:tcPr>
          <w:p w:rsidR="00F92992" w:rsidRPr="00A249BF" w:rsidRDefault="00F92992" w:rsidP="00A249BF">
            <w:pPr>
              <w:spacing w:before="120" w:after="120"/>
              <w:rPr>
                <w:sz w:val="18"/>
              </w:rPr>
            </w:pPr>
            <w:r w:rsidRPr="00A249BF">
              <w:rPr>
                <w:sz w:val="18"/>
              </w:rPr>
              <w:t xml:space="preserve">Operations </w:t>
            </w:r>
          </w:p>
        </w:tc>
        <w:tc>
          <w:tcPr>
            <w:tcW w:w="713" w:type="dxa"/>
            <w:tcBorders>
              <w:top w:val="single" w:sz="4" w:space="0" w:color="auto"/>
              <w:left w:val="single" w:sz="4" w:space="0" w:color="auto"/>
              <w:bottom w:val="single" w:sz="4" w:space="0" w:color="auto"/>
              <w:right w:val="single" w:sz="4" w:space="0" w:color="auto"/>
            </w:tcBorders>
            <w:shd w:val="clear" w:color="auto" w:fill="auto"/>
            <w:noWrap/>
            <w:hideMark/>
          </w:tcPr>
          <w:p w:rsidR="00F92992" w:rsidRPr="00A249BF" w:rsidRDefault="00F92992" w:rsidP="00A249BF">
            <w:pPr>
              <w:spacing w:before="120" w:after="120"/>
              <w:jc w:val="center"/>
              <w:rPr>
                <w:sz w:val="18"/>
              </w:rPr>
            </w:pPr>
            <w:r w:rsidRPr="00A249BF">
              <w:rPr>
                <w:sz w:val="18"/>
              </w:rPr>
              <w:t>2,542</w:t>
            </w:r>
          </w:p>
        </w:tc>
        <w:tc>
          <w:tcPr>
            <w:tcW w:w="709" w:type="dxa"/>
            <w:tcBorders>
              <w:top w:val="single" w:sz="4" w:space="0" w:color="auto"/>
              <w:left w:val="nil"/>
              <w:bottom w:val="single" w:sz="4" w:space="0" w:color="auto"/>
              <w:right w:val="single" w:sz="4" w:space="0" w:color="auto"/>
            </w:tcBorders>
            <w:shd w:val="clear" w:color="auto" w:fill="auto"/>
            <w:noWrap/>
            <w:hideMark/>
          </w:tcPr>
          <w:p w:rsidR="00F92992" w:rsidRPr="00A249BF" w:rsidRDefault="00F92992" w:rsidP="00A249BF">
            <w:pPr>
              <w:spacing w:before="120" w:after="120"/>
              <w:jc w:val="center"/>
              <w:rPr>
                <w:sz w:val="18"/>
              </w:rPr>
            </w:pPr>
            <w:r w:rsidRPr="00A249BF">
              <w:rPr>
                <w:sz w:val="18"/>
              </w:rPr>
              <w:t>2,643</w:t>
            </w:r>
          </w:p>
        </w:tc>
        <w:tc>
          <w:tcPr>
            <w:tcW w:w="709" w:type="dxa"/>
            <w:tcBorders>
              <w:top w:val="single" w:sz="4" w:space="0" w:color="auto"/>
              <w:left w:val="nil"/>
              <w:bottom w:val="single" w:sz="4" w:space="0" w:color="auto"/>
              <w:right w:val="single" w:sz="4" w:space="0" w:color="auto"/>
            </w:tcBorders>
            <w:shd w:val="clear" w:color="auto" w:fill="auto"/>
            <w:noWrap/>
            <w:hideMark/>
          </w:tcPr>
          <w:p w:rsidR="00F92992" w:rsidRPr="00A249BF" w:rsidRDefault="00F92992" w:rsidP="00A249BF">
            <w:pPr>
              <w:spacing w:before="120" w:after="120"/>
              <w:jc w:val="center"/>
              <w:rPr>
                <w:sz w:val="18"/>
              </w:rPr>
            </w:pPr>
            <w:r w:rsidRPr="00A249BF">
              <w:rPr>
                <w:sz w:val="18"/>
              </w:rPr>
              <w:t>2,749</w:t>
            </w:r>
          </w:p>
        </w:tc>
        <w:tc>
          <w:tcPr>
            <w:tcW w:w="850" w:type="dxa"/>
            <w:tcBorders>
              <w:top w:val="single" w:sz="4" w:space="0" w:color="auto"/>
              <w:left w:val="nil"/>
              <w:bottom w:val="single" w:sz="4" w:space="0" w:color="auto"/>
              <w:right w:val="single" w:sz="4" w:space="0" w:color="auto"/>
            </w:tcBorders>
            <w:shd w:val="clear" w:color="auto" w:fill="auto"/>
            <w:noWrap/>
            <w:hideMark/>
          </w:tcPr>
          <w:p w:rsidR="00F92992" w:rsidRPr="00A249BF" w:rsidRDefault="00F92992" w:rsidP="00A249BF">
            <w:pPr>
              <w:spacing w:before="120" w:after="120"/>
              <w:jc w:val="center"/>
              <w:rPr>
                <w:sz w:val="18"/>
              </w:rPr>
            </w:pPr>
            <w:r w:rsidRPr="00A249BF">
              <w:rPr>
                <w:sz w:val="18"/>
              </w:rPr>
              <w:t>2,859</w:t>
            </w:r>
          </w:p>
        </w:tc>
        <w:tc>
          <w:tcPr>
            <w:tcW w:w="709" w:type="dxa"/>
            <w:tcBorders>
              <w:top w:val="single" w:sz="4" w:space="0" w:color="auto"/>
              <w:left w:val="nil"/>
              <w:bottom w:val="single" w:sz="4" w:space="0" w:color="auto"/>
              <w:right w:val="single" w:sz="4" w:space="0" w:color="auto"/>
            </w:tcBorders>
            <w:shd w:val="clear" w:color="auto" w:fill="auto"/>
            <w:noWrap/>
            <w:hideMark/>
          </w:tcPr>
          <w:p w:rsidR="00F92992" w:rsidRPr="00A249BF" w:rsidRDefault="00F92992" w:rsidP="00A249BF">
            <w:pPr>
              <w:spacing w:before="120" w:after="120"/>
              <w:jc w:val="center"/>
              <w:rPr>
                <w:sz w:val="18"/>
              </w:rPr>
            </w:pPr>
            <w:r w:rsidRPr="00A249BF">
              <w:rPr>
                <w:sz w:val="18"/>
              </w:rPr>
              <w:t>2,973</w:t>
            </w:r>
          </w:p>
        </w:tc>
        <w:tc>
          <w:tcPr>
            <w:tcW w:w="709" w:type="dxa"/>
            <w:tcBorders>
              <w:top w:val="single" w:sz="4" w:space="0" w:color="auto"/>
              <w:left w:val="nil"/>
              <w:bottom w:val="single" w:sz="4" w:space="0" w:color="auto"/>
              <w:right w:val="single" w:sz="4" w:space="0" w:color="auto"/>
            </w:tcBorders>
            <w:shd w:val="clear" w:color="auto" w:fill="auto"/>
            <w:noWrap/>
            <w:hideMark/>
          </w:tcPr>
          <w:p w:rsidR="00F92992" w:rsidRPr="00A249BF" w:rsidRDefault="00F92992" w:rsidP="00A249BF">
            <w:pPr>
              <w:spacing w:before="120" w:after="120"/>
              <w:jc w:val="center"/>
              <w:rPr>
                <w:sz w:val="18"/>
              </w:rPr>
            </w:pPr>
            <w:r w:rsidRPr="00A249BF">
              <w:rPr>
                <w:sz w:val="18"/>
              </w:rPr>
              <w:t>3,092</w:t>
            </w:r>
          </w:p>
        </w:tc>
        <w:tc>
          <w:tcPr>
            <w:tcW w:w="709" w:type="dxa"/>
            <w:tcBorders>
              <w:top w:val="single" w:sz="4" w:space="0" w:color="auto"/>
              <w:left w:val="nil"/>
              <w:bottom w:val="single" w:sz="4" w:space="0" w:color="auto"/>
              <w:right w:val="single" w:sz="4" w:space="0" w:color="auto"/>
            </w:tcBorders>
            <w:shd w:val="clear" w:color="auto" w:fill="auto"/>
            <w:noWrap/>
            <w:hideMark/>
          </w:tcPr>
          <w:p w:rsidR="00F92992" w:rsidRPr="00A249BF" w:rsidRDefault="00F92992" w:rsidP="00A249BF">
            <w:pPr>
              <w:spacing w:before="120" w:after="120"/>
              <w:jc w:val="center"/>
              <w:rPr>
                <w:sz w:val="18"/>
              </w:rPr>
            </w:pPr>
            <w:r w:rsidRPr="00A249BF">
              <w:rPr>
                <w:sz w:val="18"/>
              </w:rPr>
              <w:t>3,216</w:t>
            </w:r>
          </w:p>
        </w:tc>
        <w:tc>
          <w:tcPr>
            <w:tcW w:w="708" w:type="dxa"/>
            <w:tcBorders>
              <w:top w:val="single" w:sz="4" w:space="0" w:color="auto"/>
              <w:left w:val="nil"/>
              <w:bottom w:val="single" w:sz="4" w:space="0" w:color="auto"/>
              <w:right w:val="single" w:sz="4" w:space="0" w:color="auto"/>
            </w:tcBorders>
            <w:shd w:val="clear" w:color="auto" w:fill="auto"/>
            <w:noWrap/>
            <w:hideMark/>
          </w:tcPr>
          <w:p w:rsidR="00F92992" w:rsidRPr="00A249BF" w:rsidRDefault="00F92992" w:rsidP="00A249BF">
            <w:pPr>
              <w:spacing w:before="120" w:after="120"/>
              <w:jc w:val="center"/>
              <w:rPr>
                <w:sz w:val="18"/>
              </w:rPr>
            </w:pPr>
            <w:r w:rsidRPr="00A249BF">
              <w:rPr>
                <w:sz w:val="18"/>
              </w:rPr>
              <w:t>3,345</w:t>
            </w:r>
          </w:p>
        </w:tc>
        <w:tc>
          <w:tcPr>
            <w:tcW w:w="709" w:type="dxa"/>
            <w:tcBorders>
              <w:top w:val="single" w:sz="4" w:space="0" w:color="auto"/>
              <w:left w:val="nil"/>
              <w:bottom w:val="single" w:sz="4" w:space="0" w:color="auto"/>
              <w:right w:val="single" w:sz="4" w:space="0" w:color="auto"/>
            </w:tcBorders>
            <w:shd w:val="clear" w:color="auto" w:fill="auto"/>
            <w:noWrap/>
            <w:hideMark/>
          </w:tcPr>
          <w:p w:rsidR="00F92992" w:rsidRPr="00A249BF" w:rsidRDefault="00F92992" w:rsidP="00A249BF">
            <w:pPr>
              <w:spacing w:before="120" w:after="120"/>
              <w:jc w:val="center"/>
              <w:rPr>
                <w:sz w:val="18"/>
              </w:rPr>
            </w:pPr>
            <w:r w:rsidRPr="00A249BF">
              <w:rPr>
                <w:sz w:val="18"/>
              </w:rPr>
              <w:t>3,479</w:t>
            </w:r>
          </w:p>
        </w:tc>
        <w:tc>
          <w:tcPr>
            <w:tcW w:w="675" w:type="dxa"/>
            <w:tcBorders>
              <w:top w:val="single" w:sz="4" w:space="0" w:color="auto"/>
              <w:left w:val="nil"/>
              <w:bottom w:val="single" w:sz="4" w:space="0" w:color="auto"/>
              <w:right w:val="single" w:sz="4" w:space="0" w:color="auto"/>
            </w:tcBorders>
            <w:shd w:val="clear" w:color="auto" w:fill="auto"/>
            <w:noWrap/>
            <w:hideMark/>
          </w:tcPr>
          <w:p w:rsidR="00F92992" w:rsidRPr="00A249BF" w:rsidRDefault="00F92992" w:rsidP="00A249BF">
            <w:pPr>
              <w:spacing w:before="120" w:after="120"/>
              <w:jc w:val="center"/>
              <w:rPr>
                <w:sz w:val="18"/>
              </w:rPr>
            </w:pPr>
            <w:r w:rsidRPr="00A249BF">
              <w:rPr>
                <w:sz w:val="18"/>
              </w:rPr>
              <w:t>3,618</w:t>
            </w:r>
          </w:p>
        </w:tc>
      </w:tr>
      <w:tr w:rsidR="00A249BF" w:rsidRPr="00A249BF" w:rsidTr="00A249BF">
        <w:trPr>
          <w:cantSplit/>
          <w:jc w:val="right"/>
        </w:trPr>
        <w:tc>
          <w:tcPr>
            <w:tcW w:w="1269" w:type="dxa"/>
            <w:tcBorders>
              <w:top w:val="nil"/>
              <w:left w:val="single" w:sz="4" w:space="0" w:color="auto"/>
              <w:bottom w:val="single" w:sz="4" w:space="0" w:color="auto"/>
              <w:right w:val="single" w:sz="4" w:space="0" w:color="auto"/>
            </w:tcBorders>
            <w:shd w:val="clear" w:color="auto" w:fill="auto"/>
            <w:noWrap/>
            <w:hideMark/>
          </w:tcPr>
          <w:p w:rsidR="00F92992" w:rsidRPr="00A249BF" w:rsidRDefault="00F92992" w:rsidP="00A249BF">
            <w:pPr>
              <w:spacing w:before="120" w:after="120"/>
              <w:rPr>
                <w:sz w:val="18"/>
              </w:rPr>
            </w:pPr>
            <w:r w:rsidRPr="00A249BF">
              <w:rPr>
                <w:sz w:val="18"/>
              </w:rPr>
              <w:t>Maintenance</w:t>
            </w:r>
          </w:p>
        </w:tc>
        <w:tc>
          <w:tcPr>
            <w:tcW w:w="713" w:type="dxa"/>
            <w:tcBorders>
              <w:top w:val="single" w:sz="4" w:space="0" w:color="auto"/>
              <w:left w:val="single" w:sz="4" w:space="0" w:color="auto"/>
              <w:bottom w:val="single" w:sz="4" w:space="0" w:color="auto"/>
              <w:right w:val="single" w:sz="4" w:space="0" w:color="auto"/>
            </w:tcBorders>
            <w:shd w:val="clear" w:color="auto" w:fill="auto"/>
            <w:noWrap/>
            <w:hideMark/>
          </w:tcPr>
          <w:p w:rsidR="00F92992" w:rsidRPr="00A249BF" w:rsidRDefault="00F92992" w:rsidP="00A249BF">
            <w:pPr>
              <w:spacing w:before="120" w:after="120"/>
              <w:jc w:val="center"/>
              <w:rPr>
                <w:sz w:val="18"/>
              </w:rPr>
            </w:pPr>
            <w:r w:rsidRPr="00A249BF">
              <w:rPr>
                <w:sz w:val="18"/>
              </w:rPr>
              <w:t>2,010</w:t>
            </w:r>
          </w:p>
        </w:tc>
        <w:tc>
          <w:tcPr>
            <w:tcW w:w="709" w:type="dxa"/>
            <w:tcBorders>
              <w:top w:val="nil"/>
              <w:left w:val="nil"/>
              <w:bottom w:val="single" w:sz="4" w:space="0" w:color="auto"/>
              <w:right w:val="single" w:sz="4" w:space="0" w:color="auto"/>
            </w:tcBorders>
            <w:shd w:val="clear" w:color="auto" w:fill="auto"/>
            <w:noWrap/>
            <w:hideMark/>
          </w:tcPr>
          <w:p w:rsidR="00F92992" w:rsidRPr="00A249BF" w:rsidRDefault="00F92992" w:rsidP="00A249BF">
            <w:pPr>
              <w:spacing w:before="120" w:after="120"/>
              <w:jc w:val="center"/>
              <w:rPr>
                <w:sz w:val="18"/>
              </w:rPr>
            </w:pPr>
            <w:r w:rsidRPr="00A249BF">
              <w:rPr>
                <w:sz w:val="18"/>
              </w:rPr>
              <w:t>2,091</w:t>
            </w:r>
          </w:p>
        </w:tc>
        <w:tc>
          <w:tcPr>
            <w:tcW w:w="709" w:type="dxa"/>
            <w:tcBorders>
              <w:top w:val="nil"/>
              <w:left w:val="nil"/>
              <w:bottom w:val="single" w:sz="4" w:space="0" w:color="auto"/>
              <w:right w:val="single" w:sz="4" w:space="0" w:color="auto"/>
            </w:tcBorders>
            <w:shd w:val="clear" w:color="auto" w:fill="auto"/>
            <w:noWrap/>
            <w:hideMark/>
          </w:tcPr>
          <w:p w:rsidR="00F92992" w:rsidRPr="00A249BF" w:rsidRDefault="00F92992" w:rsidP="00A249BF">
            <w:pPr>
              <w:spacing w:before="120" w:after="120"/>
              <w:jc w:val="center"/>
              <w:rPr>
                <w:sz w:val="18"/>
              </w:rPr>
            </w:pPr>
            <w:r w:rsidRPr="00A249BF">
              <w:rPr>
                <w:sz w:val="18"/>
              </w:rPr>
              <w:t>2,174</w:t>
            </w:r>
          </w:p>
        </w:tc>
        <w:tc>
          <w:tcPr>
            <w:tcW w:w="850" w:type="dxa"/>
            <w:tcBorders>
              <w:top w:val="nil"/>
              <w:left w:val="nil"/>
              <w:bottom w:val="single" w:sz="4" w:space="0" w:color="auto"/>
              <w:right w:val="single" w:sz="4" w:space="0" w:color="auto"/>
            </w:tcBorders>
            <w:shd w:val="clear" w:color="auto" w:fill="auto"/>
            <w:noWrap/>
            <w:hideMark/>
          </w:tcPr>
          <w:p w:rsidR="00F92992" w:rsidRPr="00A249BF" w:rsidRDefault="00F92992" w:rsidP="00A249BF">
            <w:pPr>
              <w:spacing w:before="120" w:after="120"/>
              <w:jc w:val="center"/>
              <w:rPr>
                <w:sz w:val="18"/>
              </w:rPr>
            </w:pPr>
            <w:r w:rsidRPr="00A249BF">
              <w:rPr>
                <w:sz w:val="18"/>
              </w:rPr>
              <w:t>2,261</w:t>
            </w:r>
          </w:p>
        </w:tc>
        <w:tc>
          <w:tcPr>
            <w:tcW w:w="709" w:type="dxa"/>
            <w:tcBorders>
              <w:top w:val="nil"/>
              <w:left w:val="nil"/>
              <w:bottom w:val="single" w:sz="4" w:space="0" w:color="auto"/>
              <w:right w:val="single" w:sz="4" w:space="0" w:color="auto"/>
            </w:tcBorders>
            <w:shd w:val="clear" w:color="auto" w:fill="auto"/>
            <w:noWrap/>
            <w:hideMark/>
          </w:tcPr>
          <w:p w:rsidR="00F92992" w:rsidRPr="00A249BF" w:rsidRDefault="00F92992" w:rsidP="00A249BF">
            <w:pPr>
              <w:spacing w:before="120" w:after="120"/>
              <w:jc w:val="center"/>
              <w:rPr>
                <w:sz w:val="18"/>
              </w:rPr>
            </w:pPr>
            <w:r w:rsidRPr="00A249BF">
              <w:rPr>
                <w:sz w:val="18"/>
              </w:rPr>
              <w:t>2,352</w:t>
            </w:r>
          </w:p>
        </w:tc>
        <w:tc>
          <w:tcPr>
            <w:tcW w:w="709" w:type="dxa"/>
            <w:tcBorders>
              <w:top w:val="nil"/>
              <w:left w:val="nil"/>
              <w:bottom w:val="single" w:sz="4" w:space="0" w:color="auto"/>
              <w:right w:val="single" w:sz="4" w:space="0" w:color="auto"/>
            </w:tcBorders>
            <w:shd w:val="clear" w:color="auto" w:fill="auto"/>
            <w:noWrap/>
            <w:hideMark/>
          </w:tcPr>
          <w:p w:rsidR="00F92992" w:rsidRPr="00A249BF" w:rsidRDefault="00F92992" w:rsidP="00A249BF">
            <w:pPr>
              <w:spacing w:before="120" w:after="120"/>
              <w:jc w:val="center"/>
              <w:rPr>
                <w:sz w:val="18"/>
              </w:rPr>
            </w:pPr>
            <w:r w:rsidRPr="00A249BF">
              <w:rPr>
                <w:sz w:val="18"/>
              </w:rPr>
              <w:t>2,446</w:t>
            </w:r>
          </w:p>
        </w:tc>
        <w:tc>
          <w:tcPr>
            <w:tcW w:w="709" w:type="dxa"/>
            <w:tcBorders>
              <w:top w:val="nil"/>
              <w:left w:val="nil"/>
              <w:bottom w:val="single" w:sz="4" w:space="0" w:color="auto"/>
              <w:right w:val="single" w:sz="4" w:space="0" w:color="auto"/>
            </w:tcBorders>
            <w:shd w:val="clear" w:color="auto" w:fill="auto"/>
            <w:noWrap/>
            <w:hideMark/>
          </w:tcPr>
          <w:p w:rsidR="00F92992" w:rsidRPr="00A249BF" w:rsidRDefault="00F92992" w:rsidP="00A249BF">
            <w:pPr>
              <w:spacing w:before="120" w:after="120"/>
              <w:jc w:val="center"/>
              <w:rPr>
                <w:sz w:val="18"/>
              </w:rPr>
            </w:pPr>
            <w:r w:rsidRPr="00A249BF">
              <w:rPr>
                <w:sz w:val="18"/>
              </w:rPr>
              <w:t>2,544</w:t>
            </w:r>
          </w:p>
        </w:tc>
        <w:tc>
          <w:tcPr>
            <w:tcW w:w="708" w:type="dxa"/>
            <w:tcBorders>
              <w:top w:val="nil"/>
              <w:left w:val="nil"/>
              <w:bottom w:val="single" w:sz="4" w:space="0" w:color="auto"/>
              <w:right w:val="single" w:sz="4" w:space="0" w:color="auto"/>
            </w:tcBorders>
            <w:shd w:val="clear" w:color="auto" w:fill="auto"/>
            <w:noWrap/>
            <w:hideMark/>
          </w:tcPr>
          <w:p w:rsidR="00F92992" w:rsidRPr="00A249BF" w:rsidRDefault="00F92992" w:rsidP="00A249BF">
            <w:pPr>
              <w:spacing w:before="120" w:after="120"/>
              <w:jc w:val="center"/>
              <w:rPr>
                <w:sz w:val="18"/>
              </w:rPr>
            </w:pPr>
            <w:r w:rsidRPr="00A249BF">
              <w:rPr>
                <w:sz w:val="18"/>
              </w:rPr>
              <w:t>2,645</w:t>
            </w:r>
          </w:p>
        </w:tc>
        <w:tc>
          <w:tcPr>
            <w:tcW w:w="709" w:type="dxa"/>
            <w:tcBorders>
              <w:top w:val="nil"/>
              <w:left w:val="nil"/>
              <w:bottom w:val="single" w:sz="4" w:space="0" w:color="auto"/>
              <w:right w:val="single" w:sz="4" w:space="0" w:color="auto"/>
            </w:tcBorders>
            <w:shd w:val="clear" w:color="auto" w:fill="auto"/>
            <w:noWrap/>
            <w:hideMark/>
          </w:tcPr>
          <w:p w:rsidR="00F92992" w:rsidRPr="00A249BF" w:rsidRDefault="00F92992" w:rsidP="00A249BF">
            <w:pPr>
              <w:spacing w:before="120" w:after="120"/>
              <w:jc w:val="center"/>
              <w:rPr>
                <w:sz w:val="18"/>
              </w:rPr>
            </w:pPr>
            <w:r w:rsidRPr="00A249BF">
              <w:rPr>
                <w:sz w:val="18"/>
              </w:rPr>
              <w:t>2,751</w:t>
            </w:r>
          </w:p>
        </w:tc>
        <w:tc>
          <w:tcPr>
            <w:tcW w:w="675" w:type="dxa"/>
            <w:tcBorders>
              <w:top w:val="nil"/>
              <w:left w:val="nil"/>
              <w:bottom w:val="single" w:sz="4" w:space="0" w:color="auto"/>
              <w:right w:val="single" w:sz="4" w:space="0" w:color="auto"/>
            </w:tcBorders>
            <w:shd w:val="clear" w:color="auto" w:fill="auto"/>
            <w:noWrap/>
            <w:hideMark/>
          </w:tcPr>
          <w:p w:rsidR="00F92992" w:rsidRPr="00A249BF" w:rsidRDefault="00F92992" w:rsidP="00A249BF">
            <w:pPr>
              <w:spacing w:before="120" w:after="120"/>
              <w:jc w:val="center"/>
              <w:rPr>
                <w:sz w:val="18"/>
              </w:rPr>
            </w:pPr>
            <w:r w:rsidRPr="00A249BF">
              <w:rPr>
                <w:sz w:val="18"/>
              </w:rPr>
              <w:t>2,861</w:t>
            </w:r>
          </w:p>
        </w:tc>
      </w:tr>
      <w:tr w:rsidR="00A249BF" w:rsidRPr="00A249BF" w:rsidTr="00A249BF">
        <w:trPr>
          <w:cantSplit/>
          <w:jc w:val="right"/>
        </w:trPr>
        <w:tc>
          <w:tcPr>
            <w:tcW w:w="1269" w:type="dxa"/>
            <w:tcBorders>
              <w:top w:val="nil"/>
              <w:left w:val="single" w:sz="4" w:space="0" w:color="auto"/>
              <w:bottom w:val="single" w:sz="4" w:space="0" w:color="auto"/>
              <w:right w:val="single" w:sz="4" w:space="0" w:color="auto"/>
            </w:tcBorders>
            <w:shd w:val="clear" w:color="auto" w:fill="auto"/>
            <w:noWrap/>
            <w:hideMark/>
          </w:tcPr>
          <w:p w:rsidR="00F92992" w:rsidRPr="00A249BF" w:rsidRDefault="00F92992" w:rsidP="00A249BF">
            <w:pPr>
              <w:spacing w:before="120" w:after="120"/>
              <w:rPr>
                <w:sz w:val="18"/>
              </w:rPr>
            </w:pPr>
            <w:r w:rsidRPr="00A249BF">
              <w:rPr>
                <w:sz w:val="18"/>
              </w:rPr>
              <w:t>Total</w:t>
            </w:r>
          </w:p>
        </w:tc>
        <w:tc>
          <w:tcPr>
            <w:tcW w:w="713" w:type="dxa"/>
            <w:tcBorders>
              <w:top w:val="single" w:sz="4" w:space="0" w:color="auto"/>
              <w:left w:val="nil"/>
              <w:bottom w:val="single" w:sz="4" w:space="0" w:color="auto"/>
              <w:right w:val="single" w:sz="4" w:space="0" w:color="auto"/>
            </w:tcBorders>
            <w:shd w:val="clear" w:color="auto" w:fill="auto"/>
            <w:noWrap/>
            <w:hideMark/>
          </w:tcPr>
          <w:p w:rsidR="00F92992" w:rsidRPr="00A249BF" w:rsidRDefault="00F92992" w:rsidP="00A249BF">
            <w:pPr>
              <w:spacing w:before="120" w:after="120"/>
              <w:jc w:val="center"/>
              <w:rPr>
                <w:sz w:val="18"/>
              </w:rPr>
            </w:pPr>
            <w:r w:rsidRPr="00A249BF">
              <w:rPr>
                <w:sz w:val="18"/>
              </w:rPr>
              <w:t>4,552</w:t>
            </w:r>
          </w:p>
        </w:tc>
        <w:tc>
          <w:tcPr>
            <w:tcW w:w="709" w:type="dxa"/>
            <w:tcBorders>
              <w:top w:val="nil"/>
              <w:left w:val="nil"/>
              <w:bottom w:val="single" w:sz="4" w:space="0" w:color="auto"/>
              <w:right w:val="single" w:sz="4" w:space="0" w:color="auto"/>
            </w:tcBorders>
            <w:shd w:val="clear" w:color="auto" w:fill="auto"/>
            <w:noWrap/>
            <w:hideMark/>
          </w:tcPr>
          <w:p w:rsidR="00F92992" w:rsidRPr="00A249BF" w:rsidRDefault="00F92992" w:rsidP="00A249BF">
            <w:pPr>
              <w:spacing w:before="120" w:after="120"/>
              <w:jc w:val="center"/>
              <w:rPr>
                <w:sz w:val="18"/>
              </w:rPr>
            </w:pPr>
            <w:r w:rsidRPr="00A249BF">
              <w:rPr>
                <w:sz w:val="18"/>
              </w:rPr>
              <w:t>4,734</w:t>
            </w:r>
          </w:p>
        </w:tc>
        <w:tc>
          <w:tcPr>
            <w:tcW w:w="709" w:type="dxa"/>
            <w:tcBorders>
              <w:top w:val="nil"/>
              <w:left w:val="nil"/>
              <w:bottom w:val="single" w:sz="4" w:space="0" w:color="auto"/>
              <w:right w:val="single" w:sz="4" w:space="0" w:color="auto"/>
            </w:tcBorders>
            <w:shd w:val="clear" w:color="auto" w:fill="auto"/>
            <w:noWrap/>
            <w:hideMark/>
          </w:tcPr>
          <w:p w:rsidR="00F92992" w:rsidRPr="00A249BF" w:rsidRDefault="00F92992" w:rsidP="00A249BF">
            <w:pPr>
              <w:spacing w:before="120" w:after="120"/>
              <w:jc w:val="center"/>
              <w:rPr>
                <w:sz w:val="18"/>
              </w:rPr>
            </w:pPr>
            <w:r w:rsidRPr="00A249BF">
              <w:rPr>
                <w:sz w:val="18"/>
              </w:rPr>
              <w:t>4,924</w:t>
            </w:r>
          </w:p>
        </w:tc>
        <w:tc>
          <w:tcPr>
            <w:tcW w:w="850" w:type="dxa"/>
            <w:tcBorders>
              <w:top w:val="nil"/>
              <w:left w:val="nil"/>
              <w:bottom w:val="single" w:sz="4" w:space="0" w:color="auto"/>
              <w:right w:val="single" w:sz="4" w:space="0" w:color="auto"/>
            </w:tcBorders>
            <w:shd w:val="clear" w:color="auto" w:fill="auto"/>
            <w:noWrap/>
            <w:hideMark/>
          </w:tcPr>
          <w:p w:rsidR="00F92992" w:rsidRPr="00A249BF" w:rsidRDefault="00F92992" w:rsidP="00A249BF">
            <w:pPr>
              <w:spacing w:before="120" w:after="120"/>
              <w:jc w:val="center"/>
              <w:rPr>
                <w:sz w:val="18"/>
              </w:rPr>
            </w:pPr>
            <w:r w:rsidRPr="00A249BF">
              <w:rPr>
                <w:sz w:val="18"/>
              </w:rPr>
              <w:t>5,120</w:t>
            </w:r>
          </w:p>
        </w:tc>
        <w:tc>
          <w:tcPr>
            <w:tcW w:w="709" w:type="dxa"/>
            <w:tcBorders>
              <w:top w:val="nil"/>
              <w:left w:val="nil"/>
              <w:bottom w:val="single" w:sz="4" w:space="0" w:color="auto"/>
              <w:right w:val="single" w:sz="4" w:space="0" w:color="auto"/>
            </w:tcBorders>
            <w:shd w:val="clear" w:color="auto" w:fill="auto"/>
            <w:noWrap/>
            <w:hideMark/>
          </w:tcPr>
          <w:p w:rsidR="00F92992" w:rsidRPr="00A249BF" w:rsidRDefault="00F92992" w:rsidP="00A249BF">
            <w:pPr>
              <w:spacing w:before="120" w:after="120"/>
              <w:jc w:val="center"/>
              <w:rPr>
                <w:sz w:val="18"/>
              </w:rPr>
            </w:pPr>
            <w:r w:rsidRPr="00A249BF">
              <w:rPr>
                <w:sz w:val="18"/>
              </w:rPr>
              <w:t>5,325</w:t>
            </w:r>
          </w:p>
        </w:tc>
        <w:tc>
          <w:tcPr>
            <w:tcW w:w="709" w:type="dxa"/>
            <w:tcBorders>
              <w:top w:val="nil"/>
              <w:left w:val="nil"/>
              <w:bottom w:val="single" w:sz="4" w:space="0" w:color="auto"/>
              <w:right w:val="single" w:sz="4" w:space="0" w:color="auto"/>
            </w:tcBorders>
            <w:shd w:val="clear" w:color="auto" w:fill="auto"/>
            <w:noWrap/>
            <w:hideMark/>
          </w:tcPr>
          <w:p w:rsidR="00F92992" w:rsidRPr="00A249BF" w:rsidRDefault="00F92992" w:rsidP="00A249BF">
            <w:pPr>
              <w:spacing w:before="120" w:after="120"/>
              <w:jc w:val="center"/>
              <w:rPr>
                <w:sz w:val="18"/>
              </w:rPr>
            </w:pPr>
            <w:r w:rsidRPr="00A249BF">
              <w:rPr>
                <w:sz w:val="18"/>
              </w:rPr>
              <w:t>5,538</w:t>
            </w:r>
          </w:p>
        </w:tc>
        <w:tc>
          <w:tcPr>
            <w:tcW w:w="709" w:type="dxa"/>
            <w:tcBorders>
              <w:top w:val="nil"/>
              <w:left w:val="nil"/>
              <w:bottom w:val="single" w:sz="4" w:space="0" w:color="auto"/>
              <w:right w:val="single" w:sz="4" w:space="0" w:color="auto"/>
            </w:tcBorders>
            <w:shd w:val="clear" w:color="auto" w:fill="auto"/>
            <w:noWrap/>
            <w:hideMark/>
          </w:tcPr>
          <w:p w:rsidR="00F92992" w:rsidRPr="00A249BF" w:rsidRDefault="00F92992" w:rsidP="00A249BF">
            <w:pPr>
              <w:spacing w:before="120" w:after="120"/>
              <w:jc w:val="center"/>
              <w:rPr>
                <w:sz w:val="18"/>
              </w:rPr>
            </w:pPr>
            <w:r w:rsidRPr="00A249BF">
              <w:rPr>
                <w:sz w:val="18"/>
              </w:rPr>
              <w:t>5,760</w:t>
            </w:r>
          </w:p>
        </w:tc>
        <w:tc>
          <w:tcPr>
            <w:tcW w:w="708" w:type="dxa"/>
            <w:tcBorders>
              <w:top w:val="nil"/>
              <w:left w:val="nil"/>
              <w:bottom w:val="single" w:sz="4" w:space="0" w:color="auto"/>
              <w:right w:val="single" w:sz="4" w:space="0" w:color="auto"/>
            </w:tcBorders>
            <w:shd w:val="clear" w:color="auto" w:fill="auto"/>
            <w:noWrap/>
            <w:hideMark/>
          </w:tcPr>
          <w:p w:rsidR="00F92992" w:rsidRPr="00A249BF" w:rsidRDefault="00F92992" w:rsidP="00A249BF">
            <w:pPr>
              <w:spacing w:before="120" w:after="120"/>
              <w:jc w:val="center"/>
              <w:rPr>
                <w:sz w:val="18"/>
              </w:rPr>
            </w:pPr>
            <w:r w:rsidRPr="00A249BF">
              <w:rPr>
                <w:sz w:val="18"/>
              </w:rPr>
              <w:t>5,990</w:t>
            </w:r>
          </w:p>
        </w:tc>
        <w:tc>
          <w:tcPr>
            <w:tcW w:w="709" w:type="dxa"/>
            <w:tcBorders>
              <w:top w:val="nil"/>
              <w:left w:val="nil"/>
              <w:bottom w:val="single" w:sz="4" w:space="0" w:color="auto"/>
              <w:right w:val="single" w:sz="4" w:space="0" w:color="auto"/>
            </w:tcBorders>
            <w:shd w:val="clear" w:color="auto" w:fill="auto"/>
            <w:noWrap/>
            <w:hideMark/>
          </w:tcPr>
          <w:p w:rsidR="00F92992" w:rsidRPr="00A249BF" w:rsidRDefault="00F92992" w:rsidP="00A249BF">
            <w:pPr>
              <w:spacing w:before="120" w:after="120"/>
              <w:jc w:val="center"/>
              <w:rPr>
                <w:sz w:val="18"/>
              </w:rPr>
            </w:pPr>
            <w:r w:rsidRPr="00A249BF">
              <w:rPr>
                <w:sz w:val="18"/>
              </w:rPr>
              <w:t>6,230</w:t>
            </w:r>
          </w:p>
        </w:tc>
        <w:tc>
          <w:tcPr>
            <w:tcW w:w="675" w:type="dxa"/>
            <w:tcBorders>
              <w:top w:val="nil"/>
              <w:left w:val="nil"/>
              <w:bottom w:val="single" w:sz="4" w:space="0" w:color="auto"/>
              <w:right w:val="single" w:sz="4" w:space="0" w:color="auto"/>
            </w:tcBorders>
            <w:shd w:val="clear" w:color="auto" w:fill="auto"/>
            <w:noWrap/>
            <w:hideMark/>
          </w:tcPr>
          <w:p w:rsidR="00F92992" w:rsidRPr="00A249BF" w:rsidRDefault="00F92992" w:rsidP="00A249BF">
            <w:pPr>
              <w:spacing w:before="120" w:after="120"/>
              <w:jc w:val="center"/>
              <w:rPr>
                <w:sz w:val="18"/>
              </w:rPr>
            </w:pPr>
            <w:r w:rsidRPr="00A249BF">
              <w:rPr>
                <w:sz w:val="18"/>
              </w:rPr>
              <w:t>6,479</w:t>
            </w:r>
          </w:p>
        </w:tc>
      </w:tr>
    </w:tbl>
    <w:p w:rsidR="00A50F27" w:rsidRPr="0024611A" w:rsidRDefault="00A50F27" w:rsidP="00A249BF">
      <w:pPr>
        <w:pStyle w:val="Caption"/>
        <w:spacing w:before="240" w:after="240"/>
        <w:ind w:left="720"/>
        <w:jc w:val="center"/>
        <w:rPr>
          <w:rFonts w:ascii="Arial" w:hAnsi="Arial"/>
          <w:i w:val="0"/>
          <w:iCs w:val="0"/>
          <w:sz w:val="20"/>
          <w:lang w:val="en-AU"/>
        </w:rPr>
      </w:pPr>
      <w:bookmarkStart w:id="667" w:name="_Toc341787533"/>
      <w:bookmarkStart w:id="668" w:name="_Toc364945449"/>
      <w:r w:rsidRPr="0024611A">
        <w:rPr>
          <w:rFonts w:ascii="Arial" w:hAnsi="Arial"/>
          <w:i w:val="0"/>
          <w:iCs w:val="0"/>
          <w:sz w:val="20"/>
          <w:lang w:val="en-AU"/>
        </w:rPr>
        <w:t xml:space="preserve">Table </w:t>
      </w:r>
      <w:r w:rsidR="0090414C" w:rsidRPr="0024611A">
        <w:rPr>
          <w:rFonts w:ascii="Arial" w:hAnsi="Arial"/>
          <w:i w:val="0"/>
          <w:iCs w:val="0"/>
          <w:sz w:val="20"/>
          <w:lang w:val="en-AU"/>
        </w:rPr>
        <w:fldChar w:fldCharType="begin"/>
      </w:r>
      <w:r w:rsidR="0012012A" w:rsidRPr="0024611A">
        <w:rPr>
          <w:rFonts w:ascii="Arial" w:hAnsi="Arial"/>
          <w:i w:val="0"/>
          <w:iCs w:val="0"/>
          <w:sz w:val="20"/>
          <w:lang w:val="en-AU"/>
        </w:rPr>
        <w:instrText xml:space="preserve"> SEQ Table \* ARABIC </w:instrText>
      </w:r>
      <w:r w:rsidR="0090414C" w:rsidRPr="0024611A">
        <w:rPr>
          <w:rFonts w:ascii="Arial" w:hAnsi="Arial"/>
          <w:i w:val="0"/>
          <w:iCs w:val="0"/>
          <w:sz w:val="20"/>
          <w:lang w:val="en-AU"/>
        </w:rPr>
        <w:fldChar w:fldCharType="separate"/>
      </w:r>
      <w:r w:rsidR="00751CEC">
        <w:rPr>
          <w:rFonts w:ascii="Arial" w:hAnsi="Arial"/>
          <w:i w:val="0"/>
          <w:iCs w:val="0"/>
          <w:noProof/>
          <w:sz w:val="20"/>
          <w:lang w:val="en-AU"/>
        </w:rPr>
        <w:t>45</w:t>
      </w:r>
      <w:r w:rsidR="0090414C" w:rsidRPr="0024611A">
        <w:rPr>
          <w:rFonts w:ascii="Arial" w:hAnsi="Arial"/>
          <w:i w:val="0"/>
          <w:iCs w:val="0"/>
          <w:sz w:val="20"/>
          <w:lang w:val="en-AU"/>
        </w:rPr>
        <w:fldChar w:fldCharType="end"/>
      </w:r>
      <w:r w:rsidR="00A249BF" w:rsidRPr="0024611A">
        <w:rPr>
          <w:rFonts w:ascii="Arial" w:hAnsi="Arial"/>
          <w:i w:val="0"/>
          <w:iCs w:val="0"/>
          <w:sz w:val="20"/>
          <w:lang w:val="en-AU"/>
        </w:rPr>
        <w:t xml:space="preserve">:  </w:t>
      </w:r>
      <w:r w:rsidRPr="0024611A">
        <w:rPr>
          <w:rFonts w:ascii="Arial" w:hAnsi="Arial"/>
          <w:i w:val="0"/>
          <w:iCs w:val="0"/>
          <w:sz w:val="20"/>
          <w:lang w:val="en-AU"/>
        </w:rPr>
        <w:t xml:space="preserve">Total Operations </w:t>
      </w:r>
      <w:r w:rsidR="00927AFA">
        <w:rPr>
          <w:rFonts w:ascii="Arial" w:hAnsi="Arial"/>
          <w:i w:val="0"/>
          <w:iCs w:val="0"/>
          <w:sz w:val="20"/>
          <w:lang w:val="en-AU"/>
        </w:rPr>
        <w:t>and</w:t>
      </w:r>
      <w:r w:rsidRPr="0024611A">
        <w:rPr>
          <w:rFonts w:ascii="Arial" w:hAnsi="Arial"/>
          <w:i w:val="0"/>
          <w:iCs w:val="0"/>
          <w:sz w:val="20"/>
          <w:lang w:val="en-AU"/>
        </w:rPr>
        <w:t xml:space="preserve"> Maintenance Expenditure</w:t>
      </w:r>
      <w:bookmarkEnd w:id="667"/>
      <w:bookmarkEnd w:id="668"/>
    </w:p>
    <w:p w:rsidR="00EC3B6A" w:rsidRPr="00CD7D4F" w:rsidRDefault="00C925E7" w:rsidP="0002409D">
      <w:pPr>
        <w:ind w:left="720"/>
      </w:pPr>
      <w:r w:rsidRPr="00C925E7">
        <w:t>A key element of asset management planning is determining the most cost effective blend of routine (planned) and reactive (unplanned) maintenance</w:t>
      </w:r>
      <w:r w:rsidR="00F46FC5">
        <w:t xml:space="preserve">. Inadequate renewal funding has a significant impact on maintenance effort required to keep buildings operational. Adequate renewal combined with increased focus on programmed maintenance will reduce the reactive maintenance requirements. </w:t>
      </w:r>
    </w:p>
    <w:p w:rsidR="00E96F28" w:rsidRPr="00CF2212" w:rsidRDefault="00E96F28" w:rsidP="00CF2212">
      <w:pPr>
        <w:pStyle w:val="Heading2"/>
      </w:pPr>
      <w:bookmarkStart w:id="669" w:name="_Toc364945324"/>
      <w:r w:rsidRPr="00CF2212">
        <w:t xml:space="preserve">Capital Expenditure </w:t>
      </w:r>
      <w:r w:rsidR="004557C6" w:rsidRPr="00CF2212">
        <w:t>(CAPEX) Summary</w:t>
      </w:r>
      <w:bookmarkEnd w:id="669"/>
    </w:p>
    <w:p w:rsidR="004557C6" w:rsidRDefault="004557C6" w:rsidP="003E5B9F">
      <w:pPr>
        <w:pStyle w:val="StyleHeading3Heading3Char10ptBefore6pt"/>
      </w:pPr>
      <w:bookmarkStart w:id="670" w:name="_Toc364945325"/>
      <w:r w:rsidRPr="00CD7D4F">
        <w:t>Capital Expenditure</w:t>
      </w:r>
      <w:bookmarkEnd w:id="670"/>
      <w:r w:rsidRPr="00CD7D4F">
        <w:t xml:space="preserve"> </w:t>
      </w:r>
    </w:p>
    <w:p w:rsidR="00B41689" w:rsidRDefault="00B41689" w:rsidP="00A377F1">
      <w:pPr>
        <w:ind w:left="720"/>
      </w:pPr>
      <w:r w:rsidRPr="00B41689">
        <w:t>Council’s Asset Management Policy accords priority to renewal works ah</w:t>
      </w:r>
      <w:r>
        <w:t xml:space="preserve">ead of upgrade and new works. </w:t>
      </w:r>
      <w:r w:rsidRPr="00B41689">
        <w:t xml:space="preserve">A plausible budget allocation situation, as </w:t>
      </w:r>
      <w:r w:rsidRPr="00A377F1">
        <w:t xml:space="preserve">per </w:t>
      </w:r>
      <w:r w:rsidR="00A377F1" w:rsidRPr="00A377F1">
        <w:t>C</w:t>
      </w:r>
      <w:r w:rsidRPr="00A377F1">
        <w:t>ouncil</w:t>
      </w:r>
      <w:r w:rsidR="008473C2" w:rsidRPr="00A377F1">
        <w:t>’</w:t>
      </w:r>
      <w:r w:rsidRPr="00A377F1">
        <w:t>s feedback</w:t>
      </w:r>
      <w:r w:rsidRPr="00B41689">
        <w:t xml:space="preserve"> across Victoria in the recent MAV Step program, suggests a blend of about 70% Renewal and 30% Upgrades/New Works.</w:t>
      </w:r>
    </w:p>
    <w:p w:rsidR="0002409D" w:rsidRPr="00B41689" w:rsidRDefault="0002409D" w:rsidP="0002409D">
      <w:pPr>
        <w:ind w:left="720"/>
      </w:pPr>
    </w:p>
    <w:p w:rsidR="0002409D" w:rsidRDefault="00B41689" w:rsidP="0002409D">
      <w:pPr>
        <w:ind w:left="720"/>
      </w:pPr>
      <w:r w:rsidRPr="00B41689">
        <w:t>In recent years the capital works budgets for buildings had been biased towards new works and upgrades with the fol</w:t>
      </w:r>
      <w:r w:rsidR="0002409D">
        <w:t>lowing projects being initiated:</w:t>
      </w:r>
    </w:p>
    <w:p w:rsidR="0002409D" w:rsidRDefault="0002409D" w:rsidP="0002409D">
      <w:pPr>
        <w:ind w:left="720"/>
      </w:pPr>
    </w:p>
    <w:p w:rsidR="00B41689" w:rsidRPr="0002409D" w:rsidRDefault="00B41689" w:rsidP="008348B5">
      <w:pPr>
        <w:pStyle w:val="ListParagraph"/>
        <w:numPr>
          <w:ilvl w:val="0"/>
          <w:numId w:val="98"/>
        </w:numPr>
        <w:rPr>
          <w:rFonts w:ascii="Arial" w:hAnsi="Arial" w:cs="Arial"/>
          <w:sz w:val="20"/>
        </w:rPr>
      </w:pPr>
      <w:r w:rsidRPr="0002409D">
        <w:rPr>
          <w:rFonts w:ascii="Arial" w:hAnsi="Arial" w:cs="Arial"/>
          <w:sz w:val="20"/>
        </w:rPr>
        <w:t>Edinburgh Gardens Cricket Pavilion;</w:t>
      </w:r>
    </w:p>
    <w:p w:rsidR="00B41689" w:rsidRPr="0002409D" w:rsidRDefault="00B41689" w:rsidP="008348B5">
      <w:pPr>
        <w:pStyle w:val="ListParagraph"/>
        <w:numPr>
          <w:ilvl w:val="0"/>
          <w:numId w:val="98"/>
        </w:numPr>
        <w:rPr>
          <w:rFonts w:ascii="Arial" w:hAnsi="Arial" w:cs="Arial"/>
          <w:sz w:val="20"/>
        </w:rPr>
      </w:pPr>
      <w:r w:rsidRPr="0002409D">
        <w:rPr>
          <w:rFonts w:ascii="Arial" w:hAnsi="Arial" w:cs="Arial"/>
          <w:sz w:val="20"/>
        </w:rPr>
        <w:t>Collingwood Leisure Centre Redevelopment;</w:t>
      </w:r>
    </w:p>
    <w:p w:rsidR="00B41689" w:rsidRPr="0002409D" w:rsidRDefault="00B41689" w:rsidP="008348B5">
      <w:pPr>
        <w:pStyle w:val="ListParagraph"/>
        <w:numPr>
          <w:ilvl w:val="0"/>
          <w:numId w:val="98"/>
        </w:numPr>
        <w:rPr>
          <w:rFonts w:ascii="Arial" w:hAnsi="Arial" w:cs="Arial"/>
          <w:sz w:val="20"/>
        </w:rPr>
      </w:pPr>
      <w:r w:rsidRPr="0002409D">
        <w:rPr>
          <w:rFonts w:ascii="Arial" w:hAnsi="Arial" w:cs="Arial"/>
          <w:sz w:val="20"/>
        </w:rPr>
        <w:t>Victoria Park Redevelopment;</w:t>
      </w:r>
    </w:p>
    <w:p w:rsidR="00B41689" w:rsidRPr="0002409D" w:rsidRDefault="00B41689" w:rsidP="008348B5">
      <w:pPr>
        <w:pStyle w:val="ListParagraph"/>
        <w:numPr>
          <w:ilvl w:val="0"/>
          <w:numId w:val="98"/>
        </w:numPr>
        <w:rPr>
          <w:rFonts w:ascii="Arial" w:hAnsi="Arial" w:cs="Arial"/>
          <w:sz w:val="20"/>
        </w:rPr>
      </w:pPr>
      <w:r w:rsidRPr="0002409D">
        <w:rPr>
          <w:rFonts w:ascii="Arial" w:hAnsi="Arial" w:cs="Arial"/>
          <w:sz w:val="20"/>
        </w:rPr>
        <w:t>Ramsden Street Sports Pavilion;</w:t>
      </w:r>
    </w:p>
    <w:p w:rsidR="00B41689" w:rsidRPr="0002409D" w:rsidRDefault="00B41689" w:rsidP="008348B5">
      <w:pPr>
        <w:pStyle w:val="ListParagraph"/>
        <w:numPr>
          <w:ilvl w:val="0"/>
          <w:numId w:val="98"/>
        </w:numPr>
        <w:rPr>
          <w:rFonts w:ascii="Arial" w:hAnsi="Arial" w:cs="Arial"/>
          <w:sz w:val="20"/>
        </w:rPr>
      </w:pPr>
      <w:r w:rsidRPr="0002409D">
        <w:rPr>
          <w:rFonts w:ascii="Arial" w:hAnsi="Arial" w:cs="Arial"/>
          <w:sz w:val="20"/>
        </w:rPr>
        <w:t>North Fitzroy Community Hub;</w:t>
      </w:r>
    </w:p>
    <w:p w:rsidR="00B41689" w:rsidRPr="0002409D" w:rsidRDefault="00FC6F0D" w:rsidP="008348B5">
      <w:pPr>
        <w:pStyle w:val="ListParagraph"/>
        <w:numPr>
          <w:ilvl w:val="0"/>
          <w:numId w:val="98"/>
        </w:numPr>
        <w:rPr>
          <w:rFonts w:ascii="Arial" w:hAnsi="Arial" w:cs="Arial"/>
          <w:sz w:val="20"/>
        </w:rPr>
      </w:pPr>
      <w:r w:rsidRPr="0002409D">
        <w:rPr>
          <w:rFonts w:ascii="Arial" w:hAnsi="Arial" w:cs="Arial"/>
          <w:sz w:val="20"/>
        </w:rPr>
        <w:t xml:space="preserve">Collingwood Town Hall and </w:t>
      </w:r>
      <w:r w:rsidR="00B41689" w:rsidRPr="0002409D">
        <w:rPr>
          <w:rFonts w:ascii="Arial" w:hAnsi="Arial" w:cs="Arial"/>
          <w:sz w:val="20"/>
        </w:rPr>
        <w:t>Precinct Redevelopment; and</w:t>
      </w:r>
    </w:p>
    <w:p w:rsidR="00B41689" w:rsidRPr="0002409D" w:rsidRDefault="00B41689" w:rsidP="008348B5">
      <w:pPr>
        <w:pStyle w:val="ListParagraph"/>
        <w:numPr>
          <w:ilvl w:val="0"/>
          <w:numId w:val="98"/>
        </w:numPr>
        <w:rPr>
          <w:rFonts w:ascii="Arial" w:hAnsi="Arial" w:cs="Arial"/>
          <w:sz w:val="20"/>
        </w:rPr>
      </w:pPr>
      <w:r w:rsidRPr="0002409D">
        <w:rPr>
          <w:rFonts w:ascii="Arial" w:hAnsi="Arial" w:cs="Arial"/>
          <w:sz w:val="20"/>
        </w:rPr>
        <w:t>Various Adaptive Assets Programs.</w:t>
      </w:r>
    </w:p>
    <w:p w:rsidR="0002409D" w:rsidRDefault="0002409D" w:rsidP="0002409D">
      <w:pPr>
        <w:ind w:left="720"/>
      </w:pPr>
    </w:p>
    <w:p w:rsidR="00B41689" w:rsidRPr="00B41689" w:rsidRDefault="00B41689" w:rsidP="0002409D">
      <w:pPr>
        <w:ind w:left="720"/>
      </w:pPr>
      <w:r w:rsidRPr="00B41689">
        <w:t>This is understandable in view of Council’s drive to implement ESD principles on buildings, and the replacement of ageing building assets which are usually accompanied with improved level of service and increased capa</w:t>
      </w:r>
      <w:r w:rsidR="00FC6F0D">
        <w:t>city due to higher expectations.</w:t>
      </w:r>
    </w:p>
    <w:p w:rsidR="00B41689" w:rsidRDefault="00B41689" w:rsidP="0002409D">
      <w:pPr>
        <w:ind w:left="720"/>
      </w:pPr>
    </w:p>
    <w:p w:rsidR="00452312" w:rsidRPr="00537E72" w:rsidRDefault="00452312" w:rsidP="003E5B9F">
      <w:pPr>
        <w:pStyle w:val="StyleHeading3Heading3Char10ptBefore6pt"/>
      </w:pPr>
      <w:bookmarkStart w:id="671" w:name="_Toc364945326"/>
      <w:r w:rsidRPr="00537E72">
        <w:t>Financial</w:t>
      </w:r>
      <w:r>
        <w:t xml:space="preserve"> and Condition Forecasts:</w:t>
      </w:r>
      <w:bookmarkEnd w:id="671"/>
    </w:p>
    <w:p w:rsidR="00452312" w:rsidRDefault="00452312" w:rsidP="0002409D">
      <w:pPr>
        <w:ind w:left="720"/>
      </w:pPr>
      <w:r w:rsidRPr="00AA47F9">
        <w:t xml:space="preserve">The use of the Moloney Asset Management system allows Council to view </w:t>
      </w:r>
      <w:r w:rsidR="000E7FA6">
        <w:t>its</w:t>
      </w:r>
      <w:r w:rsidRPr="00AA47F9">
        <w:t xml:space="preserve"> future forecasts to determine the following:</w:t>
      </w:r>
    </w:p>
    <w:p w:rsidR="0002409D" w:rsidRPr="00AA47F9" w:rsidRDefault="0002409D" w:rsidP="0002409D">
      <w:pPr>
        <w:ind w:left="720"/>
      </w:pPr>
    </w:p>
    <w:p w:rsidR="0002409D" w:rsidRPr="0002409D" w:rsidRDefault="00452312" w:rsidP="008348B5">
      <w:pPr>
        <w:pStyle w:val="ListParagraph"/>
        <w:numPr>
          <w:ilvl w:val="0"/>
          <w:numId w:val="99"/>
        </w:numPr>
        <w:rPr>
          <w:rFonts w:ascii="Arial" w:hAnsi="Arial" w:cs="Arial"/>
          <w:sz w:val="20"/>
          <w:szCs w:val="20"/>
        </w:rPr>
      </w:pPr>
      <w:r w:rsidRPr="0002409D">
        <w:rPr>
          <w:rFonts w:ascii="Arial" w:hAnsi="Arial" w:cs="Arial"/>
          <w:sz w:val="20"/>
          <w:szCs w:val="20"/>
        </w:rPr>
        <w:t>The long term Renewal funding needs to ensure all building assets and their components are renewed when they reach poor condition (8)</w:t>
      </w:r>
      <w:r w:rsidR="0002409D" w:rsidRPr="0002409D">
        <w:rPr>
          <w:rFonts w:ascii="Arial" w:hAnsi="Arial" w:cs="Arial"/>
          <w:sz w:val="20"/>
          <w:szCs w:val="20"/>
        </w:rPr>
        <w:t>;</w:t>
      </w:r>
      <w:r w:rsidRPr="0002409D">
        <w:rPr>
          <w:rFonts w:ascii="Arial" w:hAnsi="Arial" w:cs="Arial"/>
          <w:sz w:val="20"/>
          <w:szCs w:val="20"/>
        </w:rPr>
        <w:t xml:space="preserve"> or</w:t>
      </w:r>
    </w:p>
    <w:p w:rsidR="00452312" w:rsidRPr="0002409D" w:rsidRDefault="00452312" w:rsidP="008348B5">
      <w:pPr>
        <w:pStyle w:val="ListParagraph"/>
        <w:numPr>
          <w:ilvl w:val="0"/>
          <w:numId w:val="99"/>
        </w:numPr>
        <w:rPr>
          <w:rFonts w:ascii="Arial" w:hAnsi="Arial" w:cs="Arial"/>
          <w:sz w:val="20"/>
          <w:szCs w:val="20"/>
        </w:rPr>
      </w:pPr>
      <w:r w:rsidRPr="0002409D">
        <w:rPr>
          <w:rFonts w:ascii="Arial" w:hAnsi="Arial" w:cs="Arial"/>
          <w:sz w:val="20"/>
          <w:szCs w:val="20"/>
        </w:rPr>
        <w:t xml:space="preserve">Based on continuing the current level of renewal (capital) expenditure the expected condition over time. </w:t>
      </w:r>
    </w:p>
    <w:p w:rsidR="00114778" w:rsidRDefault="00114778" w:rsidP="003E5B9F">
      <w:pPr>
        <w:pStyle w:val="StyleHeading3Heading3Char10ptBefore6pt"/>
      </w:pPr>
      <w:bookmarkStart w:id="672" w:name="_Toc364945327"/>
      <w:r>
        <w:t>Overall Buil</w:t>
      </w:r>
      <w:r w:rsidR="0002409D">
        <w:t>dings Funding Based on 10 Year F</w:t>
      </w:r>
      <w:r>
        <w:t>inancial Plan</w:t>
      </w:r>
      <w:bookmarkEnd w:id="672"/>
    </w:p>
    <w:p w:rsidR="00D4580E" w:rsidRDefault="00D4580E" w:rsidP="0002409D">
      <w:pPr>
        <w:ind w:left="720"/>
        <w:rPr>
          <w:lang w:val="en-NZ"/>
        </w:rPr>
      </w:pPr>
      <w:r w:rsidRPr="00D4580E">
        <w:rPr>
          <w:lang w:val="en-NZ"/>
        </w:rPr>
        <w:t xml:space="preserve">The following chart depicts the </w:t>
      </w:r>
      <w:r>
        <w:rPr>
          <w:lang w:val="en-NZ"/>
        </w:rPr>
        <w:t>current renewal funding based on the 10 year financial plan. It allows for the renewal of building components identified as urgent from the condition audits in the first 5 years and the renewal of vacant buildings that are currently not in use in years 5-10 when a determination for their use has been made.</w:t>
      </w:r>
    </w:p>
    <w:p w:rsidR="0002409D" w:rsidRDefault="0002409D" w:rsidP="0002409D">
      <w:pPr>
        <w:ind w:left="720"/>
        <w:rPr>
          <w:lang w:val="en-NZ"/>
        </w:rPr>
      </w:pPr>
    </w:p>
    <w:p w:rsidR="00D4580E" w:rsidRPr="00D4580E" w:rsidRDefault="001F4752" w:rsidP="00FC370B">
      <w:pPr>
        <w:pStyle w:val="BodyText"/>
        <w:ind w:left="709"/>
        <w:jc w:val="center"/>
        <w:rPr>
          <w:rFonts w:ascii="Arial" w:hAnsi="Arial" w:cs="Arial"/>
          <w:sz w:val="20"/>
          <w:lang w:val="en-NZ"/>
        </w:rPr>
      </w:pPr>
      <w:r>
        <w:rPr>
          <w:rFonts w:ascii="Arial" w:hAnsi="Arial" w:cs="Arial"/>
          <w:noProof/>
          <w:sz w:val="20"/>
          <w:lang w:val="en-AU" w:eastAsia="en-AU"/>
        </w:rPr>
        <w:drawing>
          <wp:inline distT="0" distB="0" distL="0" distR="0" wp14:anchorId="2B9077A7" wp14:editId="604B01BB">
            <wp:extent cx="5219700" cy="311325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227472" cy="3117891"/>
                    </a:xfrm>
                    <a:prstGeom prst="rect">
                      <a:avLst/>
                    </a:prstGeom>
                    <a:noFill/>
                  </pic:spPr>
                </pic:pic>
              </a:graphicData>
            </a:graphic>
          </wp:inline>
        </w:drawing>
      </w:r>
    </w:p>
    <w:p w:rsidR="00FA169C" w:rsidRPr="009B244A" w:rsidRDefault="00FA169C" w:rsidP="00FA169C">
      <w:pPr>
        <w:pStyle w:val="Caption"/>
        <w:spacing w:before="240" w:after="240"/>
        <w:ind w:left="709"/>
        <w:jc w:val="center"/>
        <w:rPr>
          <w:rFonts w:ascii="Arial" w:hAnsi="Arial"/>
          <w:i w:val="0"/>
          <w:iCs w:val="0"/>
          <w:sz w:val="20"/>
          <w:szCs w:val="18"/>
          <w:lang w:val="en-AU"/>
        </w:rPr>
      </w:pPr>
      <w:bookmarkStart w:id="673" w:name="_Toc364945396"/>
      <w:r w:rsidRPr="009B244A">
        <w:rPr>
          <w:rFonts w:ascii="Arial" w:hAnsi="Arial"/>
          <w:i w:val="0"/>
          <w:iCs w:val="0"/>
          <w:sz w:val="20"/>
          <w:szCs w:val="18"/>
          <w:lang w:val="en-AU"/>
        </w:rPr>
        <w:t xml:space="preserve">Figure </w:t>
      </w:r>
      <w:r w:rsidR="0090414C" w:rsidRPr="009B244A">
        <w:rPr>
          <w:rFonts w:ascii="Arial" w:hAnsi="Arial"/>
          <w:i w:val="0"/>
          <w:iCs w:val="0"/>
          <w:sz w:val="20"/>
          <w:szCs w:val="18"/>
          <w:lang w:val="en-AU"/>
        </w:rPr>
        <w:fldChar w:fldCharType="begin"/>
      </w:r>
      <w:r w:rsidRPr="009B244A">
        <w:rPr>
          <w:rFonts w:ascii="Arial" w:hAnsi="Arial"/>
          <w:i w:val="0"/>
          <w:iCs w:val="0"/>
          <w:sz w:val="20"/>
          <w:szCs w:val="18"/>
          <w:lang w:val="en-AU"/>
        </w:rPr>
        <w:instrText xml:space="preserve"> SEQ Figure \* ARABIC </w:instrText>
      </w:r>
      <w:r w:rsidR="0090414C" w:rsidRPr="009B244A">
        <w:rPr>
          <w:rFonts w:ascii="Arial" w:hAnsi="Arial"/>
          <w:i w:val="0"/>
          <w:iCs w:val="0"/>
          <w:sz w:val="20"/>
          <w:szCs w:val="18"/>
          <w:lang w:val="en-AU"/>
        </w:rPr>
        <w:fldChar w:fldCharType="separate"/>
      </w:r>
      <w:r w:rsidR="00751CEC">
        <w:rPr>
          <w:rFonts w:ascii="Arial" w:hAnsi="Arial"/>
          <w:i w:val="0"/>
          <w:iCs w:val="0"/>
          <w:noProof/>
          <w:sz w:val="20"/>
          <w:szCs w:val="18"/>
          <w:lang w:val="en-AU"/>
        </w:rPr>
        <w:t>32</w:t>
      </w:r>
      <w:r w:rsidR="0090414C" w:rsidRPr="009B244A">
        <w:rPr>
          <w:rFonts w:ascii="Arial" w:hAnsi="Arial"/>
          <w:i w:val="0"/>
          <w:iCs w:val="0"/>
          <w:sz w:val="20"/>
          <w:szCs w:val="18"/>
          <w:lang w:val="en-AU"/>
        </w:rPr>
        <w:fldChar w:fldCharType="end"/>
      </w:r>
      <w:r w:rsidRPr="009B244A">
        <w:rPr>
          <w:rFonts w:ascii="Arial" w:hAnsi="Arial"/>
          <w:i w:val="0"/>
          <w:iCs w:val="0"/>
          <w:sz w:val="20"/>
          <w:szCs w:val="18"/>
          <w:lang w:val="en-AU"/>
        </w:rPr>
        <w:t xml:space="preserve">:  </w:t>
      </w:r>
      <w:r w:rsidR="008D4799" w:rsidRPr="009B244A">
        <w:rPr>
          <w:rFonts w:ascii="Arial" w:hAnsi="Arial"/>
          <w:i w:val="0"/>
          <w:iCs w:val="0"/>
          <w:sz w:val="20"/>
          <w:szCs w:val="18"/>
          <w:lang w:val="en-AU"/>
        </w:rPr>
        <w:t>Proposed Re</w:t>
      </w:r>
      <w:r w:rsidR="00BE6259" w:rsidRPr="009B244A">
        <w:rPr>
          <w:rFonts w:ascii="Arial" w:hAnsi="Arial"/>
          <w:i w:val="0"/>
          <w:iCs w:val="0"/>
          <w:sz w:val="20"/>
          <w:szCs w:val="18"/>
          <w:lang w:val="en-AU"/>
        </w:rPr>
        <w:t>newal</w:t>
      </w:r>
      <w:r w:rsidR="008D4799" w:rsidRPr="009B244A">
        <w:rPr>
          <w:rFonts w:ascii="Arial" w:hAnsi="Arial"/>
          <w:i w:val="0"/>
          <w:iCs w:val="0"/>
          <w:sz w:val="20"/>
          <w:szCs w:val="18"/>
          <w:lang w:val="en-AU"/>
        </w:rPr>
        <w:t xml:space="preserve"> Expenditure Against Predicted Renewal Expenditure</w:t>
      </w:r>
      <w:bookmarkEnd w:id="673"/>
    </w:p>
    <w:p w:rsidR="00114778" w:rsidRDefault="00F46FC5" w:rsidP="0002409D">
      <w:pPr>
        <w:ind w:left="720"/>
        <w:rPr>
          <w:lang w:val="en-NZ"/>
        </w:rPr>
      </w:pPr>
      <w:r w:rsidRPr="00034555">
        <w:rPr>
          <w:lang w:val="en-NZ"/>
        </w:rPr>
        <w:t>The chart identifies, that except for</w:t>
      </w:r>
      <w:r w:rsidR="00034555">
        <w:rPr>
          <w:lang w:val="en-NZ"/>
        </w:rPr>
        <w:t xml:space="preserve"> next year (2014) the projected renewal expenditure is lower than the required renewal expenditure. By year 5 the cumulative shortfall in renewal funding is projected at $5.7M and by 2023 </w:t>
      </w:r>
      <w:r w:rsidR="000E7FA6">
        <w:rPr>
          <w:lang w:val="en-NZ"/>
        </w:rPr>
        <w:t>it is $18</w:t>
      </w:r>
      <w:r w:rsidR="00034555">
        <w:rPr>
          <w:lang w:val="en-NZ"/>
        </w:rPr>
        <w:t>M.</w:t>
      </w:r>
      <w:r w:rsidR="000E7FA6">
        <w:rPr>
          <w:lang w:val="en-NZ"/>
        </w:rPr>
        <w:t xml:space="preserve">This is </w:t>
      </w:r>
      <w:r w:rsidR="00034555">
        <w:rPr>
          <w:lang w:val="en-NZ"/>
        </w:rPr>
        <w:t>equivalent to an increase of $1.</w:t>
      </w:r>
      <w:r w:rsidR="000E7FA6">
        <w:rPr>
          <w:lang w:val="en-NZ"/>
        </w:rPr>
        <w:t>8</w:t>
      </w:r>
      <w:r w:rsidR="00034555">
        <w:rPr>
          <w:lang w:val="en-NZ"/>
        </w:rPr>
        <w:t xml:space="preserve">M per annum </w:t>
      </w:r>
      <w:r w:rsidR="000E7FA6">
        <w:rPr>
          <w:lang w:val="en-NZ"/>
        </w:rPr>
        <w:t>being required to address this funding shortfall.</w:t>
      </w:r>
    </w:p>
    <w:p w:rsidR="00A56F69" w:rsidRPr="00CF2212" w:rsidRDefault="00A56F69" w:rsidP="00CF2212">
      <w:pPr>
        <w:pStyle w:val="Heading2"/>
      </w:pPr>
      <w:bookmarkStart w:id="674" w:name="_Toc364945328"/>
      <w:r w:rsidRPr="00CF2212">
        <w:t>Financial and Funding Strategies</w:t>
      </w:r>
      <w:r w:rsidR="00E41908" w:rsidRPr="00CF2212">
        <w:t>/Options</w:t>
      </w:r>
      <w:bookmarkEnd w:id="674"/>
    </w:p>
    <w:p w:rsidR="00A56F69" w:rsidRPr="00FA169C" w:rsidRDefault="00A56F69" w:rsidP="00FA169C">
      <w:pPr>
        <w:rPr>
          <w:lang w:val="en-NZ"/>
        </w:rPr>
      </w:pPr>
      <w:r w:rsidRPr="00FA169C">
        <w:rPr>
          <w:lang w:val="en-NZ"/>
        </w:rPr>
        <w:t xml:space="preserve">Projected expenditure is to be funded from Council’s operating and capital budgets sourced from the general rates revenue, with some major projects attracting external funding from State or Federal grants if available. There </w:t>
      </w:r>
      <w:r w:rsidR="00D079CB">
        <w:rPr>
          <w:lang w:val="en-NZ"/>
        </w:rPr>
        <w:t>is</w:t>
      </w:r>
      <w:r w:rsidRPr="00FA169C">
        <w:rPr>
          <w:lang w:val="en-NZ"/>
        </w:rPr>
        <w:t xml:space="preserve"> also occasional funding provided by commercial developers to Council to develop community</w:t>
      </w:r>
      <w:r w:rsidR="00D079CB">
        <w:rPr>
          <w:lang w:val="en-NZ"/>
        </w:rPr>
        <w:t>-</w:t>
      </w:r>
      <w:r w:rsidRPr="00FA169C">
        <w:rPr>
          <w:lang w:val="en-NZ"/>
        </w:rPr>
        <w:t>based facilities.</w:t>
      </w:r>
    </w:p>
    <w:p w:rsidR="00F2724B" w:rsidRPr="00FA169C" w:rsidRDefault="00F2724B" w:rsidP="00FA169C">
      <w:pPr>
        <w:rPr>
          <w:lang w:val="en-NZ"/>
        </w:rPr>
      </w:pPr>
    </w:p>
    <w:p w:rsidR="003E158C" w:rsidRPr="00FA169C" w:rsidRDefault="00E95BE5" w:rsidP="00FA169C">
      <w:pPr>
        <w:rPr>
          <w:lang w:val="en-NZ"/>
        </w:rPr>
      </w:pPr>
      <w:r w:rsidRPr="00FA169C">
        <w:rPr>
          <w:lang w:val="en-NZ"/>
        </w:rPr>
        <w:t>The</w:t>
      </w:r>
      <w:r w:rsidR="00FA169C" w:rsidRPr="00FA169C">
        <w:rPr>
          <w:lang w:val="en-NZ"/>
        </w:rPr>
        <w:t xml:space="preserve"> current projected renewal gap ‘</w:t>
      </w:r>
      <w:r w:rsidRPr="00FA169C">
        <w:rPr>
          <w:lang w:val="en-NZ"/>
        </w:rPr>
        <w:t>liability</w:t>
      </w:r>
      <w:r w:rsidR="00FA169C" w:rsidRPr="00FA169C">
        <w:rPr>
          <w:lang w:val="en-NZ"/>
        </w:rPr>
        <w:t>’</w:t>
      </w:r>
      <w:r w:rsidRPr="00FA169C">
        <w:rPr>
          <w:lang w:val="en-NZ"/>
        </w:rPr>
        <w:t xml:space="preserve"> is </w:t>
      </w:r>
      <w:r w:rsidR="003E158C" w:rsidRPr="00FA169C">
        <w:rPr>
          <w:lang w:val="en-NZ"/>
        </w:rPr>
        <w:t>projected at $18M by year 2023 or</w:t>
      </w:r>
      <w:r w:rsidRPr="00FA169C">
        <w:rPr>
          <w:lang w:val="en-NZ"/>
        </w:rPr>
        <w:t xml:space="preserve"> $1.8M per annum. </w:t>
      </w:r>
      <w:r w:rsidR="003E158C" w:rsidRPr="00FA169C">
        <w:rPr>
          <w:lang w:val="en-NZ"/>
        </w:rPr>
        <w:t>To address the renewal gap it is proposed that further detailed strategic analysis of Council`s building stock be undertaken and a report be prepared for Council`s consideration. This will be developed by the Manager</w:t>
      </w:r>
      <w:r w:rsidR="005C38DE">
        <w:rPr>
          <w:lang w:val="en-NZ"/>
        </w:rPr>
        <w:t>,</w:t>
      </w:r>
      <w:r w:rsidR="003E158C" w:rsidRPr="00FA169C">
        <w:rPr>
          <w:lang w:val="en-NZ"/>
        </w:rPr>
        <w:t xml:space="preserve"> Buildings and Property in consultation with Service Managers, Corporate Finance and other key stakeholders. Options to be considered include:</w:t>
      </w:r>
    </w:p>
    <w:p w:rsidR="00E41908" w:rsidRPr="00522071" w:rsidRDefault="00E41908" w:rsidP="003E5B9F">
      <w:pPr>
        <w:pStyle w:val="StyleHeading3Heading3Char10ptBefore6pt"/>
      </w:pPr>
      <w:bookmarkStart w:id="675" w:name="_Toc364945329"/>
      <w:r w:rsidRPr="00522071">
        <w:t>Reduce</w:t>
      </w:r>
      <w:r w:rsidR="003E158C">
        <w:t xml:space="preserve"> the</w:t>
      </w:r>
      <w:r w:rsidRPr="00522071">
        <w:t xml:space="preserve"> Number</w:t>
      </w:r>
      <w:r w:rsidR="003E158C">
        <w:t xml:space="preserve"> of</w:t>
      </w:r>
      <w:r w:rsidRPr="00522071">
        <w:t xml:space="preserve"> Buildings</w:t>
      </w:r>
      <w:bookmarkEnd w:id="675"/>
    </w:p>
    <w:p w:rsidR="003E158C" w:rsidRDefault="003E158C" w:rsidP="00FA169C">
      <w:pPr>
        <w:ind w:left="709"/>
        <w:rPr>
          <w:lang w:val="en-NZ"/>
        </w:rPr>
      </w:pPr>
      <w:r>
        <w:rPr>
          <w:lang w:val="en-NZ"/>
        </w:rPr>
        <w:t>With the creation of hub developments and providing integrated service delivery a number of Council buildings are potentially surplus to Council</w:t>
      </w:r>
      <w:r w:rsidR="00FA169C">
        <w:rPr>
          <w:lang w:val="en-NZ"/>
        </w:rPr>
        <w:t>’</w:t>
      </w:r>
      <w:r>
        <w:rPr>
          <w:lang w:val="en-NZ"/>
        </w:rPr>
        <w:t>s needs. Some of these buildings are located within parks and reserves.</w:t>
      </w:r>
    </w:p>
    <w:p w:rsidR="00FA169C" w:rsidRDefault="00FA169C" w:rsidP="00FA169C">
      <w:pPr>
        <w:ind w:left="709"/>
        <w:rPr>
          <w:lang w:val="en-NZ"/>
        </w:rPr>
      </w:pPr>
    </w:p>
    <w:p w:rsidR="00E41908" w:rsidRDefault="00E95BE5" w:rsidP="00FA169C">
      <w:pPr>
        <w:ind w:left="709"/>
        <w:rPr>
          <w:lang w:val="en-NZ"/>
        </w:rPr>
      </w:pPr>
      <w:r>
        <w:rPr>
          <w:lang w:val="en-NZ"/>
        </w:rPr>
        <w:t xml:space="preserve">Whilst this will assist in reducing the renewal gap </w:t>
      </w:r>
      <w:r w:rsidR="003E158C">
        <w:rPr>
          <w:lang w:val="en-NZ"/>
        </w:rPr>
        <w:t xml:space="preserve">in the short term </w:t>
      </w:r>
      <w:r>
        <w:rPr>
          <w:lang w:val="en-NZ"/>
        </w:rPr>
        <w:t>it is recognised that the majority of buildings will remain as they are required to deliver Council</w:t>
      </w:r>
      <w:r w:rsidR="008473C2">
        <w:rPr>
          <w:lang w:val="en-NZ"/>
        </w:rPr>
        <w:t>’</w:t>
      </w:r>
      <w:r>
        <w:rPr>
          <w:lang w:val="en-NZ"/>
        </w:rPr>
        <w:t xml:space="preserve">s key services.   </w:t>
      </w:r>
    </w:p>
    <w:p w:rsidR="00E41908" w:rsidRPr="00522071" w:rsidRDefault="00E41908" w:rsidP="003E5B9F">
      <w:pPr>
        <w:pStyle w:val="StyleHeading3Heading3Char10ptBefore6pt"/>
      </w:pPr>
      <w:bookmarkStart w:id="676" w:name="_Toc364945330"/>
      <w:r w:rsidRPr="00522071">
        <w:t>Review Capital Works Renewal Allocations</w:t>
      </w:r>
      <w:bookmarkEnd w:id="676"/>
    </w:p>
    <w:p w:rsidR="00816FA5" w:rsidRDefault="00E41908" w:rsidP="00FA169C">
      <w:pPr>
        <w:ind w:left="709"/>
        <w:rPr>
          <w:lang w:val="en-NZ"/>
        </w:rPr>
      </w:pPr>
      <w:r w:rsidRPr="00BF3878">
        <w:rPr>
          <w:lang w:val="en-NZ"/>
        </w:rPr>
        <w:t>The chart below highlights</w:t>
      </w:r>
      <w:r w:rsidR="00BF3878">
        <w:rPr>
          <w:lang w:val="en-NZ"/>
        </w:rPr>
        <w:t xml:space="preserve"> the current makeup of the Cap</w:t>
      </w:r>
      <w:r w:rsidRPr="00BF3878">
        <w:rPr>
          <w:lang w:val="en-NZ"/>
        </w:rPr>
        <w:t xml:space="preserve">ital works budget in terms of renewal, upgrade of assets and new assets </w:t>
      </w:r>
      <w:r w:rsidR="003E158C">
        <w:rPr>
          <w:lang w:val="en-NZ"/>
        </w:rPr>
        <w:t>for</w:t>
      </w:r>
      <w:r w:rsidR="00E95BE5" w:rsidRPr="00BF3878">
        <w:rPr>
          <w:lang w:val="en-NZ"/>
        </w:rPr>
        <w:t xml:space="preserve"> the next 10 years</w:t>
      </w:r>
      <w:r w:rsidR="003E158C">
        <w:rPr>
          <w:lang w:val="en-NZ"/>
        </w:rPr>
        <w:t>.</w:t>
      </w:r>
      <w:r w:rsidR="00E95BE5" w:rsidRPr="00BF3878">
        <w:rPr>
          <w:lang w:val="en-NZ"/>
        </w:rPr>
        <w:t xml:space="preserve"> </w:t>
      </w:r>
      <w:r w:rsidR="003E158C">
        <w:rPr>
          <w:lang w:val="en-NZ"/>
        </w:rPr>
        <w:t>Council</w:t>
      </w:r>
      <w:r w:rsidR="008473C2">
        <w:rPr>
          <w:lang w:val="en-NZ"/>
        </w:rPr>
        <w:t>’</w:t>
      </w:r>
      <w:r w:rsidR="003E158C">
        <w:rPr>
          <w:lang w:val="en-NZ"/>
        </w:rPr>
        <w:t>s L</w:t>
      </w:r>
      <w:r w:rsidR="00BF3878">
        <w:rPr>
          <w:lang w:val="en-NZ"/>
        </w:rPr>
        <w:t xml:space="preserve">ong </w:t>
      </w:r>
      <w:r w:rsidR="003E158C">
        <w:rPr>
          <w:lang w:val="en-NZ"/>
        </w:rPr>
        <w:t>T</w:t>
      </w:r>
      <w:r w:rsidR="00BF3878">
        <w:rPr>
          <w:lang w:val="en-NZ"/>
        </w:rPr>
        <w:t>erm</w:t>
      </w:r>
      <w:r w:rsidR="00E95BE5" w:rsidRPr="00BF3878">
        <w:rPr>
          <w:lang w:val="en-NZ"/>
        </w:rPr>
        <w:t xml:space="preserve"> </w:t>
      </w:r>
      <w:r w:rsidR="003E158C">
        <w:rPr>
          <w:lang w:val="en-NZ"/>
        </w:rPr>
        <w:t>F</w:t>
      </w:r>
      <w:r w:rsidR="00E95BE5" w:rsidRPr="00BF3878">
        <w:rPr>
          <w:lang w:val="en-NZ"/>
        </w:rPr>
        <w:t xml:space="preserve">inancial </w:t>
      </w:r>
      <w:r w:rsidR="003E158C">
        <w:rPr>
          <w:lang w:val="en-NZ"/>
        </w:rPr>
        <w:t>P</w:t>
      </w:r>
      <w:r w:rsidR="00E95BE5" w:rsidRPr="00BF3878">
        <w:rPr>
          <w:lang w:val="en-NZ"/>
        </w:rPr>
        <w:t>lan indicates a</w:t>
      </w:r>
      <w:r w:rsidR="00BF3878" w:rsidRPr="00BF3878">
        <w:rPr>
          <w:lang w:val="en-NZ"/>
        </w:rPr>
        <w:t xml:space="preserve"> total capital works budget of $</w:t>
      </w:r>
      <w:r w:rsidR="00BF3878">
        <w:rPr>
          <w:lang w:val="en-NZ"/>
        </w:rPr>
        <w:t>166.8</w:t>
      </w:r>
      <w:r w:rsidR="0031481D">
        <w:rPr>
          <w:lang w:val="en-NZ"/>
        </w:rPr>
        <w:t>M with $48.2</w:t>
      </w:r>
      <w:r w:rsidR="00816FA5">
        <w:rPr>
          <w:lang w:val="en-NZ"/>
        </w:rPr>
        <w:t>7</w:t>
      </w:r>
      <w:r w:rsidR="0031481D">
        <w:rPr>
          <w:lang w:val="en-NZ"/>
        </w:rPr>
        <w:t>M allocated to Renewal, $13.4</w:t>
      </w:r>
      <w:r w:rsidR="00E95BE5" w:rsidRPr="00BF3878">
        <w:rPr>
          <w:lang w:val="en-NZ"/>
        </w:rPr>
        <w:t>M upgrade and $</w:t>
      </w:r>
      <w:r w:rsidR="0031481D">
        <w:rPr>
          <w:lang w:val="en-NZ"/>
        </w:rPr>
        <w:t>105</w:t>
      </w:r>
      <w:r w:rsidR="00E95BE5" w:rsidRPr="00BF3878">
        <w:rPr>
          <w:lang w:val="en-NZ"/>
        </w:rPr>
        <w:t xml:space="preserve">M to new </w:t>
      </w:r>
      <w:r w:rsidR="003E158C">
        <w:rPr>
          <w:lang w:val="en-NZ"/>
        </w:rPr>
        <w:t>works.</w:t>
      </w:r>
      <w:r w:rsidR="00E95BE5" w:rsidRPr="00BF3878">
        <w:rPr>
          <w:lang w:val="en-NZ"/>
        </w:rPr>
        <w:t xml:space="preserve"> </w:t>
      </w:r>
    </w:p>
    <w:p w:rsidR="00F2724B" w:rsidRPr="00FA169C" w:rsidRDefault="00F2724B" w:rsidP="00FA169C">
      <w:pPr>
        <w:ind w:left="709"/>
        <w:rPr>
          <w:lang w:val="en-NZ"/>
        </w:rPr>
      </w:pPr>
    </w:p>
    <w:p w:rsidR="00E41908" w:rsidRDefault="00816FA5" w:rsidP="00FA169C">
      <w:pPr>
        <w:ind w:left="709"/>
        <w:rPr>
          <w:lang w:val="en-NZ"/>
        </w:rPr>
      </w:pPr>
      <w:r w:rsidRPr="00FA169C">
        <w:rPr>
          <w:lang w:val="en-NZ"/>
        </w:rPr>
        <w:t>Industry benchmarks indicate that annual renewal funding of between 2.5% - 3% is required, with the value of Council</w:t>
      </w:r>
      <w:r w:rsidR="008473C2">
        <w:rPr>
          <w:lang w:val="en-NZ"/>
        </w:rPr>
        <w:t>’</w:t>
      </w:r>
      <w:r w:rsidRPr="00FA169C">
        <w:rPr>
          <w:lang w:val="en-NZ"/>
        </w:rPr>
        <w:t>s buildings being $228M this would mean Councils should invest $5.7M - $6.8M in renewal funding annually.</w:t>
      </w:r>
    </w:p>
    <w:p w:rsidR="00FA169C" w:rsidRPr="00FA169C" w:rsidRDefault="00FA169C" w:rsidP="00FA169C">
      <w:pPr>
        <w:ind w:left="709"/>
        <w:rPr>
          <w:lang w:val="en-NZ"/>
        </w:rPr>
      </w:pPr>
    </w:p>
    <w:p w:rsidR="00816FA5" w:rsidRPr="00FA169C" w:rsidRDefault="00816FA5" w:rsidP="00FA169C">
      <w:pPr>
        <w:ind w:left="709"/>
        <w:rPr>
          <w:lang w:val="en-NZ"/>
        </w:rPr>
      </w:pPr>
      <w:r w:rsidRPr="00FA169C">
        <w:rPr>
          <w:lang w:val="en-NZ"/>
        </w:rPr>
        <w:t>Modelling based on condition audits indicates a total of $66.46M is required for building renewals. This equates to an increase of $18M over the next 10 years to meet the renewal needs.</w:t>
      </w:r>
      <w:r w:rsidR="00576476" w:rsidRPr="00FA169C">
        <w:rPr>
          <w:lang w:val="en-NZ"/>
        </w:rPr>
        <w:t xml:space="preserve"> This could be funded by a reduction in budget allocations for new buildings.</w:t>
      </w:r>
    </w:p>
    <w:p w:rsidR="00BC7333" w:rsidRPr="00816FA5" w:rsidRDefault="00BC7333" w:rsidP="00FA169C">
      <w:pPr>
        <w:ind w:left="709"/>
        <w:rPr>
          <w:lang w:val="en-NZ"/>
        </w:rPr>
      </w:pPr>
    </w:p>
    <w:p w:rsidR="00A56F69" w:rsidRDefault="00BC7333" w:rsidP="00FA169C">
      <w:pPr>
        <w:spacing w:after="120"/>
        <w:ind w:left="720"/>
        <w:jc w:val="center"/>
      </w:pPr>
      <w:r w:rsidRPr="00BC7333">
        <w:rPr>
          <w:noProof/>
        </w:rPr>
        <w:drawing>
          <wp:inline distT="0" distB="0" distL="0" distR="0" wp14:anchorId="388E4863" wp14:editId="457BD58E">
            <wp:extent cx="5146534" cy="2257678"/>
            <wp:effectExtent l="0" t="0" r="16510" b="9525"/>
            <wp:docPr id="238"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rsidR="00FA169C" w:rsidRPr="009B244A" w:rsidRDefault="00FA169C" w:rsidP="00FA169C">
      <w:pPr>
        <w:pStyle w:val="Caption"/>
        <w:spacing w:before="240" w:after="240"/>
        <w:ind w:left="709"/>
        <w:jc w:val="center"/>
        <w:rPr>
          <w:rFonts w:ascii="Arial" w:hAnsi="Arial"/>
          <w:i w:val="0"/>
          <w:iCs w:val="0"/>
          <w:sz w:val="20"/>
          <w:szCs w:val="18"/>
          <w:lang w:val="en-AU"/>
        </w:rPr>
      </w:pPr>
      <w:bookmarkStart w:id="677" w:name="_Toc364945397"/>
      <w:r w:rsidRPr="009B244A">
        <w:rPr>
          <w:rFonts w:ascii="Arial" w:hAnsi="Arial"/>
          <w:i w:val="0"/>
          <w:iCs w:val="0"/>
          <w:sz w:val="20"/>
          <w:szCs w:val="18"/>
          <w:lang w:val="en-AU"/>
        </w:rPr>
        <w:t xml:space="preserve">Figure </w:t>
      </w:r>
      <w:r w:rsidR="0090414C" w:rsidRPr="009B244A">
        <w:rPr>
          <w:rFonts w:ascii="Arial" w:hAnsi="Arial"/>
          <w:i w:val="0"/>
          <w:iCs w:val="0"/>
          <w:sz w:val="20"/>
          <w:szCs w:val="18"/>
          <w:lang w:val="en-AU"/>
        </w:rPr>
        <w:fldChar w:fldCharType="begin"/>
      </w:r>
      <w:r w:rsidRPr="009B244A">
        <w:rPr>
          <w:rFonts w:ascii="Arial" w:hAnsi="Arial"/>
          <w:i w:val="0"/>
          <w:iCs w:val="0"/>
          <w:sz w:val="20"/>
          <w:szCs w:val="18"/>
          <w:lang w:val="en-AU"/>
        </w:rPr>
        <w:instrText xml:space="preserve"> SEQ Figure \* ARABIC </w:instrText>
      </w:r>
      <w:r w:rsidR="0090414C" w:rsidRPr="009B244A">
        <w:rPr>
          <w:rFonts w:ascii="Arial" w:hAnsi="Arial"/>
          <w:i w:val="0"/>
          <w:iCs w:val="0"/>
          <w:sz w:val="20"/>
          <w:szCs w:val="18"/>
          <w:lang w:val="en-AU"/>
        </w:rPr>
        <w:fldChar w:fldCharType="separate"/>
      </w:r>
      <w:r w:rsidR="00751CEC">
        <w:rPr>
          <w:rFonts w:ascii="Arial" w:hAnsi="Arial"/>
          <w:i w:val="0"/>
          <w:iCs w:val="0"/>
          <w:noProof/>
          <w:sz w:val="20"/>
          <w:szCs w:val="18"/>
          <w:lang w:val="en-AU"/>
        </w:rPr>
        <w:t>33</w:t>
      </w:r>
      <w:r w:rsidR="0090414C" w:rsidRPr="009B244A">
        <w:rPr>
          <w:rFonts w:ascii="Arial" w:hAnsi="Arial"/>
          <w:i w:val="0"/>
          <w:iCs w:val="0"/>
          <w:sz w:val="20"/>
          <w:szCs w:val="18"/>
          <w:lang w:val="en-AU"/>
        </w:rPr>
        <w:fldChar w:fldCharType="end"/>
      </w:r>
      <w:r w:rsidRPr="009B244A">
        <w:rPr>
          <w:rFonts w:ascii="Arial" w:hAnsi="Arial"/>
          <w:i w:val="0"/>
          <w:iCs w:val="0"/>
          <w:sz w:val="20"/>
          <w:szCs w:val="18"/>
          <w:lang w:val="en-AU"/>
        </w:rPr>
        <w:t>:  Current 10 Year Capital Works Expenditure</w:t>
      </w:r>
      <w:bookmarkEnd w:id="677"/>
    </w:p>
    <w:p w:rsidR="00E95BE5" w:rsidRPr="00522071" w:rsidRDefault="00E95BE5" w:rsidP="003E5B9F">
      <w:pPr>
        <w:pStyle w:val="StyleHeading3Heading3Char10ptBefore6pt"/>
      </w:pPr>
      <w:bookmarkStart w:id="678" w:name="_Toc364945331"/>
      <w:r w:rsidRPr="00522071">
        <w:t>Increasing Council Rates</w:t>
      </w:r>
      <w:bookmarkEnd w:id="678"/>
    </w:p>
    <w:p w:rsidR="00E95BE5" w:rsidRDefault="00E95BE5" w:rsidP="005D6C81">
      <w:pPr>
        <w:ind w:left="720"/>
      </w:pPr>
      <w:r>
        <w:t xml:space="preserve">An option considered by other local government authorities is </w:t>
      </w:r>
      <w:r w:rsidR="0031481D">
        <w:t>introducing an infrastructure improvement lev</w:t>
      </w:r>
      <w:r w:rsidR="00576476">
        <w:t>y</w:t>
      </w:r>
      <w:r w:rsidR="0031481D">
        <w:t xml:space="preserve"> to the rates</w:t>
      </w:r>
      <w:r>
        <w:t xml:space="preserve"> specifically for the purpose of addressing renewal</w:t>
      </w:r>
      <w:r w:rsidR="00576476">
        <w:t>s generally</w:t>
      </w:r>
      <w:r>
        <w:t xml:space="preserve"> </w:t>
      </w:r>
      <w:r w:rsidR="00576476">
        <w:t>or for a specific project</w:t>
      </w:r>
      <w:r>
        <w:t xml:space="preserve"> </w:t>
      </w:r>
      <w:r w:rsidR="00576476">
        <w:t xml:space="preserve">that </w:t>
      </w:r>
      <w:r>
        <w:t>the community can readily identify the a</w:t>
      </w:r>
      <w:r w:rsidR="005D6C81">
        <w:t xml:space="preserve">dditional rate income is </w:t>
      </w:r>
      <w:r w:rsidR="00576476">
        <w:t>funding</w:t>
      </w:r>
      <w:r w:rsidR="005D6C81">
        <w:t>.</w:t>
      </w:r>
    </w:p>
    <w:p w:rsidR="005D6C81" w:rsidRDefault="005D6C81" w:rsidP="005D6C81">
      <w:pPr>
        <w:ind w:left="720"/>
      </w:pPr>
    </w:p>
    <w:p w:rsidR="00E95BE5" w:rsidRDefault="0031481D" w:rsidP="005D6C81">
      <w:pPr>
        <w:ind w:left="720"/>
      </w:pPr>
      <w:r>
        <w:t>Should</w:t>
      </w:r>
      <w:r w:rsidR="005B0B1B">
        <w:t xml:space="preserve"> Council chose th</w:t>
      </w:r>
      <w:r w:rsidR="00576476">
        <w:t>e renewal levy</w:t>
      </w:r>
      <w:r w:rsidR="005B0B1B">
        <w:t xml:space="preserve"> option it could totally reduce the renewal funding gap by implementing a 0.45% rate increase over a 5 year period. The extra $360k funds raised per annum would result in a cumulative effect of raisi</w:t>
      </w:r>
      <w:r w:rsidR="00852378">
        <w:t>ng the funds available to $1.8M</w:t>
      </w:r>
      <w:r w:rsidR="005B0B1B">
        <w:t xml:space="preserve"> </w:t>
      </w:r>
      <w:r w:rsidR="00576476">
        <w:t>per annum.</w:t>
      </w:r>
      <w:r w:rsidR="00BD4C97">
        <w:t xml:space="preserve"> </w:t>
      </w:r>
      <w:r>
        <w:t>This would have a c</w:t>
      </w:r>
      <w:r w:rsidR="00102F8A">
        <w:t>umulative effect and within 20 years</w:t>
      </w:r>
      <w:r>
        <w:t xml:space="preserve"> the renewal gap would be eliminated.</w:t>
      </w:r>
    </w:p>
    <w:p w:rsidR="005B0B1B" w:rsidRDefault="00AA5445" w:rsidP="003E5B9F">
      <w:pPr>
        <w:pStyle w:val="StyleHeading3Heading3Char10ptBefore6pt"/>
      </w:pPr>
      <w:bookmarkStart w:id="679" w:name="_Toc364945332"/>
      <w:r>
        <w:t>Increasing Council B</w:t>
      </w:r>
      <w:r w:rsidR="005B0B1B" w:rsidRPr="005B0B1B">
        <w:t>orrowings</w:t>
      </w:r>
      <w:bookmarkEnd w:id="679"/>
    </w:p>
    <w:p w:rsidR="005B0B1B" w:rsidRPr="0031481D" w:rsidRDefault="0031481D" w:rsidP="00EE3EC8">
      <w:pPr>
        <w:ind w:left="720"/>
        <w:rPr>
          <w:lang w:val="en-NZ"/>
        </w:rPr>
      </w:pPr>
      <w:r w:rsidRPr="0031481D">
        <w:rPr>
          <w:lang w:val="en-NZ"/>
        </w:rPr>
        <w:t xml:space="preserve">Alternatively </w:t>
      </w:r>
      <w:r>
        <w:rPr>
          <w:lang w:val="en-NZ"/>
        </w:rPr>
        <w:t>Council could consider borrowing funds for the creation of new assets or for major upgrades that have a return on investment. This would take the pressure off the competing needs for renewing existing assets by delaying the payment of these new assets</w:t>
      </w:r>
      <w:r w:rsidR="00102F8A">
        <w:rPr>
          <w:lang w:val="en-NZ"/>
        </w:rPr>
        <w:t>.</w:t>
      </w:r>
    </w:p>
    <w:p w:rsidR="005B0B1B" w:rsidRDefault="005B0B1B" w:rsidP="003E5B9F">
      <w:pPr>
        <w:pStyle w:val="StyleHeading3Heading3Char10ptBefore6pt"/>
      </w:pPr>
      <w:bookmarkStart w:id="680" w:name="_Toc364945333"/>
      <w:r w:rsidRPr="005B0B1B">
        <w:t>Seek</w:t>
      </w:r>
      <w:r w:rsidR="00AA5445">
        <w:t>ing Private Sector Partnership O</w:t>
      </w:r>
      <w:r w:rsidRPr="005B0B1B">
        <w:t>pportunities</w:t>
      </w:r>
      <w:bookmarkEnd w:id="680"/>
    </w:p>
    <w:p w:rsidR="00AA5445" w:rsidRPr="00AA5445" w:rsidRDefault="00102F8A" w:rsidP="00AA5445">
      <w:pPr>
        <w:ind w:left="720"/>
        <w:rPr>
          <w:lang w:val="en-NZ"/>
        </w:rPr>
      </w:pPr>
      <w:r w:rsidRPr="00AA5445">
        <w:rPr>
          <w:lang w:val="en-NZ"/>
        </w:rPr>
        <w:t>There are several properties that are in locations that could attract interest from private developers for the upgrading of the existing assets or provide opportunities for shared development of the sites to include com</w:t>
      </w:r>
      <w:r w:rsidR="00AA5445">
        <w:rPr>
          <w:lang w:val="en-NZ"/>
        </w:rPr>
        <w:t>mercial, office space or public</w:t>
      </w:r>
      <w:r w:rsidRPr="00AA5445">
        <w:rPr>
          <w:lang w:val="en-NZ"/>
        </w:rPr>
        <w:t>/private housing. There has been some preliminary work done to progress opportunities</w:t>
      </w:r>
      <w:r w:rsidR="00BD23B9">
        <w:rPr>
          <w:lang w:val="en-NZ"/>
        </w:rPr>
        <w:t>.</w:t>
      </w:r>
      <w:r w:rsidRPr="00AA5445">
        <w:rPr>
          <w:lang w:val="en-NZ"/>
        </w:rPr>
        <w:t xml:space="preserve"> </w:t>
      </w:r>
    </w:p>
    <w:p w:rsidR="005B0B1B" w:rsidRPr="00BD23B9" w:rsidRDefault="005B0B1B" w:rsidP="003E5B9F">
      <w:pPr>
        <w:pStyle w:val="StyleHeading3Heading3Char10ptBefore6pt"/>
      </w:pPr>
      <w:bookmarkStart w:id="681" w:name="_Toc364945334"/>
      <w:r w:rsidRPr="00BD23B9">
        <w:t>Advocating for State and Federal Governmen</w:t>
      </w:r>
      <w:r w:rsidR="00BD23B9" w:rsidRPr="00BD23B9">
        <w:t>t F</w:t>
      </w:r>
      <w:r w:rsidRPr="00BD23B9">
        <w:t>unding</w:t>
      </w:r>
      <w:bookmarkEnd w:id="681"/>
    </w:p>
    <w:p w:rsidR="005B0B1B" w:rsidRPr="00AA5445" w:rsidRDefault="00102F8A" w:rsidP="00AA5445">
      <w:pPr>
        <w:ind w:left="720"/>
        <w:rPr>
          <w:lang w:val="en-NZ"/>
        </w:rPr>
      </w:pPr>
      <w:r w:rsidRPr="00AA5445">
        <w:rPr>
          <w:lang w:val="en-NZ"/>
        </w:rPr>
        <w:t>Council officers are continually looking for opportunities to advocate or seek funding for Capital Works projects from both the State and Federal Governments. Council has been successful in the past</w:t>
      </w:r>
      <w:r w:rsidR="00BD23B9">
        <w:rPr>
          <w:lang w:val="en-NZ"/>
        </w:rPr>
        <w:t xml:space="preserve"> attracting </w:t>
      </w:r>
      <w:r w:rsidRPr="00AA5445">
        <w:rPr>
          <w:lang w:val="en-NZ"/>
        </w:rPr>
        <w:t xml:space="preserve">funding for a range of projects including some buildings projects. It is anticipated that this will continue into the future. </w:t>
      </w:r>
      <w:r w:rsidR="004940F0" w:rsidRPr="00AA5445">
        <w:rPr>
          <w:lang w:val="en-NZ"/>
        </w:rPr>
        <w:t>When applications for external funding are successful reprioritising of projects will occur as part of the budget process to maximise funding opportunities.</w:t>
      </w:r>
    </w:p>
    <w:p w:rsidR="005B0B1B" w:rsidRDefault="00AA5445" w:rsidP="003E5B9F">
      <w:pPr>
        <w:pStyle w:val="StyleHeading3Heading3Char10ptBefore6pt"/>
      </w:pPr>
      <w:bookmarkStart w:id="682" w:name="_Toc364945335"/>
      <w:r>
        <w:t>Temporarily Suspending New Initiative P</w:t>
      </w:r>
      <w:r w:rsidR="005B0B1B" w:rsidRPr="005B0B1B">
        <w:t>rojects</w:t>
      </w:r>
      <w:bookmarkEnd w:id="682"/>
    </w:p>
    <w:p w:rsidR="005B0B1B" w:rsidRPr="004940F0" w:rsidRDefault="004940F0" w:rsidP="00AA5445">
      <w:pPr>
        <w:ind w:left="720"/>
        <w:rPr>
          <w:lang w:val="en-NZ"/>
        </w:rPr>
      </w:pPr>
      <w:r>
        <w:rPr>
          <w:lang w:val="en-NZ"/>
        </w:rPr>
        <w:t>The suspending or the deferral of the creation of new building assets is another option that Council could con</w:t>
      </w:r>
      <w:r w:rsidR="003E5CB5">
        <w:rPr>
          <w:lang w:val="en-NZ"/>
        </w:rPr>
        <w:t>sider. This option would allow C</w:t>
      </w:r>
      <w:r>
        <w:rPr>
          <w:lang w:val="en-NZ"/>
        </w:rPr>
        <w:t>ouncil officers to undertake an intense renewal program in the short term but would not necessarily remove the renewal gap in the long term. This option may not be popular with interest groups nor the broader community who have an expectation that projects that are</w:t>
      </w:r>
      <w:r w:rsidR="00BD23B9">
        <w:rPr>
          <w:lang w:val="en-NZ"/>
        </w:rPr>
        <w:t xml:space="preserve"> currently</w:t>
      </w:r>
      <w:r>
        <w:rPr>
          <w:lang w:val="en-NZ"/>
        </w:rPr>
        <w:t xml:space="preserve"> in the planning stage </w:t>
      </w:r>
      <w:r w:rsidR="00BD23B9">
        <w:rPr>
          <w:lang w:val="en-NZ"/>
        </w:rPr>
        <w:t>to be delivered within the next four years.</w:t>
      </w:r>
    </w:p>
    <w:p w:rsidR="005B0B1B" w:rsidRDefault="005B0B1B" w:rsidP="00AA5445">
      <w:pPr>
        <w:ind w:left="720"/>
      </w:pPr>
    </w:p>
    <w:p w:rsidR="006D7A09" w:rsidRPr="00CF2212" w:rsidRDefault="006D7A09" w:rsidP="00CF2212">
      <w:pPr>
        <w:pStyle w:val="Heading2"/>
      </w:pPr>
      <w:bookmarkStart w:id="683" w:name="_Toc364945336"/>
      <w:r w:rsidRPr="00CF2212">
        <w:rPr>
          <w:noProof/>
          <w:lang w:val="en-AU" w:eastAsia="en-AU"/>
        </w:rPr>
        <w:t xml:space="preserve">Significant Forecasting </w:t>
      </w:r>
      <w:r w:rsidRPr="00CF2212">
        <w:t>Assumptions, Risks and Issues</w:t>
      </w:r>
      <w:bookmarkEnd w:id="683"/>
    </w:p>
    <w:p w:rsidR="006D7A09" w:rsidRPr="00A56F69" w:rsidRDefault="006D7A09" w:rsidP="003E5B9F">
      <w:pPr>
        <w:pStyle w:val="StyleHeading3Heading3Char10ptBefore6pt"/>
        <w:rPr>
          <w:noProof/>
        </w:rPr>
      </w:pPr>
      <w:bookmarkStart w:id="684" w:name="_Toc364945337"/>
      <w:r>
        <w:rPr>
          <w:noProof/>
        </w:rPr>
        <w:t>Key Assumptions</w:t>
      </w:r>
      <w:bookmarkEnd w:id="684"/>
    </w:p>
    <w:p w:rsidR="005122EC" w:rsidRPr="005122EC" w:rsidRDefault="005122EC" w:rsidP="00AA5445">
      <w:pPr>
        <w:ind w:left="720"/>
      </w:pPr>
      <w:r w:rsidRPr="005122EC">
        <w:t xml:space="preserve">The following assumptions have been made in the preparation of this </w:t>
      </w:r>
      <w:r w:rsidR="00FC6F0D">
        <w:t>BAMP</w:t>
      </w:r>
      <w:r w:rsidRPr="005122EC">
        <w:t>:</w:t>
      </w:r>
    </w:p>
    <w:p w:rsidR="00AA5445" w:rsidRDefault="00AA5445" w:rsidP="00AA5445">
      <w:pPr>
        <w:ind w:left="720"/>
        <w:rPr>
          <w:rFonts w:cs="Arial"/>
        </w:rPr>
      </w:pPr>
    </w:p>
    <w:p w:rsidR="005122EC" w:rsidRPr="00BD77A7" w:rsidRDefault="005122EC" w:rsidP="008348B5">
      <w:pPr>
        <w:pStyle w:val="ListParagraph"/>
        <w:numPr>
          <w:ilvl w:val="0"/>
          <w:numId w:val="100"/>
        </w:numPr>
        <w:ind w:left="1080"/>
        <w:rPr>
          <w:rFonts w:ascii="Arial" w:hAnsi="Arial" w:cs="Arial"/>
          <w:sz w:val="20"/>
        </w:rPr>
      </w:pPr>
      <w:r w:rsidRPr="00BD77A7">
        <w:rPr>
          <w:rFonts w:ascii="Arial" w:hAnsi="Arial" w:cs="Arial"/>
          <w:sz w:val="20"/>
        </w:rPr>
        <w:t xml:space="preserve">Average life estimates of </w:t>
      </w:r>
      <w:r w:rsidR="002417C0" w:rsidRPr="00BD77A7">
        <w:rPr>
          <w:rFonts w:ascii="Arial" w:hAnsi="Arial" w:cs="Arial"/>
          <w:sz w:val="20"/>
        </w:rPr>
        <w:t xml:space="preserve">100 years </w:t>
      </w:r>
      <w:r w:rsidR="00FC6F0D" w:rsidRPr="00BD77A7">
        <w:rPr>
          <w:rFonts w:ascii="Arial" w:hAnsi="Arial" w:cs="Arial"/>
          <w:sz w:val="20"/>
        </w:rPr>
        <w:t>are used in modelling of life</w:t>
      </w:r>
      <w:r w:rsidRPr="00BD77A7">
        <w:rPr>
          <w:rFonts w:ascii="Arial" w:hAnsi="Arial" w:cs="Arial"/>
          <w:sz w:val="20"/>
        </w:rPr>
        <w:t>cycle costs (further refinement is required to incorporate condition based remaining life forecasts);</w:t>
      </w:r>
    </w:p>
    <w:p w:rsidR="005122EC" w:rsidRPr="00BD77A7" w:rsidRDefault="005122EC" w:rsidP="008348B5">
      <w:pPr>
        <w:pStyle w:val="ListParagraph"/>
        <w:numPr>
          <w:ilvl w:val="0"/>
          <w:numId w:val="100"/>
        </w:numPr>
        <w:ind w:left="1080"/>
        <w:rPr>
          <w:rFonts w:ascii="Arial" w:hAnsi="Arial" w:cs="Arial"/>
          <w:sz w:val="20"/>
        </w:rPr>
      </w:pPr>
      <w:r w:rsidRPr="00BD77A7">
        <w:rPr>
          <w:rFonts w:ascii="Arial" w:hAnsi="Arial" w:cs="Arial"/>
          <w:sz w:val="20"/>
        </w:rPr>
        <w:t>Average annual renewal forecasts are based on 2012 replacement values;</w:t>
      </w:r>
    </w:p>
    <w:p w:rsidR="005122EC" w:rsidRPr="00BD77A7" w:rsidRDefault="005122EC" w:rsidP="008348B5">
      <w:pPr>
        <w:pStyle w:val="ListParagraph"/>
        <w:numPr>
          <w:ilvl w:val="0"/>
          <w:numId w:val="100"/>
        </w:numPr>
        <w:ind w:left="1080"/>
        <w:rPr>
          <w:rFonts w:ascii="Arial" w:hAnsi="Arial" w:cs="Arial"/>
          <w:sz w:val="20"/>
        </w:rPr>
      </w:pPr>
      <w:r w:rsidRPr="00BD77A7">
        <w:rPr>
          <w:rFonts w:ascii="Arial" w:hAnsi="Arial" w:cs="Arial"/>
          <w:sz w:val="20"/>
        </w:rPr>
        <w:t xml:space="preserve">The current allocation towards renewal from the Capital Works budget has been assumed to continue for the next </w:t>
      </w:r>
      <w:r w:rsidR="00FC6F0D" w:rsidRPr="00BD77A7">
        <w:rPr>
          <w:rFonts w:ascii="Arial" w:hAnsi="Arial" w:cs="Arial"/>
          <w:sz w:val="20"/>
        </w:rPr>
        <w:t xml:space="preserve"> </w:t>
      </w:r>
      <w:r w:rsidRPr="00BD77A7">
        <w:rPr>
          <w:rFonts w:ascii="Arial" w:hAnsi="Arial" w:cs="Arial"/>
          <w:sz w:val="20"/>
        </w:rPr>
        <w:t>20 years for modelling purposes and to assist in determining the renewal gap;</w:t>
      </w:r>
      <w:r w:rsidR="00BD77A7">
        <w:rPr>
          <w:rFonts w:ascii="Arial" w:hAnsi="Arial" w:cs="Arial"/>
          <w:sz w:val="20"/>
        </w:rPr>
        <w:t xml:space="preserve"> and</w:t>
      </w:r>
    </w:p>
    <w:p w:rsidR="005122EC" w:rsidRPr="00BD77A7" w:rsidRDefault="005122EC" w:rsidP="008348B5">
      <w:pPr>
        <w:pStyle w:val="ListParagraph"/>
        <w:numPr>
          <w:ilvl w:val="0"/>
          <w:numId w:val="100"/>
        </w:numPr>
        <w:ind w:left="1080"/>
        <w:rPr>
          <w:rFonts w:ascii="Arial" w:hAnsi="Arial" w:cs="Arial"/>
          <w:sz w:val="20"/>
        </w:rPr>
      </w:pPr>
      <w:r w:rsidRPr="00BD77A7">
        <w:rPr>
          <w:rFonts w:ascii="Arial" w:hAnsi="Arial" w:cs="Arial"/>
          <w:sz w:val="20"/>
        </w:rPr>
        <w:t>Modelling calculations do not allow for inflation</w:t>
      </w:r>
      <w:r w:rsidR="00FC6F0D" w:rsidRPr="00BD77A7">
        <w:rPr>
          <w:rFonts w:ascii="Arial" w:hAnsi="Arial" w:cs="Arial"/>
          <w:sz w:val="20"/>
        </w:rPr>
        <w:t xml:space="preserve"> (</w:t>
      </w:r>
      <w:r w:rsidRPr="00BD77A7">
        <w:rPr>
          <w:rFonts w:ascii="Arial" w:hAnsi="Arial" w:cs="Arial"/>
          <w:sz w:val="20"/>
        </w:rPr>
        <w:t>rise and falls etc</w:t>
      </w:r>
      <w:r w:rsidR="00852378">
        <w:rPr>
          <w:rFonts w:ascii="Arial" w:hAnsi="Arial" w:cs="Arial"/>
          <w:sz w:val="20"/>
        </w:rPr>
        <w:t>.</w:t>
      </w:r>
      <w:r w:rsidRPr="00BD77A7">
        <w:rPr>
          <w:rFonts w:ascii="Arial" w:hAnsi="Arial" w:cs="Arial"/>
          <w:sz w:val="20"/>
        </w:rPr>
        <w:t>);</w:t>
      </w:r>
    </w:p>
    <w:p w:rsidR="00BD77A7" w:rsidRDefault="00BD77A7" w:rsidP="00AA5445">
      <w:pPr>
        <w:ind w:left="720"/>
      </w:pPr>
    </w:p>
    <w:p w:rsidR="005122EC" w:rsidRPr="005122EC" w:rsidRDefault="005122EC" w:rsidP="00BD77A7">
      <w:pPr>
        <w:ind w:left="720"/>
        <w:jc w:val="left"/>
      </w:pPr>
      <w:r w:rsidRPr="00BD77A7">
        <w:rPr>
          <w:rFonts w:cs="Arial"/>
        </w:rPr>
        <w:t>Other</w:t>
      </w:r>
      <w:r w:rsidRPr="005122EC">
        <w:t xml:space="preserve"> Assumptions</w:t>
      </w:r>
      <w:r w:rsidR="00BD77A7">
        <w:t>:</w:t>
      </w:r>
    </w:p>
    <w:p w:rsidR="00BD77A7" w:rsidRPr="00BD77A7" w:rsidRDefault="00BD77A7" w:rsidP="00D3382E">
      <w:pPr>
        <w:ind w:left="720"/>
      </w:pPr>
    </w:p>
    <w:p w:rsidR="005122EC" w:rsidRPr="00BD77A7" w:rsidRDefault="005122EC" w:rsidP="008348B5">
      <w:pPr>
        <w:pStyle w:val="ListParagraph"/>
        <w:numPr>
          <w:ilvl w:val="0"/>
          <w:numId w:val="100"/>
        </w:numPr>
        <w:ind w:left="1080"/>
        <w:rPr>
          <w:rFonts w:ascii="Arial" w:hAnsi="Arial" w:cs="Arial"/>
          <w:sz w:val="20"/>
        </w:rPr>
      </w:pPr>
      <w:r w:rsidRPr="00BD77A7">
        <w:rPr>
          <w:rFonts w:ascii="Arial" w:hAnsi="Arial" w:cs="Arial"/>
          <w:sz w:val="20"/>
        </w:rPr>
        <w:t>The demand for existing facilities (buildings/structures) will continue as currently identified to meet for service delivery needs. Any removal/disposal of existing assets will reduce the long term renewal demand;</w:t>
      </w:r>
    </w:p>
    <w:p w:rsidR="005122EC" w:rsidRPr="00BD77A7" w:rsidRDefault="005122EC" w:rsidP="008348B5">
      <w:pPr>
        <w:pStyle w:val="ListParagraph"/>
        <w:numPr>
          <w:ilvl w:val="0"/>
          <w:numId w:val="100"/>
        </w:numPr>
        <w:ind w:left="1080"/>
        <w:rPr>
          <w:rFonts w:ascii="Arial" w:hAnsi="Arial" w:cs="Arial"/>
          <w:sz w:val="20"/>
        </w:rPr>
      </w:pPr>
      <w:r w:rsidRPr="00BD77A7">
        <w:rPr>
          <w:rFonts w:ascii="Arial" w:hAnsi="Arial" w:cs="Arial"/>
          <w:sz w:val="20"/>
        </w:rPr>
        <w:t>Council will continue to own its operational property;</w:t>
      </w:r>
      <w:r w:rsidR="00BD77A7">
        <w:rPr>
          <w:rFonts w:ascii="Arial" w:hAnsi="Arial" w:cs="Arial"/>
          <w:sz w:val="20"/>
        </w:rPr>
        <w:t xml:space="preserve"> and</w:t>
      </w:r>
    </w:p>
    <w:p w:rsidR="005122EC" w:rsidRPr="00BD77A7" w:rsidRDefault="005122EC" w:rsidP="008348B5">
      <w:pPr>
        <w:pStyle w:val="ListParagraph"/>
        <w:numPr>
          <w:ilvl w:val="0"/>
          <w:numId w:val="100"/>
        </w:numPr>
        <w:ind w:left="1080"/>
        <w:rPr>
          <w:rFonts w:ascii="Arial" w:hAnsi="Arial" w:cs="Arial"/>
          <w:sz w:val="20"/>
        </w:rPr>
      </w:pPr>
      <w:r w:rsidRPr="00BD77A7">
        <w:rPr>
          <w:rFonts w:ascii="Arial" w:hAnsi="Arial" w:cs="Arial"/>
          <w:sz w:val="20"/>
        </w:rPr>
        <w:t>Technological and environmental changes may require unplanned works to be undertaken to satisfy those requirements over and above anticipated expenditure.</w:t>
      </w:r>
    </w:p>
    <w:p w:rsidR="006D7A09" w:rsidRPr="00A56F69" w:rsidRDefault="006D7A09" w:rsidP="003E5B9F">
      <w:pPr>
        <w:pStyle w:val="StyleHeading3Heading3Char10ptBefore6pt"/>
        <w:rPr>
          <w:noProof/>
        </w:rPr>
      </w:pPr>
      <w:bookmarkStart w:id="685" w:name="_Toc364945338"/>
      <w:r>
        <w:rPr>
          <w:noProof/>
        </w:rPr>
        <w:t>Reliability and Confidence in Financial Estimates</w:t>
      </w:r>
      <w:bookmarkEnd w:id="685"/>
    </w:p>
    <w:p w:rsidR="006D7A09" w:rsidRPr="00920DB6" w:rsidRDefault="006D7A09" w:rsidP="00BD77A7">
      <w:pPr>
        <w:ind w:left="720"/>
      </w:pPr>
      <w:r w:rsidRPr="00920DB6">
        <w:t xml:space="preserve">The confidence in the financial forecasts is assessed based on the grading system of the </w:t>
      </w:r>
      <w:r w:rsidR="00BD23B9">
        <w:t xml:space="preserve">IMM </w:t>
      </w:r>
      <w:r w:rsidRPr="00920DB6">
        <w:t>Guidelines for Infrastructure Asset Grading Standards, summarised in the next table.</w:t>
      </w:r>
    </w:p>
    <w:p w:rsidR="006D7A09" w:rsidRPr="00920DB6" w:rsidRDefault="006D7A09" w:rsidP="00BD77A7">
      <w:pPr>
        <w:ind w:left="720"/>
      </w:pPr>
    </w:p>
    <w:tbl>
      <w:tblPr>
        <w:tblW w:w="8157" w:type="dxa"/>
        <w:tblInd w:w="9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305"/>
        <w:gridCol w:w="6852"/>
      </w:tblGrid>
      <w:tr w:rsidR="00920DB6" w:rsidRPr="009B244A" w:rsidTr="00FC370B">
        <w:trPr>
          <w:cantSplit/>
          <w:tblHeader/>
        </w:trPr>
        <w:tc>
          <w:tcPr>
            <w:tcW w:w="1305" w:type="dxa"/>
            <w:shd w:val="clear" w:color="auto" w:fill="95B3D7" w:themeFill="accent1" w:themeFillTint="99"/>
          </w:tcPr>
          <w:p w:rsidR="006D7A09" w:rsidRPr="009B244A" w:rsidRDefault="006D7A09" w:rsidP="008F1A1C">
            <w:pPr>
              <w:spacing w:before="120" w:after="120"/>
              <w:jc w:val="center"/>
              <w:rPr>
                <w:b/>
              </w:rPr>
            </w:pPr>
            <w:r w:rsidRPr="009B244A">
              <w:rPr>
                <w:b/>
              </w:rPr>
              <w:t>Confidence Grade</w:t>
            </w:r>
          </w:p>
        </w:tc>
        <w:tc>
          <w:tcPr>
            <w:tcW w:w="6852" w:type="dxa"/>
            <w:shd w:val="clear" w:color="auto" w:fill="95B3D7" w:themeFill="accent1" w:themeFillTint="99"/>
          </w:tcPr>
          <w:p w:rsidR="006D7A09" w:rsidRPr="009B244A" w:rsidRDefault="006D7A09" w:rsidP="008F1A1C">
            <w:pPr>
              <w:spacing w:before="120" w:after="120"/>
              <w:jc w:val="left"/>
              <w:rPr>
                <w:b/>
              </w:rPr>
            </w:pPr>
            <w:r w:rsidRPr="009B244A">
              <w:rPr>
                <w:b/>
              </w:rPr>
              <w:t>General Meaning</w:t>
            </w:r>
          </w:p>
        </w:tc>
      </w:tr>
      <w:tr w:rsidR="006D7A09" w:rsidRPr="009B244A" w:rsidTr="00FC370B">
        <w:trPr>
          <w:cantSplit/>
        </w:trPr>
        <w:tc>
          <w:tcPr>
            <w:tcW w:w="1305" w:type="dxa"/>
            <w:shd w:val="clear" w:color="auto" w:fill="auto"/>
          </w:tcPr>
          <w:p w:rsidR="006D7A09" w:rsidRPr="009B244A" w:rsidRDefault="006D7A09" w:rsidP="008F1A1C">
            <w:pPr>
              <w:spacing w:before="120" w:after="120"/>
              <w:jc w:val="center"/>
            </w:pPr>
            <w:r w:rsidRPr="009B244A">
              <w:t>A</w:t>
            </w:r>
          </w:p>
        </w:tc>
        <w:tc>
          <w:tcPr>
            <w:tcW w:w="6852" w:type="dxa"/>
            <w:shd w:val="clear" w:color="auto" w:fill="auto"/>
          </w:tcPr>
          <w:p w:rsidR="006D7A09" w:rsidRPr="009B244A" w:rsidRDefault="006D7A09" w:rsidP="007243A8">
            <w:pPr>
              <w:spacing w:before="120" w:after="120"/>
              <w:jc w:val="left"/>
            </w:pPr>
            <w:r w:rsidRPr="009B244A">
              <w:rPr>
                <w:b/>
              </w:rPr>
              <w:t>Highly Reliable</w:t>
            </w:r>
            <w:r w:rsidR="007243A8" w:rsidRPr="009B244A">
              <w:rPr>
                <w:b/>
              </w:rPr>
              <w:br/>
            </w:r>
            <w:r w:rsidRPr="009B244A">
              <w:t>Data based on sound records, procedure, investigation and analysis, which is properly documented and recognised as the best method of assessment.</w:t>
            </w:r>
          </w:p>
        </w:tc>
      </w:tr>
      <w:tr w:rsidR="006D7A09" w:rsidRPr="009B244A" w:rsidTr="00FC370B">
        <w:trPr>
          <w:cantSplit/>
        </w:trPr>
        <w:tc>
          <w:tcPr>
            <w:tcW w:w="1305" w:type="dxa"/>
            <w:shd w:val="clear" w:color="auto" w:fill="auto"/>
          </w:tcPr>
          <w:p w:rsidR="006D7A09" w:rsidRPr="009B244A" w:rsidRDefault="006D7A09" w:rsidP="008F1A1C">
            <w:pPr>
              <w:spacing w:before="120" w:after="120"/>
              <w:jc w:val="center"/>
            </w:pPr>
            <w:r w:rsidRPr="009B244A">
              <w:t>B</w:t>
            </w:r>
          </w:p>
        </w:tc>
        <w:tc>
          <w:tcPr>
            <w:tcW w:w="6852" w:type="dxa"/>
            <w:shd w:val="clear" w:color="auto" w:fill="auto"/>
          </w:tcPr>
          <w:p w:rsidR="006D7A09" w:rsidRPr="009B244A" w:rsidRDefault="006D7A09" w:rsidP="007243A8">
            <w:pPr>
              <w:spacing w:before="120" w:after="120"/>
              <w:jc w:val="left"/>
            </w:pPr>
            <w:r w:rsidRPr="009B244A">
              <w:rPr>
                <w:b/>
              </w:rPr>
              <w:t>Reli</w:t>
            </w:r>
            <w:r w:rsidR="008F1A1C" w:rsidRPr="009B244A">
              <w:rPr>
                <w:b/>
              </w:rPr>
              <w:t>a</w:t>
            </w:r>
            <w:r w:rsidRPr="009B244A">
              <w:rPr>
                <w:b/>
              </w:rPr>
              <w:t>ble</w:t>
            </w:r>
            <w:r w:rsidR="007243A8" w:rsidRPr="009B244A">
              <w:rPr>
                <w:b/>
              </w:rPr>
              <w:br/>
            </w:r>
            <w:r w:rsidRPr="009B244A">
              <w:t>Data based on sound records, procedure, investigation and analysis which is properly documented but has minor shortcomings, for example the data is old, some documentation is missing and reliance is placed on unconfirmed reports or some extrapolation.</w:t>
            </w:r>
          </w:p>
        </w:tc>
      </w:tr>
      <w:tr w:rsidR="006D7A09" w:rsidRPr="009B244A" w:rsidTr="00FC370B">
        <w:trPr>
          <w:cantSplit/>
        </w:trPr>
        <w:tc>
          <w:tcPr>
            <w:tcW w:w="1305" w:type="dxa"/>
            <w:shd w:val="clear" w:color="auto" w:fill="auto"/>
          </w:tcPr>
          <w:p w:rsidR="006D7A09" w:rsidRPr="009B244A" w:rsidRDefault="006D7A09" w:rsidP="008F1A1C">
            <w:pPr>
              <w:spacing w:before="120" w:after="120"/>
              <w:jc w:val="center"/>
            </w:pPr>
            <w:r w:rsidRPr="009B244A">
              <w:t>C</w:t>
            </w:r>
          </w:p>
        </w:tc>
        <w:tc>
          <w:tcPr>
            <w:tcW w:w="6852" w:type="dxa"/>
            <w:shd w:val="clear" w:color="auto" w:fill="auto"/>
          </w:tcPr>
          <w:p w:rsidR="006D7A09" w:rsidRPr="009B244A" w:rsidRDefault="006D7A09" w:rsidP="007243A8">
            <w:pPr>
              <w:spacing w:before="120" w:after="120"/>
              <w:jc w:val="left"/>
            </w:pPr>
            <w:r w:rsidRPr="009B244A">
              <w:rPr>
                <w:b/>
              </w:rPr>
              <w:t>Uncertain</w:t>
            </w:r>
            <w:r w:rsidR="007243A8" w:rsidRPr="009B244A">
              <w:rPr>
                <w:b/>
              </w:rPr>
              <w:br/>
            </w:r>
            <w:r w:rsidRPr="009B244A">
              <w:t>Data based on records, procedure, investigation and analysis, which is incomplete or unsupported, or extrapolation from a limited sample for which grade A or B data is available.</w:t>
            </w:r>
          </w:p>
        </w:tc>
      </w:tr>
      <w:tr w:rsidR="006D7A09" w:rsidRPr="009B244A" w:rsidTr="00FC370B">
        <w:trPr>
          <w:cantSplit/>
        </w:trPr>
        <w:tc>
          <w:tcPr>
            <w:tcW w:w="1305" w:type="dxa"/>
            <w:shd w:val="clear" w:color="auto" w:fill="auto"/>
          </w:tcPr>
          <w:p w:rsidR="006D7A09" w:rsidRPr="009B244A" w:rsidRDefault="006D7A09" w:rsidP="008F1A1C">
            <w:pPr>
              <w:spacing w:before="120" w:after="120"/>
              <w:jc w:val="center"/>
            </w:pPr>
            <w:r w:rsidRPr="009B244A">
              <w:t>D</w:t>
            </w:r>
          </w:p>
        </w:tc>
        <w:tc>
          <w:tcPr>
            <w:tcW w:w="6852" w:type="dxa"/>
            <w:shd w:val="clear" w:color="auto" w:fill="auto"/>
          </w:tcPr>
          <w:p w:rsidR="006D7A09" w:rsidRPr="009B244A" w:rsidRDefault="006D7A09" w:rsidP="00BD23B9">
            <w:pPr>
              <w:spacing w:before="120" w:after="120"/>
              <w:jc w:val="left"/>
            </w:pPr>
            <w:r w:rsidRPr="009B244A">
              <w:rPr>
                <w:b/>
              </w:rPr>
              <w:t>Very Uncertain</w:t>
            </w:r>
            <w:r w:rsidR="007243A8" w:rsidRPr="009B244A">
              <w:rPr>
                <w:b/>
              </w:rPr>
              <w:br/>
            </w:r>
            <w:r w:rsidRPr="009B244A">
              <w:t>Data based on unconfirmed verbal reports and/or cursory inspection and analysis.</w:t>
            </w:r>
          </w:p>
        </w:tc>
      </w:tr>
    </w:tbl>
    <w:p w:rsidR="005359E0" w:rsidRPr="0024611A" w:rsidRDefault="005359E0" w:rsidP="004508C7">
      <w:pPr>
        <w:pStyle w:val="Caption"/>
        <w:spacing w:before="240" w:after="240"/>
        <w:ind w:left="720"/>
        <w:jc w:val="center"/>
        <w:rPr>
          <w:rFonts w:ascii="Arial" w:hAnsi="Arial"/>
          <w:i w:val="0"/>
          <w:iCs w:val="0"/>
          <w:sz w:val="20"/>
          <w:lang w:val="en-AU"/>
        </w:rPr>
      </w:pPr>
      <w:bookmarkStart w:id="686" w:name="_Toc364945450"/>
      <w:bookmarkStart w:id="687" w:name="_Toc341787536"/>
      <w:r w:rsidRPr="0024611A">
        <w:rPr>
          <w:rFonts w:ascii="Arial" w:hAnsi="Arial"/>
          <w:i w:val="0"/>
          <w:iCs w:val="0"/>
          <w:sz w:val="20"/>
          <w:lang w:val="en-AU"/>
        </w:rPr>
        <w:t xml:space="preserve">Table </w:t>
      </w:r>
      <w:r w:rsidR="0090414C" w:rsidRPr="0024611A">
        <w:rPr>
          <w:rFonts w:ascii="Arial" w:hAnsi="Arial"/>
          <w:i w:val="0"/>
          <w:iCs w:val="0"/>
          <w:sz w:val="20"/>
          <w:lang w:val="en-AU"/>
        </w:rPr>
        <w:fldChar w:fldCharType="begin"/>
      </w:r>
      <w:r w:rsidR="0012012A" w:rsidRPr="0024611A">
        <w:rPr>
          <w:rFonts w:ascii="Arial" w:hAnsi="Arial"/>
          <w:i w:val="0"/>
          <w:iCs w:val="0"/>
          <w:sz w:val="20"/>
          <w:lang w:val="en-AU"/>
        </w:rPr>
        <w:instrText xml:space="preserve"> SEQ Table \* ARABIC </w:instrText>
      </w:r>
      <w:r w:rsidR="0090414C" w:rsidRPr="0024611A">
        <w:rPr>
          <w:rFonts w:ascii="Arial" w:hAnsi="Arial"/>
          <w:i w:val="0"/>
          <w:iCs w:val="0"/>
          <w:sz w:val="20"/>
          <w:lang w:val="en-AU"/>
        </w:rPr>
        <w:fldChar w:fldCharType="separate"/>
      </w:r>
      <w:r w:rsidR="00751CEC">
        <w:rPr>
          <w:rFonts w:ascii="Arial" w:hAnsi="Arial"/>
          <w:i w:val="0"/>
          <w:iCs w:val="0"/>
          <w:noProof/>
          <w:sz w:val="20"/>
          <w:lang w:val="en-AU"/>
        </w:rPr>
        <w:t>46</w:t>
      </w:r>
      <w:r w:rsidR="0090414C" w:rsidRPr="0024611A">
        <w:rPr>
          <w:rFonts w:ascii="Arial" w:hAnsi="Arial"/>
          <w:i w:val="0"/>
          <w:iCs w:val="0"/>
          <w:sz w:val="20"/>
          <w:lang w:val="en-AU"/>
        </w:rPr>
        <w:fldChar w:fldCharType="end"/>
      </w:r>
      <w:r w:rsidRPr="0024611A">
        <w:rPr>
          <w:rFonts w:ascii="Arial" w:hAnsi="Arial"/>
          <w:i w:val="0"/>
          <w:iCs w:val="0"/>
          <w:sz w:val="20"/>
          <w:lang w:val="en-AU"/>
        </w:rPr>
        <w:t>:</w:t>
      </w:r>
      <w:r w:rsidR="008F1A1C" w:rsidRPr="0024611A">
        <w:rPr>
          <w:rFonts w:ascii="Arial" w:hAnsi="Arial"/>
          <w:i w:val="0"/>
          <w:iCs w:val="0"/>
          <w:sz w:val="20"/>
          <w:lang w:val="en-AU"/>
        </w:rPr>
        <w:t xml:space="preserve"> </w:t>
      </w:r>
      <w:r w:rsidRPr="0024611A">
        <w:rPr>
          <w:rFonts w:ascii="Arial" w:hAnsi="Arial"/>
          <w:i w:val="0"/>
          <w:iCs w:val="0"/>
          <w:sz w:val="20"/>
          <w:lang w:val="en-AU"/>
        </w:rPr>
        <w:t xml:space="preserve"> Confidence Level Rating Criteria</w:t>
      </w:r>
      <w:bookmarkEnd w:id="686"/>
    </w:p>
    <w:bookmarkEnd w:id="687"/>
    <w:p w:rsidR="006D7A09" w:rsidRDefault="00FC6F0D" w:rsidP="007243A8">
      <w:pPr>
        <w:keepNext/>
        <w:keepLines/>
        <w:tabs>
          <w:tab w:val="left" w:pos="1287"/>
        </w:tabs>
        <w:ind w:left="720"/>
      </w:pPr>
      <w:r>
        <w:t xml:space="preserve">The overall </w:t>
      </w:r>
      <w:r w:rsidR="006D7A09" w:rsidRPr="00920DB6">
        <w:t>confidence level of the financial projections is rated as ‘Reliable’, based on a high level assessment of the following key factors contributing to the Plan quality.</w:t>
      </w:r>
    </w:p>
    <w:p w:rsidR="00920DB6" w:rsidRPr="00920DB6" w:rsidRDefault="00920DB6" w:rsidP="007243A8">
      <w:pPr>
        <w:keepNext/>
        <w:keepLines/>
        <w:ind w:left="720"/>
      </w:pPr>
    </w:p>
    <w:tbl>
      <w:tblP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268"/>
        <w:gridCol w:w="5406"/>
        <w:gridCol w:w="795"/>
      </w:tblGrid>
      <w:tr w:rsidR="006D7A09" w:rsidRPr="009B244A" w:rsidTr="007243A8">
        <w:trPr>
          <w:cantSplit/>
          <w:jc w:val="right"/>
        </w:trPr>
        <w:tc>
          <w:tcPr>
            <w:tcW w:w="2268" w:type="dxa"/>
            <w:shd w:val="clear" w:color="auto" w:fill="95B3D7" w:themeFill="accent1" w:themeFillTint="99"/>
            <w:vAlign w:val="center"/>
          </w:tcPr>
          <w:p w:rsidR="006D7A09" w:rsidRPr="009B244A" w:rsidRDefault="007243A8" w:rsidP="007243A8">
            <w:pPr>
              <w:keepNext/>
              <w:keepLines/>
              <w:spacing w:before="120" w:after="120"/>
              <w:jc w:val="left"/>
              <w:rPr>
                <w:b/>
              </w:rPr>
            </w:pPr>
            <w:r w:rsidRPr="009B244A">
              <w:rPr>
                <w:b/>
              </w:rPr>
              <w:t>Plan Attribute</w:t>
            </w:r>
            <w:r w:rsidR="006D7A09" w:rsidRPr="009B244A">
              <w:rPr>
                <w:b/>
              </w:rPr>
              <w:t>/</w:t>
            </w:r>
            <w:r w:rsidRPr="009B244A">
              <w:rPr>
                <w:b/>
              </w:rPr>
              <w:br/>
            </w:r>
            <w:r w:rsidR="006D7A09" w:rsidRPr="009B244A">
              <w:rPr>
                <w:b/>
              </w:rPr>
              <w:t>Quality Elements</w:t>
            </w:r>
          </w:p>
        </w:tc>
        <w:tc>
          <w:tcPr>
            <w:tcW w:w="5406" w:type="dxa"/>
            <w:shd w:val="clear" w:color="auto" w:fill="95B3D7" w:themeFill="accent1" w:themeFillTint="99"/>
            <w:vAlign w:val="center"/>
          </w:tcPr>
          <w:p w:rsidR="006D7A09" w:rsidRPr="009B244A" w:rsidRDefault="006D7A09" w:rsidP="00FA169C">
            <w:pPr>
              <w:keepNext/>
              <w:keepLines/>
              <w:spacing w:before="120" w:after="120"/>
              <w:jc w:val="left"/>
              <w:rPr>
                <w:b/>
              </w:rPr>
            </w:pPr>
            <w:r w:rsidRPr="009B244A">
              <w:rPr>
                <w:b/>
              </w:rPr>
              <w:t xml:space="preserve">Best Practice </w:t>
            </w:r>
            <w:r w:rsidR="00BD23B9" w:rsidRPr="009B244A">
              <w:rPr>
                <w:b/>
              </w:rPr>
              <w:t>Requirements</w:t>
            </w:r>
          </w:p>
        </w:tc>
        <w:tc>
          <w:tcPr>
            <w:tcW w:w="0" w:type="auto"/>
            <w:shd w:val="clear" w:color="auto" w:fill="95B3D7" w:themeFill="accent1" w:themeFillTint="99"/>
            <w:vAlign w:val="center"/>
          </w:tcPr>
          <w:p w:rsidR="006D7A09" w:rsidRPr="009B244A" w:rsidRDefault="006D7A09" w:rsidP="007243A8">
            <w:pPr>
              <w:keepNext/>
              <w:keepLines/>
              <w:spacing w:before="120" w:after="120"/>
              <w:jc w:val="center"/>
              <w:rPr>
                <w:b/>
              </w:rPr>
            </w:pPr>
            <w:r w:rsidRPr="009B244A">
              <w:rPr>
                <w:b/>
              </w:rPr>
              <w:t>Grade</w:t>
            </w:r>
          </w:p>
        </w:tc>
      </w:tr>
      <w:tr w:rsidR="006D7A09" w:rsidRPr="009B244A" w:rsidTr="007243A8">
        <w:trPr>
          <w:cantSplit/>
          <w:jc w:val="right"/>
        </w:trPr>
        <w:tc>
          <w:tcPr>
            <w:tcW w:w="2268" w:type="dxa"/>
            <w:shd w:val="clear" w:color="auto" w:fill="auto"/>
          </w:tcPr>
          <w:p w:rsidR="006D7A09" w:rsidRPr="009B244A" w:rsidRDefault="006D7A09" w:rsidP="007243A8">
            <w:pPr>
              <w:keepNext/>
              <w:keepLines/>
              <w:spacing w:before="120" w:after="120"/>
              <w:jc w:val="left"/>
            </w:pPr>
            <w:r w:rsidRPr="009B244A">
              <w:t>Service Levels</w:t>
            </w:r>
          </w:p>
        </w:tc>
        <w:tc>
          <w:tcPr>
            <w:tcW w:w="5406" w:type="dxa"/>
          </w:tcPr>
          <w:p w:rsidR="006D7A09" w:rsidRPr="009B244A" w:rsidRDefault="006D7A09" w:rsidP="007243A8">
            <w:pPr>
              <w:keepNext/>
              <w:keepLines/>
              <w:spacing w:before="120" w:after="120"/>
              <w:jc w:val="left"/>
            </w:pPr>
            <w:r w:rsidRPr="009B244A">
              <w:t>Community, technical and maintenance</w:t>
            </w:r>
            <w:r w:rsidR="00FC6F0D" w:rsidRPr="009B244A">
              <w:t xml:space="preserve"> </w:t>
            </w:r>
            <w:r w:rsidRPr="009B244A">
              <w:t>levels of service are defined for different building classes</w:t>
            </w:r>
            <w:r w:rsidR="00FC6F0D" w:rsidRPr="009B244A">
              <w:t>.</w:t>
            </w:r>
          </w:p>
        </w:tc>
        <w:tc>
          <w:tcPr>
            <w:tcW w:w="0" w:type="auto"/>
            <w:shd w:val="clear" w:color="auto" w:fill="auto"/>
          </w:tcPr>
          <w:p w:rsidR="006D7A09" w:rsidRPr="009B244A" w:rsidRDefault="006D7A09" w:rsidP="007243A8">
            <w:pPr>
              <w:keepNext/>
              <w:keepLines/>
              <w:spacing w:before="120" w:after="120"/>
              <w:jc w:val="center"/>
            </w:pPr>
            <w:r w:rsidRPr="009B244A">
              <w:t>B</w:t>
            </w:r>
          </w:p>
        </w:tc>
      </w:tr>
      <w:tr w:rsidR="006D7A09" w:rsidRPr="009B244A" w:rsidTr="007243A8">
        <w:trPr>
          <w:cantSplit/>
          <w:jc w:val="right"/>
        </w:trPr>
        <w:tc>
          <w:tcPr>
            <w:tcW w:w="2268" w:type="dxa"/>
            <w:shd w:val="clear" w:color="auto" w:fill="auto"/>
          </w:tcPr>
          <w:p w:rsidR="006D7A09" w:rsidRPr="009B244A" w:rsidRDefault="006D7A09" w:rsidP="007243A8">
            <w:pPr>
              <w:keepNext/>
              <w:keepLines/>
              <w:spacing w:before="120" w:after="120"/>
              <w:jc w:val="left"/>
            </w:pPr>
            <w:r w:rsidRPr="009B244A">
              <w:t>Demand forecast analysis</w:t>
            </w:r>
          </w:p>
        </w:tc>
        <w:tc>
          <w:tcPr>
            <w:tcW w:w="5406" w:type="dxa"/>
          </w:tcPr>
          <w:p w:rsidR="006D7A09" w:rsidRPr="009B244A" w:rsidRDefault="006D7A09" w:rsidP="007243A8">
            <w:pPr>
              <w:keepNext/>
              <w:keepLines/>
              <w:spacing w:before="120" w:after="120"/>
              <w:jc w:val="left"/>
            </w:pPr>
            <w:r w:rsidRPr="009B244A">
              <w:t>Community infrastructure planning process</w:t>
            </w:r>
            <w:r w:rsidR="000B4AFC">
              <w:t>es</w:t>
            </w:r>
            <w:r w:rsidRPr="009B244A">
              <w:t xml:space="preserve"> are in place and implemented to provide demand forecasts</w:t>
            </w:r>
            <w:r w:rsidR="00FC6F0D" w:rsidRPr="009B244A">
              <w:t>.</w:t>
            </w:r>
          </w:p>
        </w:tc>
        <w:tc>
          <w:tcPr>
            <w:tcW w:w="0" w:type="auto"/>
            <w:shd w:val="clear" w:color="auto" w:fill="auto"/>
          </w:tcPr>
          <w:p w:rsidR="006D7A09" w:rsidRPr="009B244A" w:rsidRDefault="00BD23B9" w:rsidP="007243A8">
            <w:pPr>
              <w:keepNext/>
              <w:keepLines/>
              <w:spacing w:before="120" w:after="120"/>
              <w:jc w:val="center"/>
            </w:pPr>
            <w:r w:rsidRPr="009B244A">
              <w:t>B</w:t>
            </w:r>
          </w:p>
        </w:tc>
      </w:tr>
      <w:tr w:rsidR="006D7A09" w:rsidRPr="009B244A" w:rsidTr="007243A8">
        <w:trPr>
          <w:cantSplit/>
          <w:jc w:val="right"/>
        </w:trPr>
        <w:tc>
          <w:tcPr>
            <w:tcW w:w="2268" w:type="dxa"/>
            <w:shd w:val="clear" w:color="auto" w:fill="auto"/>
          </w:tcPr>
          <w:p w:rsidR="006D7A09" w:rsidRPr="009B244A" w:rsidRDefault="006D7A09" w:rsidP="007243A8">
            <w:pPr>
              <w:keepNext/>
              <w:keepLines/>
              <w:spacing w:before="120" w:after="120"/>
              <w:jc w:val="left"/>
            </w:pPr>
            <w:r w:rsidRPr="009B244A">
              <w:t>Performance data (asset functionality and capacity)</w:t>
            </w:r>
          </w:p>
        </w:tc>
        <w:tc>
          <w:tcPr>
            <w:tcW w:w="5406" w:type="dxa"/>
          </w:tcPr>
          <w:p w:rsidR="006D7A09" w:rsidRPr="009B244A" w:rsidRDefault="006D7A09" w:rsidP="007243A8">
            <w:pPr>
              <w:keepNext/>
              <w:keepLines/>
              <w:spacing w:before="120" w:after="120"/>
              <w:jc w:val="left"/>
            </w:pPr>
            <w:r w:rsidRPr="009B244A">
              <w:t>Building performance including sustainability issues are fully addressed and incorporated in future works program.</w:t>
            </w:r>
          </w:p>
        </w:tc>
        <w:tc>
          <w:tcPr>
            <w:tcW w:w="0" w:type="auto"/>
            <w:shd w:val="clear" w:color="auto" w:fill="auto"/>
          </w:tcPr>
          <w:p w:rsidR="006D7A09" w:rsidRPr="009B244A" w:rsidRDefault="00BD23B9" w:rsidP="00BD23B9">
            <w:pPr>
              <w:keepNext/>
              <w:keepLines/>
              <w:spacing w:before="120" w:after="120"/>
              <w:jc w:val="center"/>
            </w:pPr>
            <w:r w:rsidRPr="009B244A">
              <w:t>B</w:t>
            </w:r>
          </w:p>
        </w:tc>
      </w:tr>
      <w:tr w:rsidR="006D7A09" w:rsidRPr="009B244A" w:rsidTr="007243A8">
        <w:trPr>
          <w:cantSplit/>
          <w:jc w:val="right"/>
        </w:trPr>
        <w:tc>
          <w:tcPr>
            <w:tcW w:w="2268" w:type="dxa"/>
            <w:shd w:val="clear" w:color="auto" w:fill="auto"/>
          </w:tcPr>
          <w:p w:rsidR="006D7A09" w:rsidRPr="009B244A" w:rsidRDefault="006D7A09" w:rsidP="007243A8">
            <w:pPr>
              <w:spacing w:before="120" w:after="120"/>
              <w:jc w:val="left"/>
            </w:pPr>
            <w:r w:rsidRPr="009B244A">
              <w:t>Condition data</w:t>
            </w:r>
          </w:p>
        </w:tc>
        <w:tc>
          <w:tcPr>
            <w:tcW w:w="5406" w:type="dxa"/>
          </w:tcPr>
          <w:p w:rsidR="006D7A09" w:rsidRPr="009B244A" w:rsidRDefault="006D7A09" w:rsidP="007243A8">
            <w:pPr>
              <w:spacing w:before="120" w:after="120"/>
              <w:jc w:val="left"/>
            </w:pPr>
            <w:r w:rsidRPr="009B244A">
              <w:t>The condition information will be to a level of detail that allows the potential rehabilitation option to be identified off site plus give an accurate representation of the assets lifecycle position and timeframe until major refurbishment work is required. This will include the ability to predict how</w:t>
            </w:r>
            <w:r w:rsidR="00FC6F0D" w:rsidRPr="009B244A">
              <w:t xml:space="preserve"> an</w:t>
            </w:r>
            <w:r w:rsidRPr="009B244A">
              <w:t xml:space="preserve"> asset decays in future.</w:t>
            </w:r>
          </w:p>
        </w:tc>
        <w:tc>
          <w:tcPr>
            <w:tcW w:w="0" w:type="auto"/>
            <w:shd w:val="clear" w:color="auto" w:fill="auto"/>
          </w:tcPr>
          <w:p w:rsidR="006D7A09" w:rsidRPr="009B244A" w:rsidRDefault="006D7A09" w:rsidP="007243A8">
            <w:pPr>
              <w:spacing w:before="120" w:after="120"/>
              <w:jc w:val="center"/>
            </w:pPr>
            <w:r w:rsidRPr="009B244A">
              <w:t>B</w:t>
            </w:r>
          </w:p>
        </w:tc>
      </w:tr>
      <w:tr w:rsidR="006D7A09" w:rsidRPr="009B244A" w:rsidTr="007243A8">
        <w:trPr>
          <w:cantSplit/>
          <w:jc w:val="right"/>
        </w:trPr>
        <w:tc>
          <w:tcPr>
            <w:tcW w:w="2268" w:type="dxa"/>
            <w:shd w:val="clear" w:color="auto" w:fill="auto"/>
          </w:tcPr>
          <w:p w:rsidR="006D7A09" w:rsidRPr="009B244A" w:rsidRDefault="006D7A09" w:rsidP="007243A8">
            <w:pPr>
              <w:spacing w:before="120" w:after="120"/>
              <w:jc w:val="left"/>
            </w:pPr>
            <w:r w:rsidRPr="009B244A">
              <w:t>Asset inventory data</w:t>
            </w:r>
          </w:p>
        </w:tc>
        <w:tc>
          <w:tcPr>
            <w:tcW w:w="5406" w:type="dxa"/>
          </w:tcPr>
          <w:p w:rsidR="006D7A09" w:rsidRPr="009B244A" w:rsidRDefault="006D7A09" w:rsidP="007243A8">
            <w:pPr>
              <w:spacing w:before="120" w:after="120"/>
              <w:jc w:val="left"/>
            </w:pPr>
            <w:r w:rsidRPr="009B244A">
              <w:t>Ability to identify, describe and loc</w:t>
            </w:r>
            <w:r w:rsidR="00CE5EFF">
              <w:t>ate assets down to major system</w:t>
            </w:r>
            <w:r w:rsidRPr="009B244A">
              <w:t>/component levels (e.g. structures, roof, fitout, mechanical and electrical systems) including valuation of each major components</w:t>
            </w:r>
            <w:r w:rsidR="00FC6F0D" w:rsidRPr="009B244A">
              <w:t>.</w:t>
            </w:r>
          </w:p>
        </w:tc>
        <w:tc>
          <w:tcPr>
            <w:tcW w:w="0" w:type="auto"/>
            <w:shd w:val="clear" w:color="auto" w:fill="auto"/>
          </w:tcPr>
          <w:p w:rsidR="006D7A09" w:rsidRPr="009B244A" w:rsidRDefault="006D7A09" w:rsidP="007243A8">
            <w:pPr>
              <w:spacing w:before="120" w:after="120"/>
              <w:jc w:val="center"/>
            </w:pPr>
            <w:r w:rsidRPr="009B244A">
              <w:t>B</w:t>
            </w:r>
          </w:p>
        </w:tc>
      </w:tr>
      <w:tr w:rsidR="006D7A09" w:rsidRPr="009B244A" w:rsidTr="007243A8">
        <w:trPr>
          <w:cantSplit/>
          <w:jc w:val="right"/>
        </w:trPr>
        <w:tc>
          <w:tcPr>
            <w:tcW w:w="2268" w:type="dxa"/>
            <w:shd w:val="clear" w:color="auto" w:fill="auto"/>
          </w:tcPr>
          <w:p w:rsidR="006D7A09" w:rsidRPr="009B244A" w:rsidRDefault="006D7A09" w:rsidP="007243A8">
            <w:pPr>
              <w:spacing w:before="120" w:after="120"/>
              <w:jc w:val="left"/>
            </w:pPr>
            <w:r w:rsidRPr="009B244A">
              <w:t>Cost  histories</w:t>
            </w:r>
          </w:p>
        </w:tc>
        <w:tc>
          <w:tcPr>
            <w:tcW w:w="5406" w:type="dxa"/>
          </w:tcPr>
          <w:p w:rsidR="006D7A09" w:rsidRPr="009B244A" w:rsidRDefault="006D7A09" w:rsidP="007243A8">
            <w:pPr>
              <w:spacing w:before="120" w:after="120"/>
              <w:jc w:val="left"/>
            </w:pPr>
            <w:r w:rsidRPr="009B244A">
              <w:t xml:space="preserve">Asset based costing and activity based costing are in place to identify those assets with high maintenance cost and those activities that can be candidates for further optimisation.  </w:t>
            </w:r>
          </w:p>
        </w:tc>
        <w:tc>
          <w:tcPr>
            <w:tcW w:w="0" w:type="auto"/>
            <w:shd w:val="clear" w:color="auto" w:fill="auto"/>
          </w:tcPr>
          <w:p w:rsidR="006D7A09" w:rsidRPr="009B244A" w:rsidRDefault="006D7A09" w:rsidP="007243A8">
            <w:pPr>
              <w:spacing w:before="120" w:after="120"/>
              <w:jc w:val="center"/>
            </w:pPr>
            <w:r w:rsidRPr="009B244A">
              <w:t>C</w:t>
            </w:r>
          </w:p>
        </w:tc>
      </w:tr>
      <w:tr w:rsidR="006D7A09" w:rsidRPr="009B244A" w:rsidTr="007243A8">
        <w:trPr>
          <w:cantSplit/>
          <w:jc w:val="right"/>
        </w:trPr>
        <w:tc>
          <w:tcPr>
            <w:tcW w:w="2268" w:type="dxa"/>
            <w:shd w:val="clear" w:color="auto" w:fill="auto"/>
          </w:tcPr>
          <w:p w:rsidR="006D7A09" w:rsidRPr="009B244A" w:rsidRDefault="006D7A09" w:rsidP="007243A8">
            <w:pPr>
              <w:spacing w:before="120" w:after="120"/>
              <w:jc w:val="left"/>
            </w:pPr>
            <w:r w:rsidRPr="009B244A">
              <w:t>Programming capability</w:t>
            </w:r>
          </w:p>
        </w:tc>
        <w:tc>
          <w:tcPr>
            <w:tcW w:w="5406" w:type="dxa"/>
          </w:tcPr>
          <w:p w:rsidR="006D7A09" w:rsidRPr="009B244A" w:rsidRDefault="006D7A09" w:rsidP="007243A8">
            <w:pPr>
              <w:spacing w:before="120" w:after="120"/>
              <w:jc w:val="left"/>
            </w:pPr>
            <w:r w:rsidRPr="009B244A">
              <w:t>Ability to better program future renewal, maintenance and operation</w:t>
            </w:r>
            <w:r w:rsidR="00FC6F0D" w:rsidRPr="009B244A">
              <w:t>al</w:t>
            </w:r>
            <w:r w:rsidRPr="009B244A">
              <w:t xml:space="preserve"> costs with full understanding of existing conditions, and lifecycle costing.</w:t>
            </w:r>
          </w:p>
        </w:tc>
        <w:tc>
          <w:tcPr>
            <w:tcW w:w="0" w:type="auto"/>
            <w:shd w:val="clear" w:color="auto" w:fill="auto"/>
          </w:tcPr>
          <w:p w:rsidR="006D7A09" w:rsidRPr="009B244A" w:rsidRDefault="006D7A09" w:rsidP="007243A8">
            <w:pPr>
              <w:spacing w:before="120" w:after="120"/>
              <w:jc w:val="center"/>
            </w:pPr>
            <w:r w:rsidRPr="009B244A">
              <w:t>B</w:t>
            </w:r>
          </w:p>
        </w:tc>
      </w:tr>
      <w:tr w:rsidR="00DB6C3B" w:rsidRPr="009B244A" w:rsidTr="004A4481">
        <w:trPr>
          <w:cantSplit/>
          <w:jc w:val="right"/>
        </w:trPr>
        <w:tc>
          <w:tcPr>
            <w:tcW w:w="7674" w:type="dxa"/>
            <w:gridSpan w:val="2"/>
            <w:shd w:val="clear" w:color="auto" w:fill="auto"/>
          </w:tcPr>
          <w:p w:rsidR="00DB6C3B" w:rsidRPr="009B244A" w:rsidRDefault="00DB6C3B" w:rsidP="007243A8">
            <w:pPr>
              <w:spacing w:before="120" w:after="120"/>
              <w:jc w:val="right"/>
              <w:rPr>
                <w:b/>
              </w:rPr>
            </w:pPr>
            <w:r w:rsidRPr="009B244A">
              <w:rPr>
                <w:b/>
              </w:rPr>
              <w:t>Overall Assessment</w:t>
            </w:r>
          </w:p>
        </w:tc>
        <w:tc>
          <w:tcPr>
            <w:tcW w:w="0" w:type="auto"/>
            <w:shd w:val="clear" w:color="auto" w:fill="auto"/>
          </w:tcPr>
          <w:p w:rsidR="00DB6C3B" w:rsidRPr="009B244A" w:rsidRDefault="00DB6C3B" w:rsidP="007243A8">
            <w:pPr>
              <w:spacing w:before="120" w:after="120"/>
              <w:jc w:val="center"/>
              <w:rPr>
                <w:b/>
              </w:rPr>
            </w:pPr>
            <w:r w:rsidRPr="009B244A">
              <w:rPr>
                <w:b/>
              </w:rPr>
              <w:t>B</w:t>
            </w:r>
          </w:p>
        </w:tc>
      </w:tr>
    </w:tbl>
    <w:p w:rsidR="00DF1D3F" w:rsidRPr="0024611A" w:rsidRDefault="005359E0" w:rsidP="00DB6C3B">
      <w:pPr>
        <w:pStyle w:val="Caption"/>
        <w:spacing w:before="240" w:after="240"/>
        <w:ind w:left="720"/>
        <w:jc w:val="center"/>
        <w:rPr>
          <w:rFonts w:ascii="Arial" w:hAnsi="Arial"/>
          <w:i w:val="0"/>
          <w:iCs w:val="0"/>
          <w:sz w:val="20"/>
          <w:lang w:val="en-AU"/>
        </w:rPr>
      </w:pPr>
      <w:bookmarkStart w:id="688" w:name="_Toc341787537"/>
      <w:bookmarkStart w:id="689" w:name="_Toc364945451"/>
      <w:r w:rsidRPr="0024611A">
        <w:rPr>
          <w:rFonts w:ascii="Arial" w:hAnsi="Arial"/>
          <w:i w:val="0"/>
          <w:iCs w:val="0"/>
          <w:sz w:val="20"/>
          <w:lang w:val="en-AU"/>
        </w:rPr>
        <w:t xml:space="preserve">Table </w:t>
      </w:r>
      <w:r w:rsidR="0090414C" w:rsidRPr="0024611A">
        <w:rPr>
          <w:rFonts w:ascii="Arial" w:hAnsi="Arial"/>
          <w:i w:val="0"/>
          <w:iCs w:val="0"/>
          <w:sz w:val="20"/>
          <w:lang w:val="en-AU"/>
        </w:rPr>
        <w:fldChar w:fldCharType="begin"/>
      </w:r>
      <w:r w:rsidR="0012012A" w:rsidRPr="0024611A">
        <w:rPr>
          <w:rFonts w:ascii="Arial" w:hAnsi="Arial"/>
          <w:i w:val="0"/>
          <w:iCs w:val="0"/>
          <w:sz w:val="20"/>
          <w:lang w:val="en-AU"/>
        </w:rPr>
        <w:instrText xml:space="preserve"> SEQ Table \* ARABIC </w:instrText>
      </w:r>
      <w:r w:rsidR="0090414C" w:rsidRPr="0024611A">
        <w:rPr>
          <w:rFonts w:ascii="Arial" w:hAnsi="Arial"/>
          <w:i w:val="0"/>
          <w:iCs w:val="0"/>
          <w:sz w:val="20"/>
          <w:lang w:val="en-AU"/>
        </w:rPr>
        <w:fldChar w:fldCharType="separate"/>
      </w:r>
      <w:r w:rsidR="00751CEC">
        <w:rPr>
          <w:rFonts w:ascii="Arial" w:hAnsi="Arial"/>
          <w:i w:val="0"/>
          <w:iCs w:val="0"/>
          <w:noProof/>
          <w:sz w:val="20"/>
          <w:lang w:val="en-AU"/>
        </w:rPr>
        <w:t>47</w:t>
      </w:r>
      <w:r w:rsidR="0090414C" w:rsidRPr="0024611A">
        <w:rPr>
          <w:rFonts w:ascii="Arial" w:hAnsi="Arial"/>
          <w:i w:val="0"/>
          <w:iCs w:val="0"/>
          <w:sz w:val="20"/>
          <w:lang w:val="en-AU"/>
        </w:rPr>
        <w:fldChar w:fldCharType="end"/>
      </w:r>
      <w:r w:rsidRPr="0024611A">
        <w:rPr>
          <w:rFonts w:ascii="Arial" w:hAnsi="Arial"/>
          <w:i w:val="0"/>
          <w:iCs w:val="0"/>
          <w:sz w:val="20"/>
          <w:lang w:val="en-AU"/>
        </w:rPr>
        <w:t xml:space="preserve">: </w:t>
      </w:r>
      <w:r w:rsidR="007243A8" w:rsidRPr="0024611A">
        <w:rPr>
          <w:rFonts w:ascii="Arial" w:hAnsi="Arial"/>
          <w:i w:val="0"/>
          <w:iCs w:val="0"/>
          <w:sz w:val="20"/>
          <w:lang w:val="en-AU"/>
        </w:rPr>
        <w:t xml:space="preserve"> </w:t>
      </w:r>
      <w:r w:rsidRPr="0024611A">
        <w:rPr>
          <w:rFonts w:ascii="Arial" w:hAnsi="Arial"/>
          <w:i w:val="0"/>
          <w:iCs w:val="0"/>
          <w:sz w:val="20"/>
          <w:lang w:val="en-AU"/>
        </w:rPr>
        <w:t>Financial Forecast Confidence Level Rating Assessment</w:t>
      </w:r>
      <w:bookmarkEnd w:id="688"/>
      <w:bookmarkEnd w:id="689"/>
    </w:p>
    <w:p w:rsidR="00FA169C" w:rsidRDefault="00FA169C" w:rsidP="00FA169C"/>
    <w:p w:rsidR="00FA169C" w:rsidRDefault="00FA169C" w:rsidP="00FA169C"/>
    <w:p w:rsidR="00FA169C" w:rsidRPr="00FA169C" w:rsidRDefault="00FA169C" w:rsidP="00FA169C">
      <w:pPr>
        <w:pStyle w:val="BodyText"/>
        <w:rPr>
          <w:lang w:val="en-AU"/>
        </w:rPr>
        <w:sectPr w:rsidR="00FA169C" w:rsidRPr="00FA169C" w:rsidSect="00FA169C">
          <w:type w:val="oddPage"/>
          <w:pgSz w:w="11906" w:h="16838" w:code="9"/>
          <w:pgMar w:top="1418" w:right="1418" w:bottom="851" w:left="1418" w:header="284" w:footer="312" w:gutter="0"/>
          <w:cols w:space="720"/>
          <w:docGrid w:linePitch="360"/>
        </w:sectPr>
      </w:pPr>
    </w:p>
    <w:p w:rsidR="00E96F28" w:rsidRPr="00E062A4" w:rsidRDefault="00213B0C" w:rsidP="002F775C">
      <w:pPr>
        <w:pStyle w:val="Heading1"/>
      </w:pPr>
      <w:bookmarkStart w:id="690" w:name="_Toc287273551"/>
      <w:bookmarkStart w:id="691" w:name="_Toc287273552"/>
      <w:bookmarkStart w:id="692" w:name="_Toc287273553"/>
      <w:bookmarkStart w:id="693" w:name="_Toc287273554"/>
      <w:bookmarkStart w:id="694" w:name="_Toc287273555"/>
      <w:bookmarkStart w:id="695" w:name="_Toc287273556"/>
      <w:bookmarkStart w:id="696" w:name="_Toc287273557"/>
      <w:bookmarkStart w:id="697" w:name="_Toc287273558"/>
      <w:bookmarkStart w:id="698" w:name="_Toc364945339"/>
      <w:bookmarkEnd w:id="690"/>
      <w:bookmarkEnd w:id="691"/>
      <w:bookmarkEnd w:id="692"/>
      <w:bookmarkEnd w:id="693"/>
      <w:bookmarkEnd w:id="694"/>
      <w:bookmarkEnd w:id="695"/>
      <w:bookmarkEnd w:id="696"/>
      <w:bookmarkEnd w:id="697"/>
      <w:r>
        <w:t>Risk Management</w:t>
      </w:r>
      <w:bookmarkEnd w:id="698"/>
    </w:p>
    <w:p w:rsidR="00213B0C" w:rsidRDefault="00213B0C" w:rsidP="00213B0C"/>
    <w:p w:rsidR="00964C8A" w:rsidRDefault="00964C8A" w:rsidP="00213B0C">
      <w:r w:rsidRPr="00412EEB">
        <w:t xml:space="preserve">This section identifies the Buildings </w:t>
      </w:r>
      <w:r w:rsidR="00BD23B9">
        <w:t>and</w:t>
      </w:r>
      <w:r w:rsidRPr="00412EEB">
        <w:t xml:space="preserve"> Property Branch</w:t>
      </w:r>
      <w:r w:rsidR="00BD23B9">
        <w:t>`s</w:t>
      </w:r>
      <w:r w:rsidRPr="00412EEB">
        <w:t xml:space="preserve"> approach to Risk Management. The overall objectives of this formal risk management approach are to:</w:t>
      </w:r>
    </w:p>
    <w:p w:rsidR="00213B0C" w:rsidRPr="00412EEB" w:rsidRDefault="00213B0C" w:rsidP="00213B0C"/>
    <w:p w:rsidR="00964C8A" w:rsidRPr="00213B0C" w:rsidRDefault="00964C8A" w:rsidP="008348B5">
      <w:pPr>
        <w:pStyle w:val="ListParagraph"/>
        <w:numPr>
          <w:ilvl w:val="0"/>
          <w:numId w:val="102"/>
        </w:numPr>
        <w:rPr>
          <w:rFonts w:ascii="Arial" w:hAnsi="Arial" w:cs="Arial"/>
          <w:sz w:val="20"/>
        </w:rPr>
      </w:pPr>
      <w:r w:rsidRPr="00213B0C">
        <w:rPr>
          <w:rFonts w:ascii="Arial" w:hAnsi="Arial" w:cs="Arial"/>
          <w:sz w:val="20"/>
        </w:rPr>
        <w:t>outline the process by which the Branch will manage risks associated with its assets, so that all risks can be identified and ev</w:t>
      </w:r>
      <w:r w:rsidR="00213B0C">
        <w:rPr>
          <w:rFonts w:ascii="Arial" w:hAnsi="Arial" w:cs="Arial"/>
          <w:sz w:val="20"/>
        </w:rPr>
        <w:t>aluated in a consistent manner;</w:t>
      </w:r>
    </w:p>
    <w:p w:rsidR="00964C8A" w:rsidRPr="00213B0C" w:rsidRDefault="00964C8A" w:rsidP="008348B5">
      <w:pPr>
        <w:pStyle w:val="ListParagraph"/>
        <w:numPr>
          <w:ilvl w:val="0"/>
          <w:numId w:val="102"/>
        </w:numPr>
        <w:rPr>
          <w:rFonts w:ascii="Arial" w:hAnsi="Arial" w:cs="Arial"/>
          <w:sz w:val="20"/>
        </w:rPr>
      </w:pPr>
      <w:r w:rsidRPr="00213B0C">
        <w:rPr>
          <w:rFonts w:ascii="Arial" w:hAnsi="Arial" w:cs="Arial"/>
          <w:sz w:val="20"/>
        </w:rPr>
        <w:t xml:space="preserve">identify risk categories and identify risk events and critical </w:t>
      </w:r>
      <w:r w:rsidR="00213B0C">
        <w:rPr>
          <w:rFonts w:ascii="Arial" w:hAnsi="Arial" w:cs="Arial"/>
          <w:sz w:val="20"/>
        </w:rPr>
        <w:t>assets at the operational level;</w:t>
      </w:r>
    </w:p>
    <w:p w:rsidR="00964C8A" w:rsidRPr="00213B0C" w:rsidRDefault="00964C8A" w:rsidP="008348B5">
      <w:pPr>
        <w:pStyle w:val="ListParagraph"/>
        <w:numPr>
          <w:ilvl w:val="0"/>
          <w:numId w:val="102"/>
        </w:numPr>
        <w:rPr>
          <w:rFonts w:ascii="Arial" w:hAnsi="Arial" w:cs="Arial"/>
          <w:sz w:val="20"/>
        </w:rPr>
      </w:pPr>
      <w:r w:rsidRPr="00213B0C">
        <w:rPr>
          <w:rFonts w:ascii="Arial" w:hAnsi="Arial" w:cs="Arial"/>
          <w:sz w:val="20"/>
        </w:rPr>
        <w:t xml:space="preserve">allocate responsibility for managing risks to specific </w:t>
      </w:r>
      <w:r w:rsidR="00213B0C">
        <w:rPr>
          <w:rFonts w:ascii="Arial" w:hAnsi="Arial" w:cs="Arial"/>
          <w:sz w:val="20"/>
        </w:rPr>
        <w:t xml:space="preserve">staff to </w:t>
      </w:r>
      <w:r w:rsidR="006729B6">
        <w:rPr>
          <w:rFonts w:ascii="Arial" w:hAnsi="Arial" w:cs="Arial"/>
          <w:sz w:val="20"/>
        </w:rPr>
        <w:t>ensure</w:t>
      </w:r>
      <w:r w:rsidR="00213B0C">
        <w:rPr>
          <w:rFonts w:ascii="Arial" w:hAnsi="Arial" w:cs="Arial"/>
          <w:sz w:val="20"/>
        </w:rPr>
        <w:t xml:space="preserve"> accountability;</w:t>
      </w:r>
      <w:r w:rsidRPr="00213B0C">
        <w:rPr>
          <w:rFonts w:ascii="Arial" w:hAnsi="Arial" w:cs="Arial"/>
          <w:sz w:val="20"/>
        </w:rPr>
        <w:t xml:space="preserve"> and</w:t>
      </w:r>
    </w:p>
    <w:p w:rsidR="00964C8A" w:rsidRPr="00213B0C" w:rsidRDefault="00964C8A" w:rsidP="008348B5">
      <w:pPr>
        <w:pStyle w:val="ListParagraph"/>
        <w:numPr>
          <w:ilvl w:val="0"/>
          <w:numId w:val="102"/>
        </w:numPr>
        <w:rPr>
          <w:rFonts w:ascii="Arial" w:hAnsi="Arial" w:cs="Arial"/>
          <w:sz w:val="20"/>
        </w:rPr>
      </w:pPr>
      <w:r w:rsidRPr="00213B0C">
        <w:rPr>
          <w:rFonts w:ascii="Arial" w:hAnsi="Arial" w:cs="Arial"/>
          <w:sz w:val="20"/>
        </w:rPr>
        <w:t>prioritise the risks to identify the highest risks that should be addressed in the short to medium term.</w:t>
      </w:r>
    </w:p>
    <w:p w:rsidR="00964C8A" w:rsidRPr="00412EEB" w:rsidRDefault="00964C8A" w:rsidP="00213B0C"/>
    <w:p w:rsidR="00964C8A" w:rsidRPr="00412EEB" w:rsidRDefault="00964C8A" w:rsidP="00213B0C">
      <w:r w:rsidRPr="00412EEB">
        <w:t>Risk management is seen as a core business driver that influences all decision</w:t>
      </w:r>
      <w:r w:rsidR="0067277B">
        <w:t>-</w:t>
      </w:r>
      <w:r w:rsidRPr="00412EEB">
        <w:t>making, rather than an activity undertaken as an isolated process.</w:t>
      </w:r>
    </w:p>
    <w:p w:rsidR="00E96F28" w:rsidRPr="00CF2212" w:rsidRDefault="00E96F28" w:rsidP="00CF2212">
      <w:pPr>
        <w:pStyle w:val="Heading2"/>
      </w:pPr>
      <w:bookmarkStart w:id="699" w:name="_Toc364945340"/>
      <w:r w:rsidRPr="00CF2212">
        <w:t>Overview</w:t>
      </w:r>
      <w:bookmarkEnd w:id="699"/>
    </w:p>
    <w:p w:rsidR="00964C8A" w:rsidRPr="00AA777B" w:rsidRDefault="00964C8A" w:rsidP="003E5B9F">
      <w:pPr>
        <w:pStyle w:val="StyleHeading3Heading3Char10ptBefore6pt"/>
      </w:pPr>
      <w:bookmarkStart w:id="700" w:name="_Toc64350359"/>
      <w:bookmarkStart w:id="701" w:name="_Toc364945341"/>
      <w:bookmarkStart w:id="702" w:name="_Toc515090331"/>
      <w:r w:rsidRPr="00AA777B">
        <w:t>Risk Management within Council</w:t>
      </w:r>
      <w:bookmarkEnd w:id="700"/>
      <w:bookmarkEnd w:id="701"/>
    </w:p>
    <w:bookmarkEnd w:id="702"/>
    <w:p w:rsidR="00964C8A" w:rsidRDefault="00964C8A" w:rsidP="00213B0C">
      <w:pPr>
        <w:ind w:left="720"/>
      </w:pPr>
      <w:r w:rsidRPr="00AA777B">
        <w:t xml:space="preserve">Risk is coordinated through a formally established Risk Management Review Panel (RMRP) comprising of the CEO, Directors, Executive </w:t>
      </w:r>
      <w:r w:rsidR="00A00129">
        <w:t>M</w:t>
      </w:r>
      <w:r w:rsidRPr="00AA777B">
        <w:t>anagers and the Risk Management and Insurance Co-ordinator. The RMRP has the responsibility to oversee all activities relating to the management of risk across the organisation</w:t>
      </w:r>
      <w:r w:rsidRPr="007843EB">
        <w:t>.  Council has</w:t>
      </w:r>
      <w:r w:rsidR="007843EB" w:rsidRPr="007843EB">
        <w:t xml:space="preserve"> endorsed</w:t>
      </w:r>
      <w:r w:rsidR="007843EB">
        <w:t xml:space="preserve"> a Risk Management Policy and Framework</w:t>
      </w:r>
      <w:r w:rsidRPr="00AA777B">
        <w:t xml:space="preserve">. </w:t>
      </w:r>
      <w:r w:rsidR="0067277B">
        <w:t xml:space="preserve"> The Framework provides guidance on the documentation, monitoring and reporting of risks within the organisation.</w:t>
      </w:r>
    </w:p>
    <w:p w:rsidR="006729B6" w:rsidRPr="005520A3" w:rsidRDefault="006729B6" w:rsidP="006729B6">
      <w:pPr>
        <w:ind w:left="720"/>
      </w:pPr>
    </w:p>
    <w:p w:rsidR="006729B6" w:rsidRPr="005520A3" w:rsidRDefault="006729B6" w:rsidP="006729B6">
      <w:pPr>
        <w:pStyle w:val="Footer"/>
        <w:jc w:val="right"/>
      </w:pPr>
      <w:r>
        <w:rPr>
          <w:noProof/>
          <w:lang w:val="en-AU" w:eastAsia="en-AU"/>
        </w:rPr>
        <w:drawing>
          <wp:inline distT="0" distB="0" distL="0" distR="0" wp14:anchorId="3ABC8F63" wp14:editId="6ED5AAE5">
            <wp:extent cx="5059045" cy="2809875"/>
            <wp:effectExtent l="0" t="0" r="0" b="0"/>
            <wp:docPr id="16" name="Diagram 16"/>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9" r:lo="rId70" r:qs="rId71" r:cs="rId72"/>
              </a:graphicData>
            </a:graphic>
          </wp:inline>
        </w:drawing>
      </w:r>
    </w:p>
    <w:p w:rsidR="006729B6" w:rsidRPr="009B244A" w:rsidRDefault="006729B6" w:rsidP="006729B6">
      <w:pPr>
        <w:pStyle w:val="Caption"/>
        <w:spacing w:before="240" w:after="240"/>
        <w:ind w:left="709"/>
        <w:jc w:val="center"/>
        <w:rPr>
          <w:rFonts w:ascii="Arial" w:hAnsi="Arial"/>
          <w:i w:val="0"/>
          <w:iCs w:val="0"/>
          <w:sz w:val="20"/>
          <w:szCs w:val="18"/>
          <w:lang w:val="en-AU"/>
        </w:rPr>
      </w:pPr>
      <w:bookmarkStart w:id="703" w:name="_Toc364945398"/>
      <w:bookmarkStart w:id="704" w:name="_Toc341775307"/>
      <w:r w:rsidRPr="009B244A">
        <w:rPr>
          <w:rFonts w:ascii="Arial" w:hAnsi="Arial"/>
          <w:i w:val="0"/>
          <w:iCs w:val="0"/>
          <w:sz w:val="20"/>
          <w:szCs w:val="18"/>
          <w:lang w:val="en-AU"/>
        </w:rPr>
        <w:t xml:space="preserve">Figure </w:t>
      </w:r>
      <w:r w:rsidRPr="009B244A">
        <w:rPr>
          <w:rFonts w:ascii="Arial" w:hAnsi="Arial"/>
          <w:i w:val="0"/>
          <w:iCs w:val="0"/>
          <w:sz w:val="20"/>
          <w:szCs w:val="18"/>
          <w:lang w:val="en-AU"/>
        </w:rPr>
        <w:fldChar w:fldCharType="begin"/>
      </w:r>
      <w:r w:rsidRPr="009B244A">
        <w:rPr>
          <w:rFonts w:ascii="Arial" w:hAnsi="Arial"/>
          <w:i w:val="0"/>
          <w:iCs w:val="0"/>
          <w:sz w:val="20"/>
          <w:szCs w:val="18"/>
          <w:lang w:val="en-AU"/>
        </w:rPr>
        <w:instrText xml:space="preserve"> SEQ Figure \* ARABIC </w:instrText>
      </w:r>
      <w:r w:rsidRPr="009B244A">
        <w:rPr>
          <w:rFonts w:ascii="Arial" w:hAnsi="Arial"/>
          <w:i w:val="0"/>
          <w:iCs w:val="0"/>
          <w:sz w:val="20"/>
          <w:szCs w:val="18"/>
          <w:lang w:val="en-AU"/>
        </w:rPr>
        <w:fldChar w:fldCharType="separate"/>
      </w:r>
      <w:r w:rsidR="00751CEC">
        <w:rPr>
          <w:rFonts w:ascii="Arial" w:hAnsi="Arial"/>
          <w:i w:val="0"/>
          <w:iCs w:val="0"/>
          <w:noProof/>
          <w:sz w:val="20"/>
          <w:szCs w:val="18"/>
          <w:lang w:val="en-AU"/>
        </w:rPr>
        <w:t>34</w:t>
      </w:r>
      <w:r w:rsidRPr="009B244A">
        <w:rPr>
          <w:rFonts w:ascii="Arial" w:hAnsi="Arial"/>
          <w:i w:val="0"/>
          <w:iCs w:val="0"/>
          <w:sz w:val="20"/>
          <w:szCs w:val="18"/>
          <w:lang w:val="en-AU"/>
        </w:rPr>
        <w:fldChar w:fldCharType="end"/>
      </w:r>
      <w:r w:rsidRPr="009B244A">
        <w:rPr>
          <w:rFonts w:ascii="Arial" w:hAnsi="Arial"/>
          <w:i w:val="0"/>
          <w:iCs w:val="0"/>
          <w:sz w:val="20"/>
          <w:szCs w:val="18"/>
          <w:lang w:val="en-AU"/>
        </w:rPr>
        <w:t>:  Risk Levels</w:t>
      </w:r>
      <w:bookmarkEnd w:id="703"/>
    </w:p>
    <w:bookmarkEnd w:id="704"/>
    <w:p w:rsidR="006729B6" w:rsidRDefault="006729B6" w:rsidP="006729B6">
      <w:pPr>
        <w:ind w:left="720"/>
      </w:pPr>
      <w:r w:rsidRPr="00AA777B">
        <w:t>The benefits of the corporate risk management framework are:</w:t>
      </w:r>
    </w:p>
    <w:p w:rsidR="006729B6" w:rsidRPr="00AA777B" w:rsidRDefault="006729B6" w:rsidP="006729B6">
      <w:pPr>
        <w:ind w:left="720"/>
      </w:pPr>
    </w:p>
    <w:p w:rsidR="006729B6" w:rsidRPr="0060722B" w:rsidRDefault="0067277B" w:rsidP="006729B6">
      <w:pPr>
        <w:pStyle w:val="ListParagraph"/>
        <w:numPr>
          <w:ilvl w:val="0"/>
          <w:numId w:val="104"/>
        </w:numPr>
        <w:ind w:left="1080"/>
        <w:rPr>
          <w:rFonts w:ascii="Arial" w:hAnsi="Arial" w:cs="Arial"/>
          <w:sz w:val="20"/>
          <w:szCs w:val="20"/>
        </w:rPr>
      </w:pPr>
      <w:r>
        <w:rPr>
          <w:rFonts w:ascii="Arial" w:hAnsi="Arial" w:cs="Arial"/>
          <w:sz w:val="20"/>
          <w:szCs w:val="20"/>
        </w:rPr>
        <w:t>A reliable base for decision-</w:t>
      </w:r>
      <w:r w:rsidR="006729B6" w:rsidRPr="0060722B">
        <w:rPr>
          <w:rFonts w:ascii="Arial" w:hAnsi="Arial" w:cs="Arial"/>
          <w:sz w:val="20"/>
          <w:szCs w:val="20"/>
        </w:rPr>
        <w:t>making and planning,</w:t>
      </w:r>
    </w:p>
    <w:p w:rsidR="006729B6" w:rsidRPr="0060722B" w:rsidRDefault="006729B6" w:rsidP="006729B6">
      <w:pPr>
        <w:pStyle w:val="ListParagraph"/>
        <w:numPr>
          <w:ilvl w:val="0"/>
          <w:numId w:val="104"/>
        </w:numPr>
        <w:ind w:left="1080"/>
        <w:rPr>
          <w:rFonts w:ascii="Arial" w:hAnsi="Arial" w:cs="Arial"/>
          <w:sz w:val="20"/>
          <w:szCs w:val="20"/>
        </w:rPr>
      </w:pPr>
      <w:r w:rsidRPr="0060722B">
        <w:rPr>
          <w:rFonts w:ascii="Arial" w:hAnsi="Arial" w:cs="Arial"/>
          <w:sz w:val="20"/>
          <w:szCs w:val="20"/>
        </w:rPr>
        <w:t>Common understanding of risk across Council,</w:t>
      </w:r>
    </w:p>
    <w:p w:rsidR="006729B6" w:rsidRPr="0060722B" w:rsidRDefault="006729B6" w:rsidP="006729B6">
      <w:pPr>
        <w:pStyle w:val="ListParagraph"/>
        <w:numPr>
          <w:ilvl w:val="0"/>
          <w:numId w:val="104"/>
        </w:numPr>
        <w:ind w:left="1080"/>
        <w:rPr>
          <w:rFonts w:ascii="Arial" w:hAnsi="Arial" w:cs="Arial"/>
          <w:sz w:val="20"/>
          <w:szCs w:val="20"/>
        </w:rPr>
      </w:pPr>
      <w:r w:rsidRPr="0060722B">
        <w:rPr>
          <w:rFonts w:ascii="Arial" w:hAnsi="Arial" w:cs="Arial"/>
          <w:sz w:val="20"/>
          <w:szCs w:val="20"/>
        </w:rPr>
        <w:t>Continuous improvement to risk management,</w:t>
      </w:r>
    </w:p>
    <w:p w:rsidR="006729B6" w:rsidRPr="0060722B" w:rsidRDefault="006729B6" w:rsidP="006729B6">
      <w:pPr>
        <w:pStyle w:val="ListParagraph"/>
        <w:numPr>
          <w:ilvl w:val="0"/>
          <w:numId w:val="104"/>
        </w:numPr>
        <w:ind w:left="1080"/>
        <w:rPr>
          <w:rFonts w:ascii="Arial" w:hAnsi="Arial" w:cs="Arial"/>
          <w:sz w:val="20"/>
          <w:szCs w:val="20"/>
        </w:rPr>
      </w:pPr>
      <w:r w:rsidRPr="0060722B">
        <w:rPr>
          <w:rFonts w:ascii="Arial" w:hAnsi="Arial" w:cs="Arial"/>
          <w:sz w:val="20"/>
          <w:szCs w:val="20"/>
        </w:rPr>
        <w:t>Greater sustainability for Council through integration with value management achieving cost efficiencies,</w:t>
      </w:r>
    </w:p>
    <w:p w:rsidR="006729B6" w:rsidRPr="0060722B" w:rsidRDefault="006729B6" w:rsidP="006729B6">
      <w:pPr>
        <w:pStyle w:val="ListParagraph"/>
        <w:numPr>
          <w:ilvl w:val="0"/>
          <w:numId w:val="104"/>
        </w:numPr>
        <w:ind w:left="1080"/>
        <w:rPr>
          <w:rFonts w:ascii="Arial" w:hAnsi="Arial" w:cs="Arial"/>
          <w:sz w:val="20"/>
          <w:szCs w:val="20"/>
        </w:rPr>
      </w:pPr>
      <w:r w:rsidRPr="0060722B">
        <w:rPr>
          <w:rFonts w:ascii="Arial" w:hAnsi="Arial" w:cs="Arial"/>
          <w:sz w:val="20"/>
          <w:szCs w:val="20"/>
        </w:rPr>
        <w:t>A shared risk management vision with key Council stakeholders,</w:t>
      </w:r>
    </w:p>
    <w:p w:rsidR="006729B6" w:rsidRPr="0060722B" w:rsidRDefault="006729B6" w:rsidP="006729B6">
      <w:pPr>
        <w:pStyle w:val="ListParagraph"/>
        <w:numPr>
          <w:ilvl w:val="0"/>
          <w:numId w:val="104"/>
        </w:numPr>
        <w:ind w:left="1080"/>
        <w:rPr>
          <w:rFonts w:ascii="Arial" w:hAnsi="Arial" w:cs="Arial"/>
          <w:sz w:val="20"/>
          <w:szCs w:val="20"/>
        </w:rPr>
      </w:pPr>
      <w:r w:rsidRPr="0060722B">
        <w:rPr>
          <w:rFonts w:ascii="Arial" w:hAnsi="Arial" w:cs="Arial"/>
          <w:sz w:val="20"/>
          <w:szCs w:val="20"/>
        </w:rPr>
        <w:t>A tool for consultation with key stakeholders</w:t>
      </w:r>
    </w:p>
    <w:p w:rsidR="006729B6" w:rsidRPr="0060722B" w:rsidRDefault="006729B6" w:rsidP="006729B6">
      <w:pPr>
        <w:pStyle w:val="ListParagraph"/>
        <w:numPr>
          <w:ilvl w:val="0"/>
          <w:numId w:val="104"/>
        </w:numPr>
        <w:ind w:left="1080"/>
        <w:rPr>
          <w:rFonts w:ascii="Arial" w:hAnsi="Arial" w:cs="Arial"/>
          <w:sz w:val="20"/>
          <w:szCs w:val="20"/>
        </w:rPr>
      </w:pPr>
      <w:r w:rsidRPr="0060722B">
        <w:rPr>
          <w:rFonts w:ascii="Arial" w:hAnsi="Arial" w:cs="Arial"/>
          <w:sz w:val="20"/>
          <w:szCs w:val="20"/>
        </w:rPr>
        <w:t>Alignment with business plans and business processes.</w:t>
      </w:r>
    </w:p>
    <w:p w:rsidR="006729B6" w:rsidRPr="0060722B" w:rsidRDefault="006729B6" w:rsidP="006729B6">
      <w:pPr>
        <w:ind w:left="720"/>
      </w:pPr>
    </w:p>
    <w:p w:rsidR="006729B6" w:rsidRPr="00AA777B" w:rsidRDefault="006729B6" w:rsidP="006729B6">
      <w:pPr>
        <w:ind w:left="720"/>
      </w:pPr>
      <w:r w:rsidRPr="00AA777B">
        <w:t xml:space="preserve">It is recognised that </w:t>
      </w:r>
      <w:r>
        <w:t>C</w:t>
      </w:r>
      <w:r w:rsidRPr="00AA777B">
        <w:t>ouncil staff are trained and experienced to manage the risks inherent in all of the activities that their particular unit undertakes, sometimes wit</w:t>
      </w:r>
      <w:r>
        <w:t>hout being explicitly expressed. R</w:t>
      </w:r>
      <w:r w:rsidRPr="00AA777B">
        <w:t>isk management i</w:t>
      </w:r>
      <w:r>
        <w:t>s the means of expressing that.</w:t>
      </w:r>
    </w:p>
    <w:p w:rsidR="00213B0C" w:rsidRPr="00AA777B" w:rsidRDefault="00213B0C" w:rsidP="00213B0C">
      <w:pPr>
        <w:ind w:left="720"/>
      </w:pPr>
    </w:p>
    <w:p w:rsidR="007843EB" w:rsidRDefault="007843EB" w:rsidP="00213B0C">
      <w:pPr>
        <w:ind w:left="720"/>
        <w:rPr>
          <w:rFonts w:cs="Arial"/>
        </w:rPr>
      </w:pPr>
      <w:r>
        <w:rPr>
          <w:rFonts w:cs="Arial"/>
        </w:rPr>
        <w:t xml:space="preserve">Council’s strategic risks are managed by the Executive </w:t>
      </w:r>
      <w:r w:rsidR="008065F3">
        <w:rPr>
          <w:rFonts w:cs="Arial"/>
        </w:rPr>
        <w:t>Group</w:t>
      </w:r>
      <w:r>
        <w:rPr>
          <w:rFonts w:cs="Arial"/>
        </w:rPr>
        <w:t xml:space="preserve"> and Council’s Operational Risk</w:t>
      </w:r>
      <w:r w:rsidR="008065F3">
        <w:rPr>
          <w:rFonts w:cs="Arial"/>
        </w:rPr>
        <w:t>s are managed at the Branch or U</w:t>
      </w:r>
      <w:r>
        <w:rPr>
          <w:rFonts w:cs="Arial"/>
        </w:rPr>
        <w:t>nit level.</w:t>
      </w:r>
    </w:p>
    <w:p w:rsidR="007843EB" w:rsidRDefault="007843EB" w:rsidP="00213B0C">
      <w:pPr>
        <w:ind w:left="720"/>
        <w:rPr>
          <w:rFonts w:cs="Arial"/>
        </w:rPr>
      </w:pPr>
    </w:p>
    <w:p w:rsidR="00964C8A" w:rsidRDefault="00964C8A" w:rsidP="00213B0C">
      <w:pPr>
        <w:ind w:left="720"/>
        <w:rPr>
          <w:rFonts w:cs="Arial"/>
        </w:rPr>
      </w:pPr>
      <w:r w:rsidRPr="00AA777B">
        <w:rPr>
          <w:rFonts w:cs="Arial"/>
        </w:rPr>
        <w:t xml:space="preserve">At the </w:t>
      </w:r>
      <w:r w:rsidR="006729B6">
        <w:rPr>
          <w:rFonts w:cs="Arial"/>
        </w:rPr>
        <w:t>strategic</w:t>
      </w:r>
      <w:r w:rsidRPr="00AA777B">
        <w:rPr>
          <w:rFonts w:cs="Arial"/>
        </w:rPr>
        <w:t xml:space="preserve"> level the focus for risks are</w:t>
      </w:r>
      <w:r w:rsidR="00A00129">
        <w:rPr>
          <w:rFonts w:cs="Arial"/>
        </w:rPr>
        <w:t>:</w:t>
      </w:r>
    </w:p>
    <w:p w:rsidR="00213B0C" w:rsidRPr="00AA777B" w:rsidRDefault="00213B0C" w:rsidP="00213B0C">
      <w:pPr>
        <w:ind w:left="720"/>
        <w:rPr>
          <w:rFonts w:cs="Arial"/>
        </w:rPr>
      </w:pPr>
    </w:p>
    <w:p w:rsidR="00964C8A" w:rsidRPr="00213B0C" w:rsidRDefault="00964C8A" w:rsidP="008348B5">
      <w:pPr>
        <w:pStyle w:val="ListParagraph"/>
        <w:numPr>
          <w:ilvl w:val="0"/>
          <w:numId w:val="101"/>
        </w:numPr>
        <w:rPr>
          <w:rFonts w:ascii="Arial" w:hAnsi="Arial" w:cs="Arial"/>
          <w:sz w:val="20"/>
        </w:rPr>
      </w:pPr>
      <w:r w:rsidRPr="00213B0C">
        <w:rPr>
          <w:rFonts w:ascii="Arial" w:hAnsi="Arial" w:cs="Arial"/>
          <w:sz w:val="20"/>
        </w:rPr>
        <w:t>Business Continuity;</w:t>
      </w:r>
    </w:p>
    <w:p w:rsidR="00964C8A" w:rsidRPr="00213B0C" w:rsidRDefault="00E96749" w:rsidP="008348B5">
      <w:pPr>
        <w:pStyle w:val="ListParagraph"/>
        <w:numPr>
          <w:ilvl w:val="0"/>
          <w:numId w:val="101"/>
        </w:numPr>
        <w:rPr>
          <w:rFonts w:ascii="Arial" w:hAnsi="Arial" w:cs="Arial"/>
          <w:sz w:val="20"/>
        </w:rPr>
      </w:pPr>
      <w:r>
        <w:rPr>
          <w:rFonts w:ascii="Arial" w:hAnsi="Arial" w:cs="Arial"/>
          <w:sz w:val="20"/>
        </w:rPr>
        <w:t>Occupational Health and</w:t>
      </w:r>
      <w:r w:rsidR="00964C8A" w:rsidRPr="00213B0C">
        <w:rPr>
          <w:rFonts w:ascii="Arial" w:hAnsi="Arial" w:cs="Arial"/>
          <w:sz w:val="20"/>
        </w:rPr>
        <w:t xml:space="preserve"> Safety;</w:t>
      </w:r>
    </w:p>
    <w:p w:rsidR="00964C8A" w:rsidRPr="00213B0C" w:rsidRDefault="00964C8A" w:rsidP="008348B5">
      <w:pPr>
        <w:pStyle w:val="ListParagraph"/>
        <w:numPr>
          <w:ilvl w:val="0"/>
          <w:numId w:val="101"/>
        </w:numPr>
        <w:rPr>
          <w:rFonts w:ascii="Arial" w:hAnsi="Arial" w:cs="Arial"/>
          <w:sz w:val="20"/>
        </w:rPr>
      </w:pPr>
      <w:r w:rsidRPr="00213B0C">
        <w:rPr>
          <w:rFonts w:ascii="Arial" w:hAnsi="Arial" w:cs="Arial"/>
          <w:sz w:val="20"/>
        </w:rPr>
        <w:t>Legal;</w:t>
      </w:r>
    </w:p>
    <w:p w:rsidR="00964C8A" w:rsidRPr="00213B0C" w:rsidRDefault="00964C8A" w:rsidP="008348B5">
      <w:pPr>
        <w:pStyle w:val="ListParagraph"/>
        <w:numPr>
          <w:ilvl w:val="0"/>
          <w:numId w:val="101"/>
        </w:numPr>
        <w:rPr>
          <w:rFonts w:ascii="Arial" w:hAnsi="Arial" w:cs="Arial"/>
          <w:sz w:val="20"/>
        </w:rPr>
      </w:pPr>
      <w:r w:rsidRPr="00213B0C">
        <w:rPr>
          <w:rFonts w:ascii="Arial" w:hAnsi="Arial" w:cs="Arial"/>
          <w:sz w:val="20"/>
        </w:rPr>
        <w:t>Financial; and</w:t>
      </w:r>
    </w:p>
    <w:p w:rsidR="00964C8A" w:rsidRPr="00213B0C" w:rsidRDefault="00964C8A" w:rsidP="008348B5">
      <w:pPr>
        <w:pStyle w:val="ListParagraph"/>
        <w:numPr>
          <w:ilvl w:val="0"/>
          <w:numId w:val="101"/>
        </w:numPr>
        <w:rPr>
          <w:rFonts w:ascii="Arial" w:hAnsi="Arial" w:cs="Arial"/>
          <w:sz w:val="20"/>
        </w:rPr>
      </w:pPr>
      <w:r w:rsidRPr="00213B0C">
        <w:rPr>
          <w:rFonts w:ascii="Arial" w:hAnsi="Arial" w:cs="Arial"/>
          <w:sz w:val="20"/>
        </w:rPr>
        <w:t>Strategic direction.</w:t>
      </w:r>
    </w:p>
    <w:p w:rsidR="00A00129" w:rsidRPr="00213B0C" w:rsidRDefault="00A00129" w:rsidP="00213B0C">
      <w:pPr>
        <w:ind w:left="720"/>
        <w:rPr>
          <w:rFonts w:cs="Arial"/>
        </w:rPr>
      </w:pPr>
    </w:p>
    <w:p w:rsidR="00964C8A" w:rsidRPr="00AA777B" w:rsidRDefault="007843EB" w:rsidP="00213B0C">
      <w:pPr>
        <w:ind w:left="720"/>
        <w:rPr>
          <w:rFonts w:cs="Arial"/>
        </w:rPr>
      </w:pPr>
      <w:r w:rsidRPr="007843EB">
        <w:rPr>
          <w:rFonts w:cs="Arial"/>
        </w:rPr>
        <w:t>The focus is similar at the Branch</w:t>
      </w:r>
      <w:r w:rsidR="00EC7692">
        <w:rPr>
          <w:rFonts w:cs="Arial"/>
        </w:rPr>
        <w:t>,</w:t>
      </w:r>
      <w:r w:rsidRPr="007843EB">
        <w:rPr>
          <w:rFonts w:cs="Arial"/>
        </w:rPr>
        <w:t xml:space="preserve"> or </w:t>
      </w:r>
      <w:r w:rsidR="00EC7692">
        <w:rPr>
          <w:rFonts w:cs="Arial"/>
        </w:rPr>
        <w:t>U</w:t>
      </w:r>
      <w:r w:rsidRPr="007843EB">
        <w:rPr>
          <w:rFonts w:cs="Arial"/>
        </w:rPr>
        <w:t>nit</w:t>
      </w:r>
      <w:r w:rsidR="00EC7692">
        <w:rPr>
          <w:rFonts w:cs="Arial"/>
        </w:rPr>
        <w:t>,</w:t>
      </w:r>
      <w:r w:rsidRPr="007843EB">
        <w:rPr>
          <w:rFonts w:cs="Arial"/>
        </w:rPr>
        <w:t xml:space="preserve"> level with particular emphasis on the </w:t>
      </w:r>
      <w:r w:rsidR="00964C8A" w:rsidRPr="007843EB">
        <w:rPr>
          <w:rFonts w:cs="Arial"/>
        </w:rPr>
        <w:t>legislative or regulatory risk requirements and the approach that should be adopted.</w:t>
      </w:r>
    </w:p>
    <w:p w:rsidR="00964C8A" w:rsidRPr="00AA777B" w:rsidRDefault="00964C8A" w:rsidP="003E5B9F">
      <w:pPr>
        <w:pStyle w:val="StyleHeading3Heading3Char10ptBefore6pt"/>
      </w:pPr>
      <w:bookmarkStart w:id="705" w:name="_Toc364945342"/>
      <w:r w:rsidRPr="00AA777B">
        <w:t>Risk Management Framework</w:t>
      </w:r>
      <w:bookmarkEnd w:id="705"/>
    </w:p>
    <w:p w:rsidR="00964C8A" w:rsidRDefault="00AD1310" w:rsidP="00213B0C">
      <w:pPr>
        <w:ind w:left="720"/>
      </w:pPr>
      <w:r w:rsidRPr="00AA777B">
        <w:t>The</w:t>
      </w:r>
      <w:r w:rsidR="00964C8A" w:rsidRPr="00AA777B">
        <w:t xml:space="preserve"> Risk Framework identifies the procedure against which risks are identified</w:t>
      </w:r>
      <w:r w:rsidR="00E96749">
        <w:t>,</w:t>
      </w:r>
      <w:r w:rsidR="00964C8A" w:rsidRPr="00AA777B">
        <w:t xml:space="preserve"> evaluated and documented within the Division. The framework also documents the responsibilities for managing risks within the division. The Buildings and Property Branch have used the framework to assess risks associated with managing and maintaining Council</w:t>
      </w:r>
      <w:r w:rsidR="008473C2">
        <w:t>’</w:t>
      </w:r>
      <w:r w:rsidR="00964C8A" w:rsidRPr="00AA777B">
        <w:t>s Building assets.</w:t>
      </w:r>
    </w:p>
    <w:p w:rsidR="00213B0C" w:rsidRPr="00AA777B" w:rsidRDefault="00213B0C" w:rsidP="00213B0C">
      <w:pPr>
        <w:ind w:left="720"/>
      </w:pPr>
    </w:p>
    <w:p w:rsidR="00964C8A" w:rsidRDefault="00964C8A" w:rsidP="00213B0C">
      <w:pPr>
        <w:ind w:left="720"/>
      </w:pPr>
      <w:r w:rsidRPr="00AA777B">
        <w:t>The principles behind the Infrastructur</w:t>
      </w:r>
      <w:r w:rsidR="00213B0C">
        <w:t>e Risk Management Framework are:</w:t>
      </w:r>
    </w:p>
    <w:p w:rsidR="00213B0C" w:rsidRPr="00AA777B" w:rsidRDefault="00213B0C" w:rsidP="00213B0C">
      <w:pPr>
        <w:ind w:left="720"/>
      </w:pPr>
    </w:p>
    <w:p w:rsidR="00964C8A" w:rsidRPr="00213B0C" w:rsidRDefault="00964C8A" w:rsidP="008348B5">
      <w:pPr>
        <w:pStyle w:val="ListParagraph"/>
        <w:numPr>
          <w:ilvl w:val="0"/>
          <w:numId w:val="101"/>
        </w:numPr>
        <w:rPr>
          <w:rFonts w:ascii="Arial" w:hAnsi="Arial" w:cs="Arial"/>
          <w:sz w:val="20"/>
        </w:rPr>
      </w:pPr>
      <w:r w:rsidRPr="00213B0C">
        <w:rPr>
          <w:rFonts w:ascii="Arial" w:hAnsi="Arial" w:cs="Arial"/>
          <w:sz w:val="20"/>
        </w:rPr>
        <w:t>Protect the quality and continuity of service delivery;</w:t>
      </w:r>
    </w:p>
    <w:p w:rsidR="00964C8A" w:rsidRPr="00213B0C" w:rsidRDefault="00964C8A" w:rsidP="008348B5">
      <w:pPr>
        <w:pStyle w:val="ListParagraph"/>
        <w:numPr>
          <w:ilvl w:val="0"/>
          <w:numId w:val="101"/>
        </w:numPr>
        <w:rPr>
          <w:rFonts w:ascii="Arial" w:hAnsi="Arial" w:cs="Arial"/>
          <w:sz w:val="20"/>
        </w:rPr>
      </w:pPr>
      <w:r w:rsidRPr="00213B0C">
        <w:rPr>
          <w:rFonts w:ascii="Arial" w:hAnsi="Arial" w:cs="Arial"/>
          <w:sz w:val="20"/>
        </w:rPr>
        <w:t>Protect customer/community and employee wellbeing;</w:t>
      </w:r>
    </w:p>
    <w:p w:rsidR="00964C8A" w:rsidRPr="00213B0C" w:rsidRDefault="00964C8A" w:rsidP="008348B5">
      <w:pPr>
        <w:pStyle w:val="ListParagraph"/>
        <w:numPr>
          <w:ilvl w:val="0"/>
          <w:numId w:val="101"/>
        </w:numPr>
        <w:rPr>
          <w:rFonts w:ascii="Arial" w:hAnsi="Arial" w:cs="Arial"/>
          <w:sz w:val="20"/>
        </w:rPr>
      </w:pPr>
      <w:r w:rsidRPr="00213B0C">
        <w:rPr>
          <w:rFonts w:ascii="Arial" w:hAnsi="Arial" w:cs="Arial"/>
          <w:sz w:val="20"/>
        </w:rPr>
        <w:t>Protect assets, including property and</w:t>
      </w:r>
      <w:r w:rsidR="00213B0C">
        <w:rPr>
          <w:rFonts w:ascii="Arial" w:hAnsi="Arial" w:cs="Arial"/>
          <w:sz w:val="20"/>
        </w:rPr>
        <w:t xml:space="preserve"> customer/community goodwill;</w:t>
      </w:r>
    </w:p>
    <w:p w:rsidR="00964C8A" w:rsidRPr="00213B0C" w:rsidRDefault="00964C8A" w:rsidP="008348B5">
      <w:pPr>
        <w:pStyle w:val="ListParagraph"/>
        <w:numPr>
          <w:ilvl w:val="0"/>
          <w:numId w:val="101"/>
        </w:numPr>
        <w:rPr>
          <w:rFonts w:ascii="Arial" w:hAnsi="Arial" w:cs="Arial"/>
          <w:sz w:val="20"/>
        </w:rPr>
      </w:pPr>
      <w:r w:rsidRPr="00213B0C">
        <w:rPr>
          <w:rFonts w:ascii="Arial" w:hAnsi="Arial" w:cs="Arial"/>
          <w:sz w:val="20"/>
        </w:rPr>
        <w:t xml:space="preserve">Reduce Council’s legal exposure; and </w:t>
      </w:r>
    </w:p>
    <w:p w:rsidR="00964C8A" w:rsidRPr="00213B0C" w:rsidRDefault="00964C8A" w:rsidP="008348B5">
      <w:pPr>
        <w:pStyle w:val="ListParagraph"/>
        <w:numPr>
          <w:ilvl w:val="0"/>
          <w:numId w:val="101"/>
        </w:numPr>
        <w:rPr>
          <w:rFonts w:ascii="Arial" w:hAnsi="Arial" w:cs="Arial"/>
          <w:sz w:val="20"/>
        </w:rPr>
      </w:pPr>
      <w:r w:rsidRPr="00213B0C">
        <w:rPr>
          <w:rFonts w:ascii="Arial" w:hAnsi="Arial" w:cs="Arial"/>
          <w:sz w:val="20"/>
        </w:rPr>
        <w:t>Promote due diligence and responsibility.</w:t>
      </w:r>
    </w:p>
    <w:p w:rsidR="00964C8A" w:rsidRPr="00AA777B" w:rsidRDefault="00964C8A" w:rsidP="00213B0C">
      <w:pPr>
        <w:ind w:left="720"/>
        <w:rPr>
          <w:rFonts w:cs="Arial"/>
        </w:rPr>
      </w:pPr>
    </w:p>
    <w:p w:rsidR="00964C8A" w:rsidRDefault="00213B0C" w:rsidP="00213B0C">
      <w:pPr>
        <w:ind w:left="720"/>
      </w:pPr>
      <w:r>
        <w:t>This is achieved by:</w:t>
      </w:r>
    </w:p>
    <w:p w:rsidR="00213B0C" w:rsidRPr="00AA777B" w:rsidRDefault="00213B0C" w:rsidP="00213B0C">
      <w:pPr>
        <w:ind w:left="720"/>
      </w:pPr>
    </w:p>
    <w:p w:rsidR="00964C8A" w:rsidRPr="00213B0C" w:rsidRDefault="00964C8A" w:rsidP="008348B5">
      <w:pPr>
        <w:pStyle w:val="ListParagraph"/>
        <w:numPr>
          <w:ilvl w:val="0"/>
          <w:numId w:val="101"/>
        </w:numPr>
        <w:rPr>
          <w:rFonts w:ascii="Arial" w:hAnsi="Arial" w:cs="Arial"/>
          <w:sz w:val="20"/>
        </w:rPr>
      </w:pPr>
      <w:r w:rsidRPr="00213B0C">
        <w:rPr>
          <w:rFonts w:ascii="Arial" w:hAnsi="Arial" w:cs="Arial"/>
          <w:sz w:val="20"/>
        </w:rPr>
        <w:t>Applying the risk management process to all assets;</w:t>
      </w:r>
    </w:p>
    <w:p w:rsidR="00964C8A" w:rsidRPr="00213B0C" w:rsidRDefault="00964C8A" w:rsidP="008348B5">
      <w:pPr>
        <w:pStyle w:val="ListParagraph"/>
        <w:numPr>
          <w:ilvl w:val="0"/>
          <w:numId w:val="101"/>
        </w:numPr>
        <w:rPr>
          <w:rFonts w:ascii="Arial" w:hAnsi="Arial" w:cs="Arial"/>
          <w:sz w:val="20"/>
        </w:rPr>
      </w:pPr>
      <w:r w:rsidRPr="00213B0C">
        <w:rPr>
          <w:rFonts w:ascii="Arial" w:hAnsi="Arial" w:cs="Arial"/>
          <w:sz w:val="20"/>
        </w:rPr>
        <w:t>Working in a risk management culture, where identification, consideration and management of risk is built into the decision-making process</w:t>
      </w:r>
      <w:r w:rsidR="006729B6">
        <w:rPr>
          <w:rFonts w:ascii="Arial" w:hAnsi="Arial" w:cs="Arial"/>
          <w:sz w:val="20"/>
        </w:rPr>
        <w:t xml:space="preserve"> (Culture is defined as the way the Council conducts its business)</w:t>
      </w:r>
      <w:r w:rsidRPr="00213B0C">
        <w:rPr>
          <w:rFonts w:ascii="Arial" w:hAnsi="Arial" w:cs="Arial"/>
          <w:sz w:val="20"/>
        </w:rPr>
        <w:t>;</w:t>
      </w:r>
    </w:p>
    <w:p w:rsidR="00964C8A" w:rsidRPr="00213B0C" w:rsidRDefault="00964C8A" w:rsidP="008348B5">
      <w:pPr>
        <w:pStyle w:val="ListParagraph"/>
        <w:numPr>
          <w:ilvl w:val="0"/>
          <w:numId w:val="101"/>
        </w:numPr>
        <w:rPr>
          <w:rFonts w:ascii="Arial" w:hAnsi="Arial" w:cs="Arial"/>
          <w:sz w:val="20"/>
        </w:rPr>
      </w:pPr>
      <w:r w:rsidRPr="00213B0C">
        <w:rPr>
          <w:rFonts w:ascii="Arial" w:hAnsi="Arial" w:cs="Arial"/>
          <w:sz w:val="20"/>
        </w:rPr>
        <w:t>Maintaining safe and reliable plant and equipment, facilities and practices;</w:t>
      </w:r>
    </w:p>
    <w:p w:rsidR="00964C8A" w:rsidRPr="00213B0C" w:rsidRDefault="00964C8A" w:rsidP="008348B5">
      <w:pPr>
        <w:pStyle w:val="ListParagraph"/>
        <w:numPr>
          <w:ilvl w:val="0"/>
          <w:numId w:val="101"/>
        </w:numPr>
        <w:rPr>
          <w:rFonts w:ascii="Arial" w:hAnsi="Arial" w:cs="Arial"/>
          <w:sz w:val="20"/>
        </w:rPr>
      </w:pPr>
      <w:r w:rsidRPr="00213B0C">
        <w:rPr>
          <w:rFonts w:ascii="Arial" w:hAnsi="Arial" w:cs="Arial"/>
          <w:sz w:val="20"/>
        </w:rPr>
        <w:t>Quantifying current asset condition and failure likelihoods for all assets;</w:t>
      </w:r>
    </w:p>
    <w:p w:rsidR="00964C8A" w:rsidRPr="00213B0C" w:rsidRDefault="00964C8A" w:rsidP="008348B5">
      <w:pPr>
        <w:pStyle w:val="ListParagraph"/>
        <w:numPr>
          <w:ilvl w:val="0"/>
          <w:numId w:val="101"/>
        </w:numPr>
        <w:rPr>
          <w:rFonts w:ascii="Arial" w:hAnsi="Arial" w:cs="Arial"/>
          <w:sz w:val="20"/>
        </w:rPr>
      </w:pPr>
      <w:r w:rsidRPr="00213B0C">
        <w:rPr>
          <w:rFonts w:ascii="Arial" w:hAnsi="Arial" w:cs="Arial"/>
          <w:sz w:val="20"/>
        </w:rPr>
        <w:t>Quantifying the rehabilitation or replacement of assets required to meet the minimal acceptable level of service without compromising the acceptable level of risk;</w:t>
      </w:r>
    </w:p>
    <w:p w:rsidR="00964C8A" w:rsidRPr="00213B0C" w:rsidRDefault="00964C8A" w:rsidP="008348B5">
      <w:pPr>
        <w:pStyle w:val="ListParagraph"/>
        <w:numPr>
          <w:ilvl w:val="0"/>
          <w:numId w:val="101"/>
        </w:numPr>
        <w:rPr>
          <w:rFonts w:ascii="Arial" w:hAnsi="Arial" w:cs="Arial"/>
          <w:sz w:val="20"/>
        </w:rPr>
      </w:pPr>
      <w:r w:rsidRPr="00213B0C">
        <w:rPr>
          <w:rFonts w:ascii="Arial" w:hAnsi="Arial" w:cs="Arial"/>
          <w:sz w:val="20"/>
        </w:rPr>
        <w:t>Preparing and maintaining appropriate contingencies; and</w:t>
      </w:r>
    </w:p>
    <w:p w:rsidR="00964C8A" w:rsidRPr="00213B0C" w:rsidRDefault="00964C8A" w:rsidP="008348B5">
      <w:pPr>
        <w:pStyle w:val="ListParagraph"/>
        <w:numPr>
          <w:ilvl w:val="0"/>
          <w:numId w:val="101"/>
        </w:numPr>
        <w:rPr>
          <w:rFonts w:ascii="Arial" w:hAnsi="Arial" w:cs="Arial"/>
          <w:sz w:val="20"/>
        </w:rPr>
      </w:pPr>
      <w:r w:rsidRPr="00213B0C">
        <w:rPr>
          <w:rFonts w:ascii="Arial" w:hAnsi="Arial" w:cs="Arial"/>
          <w:sz w:val="20"/>
        </w:rPr>
        <w:t>Reviewing the risk profile at appropriate intervals and when circumstances dictate.</w:t>
      </w:r>
    </w:p>
    <w:p w:rsidR="00964C8A" w:rsidRPr="00AA777B" w:rsidRDefault="00964C8A" w:rsidP="00213B0C">
      <w:pPr>
        <w:ind w:left="720"/>
        <w:rPr>
          <w:rFonts w:cs="Arial"/>
        </w:rPr>
      </w:pPr>
    </w:p>
    <w:p w:rsidR="00964C8A" w:rsidRDefault="00964C8A" w:rsidP="00213B0C">
      <w:pPr>
        <w:ind w:left="720"/>
      </w:pPr>
      <w:r w:rsidRPr="00AA777B">
        <w:t>This infrastructure risk framework follows the process outlined in AS/NZS ISO 31000 (2009), originated as AS/NZS 4360 (1999), illustrated in the fi</w:t>
      </w:r>
      <w:r w:rsidR="00213B0C">
        <w:t>gure below. It considers how to:</w:t>
      </w:r>
    </w:p>
    <w:p w:rsidR="00213B0C" w:rsidRPr="00AA777B" w:rsidRDefault="00213B0C" w:rsidP="00213B0C">
      <w:pPr>
        <w:ind w:left="720"/>
      </w:pPr>
    </w:p>
    <w:p w:rsidR="00964C8A" w:rsidRPr="00213B0C" w:rsidRDefault="00964C8A" w:rsidP="008348B5">
      <w:pPr>
        <w:pStyle w:val="ListParagraph"/>
        <w:numPr>
          <w:ilvl w:val="0"/>
          <w:numId w:val="101"/>
        </w:numPr>
        <w:rPr>
          <w:rFonts w:ascii="Arial" w:hAnsi="Arial" w:cs="Arial"/>
          <w:sz w:val="20"/>
        </w:rPr>
      </w:pPr>
      <w:bookmarkStart w:id="706" w:name="OLE_LINK3"/>
      <w:r w:rsidRPr="00213B0C">
        <w:rPr>
          <w:rFonts w:ascii="Arial" w:hAnsi="Arial" w:cs="Arial"/>
          <w:sz w:val="20"/>
        </w:rPr>
        <w:t>identify risks</w:t>
      </w:r>
      <w:bookmarkEnd w:id="706"/>
      <w:r w:rsidR="00213B0C">
        <w:rPr>
          <w:rFonts w:ascii="Arial" w:hAnsi="Arial" w:cs="Arial"/>
          <w:sz w:val="20"/>
        </w:rPr>
        <w:t>;</w:t>
      </w:r>
    </w:p>
    <w:p w:rsidR="00964C8A" w:rsidRPr="00213B0C" w:rsidRDefault="00213B0C" w:rsidP="008348B5">
      <w:pPr>
        <w:pStyle w:val="ListParagraph"/>
        <w:numPr>
          <w:ilvl w:val="0"/>
          <w:numId w:val="101"/>
        </w:numPr>
        <w:rPr>
          <w:rFonts w:ascii="Arial" w:hAnsi="Arial" w:cs="Arial"/>
          <w:sz w:val="20"/>
        </w:rPr>
      </w:pPr>
      <w:r>
        <w:rPr>
          <w:rFonts w:ascii="Arial" w:hAnsi="Arial" w:cs="Arial"/>
          <w:sz w:val="20"/>
        </w:rPr>
        <w:t>assess the risk;</w:t>
      </w:r>
    </w:p>
    <w:p w:rsidR="00964C8A" w:rsidRPr="00213B0C" w:rsidRDefault="00964C8A" w:rsidP="008348B5">
      <w:pPr>
        <w:pStyle w:val="ListParagraph"/>
        <w:numPr>
          <w:ilvl w:val="0"/>
          <w:numId w:val="101"/>
        </w:numPr>
        <w:rPr>
          <w:rFonts w:ascii="Arial" w:hAnsi="Arial" w:cs="Arial"/>
          <w:sz w:val="20"/>
        </w:rPr>
      </w:pPr>
      <w:r w:rsidRPr="00213B0C">
        <w:rPr>
          <w:rFonts w:ascii="Arial" w:hAnsi="Arial" w:cs="Arial"/>
          <w:sz w:val="20"/>
        </w:rPr>
        <w:t>identify</w:t>
      </w:r>
      <w:r w:rsidR="00213B0C">
        <w:rPr>
          <w:rFonts w:ascii="Arial" w:hAnsi="Arial" w:cs="Arial"/>
          <w:sz w:val="20"/>
        </w:rPr>
        <w:t xml:space="preserve"> and evaluate treatment options;</w:t>
      </w:r>
      <w:r w:rsidRPr="00213B0C">
        <w:rPr>
          <w:rFonts w:ascii="Arial" w:hAnsi="Arial" w:cs="Arial"/>
          <w:sz w:val="20"/>
        </w:rPr>
        <w:t xml:space="preserve"> and</w:t>
      </w:r>
    </w:p>
    <w:p w:rsidR="00964C8A" w:rsidRDefault="00964C8A" w:rsidP="008348B5">
      <w:pPr>
        <w:pStyle w:val="ListParagraph"/>
        <w:numPr>
          <w:ilvl w:val="0"/>
          <w:numId w:val="101"/>
        </w:numPr>
        <w:rPr>
          <w:rFonts w:ascii="Arial" w:hAnsi="Arial" w:cs="Arial"/>
          <w:sz w:val="20"/>
        </w:rPr>
      </w:pPr>
      <w:r w:rsidRPr="00213B0C">
        <w:rPr>
          <w:rFonts w:ascii="Arial" w:hAnsi="Arial" w:cs="Arial"/>
          <w:sz w:val="20"/>
        </w:rPr>
        <w:t xml:space="preserve">monitor and review risk </w:t>
      </w:r>
      <w:r w:rsidR="00BD23B9">
        <w:rPr>
          <w:rFonts w:ascii="Arial" w:hAnsi="Arial" w:cs="Arial"/>
          <w:sz w:val="20"/>
        </w:rPr>
        <w:t>assessments</w:t>
      </w:r>
    </w:p>
    <w:p w:rsidR="00BD23B9" w:rsidRPr="00213B0C" w:rsidRDefault="00BD23B9" w:rsidP="00BD23B9">
      <w:pPr>
        <w:pStyle w:val="ListParagraph"/>
        <w:ind w:left="1080"/>
        <w:rPr>
          <w:rFonts w:ascii="Arial" w:hAnsi="Arial" w:cs="Arial"/>
          <w:sz w:val="20"/>
        </w:rPr>
      </w:pPr>
    </w:p>
    <w:p w:rsidR="00964C8A" w:rsidRPr="00AA777B" w:rsidRDefault="00964C8A" w:rsidP="003C7AB3">
      <w:pPr>
        <w:ind w:left="720"/>
      </w:pPr>
      <w:r w:rsidRPr="00AA777B">
        <w:t>Where risks are assessed as unacceptable, options for risk mitigation should be identified and evaluated. Risk monitoring and review should aim to ensure that risk levels remain acceptable and those management strategies remain appropriate and relevant.</w:t>
      </w:r>
    </w:p>
    <w:p w:rsidR="00964C8A" w:rsidRPr="00AA777B" w:rsidRDefault="00964C8A" w:rsidP="003C7AB3">
      <w:pPr>
        <w:ind w:left="720"/>
      </w:pPr>
    </w:p>
    <w:p w:rsidR="00964C8A" w:rsidRDefault="00964C8A" w:rsidP="003C7AB3">
      <w:pPr>
        <w:ind w:left="720"/>
      </w:pPr>
      <w:r w:rsidRPr="00AA777B">
        <w:t>The Infrastructure Division risk assessment process is based on the high level corporate risk framework, additional criteria relating to the environment, community and sustainability have been added as these relate to the type of assets that</w:t>
      </w:r>
      <w:r w:rsidR="00BD23B9">
        <w:t xml:space="preserve"> are the responsibility of the D</w:t>
      </w:r>
      <w:r w:rsidRPr="00AA777B">
        <w:t>ivision.</w:t>
      </w:r>
    </w:p>
    <w:p w:rsidR="00A23C47" w:rsidRDefault="00A23C47" w:rsidP="00A23C47">
      <w:pPr>
        <w:keepNext/>
        <w:keepLines/>
        <w:ind w:left="720"/>
      </w:pPr>
      <w:r w:rsidRPr="00A23C47">
        <w:t>The detailed risk management process is outlined in the figure below:</w:t>
      </w:r>
    </w:p>
    <w:p w:rsidR="00CF7F1C" w:rsidRDefault="00CF7F1C" w:rsidP="00A23C47">
      <w:pPr>
        <w:keepNext/>
        <w:keepLines/>
        <w:ind w:left="720"/>
      </w:pPr>
    </w:p>
    <w:p w:rsidR="00950182" w:rsidRPr="00AA777B" w:rsidRDefault="00ED394A" w:rsidP="003C7AB3">
      <w:pPr>
        <w:keepNext/>
        <w:keepLines/>
        <w:ind w:left="720"/>
      </w:pPr>
      <w:r>
        <w:rPr>
          <w:noProof/>
        </w:rPr>
        <w:pict>
          <v:group id="_x0000_s1217" style="position:absolute;left:0;text-align:left;margin-left:10.2pt;margin-top:183.15pt;width:62.25pt;height:55.05pt;z-index:251675136" coordorigin="40,2688" coordsize="1245,1101">
            <v:rect id="_x0000_s1121" style="position:absolute;left:40;top:2688;width:1245;height:1101" fillcolor="#066" stroked="f"/>
            <v:rect id="_x0000_s1122" style="position:absolute;left:40;top:2848;width:1149;height:935;v-text-anchor:top" filled="f" stroked="f">
              <v:textbox style="mso-next-textbox:#_x0000_s1122;mso-rotate-with-shape:t" inset="0,0,0,0">
                <w:txbxContent>
                  <w:p w:rsidR="00496759" w:rsidRDefault="00496759" w:rsidP="00CC1D53">
                    <w:pPr>
                      <w:jc w:val="center"/>
                    </w:pPr>
                    <w:r>
                      <w:rPr>
                        <w:rFonts w:cs="Arial"/>
                        <w:color w:val="FFFFFF"/>
                        <w:sz w:val="16"/>
                        <w:szCs w:val="16"/>
                        <w:lang w:val="en-US"/>
                      </w:rPr>
                      <w:t>Annual or quarterly reviews of all risks</w:t>
                    </w:r>
                  </w:p>
                </w:txbxContent>
              </v:textbox>
            </v:rect>
          </v:group>
        </w:pict>
      </w:r>
      <w:r>
        <w:pict>
          <v:group id="_x0000_s1062" editas="canvas" style="width:439.7pt;height:517.5pt;mso-position-horizontal-relative:char;mso-position-vertical-relative:line" coordorigin="360" coordsize="8794,10350">
            <o:lock v:ext="edit" aspectratio="t"/>
            <v:shape id="_x0000_s1061" type="#_x0000_t75" style="position:absolute;left:360;width:8794;height:10350" o:preferrelative="f">
              <v:fill o:detectmouseclick="t"/>
              <v:path o:extrusionok="t" o:connecttype="none"/>
              <o:lock v:ext="edit" text="t"/>
            </v:shape>
            <v:shapetype id="_x0000_t32" coordsize="21600,21600" o:spt="32" o:oned="t" path="m,l21600,21600e" filled="f">
              <v:path arrowok="t" fillok="f" o:connecttype="none"/>
              <o:lock v:ext="edit" shapetype="t"/>
            </v:shapetype>
            <v:shape id="_x0000_s1244" type="#_x0000_t32" style="position:absolute;left:4163;top:1120;width:7;height:7229;flip:x" o:connectortype="straight"/>
            <v:group id="_x0000_s1226" style="position:absolute;left:2731;top:2006;width:2863;height:794" coordorigin="2731,2966" coordsize="2863,794">
              <v:rect id="_x0000_s1072" style="position:absolute;left:2731;top:2966;width:2863;height:794" fillcolor="#066" stroked="f"/>
              <v:rect id="_x0000_s1073" style="position:absolute;left:2822;top:3072;width:2678;height:639;v-text-anchor:top" filled="f" stroked="f">
                <v:textbox style="mso-next-textbox:#_x0000_s1073;mso-rotate-with-shape:t" inset="0,0,0,0">
                  <w:txbxContent>
                    <w:p w:rsidR="00496759" w:rsidRDefault="00496759" w:rsidP="00C14E62">
                      <w:pPr>
                        <w:jc w:val="center"/>
                      </w:pPr>
                      <w:r>
                        <w:rPr>
                          <w:rFonts w:cs="Arial"/>
                          <w:color w:val="FFFFFF"/>
                          <w:sz w:val="16"/>
                          <w:szCs w:val="16"/>
                          <w:lang w:val="en-US"/>
                        </w:rPr>
                        <w:t>Determine the consequence/impact of a risk and the likelihood of it occurring.</w:t>
                      </w:r>
                    </w:p>
                  </w:txbxContent>
                </v:textbox>
              </v:rect>
            </v:group>
            <v:group id="_x0000_s1227" style="position:absolute;left:2731;top:3055;width:2863;height:794" coordorigin="2731,4004" coordsize="2863,794">
              <v:rect id="_x0000_s1080" style="position:absolute;left:2731;top:4004;width:2863;height:794" fillcolor="#009d9d" stroked="f"/>
              <v:rect id="_x0000_s1084" style="position:absolute;left:2784;top:4004;width:2770;height:794;v-text-anchor:top" filled="f" stroked="f">
                <v:textbox style="mso-next-textbox:#_x0000_s1084;mso-rotate-with-shape:t" inset="0,0,0,0">
                  <w:txbxContent>
                    <w:p w:rsidR="00496759" w:rsidRDefault="00496759" w:rsidP="0067277B">
                      <w:pPr>
                        <w:jc w:val="center"/>
                      </w:pPr>
                      <w:r>
                        <w:rPr>
                          <w:rFonts w:cs="Arial"/>
                          <w:color w:val="FFFFFF"/>
                          <w:sz w:val="16"/>
                          <w:szCs w:val="16"/>
                          <w:lang w:val="en-US"/>
                        </w:rPr>
                        <w:t>Identify current processes and systems in place that effectively help to avoid or minimise the chances and severity of each risk.</w:t>
                      </w:r>
                    </w:p>
                  </w:txbxContent>
                </v:textbox>
              </v:rect>
            </v:group>
            <v:group id="_x0000_s1228" style="position:absolute;left:2731;top:4126;width:2863;height:794" coordorigin="2731,5086" coordsize="2863,794">
              <v:rect id="_x0000_s1089" style="position:absolute;left:2731;top:5086;width:2863;height:794" fillcolor="#009d9d" stroked="f"/>
              <v:rect id="_x0000_s1090" style="position:absolute;left:2835;top:5192;width:2651;height:604;v-text-anchor:top" filled="f" stroked="f">
                <v:textbox style="mso-next-textbox:#_x0000_s1090;mso-rotate-with-shape:t" inset="0,0,0,0">
                  <w:txbxContent>
                    <w:p w:rsidR="00496759" w:rsidRDefault="00496759" w:rsidP="00C14E62">
                      <w:pPr>
                        <w:jc w:val="center"/>
                      </w:pPr>
                      <w:r>
                        <w:rPr>
                          <w:rFonts w:cs="Arial"/>
                          <w:color w:val="FFFFFF"/>
                          <w:sz w:val="16"/>
                          <w:szCs w:val="16"/>
                          <w:lang w:val="en-US"/>
                        </w:rPr>
                        <w:t>Determine Residual Risk factor using the risk register/matrix</w:t>
                      </w:r>
                      <w:r>
                        <w:rPr>
                          <w:rFonts w:cs="Arial"/>
                          <w:color w:val="FFFFFF"/>
                          <w:sz w:val="16"/>
                          <w:szCs w:val="16"/>
                          <w:lang w:val="en-US"/>
                        </w:rPr>
                        <w:br/>
                        <w:t>(likelihood x consequence)</w:t>
                      </w:r>
                    </w:p>
                  </w:txbxContent>
                </v:textbox>
              </v:rect>
            </v:group>
            <v:group id="_x0000_s1229" style="position:absolute;left:2731;top:6238;width:2863;height:794" coordorigin="2731,7138" coordsize="2863,794">
              <v:rect id="_x0000_s1101" style="position:absolute;left:2731;top:7138;width:2863;height:794" fillcolor="#009d9d" stroked="f"/>
              <v:rect id="_x0000_s1102" style="position:absolute;left:2864;top:7243;width:2610;height:651;v-text-anchor:top" filled="f" stroked="f">
                <v:textbox style="mso-next-textbox:#_x0000_s1102;mso-rotate-with-shape:t" inset="0,0,0,0">
                  <w:txbxContent>
                    <w:p w:rsidR="00496759" w:rsidRDefault="00496759" w:rsidP="005740EF">
                      <w:pPr>
                        <w:jc w:val="center"/>
                      </w:pPr>
                      <w:r>
                        <w:rPr>
                          <w:rFonts w:cs="Arial"/>
                          <w:color w:val="FFFFFF"/>
                          <w:sz w:val="16"/>
                          <w:szCs w:val="16"/>
                          <w:lang w:val="en-US"/>
                        </w:rPr>
                        <w:t>Prioritise risks based on size of Residual Risk and criticality of service process or asset.</w:t>
                      </w:r>
                    </w:p>
                  </w:txbxContent>
                </v:textbox>
              </v:rect>
            </v:group>
            <v:group id="_x0000_s1230" style="position:absolute;left:2731;top:7286;width:2863;height:794" coordorigin="2731,8081" coordsize="2863,794">
              <v:rect id="_x0000_s1107" style="position:absolute;left:2731;top:8081;width:2863;height:794" fillcolor="#009d9d" stroked="f"/>
              <v:rect id="_x0000_s1108" style="position:absolute;left:2754;top:8096;width:2800;height:713;v-text-anchor:top" filled="f" stroked="f">
                <v:textbox style="mso-next-textbox:#_x0000_s1108;mso-rotate-with-shape:t" inset="2mm,0,2mm,0">
                  <w:txbxContent>
                    <w:p w:rsidR="00496759" w:rsidRDefault="00496759" w:rsidP="00F549EC">
                      <w:pPr>
                        <w:jc w:val="center"/>
                      </w:pPr>
                      <w:r>
                        <w:rPr>
                          <w:rFonts w:cs="Arial"/>
                          <w:color w:val="FFFFFF"/>
                          <w:sz w:val="16"/>
                          <w:szCs w:val="16"/>
                          <w:lang w:val="en-US"/>
                        </w:rPr>
                        <w:t>Form a practical and achievable Action Plan with priorities aligned with size of each risk.</w:t>
                      </w:r>
                      <w:r>
                        <w:rPr>
                          <w:rFonts w:cs="Arial"/>
                          <w:color w:val="FFFFFF"/>
                          <w:sz w:val="16"/>
                          <w:szCs w:val="16"/>
                          <w:lang w:val="en-US"/>
                        </w:rPr>
                        <w:br/>
                        <w:t>Set Future Risk.</w:t>
                      </w:r>
                    </w:p>
                  </w:txbxContent>
                </v:textbox>
              </v:rect>
            </v:group>
            <v:group id="_x0000_s1231" style="position:absolute;left:2731;top:8349;width:2863;height:794" coordorigin="2731,9249" coordsize="2863,794">
              <v:rect id="_x0000_s1113" style="position:absolute;left:2731;top:9249;width:2863;height:794" fillcolor="#009d9d" stroked="f"/>
              <v:rect id="_x0000_s1114" style="position:absolute;left:2754;top:9339;width:2800;height:611;v-text-anchor:top" filled="f" stroked="f">
                <v:textbox style="mso-next-textbox:#_x0000_s1114;mso-rotate-with-shape:t" inset="2mm,0,2mm,0">
                  <w:txbxContent>
                    <w:p w:rsidR="00496759" w:rsidRDefault="00496759" w:rsidP="00D2445C">
                      <w:pPr>
                        <w:jc w:val="center"/>
                      </w:pPr>
                      <w:r>
                        <w:rPr>
                          <w:rFonts w:cs="Arial"/>
                          <w:color w:val="FFFFFF"/>
                          <w:sz w:val="16"/>
                          <w:szCs w:val="16"/>
                          <w:lang w:val="en-US"/>
                        </w:rPr>
                        <w:t>Ensure mechanisms are in place to monitor, measure, report on and review the Action Plan.</w:t>
                      </w:r>
                    </w:p>
                  </w:txbxContent>
                </v:textbox>
              </v:rect>
            </v:group>
            <v:rect id="_x0000_s1139" style="position:absolute;left:2864;top:1235;width:1208;height:695;v-text-anchor:top" filled="f" stroked="f">
              <v:textbox style="mso-next-textbox:#_x0000_s1139;mso-rotate-with-shape:t" inset="2mm,0,2mm,0">
                <w:txbxContent>
                  <w:p w:rsidR="00496759" w:rsidRDefault="00496759" w:rsidP="00991989">
                    <w:r>
                      <w:rPr>
                        <w:rFonts w:cs="Arial"/>
                        <w:color w:val="000000"/>
                        <w:sz w:val="12"/>
                        <w:szCs w:val="12"/>
                        <w:lang w:val="en-US"/>
                      </w:rPr>
                      <w:t xml:space="preserve">Obtain input from the best available information and perform analysis as required </w:t>
                    </w:r>
                  </w:p>
                </w:txbxContent>
              </v:textbox>
            </v:rect>
            <v:rect id="_x0000_s1144" style="position:absolute;left:5821;top:117;width:3199;height:1371;v-text-anchor:top" filled="f" stroked="f">
              <v:textbox style="mso-next-textbox:#_x0000_s1144;mso-rotate-with-shape:t" inset="0,0,0,0">
                <w:txbxContent>
                  <w:p w:rsidR="00496759" w:rsidRPr="00185437" w:rsidRDefault="00496759" w:rsidP="00C14E62">
                    <w:pPr>
                      <w:rPr>
                        <w:rFonts w:cs="Arial"/>
                        <w:color w:val="000000"/>
                        <w:sz w:val="16"/>
                        <w:szCs w:val="16"/>
                        <w:lang w:val="en-US"/>
                      </w:rPr>
                    </w:pPr>
                    <w:r w:rsidRPr="00185437">
                      <w:rPr>
                        <w:rFonts w:cs="Arial"/>
                        <w:color w:val="000000"/>
                        <w:sz w:val="16"/>
                        <w:szCs w:val="16"/>
                        <w:lang w:val="en-US"/>
                      </w:rPr>
                      <w:t>Approach from all possible applicable  perspectives, eg:</w:t>
                    </w:r>
                  </w:p>
                  <w:p w:rsidR="00496759" w:rsidRPr="00185437" w:rsidRDefault="00496759" w:rsidP="00C14E62">
                    <w:pPr>
                      <w:rPr>
                        <w:rFonts w:cs="Arial"/>
                        <w:color w:val="000000"/>
                        <w:sz w:val="14"/>
                        <w:szCs w:val="12"/>
                        <w:lang w:val="en-US"/>
                      </w:rPr>
                    </w:pPr>
                  </w:p>
                  <w:p w:rsidR="00496759" w:rsidRPr="00185437" w:rsidRDefault="00496759" w:rsidP="00BE1CC2">
                    <w:pPr>
                      <w:tabs>
                        <w:tab w:val="left" w:pos="1560"/>
                      </w:tabs>
                      <w:rPr>
                        <w:sz w:val="14"/>
                        <w:szCs w:val="12"/>
                      </w:rPr>
                    </w:pPr>
                    <w:r w:rsidRPr="00185437">
                      <w:rPr>
                        <w:sz w:val="14"/>
                        <w:szCs w:val="12"/>
                      </w:rPr>
                      <w:sym w:font="Wingdings" w:char="F09E"/>
                    </w:r>
                    <w:r w:rsidRPr="00185437">
                      <w:rPr>
                        <w:sz w:val="14"/>
                        <w:szCs w:val="12"/>
                      </w:rPr>
                      <w:t xml:space="preserve"> Financial/Economic</w:t>
                    </w:r>
                    <w:r w:rsidRPr="00185437">
                      <w:rPr>
                        <w:sz w:val="14"/>
                        <w:szCs w:val="12"/>
                      </w:rPr>
                      <w:tab/>
                    </w:r>
                    <w:r w:rsidRPr="00185437">
                      <w:rPr>
                        <w:sz w:val="14"/>
                        <w:szCs w:val="12"/>
                      </w:rPr>
                      <w:sym w:font="Wingdings" w:char="F09E"/>
                    </w:r>
                    <w:r>
                      <w:rPr>
                        <w:sz w:val="14"/>
                        <w:szCs w:val="12"/>
                      </w:rPr>
                      <w:t xml:space="preserve"> </w:t>
                    </w:r>
                    <w:r w:rsidRPr="00185437">
                      <w:rPr>
                        <w:sz w:val="14"/>
                        <w:szCs w:val="12"/>
                      </w:rPr>
                      <w:t xml:space="preserve">Quality </w:t>
                    </w:r>
                    <w:r>
                      <w:rPr>
                        <w:sz w:val="14"/>
                        <w:szCs w:val="12"/>
                      </w:rPr>
                      <w:t>and</w:t>
                    </w:r>
                    <w:r w:rsidRPr="00185437">
                      <w:rPr>
                        <w:sz w:val="14"/>
                        <w:szCs w:val="12"/>
                      </w:rPr>
                      <w:t xml:space="preserve"> Operational</w:t>
                    </w:r>
                  </w:p>
                  <w:p w:rsidR="00496759" w:rsidRPr="00185437" w:rsidRDefault="00496759" w:rsidP="00BE1CC2">
                    <w:pPr>
                      <w:tabs>
                        <w:tab w:val="left" w:pos="1560"/>
                      </w:tabs>
                      <w:rPr>
                        <w:sz w:val="14"/>
                        <w:szCs w:val="12"/>
                      </w:rPr>
                    </w:pPr>
                    <w:r w:rsidRPr="00185437">
                      <w:rPr>
                        <w:sz w:val="14"/>
                        <w:szCs w:val="12"/>
                      </w:rPr>
                      <w:sym w:font="Wingdings" w:char="F09E"/>
                    </w:r>
                    <w:r w:rsidRPr="00185437">
                      <w:rPr>
                        <w:sz w:val="14"/>
                        <w:szCs w:val="12"/>
                      </w:rPr>
                      <w:t xml:space="preserve"> Safety </w:t>
                    </w:r>
                    <w:r>
                      <w:rPr>
                        <w:sz w:val="14"/>
                        <w:szCs w:val="12"/>
                      </w:rPr>
                      <w:t>and</w:t>
                    </w:r>
                    <w:r w:rsidRPr="00185437">
                      <w:rPr>
                        <w:sz w:val="14"/>
                        <w:szCs w:val="12"/>
                      </w:rPr>
                      <w:t xml:space="preserve"> Health</w:t>
                    </w:r>
                    <w:r w:rsidRPr="00185437">
                      <w:rPr>
                        <w:sz w:val="14"/>
                        <w:szCs w:val="12"/>
                      </w:rPr>
                      <w:tab/>
                    </w:r>
                    <w:r w:rsidRPr="00185437">
                      <w:rPr>
                        <w:sz w:val="14"/>
                        <w:szCs w:val="12"/>
                      </w:rPr>
                      <w:sym w:font="Wingdings" w:char="F09E"/>
                    </w:r>
                    <w:r>
                      <w:rPr>
                        <w:sz w:val="14"/>
                        <w:szCs w:val="12"/>
                      </w:rPr>
                      <w:t xml:space="preserve"> </w:t>
                    </w:r>
                    <w:r w:rsidRPr="00185437">
                      <w:rPr>
                        <w:sz w:val="14"/>
                        <w:szCs w:val="12"/>
                      </w:rPr>
                      <w:t>Reputation/Image/Profile</w:t>
                    </w:r>
                  </w:p>
                  <w:p w:rsidR="00496759" w:rsidRPr="00185437" w:rsidRDefault="00496759" w:rsidP="00BE1CC2">
                    <w:pPr>
                      <w:tabs>
                        <w:tab w:val="left" w:pos="1560"/>
                      </w:tabs>
                      <w:rPr>
                        <w:sz w:val="14"/>
                        <w:szCs w:val="12"/>
                      </w:rPr>
                    </w:pPr>
                    <w:r w:rsidRPr="00185437">
                      <w:rPr>
                        <w:sz w:val="14"/>
                        <w:szCs w:val="12"/>
                      </w:rPr>
                      <w:sym w:font="Wingdings" w:char="F09E"/>
                    </w:r>
                    <w:r w:rsidRPr="00185437">
                      <w:rPr>
                        <w:sz w:val="14"/>
                        <w:szCs w:val="12"/>
                      </w:rPr>
                      <w:t xml:space="preserve"> Environment</w:t>
                    </w:r>
                    <w:r w:rsidRPr="00185437">
                      <w:rPr>
                        <w:sz w:val="14"/>
                        <w:szCs w:val="12"/>
                      </w:rPr>
                      <w:tab/>
                    </w:r>
                    <w:r w:rsidRPr="00185437">
                      <w:rPr>
                        <w:sz w:val="14"/>
                        <w:szCs w:val="12"/>
                      </w:rPr>
                      <w:sym w:font="Wingdings" w:char="F09E"/>
                    </w:r>
                    <w:r>
                      <w:rPr>
                        <w:sz w:val="14"/>
                        <w:szCs w:val="12"/>
                      </w:rPr>
                      <w:t xml:space="preserve"> </w:t>
                    </w:r>
                    <w:r w:rsidRPr="00185437">
                      <w:rPr>
                        <w:sz w:val="14"/>
                        <w:szCs w:val="12"/>
                      </w:rPr>
                      <w:t xml:space="preserve">Legal </w:t>
                    </w:r>
                    <w:r>
                      <w:rPr>
                        <w:sz w:val="14"/>
                        <w:szCs w:val="12"/>
                      </w:rPr>
                      <w:t>and</w:t>
                    </w:r>
                    <w:r w:rsidRPr="00185437">
                      <w:rPr>
                        <w:sz w:val="14"/>
                        <w:szCs w:val="12"/>
                      </w:rPr>
                      <w:t xml:space="preserve"> Statutory</w:t>
                    </w:r>
                  </w:p>
                  <w:p w:rsidR="00496759" w:rsidRPr="00185437" w:rsidRDefault="00496759" w:rsidP="00BE1CC2">
                    <w:pPr>
                      <w:tabs>
                        <w:tab w:val="left" w:pos="1560"/>
                      </w:tabs>
                      <w:rPr>
                        <w:sz w:val="14"/>
                        <w:szCs w:val="12"/>
                      </w:rPr>
                    </w:pPr>
                    <w:r w:rsidRPr="00185437">
                      <w:rPr>
                        <w:sz w:val="14"/>
                        <w:szCs w:val="12"/>
                      </w:rPr>
                      <w:sym w:font="Wingdings" w:char="F09E"/>
                    </w:r>
                    <w:r>
                      <w:rPr>
                        <w:sz w:val="14"/>
                        <w:szCs w:val="12"/>
                      </w:rPr>
                      <w:t xml:space="preserve"> Ethical and</w:t>
                    </w:r>
                    <w:r w:rsidRPr="00185437">
                      <w:rPr>
                        <w:sz w:val="14"/>
                        <w:szCs w:val="12"/>
                      </w:rPr>
                      <w:t xml:space="preserve"> Social</w:t>
                    </w:r>
                    <w:r w:rsidRPr="00185437">
                      <w:rPr>
                        <w:sz w:val="14"/>
                        <w:szCs w:val="12"/>
                      </w:rPr>
                      <w:tab/>
                    </w:r>
                    <w:r w:rsidRPr="00185437">
                      <w:rPr>
                        <w:sz w:val="14"/>
                        <w:szCs w:val="12"/>
                      </w:rPr>
                      <w:sym w:font="Wingdings" w:char="F09E"/>
                    </w:r>
                    <w:r>
                      <w:rPr>
                        <w:sz w:val="14"/>
                        <w:szCs w:val="12"/>
                      </w:rPr>
                      <w:t xml:space="preserve"> Asset and</w:t>
                    </w:r>
                    <w:r w:rsidRPr="00185437">
                      <w:rPr>
                        <w:sz w:val="14"/>
                        <w:szCs w:val="12"/>
                      </w:rPr>
                      <w:t xml:space="preserve"> Facility</w:t>
                    </w:r>
                  </w:p>
                </w:txbxContent>
              </v:textbox>
            </v:rect>
            <v:rect id="_x0000_s1161" style="position:absolute;left:5817;top:2006;width:3203;height:765;v-text-anchor:top" filled="f" stroked="f">
              <v:textbox style="mso-next-textbox:#_x0000_s1161;mso-rotate-with-shape:t" inset="0,0,0,0">
                <w:txbxContent>
                  <w:p w:rsidR="00496759" w:rsidRDefault="00496759" w:rsidP="00C14E62">
                    <w:r>
                      <w:rPr>
                        <w:rFonts w:cs="Arial"/>
                        <w:color w:val="000000"/>
                        <w:sz w:val="16"/>
                        <w:szCs w:val="16"/>
                        <w:lang w:val="en-US"/>
                      </w:rPr>
                      <w:t>Initial Risk is based on “no measures in place” to prevent or minimise the likelihood or consequence, i.e. “</w:t>
                    </w:r>
                    <w:r>
                      <w:rPr>
                        <w:rFonts w:cs="Arial"/>
                        <w:i/>
                        <w:color w:val="000000"/>
                        <w:sz w:val="16"/>
                        <w:szCs w:val="16"/>
                        <w:lang w:val="en-US"/>
                      </w:rPr>
                      <w:t>How bad would it be if we did nothing?”</w:t>
                    </w:r>
                  </w:p>
                </w:txbxContent>
              </v:textbox>
            </v:rect>
            <v:rect id="_x0000_s1174" style="position:absolute;left:5817;top:3055;width:3203;height:633;v-text-anchor:top" filled="f" stroked="f">
              <v:textbox style="mso-next-textbox:#_x0000_s1174;mso-rotate-with-shape:t" inset="0,0,0,0">
                <w:txbxContent>
                  <w:p w:rsidR="00496759" w:rsidRDefault="00496759" w:rsidP="00C14E62">
                    <w:r>
                      <w:rPr>
                        <w:rFonts w:cs="Arial"/>
                        <w:color w:val="000000"/>
                        <w:sz w:val="16"/>
                        <w:szCs w:val="16"/>
                        <w:lang w:val="en-US"/>
                      </w:rPr>
                      <w:t>Audits/investigations may be required to measure “effectiveness”.</w:t>
                    </w:r>
                  </w:p>
                </w:txbxContent>
              </v:textbox>
            </v:rect>
            <v:rect id="_x0000_s1176" style="position:absolute;left:5817;top:4126;width:3203;height:549;v-text-anchor:top" filled="f" stroked="f">
              <v:textbox style="mso-next-textbox:#_x0000_s1176;mso-rotate-with-shape:t" inset="0,0,0,0">
                <w:txbxContent>
                  <w:p w:rsidR="00496759" w:rsidRDefault="00496759" w:rsidP="00C14E62">
                    <w:r>
                      <w:rPr>
                        <w:rFonts w:cs="Arial"/>
                        <w:color w:val="000000"/>
                        <w:sz w:val="16"/>
                        <w:szCs w:val="16"/>
                        <w:lang w:val="en-US"/>
                      </w:rPr>
                      <w:t xml:space="preserve">Residual Risk = Initial Risk - ‘measures in place’ to avoid or mitigate.  This can also be called “Current Actual Risk”. </w:t>
                    </w:r>
                  </w:p>
                </w:txbxContent>
              </v:textbox>
            </v:rect>
            <v:rect id="_x0000_s1182" style="position:absolute;left:5817;top:6287;width:3203;height:806;v-text-anchor:top" filled="f" stroked="f">
              <v:textbox style="mso-next-textbox:#_x0000_s1182;mso-rotate-with-shape:t" inset="0,0,0,0">
                <w:txbxContent>
                  <w:p w:rsidR="00496759" w:rsidRPr="00C92A10" w:rsidRDefault="00496759" w:rsidP="00C14E62">
                    <w:pPr>
                      <w:rPr>
                        <w:rFonts w:cs="Arial"/>
                        <w:color w:val="000000"/>
                        <w:sz w:val="16"/>
                        <w:szCs w:val="16"/>
                        <w:lang w:val="en-US"/>
                      </w:rPr>
                    </w:pPr>
                    <w:r>
                      <w:rPr>
                        <w:rFonts w:cs="Arial"/>
                        <w:color w:val="000000"/>
                        <w:sz w:val="16"/>
                        <w:szCs w:val="16"/>
                        <w:lang w:val="en-US"/>
                      </w:rPr>
                      <w:t>Use of available techniques to determine various options for risk treatments and cost benefit approach, e.g. Optimised decision-making.</w:t>
                    </w:r>
                  </w:p>
                </w:txbxContent>
              </v:textbox>
            </v:rect>
            <v:group id="_x0000_s1233" style="position:absolute;left:2734;top:9414;width:2863;height:794" coordorigin="2734,10434" coordsize="2863,794">
              <v:rect id="_x0000_s1188" style="position:absolute;left:2734;top:10434;width:2863;height:794" fillcolor="#009d9d" stroked="f"/>
              <v:rect id="_x0000_s1189" style="position:absolute;left:2772;top:10533;width:2780;height:628;v-text-anchor:top" filled="f" stroked="f">
                <v:textbox style="mso-next-textbox:#_x0000_s1189;mso-rotate-with-shape:t" inset="0,0,0,0">
                  <w:txbxContent>
                    <w:p w:rsidR="00496759" w:rsidRDefault="00496759" w:rsidP="00D2445C">
                      <w:pPr>
                        <w:jc w:val="center"/>
                      </w:pPr>
                      <w:r>
                        <w:rPr>
                          <w:rFonts w:cs="Arial"/>
                          <w:color w:val="FFFFFF"/>
                          <w:sz w:val="16"/>
                          <w:szCs w:val="16"/>
                          <w:lang w:val="en-US"/>
                        </w:rPr>
                        <w:t>Progress action, monitor and report, and repeat the cycle at regular intervals.</w:t>
                      </w:r>
                    </w:p>
                  </w:txbxContent>
                </v:textbox>
              </v:rect>
            </v:group>
            <v:rect id="_x0000_s1195" style="position:absolute;left:5817;top:7326;width:3203;height:754;v-text-anchor:top" filled="f" stroked="f">
              <v:textbox style="mso-next-textbox:#_x0000_s1195;mso-rotate-with-shape:t" inset="0,0,0,0">
                <w:txbxContent>
                  <w:p w:rsidR="00496759" w:rsidRDefault="00496759" w:rsidP="00C14E62">
                    <w:r>
                      <w:rPr>
                        <w:rFonts w:cs="Arial"/>
                        <w:color w:val="000000"/>
                        <w:sz w:val="16"/>
                        <w:szCs w:val="16"/>
                        <w:lang w:val="en-US"/>
                      </w:rPr>
                      <w:t xml:space="preserve">Future Risk is the risk level expected once management actions are effectively implemented. </w:t>
                    </w:r>
                  </w:p>
                </w:txbxContent>
              </v:textbox>
            </v:rect>
            <v:rect id="_x0000_s1198" style="position:absolute;left:6343;top:9331;width:45;height:184;mso-wrap-style:none;v-text-anchor:top" filled="f" stroked="f">
              <v:textbox style="mso-next-textbox:#_x0000_s1198;mso-rotate-with-shape:t;mso-fit-shape-to-text:t" inset="0,0,0,0">
                <w:txbxContent>
                  <w:p w:rsidR="00496759" w:rsidRDefault="00496759" w:rsidP="00C14E62">
                    <w:r>
                      <w:rPr>
                        <w:rFonts w:cs="Arial"/>
                        <w:color w:val="000000"/>
                        <w:sz w:val="16"/>
                        <w:szCs w:val="16"/>
                        <w:lang w:val="en-US"/>
                      </w:rPr>
                      <w:t>.</w:t>
                    </w:r>
                  </w:p>
                </w:txbxContent>
              </v:textbox>
            </v:rect>
            <v:rect id="_x0000_s1218" style="position:absolute;left:2731;top:5176;width:2863;height:794" fillcolor="#009d9d" stroked="f">
              <v:textbox style="mso-next-textbox:#_x0000_s1218" inset="1.3mm,.5mm,1.3mm,.5mm">
                <w:txbxContent>
                  <w:p w:rsidR="00496759" w:rsidRPr="00C14E62" w:rsidRDefault="00496759" w:rsidP="0067277B">
                    <w:pPr>
                      <w:jc w:val="center"/>
                      <w:rPr>
                        <w:color w:val="F2F2F2" w:themeColor="background1" w:themeShade="F2"/>
                        <w:sz w:val="16"/>
                      </w:rPr>
                    </w:pPr>
                    <w:r w:rsidRPr="00C14E62">
                      <w:rPr>
                        <w:color w:val="F2F2F2" w:themeColor="background1" w:themeShade="F2"/>
                        <w:sz w:val="16"/>
                      </w:rPr>
                      <w:t>Once the Consequence Rating and the Likelihood Rating have been selected, then a Risk Probabilit</w:t>
                    </w:r>
                    <w:r>
                      <w:rPr>
                        <w:color w:val="F2F2F2" w:themeColor="background1" w:themeShade="F2"/>
                        <w:sz w:val="16"/>
                      </w:rPr>
                      <w:t>y</w:t>
                    </w:r>
                    <w:r w:rsidRPr="00C14E62">
                      <w:rPr>
                        <w:color w:val="F2F2F2" w:themeColor="background1" w:themeShade="F2"/>
                        <w:sz w:val="16"/>
                      </w:rPr>
                      <w:t xml:space="preserve"> Rating is assigned.</w:t>
                    </w:r>
                  </w:p>
                </w:txbxContent>
              </v:textbox>
            </v:rect>
            <v:group id="_x0000_s1224" style="position:absolute;left:3182;top:17;width:1976;height:1103" coordorigin="3182,17" coordsize="1976,1103">
              <v:oval id="_x0000_s1066" style="position:absolute;left:3182;top:17;width:1976;height:1103" fillcolor="#066" strokeweight="0"/>
              <v:rect id="_x0000_s1067" style="position:absolute;left:3402;top:385;width:1627;height:443;v-text-anchor:top" filled="f" stroked="f">
                <v:textbox style="mso-next-textbox:#_x0000_s1067;mso-rotate-with-shape:t" inset="0,0,0,0">
                  <w:txbxContent>
                    <w:p w:rsidR="00496759" w:rsidRDefault="00496759" w:rsidP="00F549EC">
                      <w:pPr>
                        <w:jc w:val="center"/>
                      </w:pPr>
                      <w:r>
                        <w:rPr>
                          <w:rFonts w:cs="Arial"/>
                          <w:b/>
                          <w:bCs/>
                          <w:color w:val="FFFFFF"/>
                          <w:sz w:val="16"/>
                          <w:szCs w:val="16"/>
                          <w:lang w:val="en-US"/>
                        </w:rPr>
                        <w:t>Identify Possible Risks</w:t>
                      </w:r>
                    </w:p>
                  </w:txbxContent>
                </v:textbox>
              </v:rect>
            </v:group>
            <v:rect id="_x0000_s1130" style="position:absolute;left:406;top:4304;width:110;height:207;mso-wrap-style:none;v-text-anchor:top" filled="f" stroked="f">
              <v:textbox style="mso-next-textbox:#_x0000_s1130;mso-rotate-with-shape:t;mso-fit-shape-to-text:t" inset="0,0,0,0">
                <w:txbxContent>
                  <w:p w:rsidR="00496759" w:rsidRDefault="00496759" w:rsidP="00C14E62">
                    <w:r>
                      <w:rPr>
                        <w:rFonts w:cs="Arial"/>
                        <w:b/>
                        <w:bCs/>
                        <w:color w:val="FFFFFF"/>
                        <w:sz w:val="18"/>
                        <w:szCs w:val="18"/>
                        <w:lang w:val="en-US"/>
                      </w:rPr>
                      <w:t>?</w:t>
                    </w:r>
                  </w:p>
                </w:txbxContent>
              </v:textbox>
            </v:rect>
            <v:shapetype id="_x0000_t33" coordsize="21600,21600" o:spt="33" o:oned="t" path="m,l21600,r,21600e" filled="f">
              <v:stroke joinstyle="miter"/>
              <v:path arrowok="t" fillok="f" o:connecttype="none"/>
              <o:lock v:ext="edit" shapetype="t"/>
            </v:shapetype>
            <v:shape id="_x0000_s1222" type="#_x0000_t33" style="position:absolute;left:226;top:703;width:3089;height:2822;rotation:270" o:connectortype="elbow" adj="-15530,-43116,-15530">
              <v:stroke endarrow="block"/>
            </v:shape>
            <v:shape id="_x0000_s1223" type="#_x0000_t33" style="position:absolute;left:360;top:3738;width:2374;height:6073;rotation:180" o:connectortype="elbow" adj="-44437,-45530,-44437">
              <v:stroke endarrow="block"/>
            </v:shape>
            <w10:anchorlock/>
          </v:group>
        </w:pict>
      </w:r>
    </w:p>
    <w:p w:rsidR="0022300E" w:rsidRPr="009B244A" w:rsidRDefault="0022300E" w:rsidP="0022300E">
      <w:pPr>
        <w:pStyle w:val="Caption"/>
        <w:spacing w:before="240" w:after="240"/>
        <w:ind w:left="709"/>
        <w:jc w:val="center"/>
        <w:rPr>
          <w:rFonts w:ascii="Arial" w:hAnsi="Arial"/>
          <w:i w:val="0"/>
          <w:iCs w:val="0"/>
          <w:sz w:val="20"/>
          <w:szCs w:val="18"/>
          <w:lang w:val="en-AU"/>
        </w:rPr>
      </w:pPr>
      <w:bookmarkStart w:id="707" w:name="_Toc364945399"/>
      <w:r w:rsidRPr="009B244A">
        <w:rPr>
          <w:rFonts w:ascii="Arial" w:hAnsi="Arial"/>
          <w:i w:val="0"/>
          <w:iCs w:val="0"/>
          <w:sz w:val="20"/>
          <w:szCs w:val="18"/>
          <w:lang w:val="en-AU"/>
        </w:rPr>
        <w:t xml:space="preserve">Figure </w:t>
      </w:r>
      <w:r w:rsidR="0090414C" w:rsidRPr="009B244A">
        <w:rPr>
          <w:rFonts w:ascii="Arial" w:hAnsi="Arial"/>
          <w:i w:val="0"/>
          <w:iCs w:val="0"/>
          <w:sz w:val="20"/>
          <w:szCs w:val="18"/>
          <w:lang w:val="en-AU"/>
        </w:rPr>
        <w:fldChar w:fldCharType="begin"/>
      </w:r>
      <w:r w:rsidRPr="009B244A">
        <w:rPr>
          <w:rFonts w:ascii="Arial" w:hAnsi="Arial"/>
          <w:i w:val="0"/>
          <w:iCs w:val="0"/>
          <w:sz w:val="20"/>
          <w:szCs w:val="18"/>
          <w:lang w:val="en-AU"/>
        </w:rPr>
        <w:instrText xml:space="preserve"> SEQ Figure \* ARABIC </w:instrText>
      </w:r>
      <w:r w:rsidR="0090414C" w:rsidRPr="009B244A">
        <w:rPr>
          <w:rFonts w:ascii="Arial" w:hAnsi="Arial"/>
          <w:i w:val="0"/>
          <w:iCs w:val="0"/>
          <w:sz w:val="20"/>
          <w:szCs w:val="18"/>
          <w:lang w:val="en-AU"/>
        </w:rPr>
        <w:fldChar w:fldCharType="separate"/>
      </w:r>
      <w:r w:rsidR="00751CEC">
        <w:rPr>
          <w:rFonts w:ascii="Arial" w:hAnsi="Arial"/>
          <w:i w:val="0"/>
          <w:iCs w:val="0"/>
          <w:noProof/>
          <w:sz w:val="20"/>
          <w:szCs w:val="18"/>
          <w:lang w:val="en-AU"/>
        </w:rPr>
        <w:t>35</w:t>
      </w:r>
      <w:r w:rsidR="0090414C" w:rsidRPr="009B244A">
        <w:rPr>
          <w:rFonts w:ascii="Arial" w:hAnsi="Arial"/>
          <w:i w:val="0"/>
          <w:iCs w:val="0"/>
          <w:sz w:val="20"/>
          <w:szCs w:val="18"/>
          <w:lang w:val="en-AU"/>
        </w:rPr>
        <w:fldChar w:fldCharType="end"/>
      </w:r>
      <w:r w:rsidRPr="009B244A">
        <w:rPr>
          <w:rFonts w:ascii="Arial" w:hAnsi="Arial"/>
          <w:i w:val="0"/>
          <w:iCs w:val="0"/>
          <w:sz w:val="20"/>
          <w:szCs w:val="18"/>
          <w:lang w:val="en-AU"/>
        </w:rPr>
        <w:t>:  Risk Management Process</w:t>
      </w:r>
      <w:bookmarkEnd w:id="707"/>
    </w:p>
    <w:p w:rsidR="00D81B08" w:rsidRDefault="00D81B08" w:rsidP="003C7AB3">
      <w:pPr>
        <w:ind w:left="720"/>
        <w:rPr>
          <w:rFonts w:cs="Arial"/>
        </w:rPr>
      </w:pPr>
    </w:p>
    <w:p w:rsidR="00E96F28" w:rsidRPr="00CF2212" w:rsidRDefault="00E96F28" w:rsidP="009170C7">
      <w:pPr>
        <w:pStyle w:val="Heading2"/>
        <w:keepLines/>
      </w:pPr>
      <w:bookmarkStart w:id="708" w:name="_Toc287277224"/>
      <w:bookmarkStart w:id="709" w:name="_Toc364945343"/>
      <w:r w:rsidRPr="00CF2212">
        <w:t>Risk Profile and Assessment</w:t>
      </w:r>
      <w:bookmarkEnd w:id="708"/>
      <w:bookmarkEnd w:id="709"/>
    </w:p>
    <w:p w:rsidR="00AD1310" w:rsidRPr="00AA777B" w:rsidRDefault="00BD23B9" w:rsidP="009170C7">
      <w:pPr>
        <w:keepNext/>
        <w:keepLines/>
      </w:pPr>
      <w:r>
        <w:t>Initially</w:t>
      </w:r>
      <w:r w:rsidR="00AD1310" w:rsidRPr="00AA777B">
        <w:t xml:space="preserve"> asset managers must consider the high level risks associated with providing or not providing their current service. These risks will then guide the development of technical service levels and inspection programs to manage those risks. The risks in providing a service relate to business planning, management, service delivery and physical asset failure. </w:t>
      </w:r>
    </w:p>
    <w:p w:rsidR="00AD1310" w:rsidRPr="00AA777B" w:rsidRDefault="00AD1310" w:rsidP="009170C7">
      <w:pPr>
        <w:keepNext/>
        <w:keepLines/>
      </w:pPr>
    </w:p>
    <w:p w:rsidR="00AD1310" w:rsidRPr="00AD6AD9" w:rsidRDefault="009B244A" w:rsidP="009170C7">
      <w:pPr>
        <w:keepNext/>
        <w:keepLines/>
        <w:jc w:val="center"/>
      </w:pPr>
      <w:r w:rsidRPr="00AD6AD9">
        <w:object w:dxaOrig="6935" w:dyaOrig="7785">
          <v:shape id="_x0000_i1033" type="#_x0000_t75" style="width:270.75pt;height:241.5pt" o:ole="">
            <v:imagedata r:id="rId74" o:title=""/>
          </v:shape>
          <o:OLEObject Type="Embed" ProgID="Visio.Drawing.11" ShapeID="_x0000_i1033" DrawAspect="Content" ObjectID="_1607929763" r:id="rId75"/>
        </w:object>
      </w:r>
    </w:p>
    <w:p w:rsidR="004508C7" w:rsidRPr="0091425F" w:rsidRDefault="004508C7" w:rsidP="009170C7">
      <w:pPr>
        <w:pStyle w:val="Caption"/>
        <w:keepNext/>
        <w:keepLines/>
        <w:spacing w:before="240" w:after="240"/>
        <w:ind w:left="0"/>
        <w:jc w:val="center"/>
        <w:rPr>
          <w:rFonts w:ascii="Arial" w:hAnsi="Arial"/>
          <w:i w:val="0"/>
          <w:iCs w:val="0"/>
          <w:sz w:val="20"/>
          <w:lang w:val="en-AU"/>
        </w:rPr>
      </w:pPr>
      <w:bookmarkStart w:id="710" w:name="_Toc364945400"/>
      <w:r w:rsidRPr="0091425F">
        <w:rPr>
          <w:rFonts w:ascii="Arial" w:hAnsi="Arial"/>
          <w:i w:val="0"/>
          <w:iCs w:val="0"/>
          <w:sz w:val="20"/>
          <w:lang w:val="en-AU"/>
        </w:rPr>
        <w:t xml:space="preserve">Figure </w:t>
      </w:r>
      <w:r w:rsidR="0090414C" w:rsidRPr="0091425F">
        <w:rPr>
          <w:rFonts w:ascii="Arial" w:hAnsi="Arial"/>
          <w:i w:val="0"/>
          <w:iCs w:val="0"/>
          <w:sz w:val="20"/>
          <w:lang w:val="en-AU"/>
        </w:rPr>
        <w:fldChar w:fldCharType="begin"/>
      </w:r>
      <w:r w:rsidRPr="0091425F">
        <w:rPr>
          <w:rFonts w:ascii="Arial" w:hAnsi="Arial"/>
          <w:i w:val="0"/>
          <w:iCs w:val="0"/>
          <w:sz w:val="20"/>
          <w:lang w:val="en-AU"/>
        </w:rPr>
        <w:instrText xml:space="preserve"> SEQ Figure \* ARABIC </w:instrText>
      </w:r>
      <w:r w:rsidR="0090414C" w:rsidRPr="0091425F">
        <w:rPr>
          <w:rFonts w:ascii="Arial" w:hAnsi="Arial"/>
          <w:i w:val="0"/>
          <w:iCs w:val="0"/>
          <w:sz w:val="20"/>
          <w:lang w:val="en-AU"/>
        </w:rPr>
        <w:fldChar w:fldCharType="separate"/>
      </w:r>
      <w:r w:rsidR="00751CEC">
        <w:rPr>
          <w:rFonts w:ascii="Arial" w:hAnsi="Arial"/>
          <w:i w:val="0"/>
          <w:iCs w:val="0"/>
          <w:noProof/>
          <w:sz w:val="20"/>
          <w:lang w:val="en-AU"/>
        </w:rPr>
        <w:t>36</w:t>
      </w:r>
      <w:r w:rsidR="0090414C" w:rsidRPr="0091425F">
        <w:rPr>
          <w:rFonts w:ascii="Arial" w:hAnsi="Arial"/>
          <w:i w:val="0"/>
          <w:iCs w:val="0"/>
          <w:sz w:val="20"/>
          <w:lang w:val="en-AU"/>
        </w:rPr>
        <w:fldChar w:fldCharType="end"/>
      </w:r>
      <w:r w:rsidRPr="0091425F">
        <w:rPr>
          <w:rFonts w:ascii="Arial" w:hAnsi="Arial"/>
          <w:i w:val="0"/>
          <w:iCs w:val="0"/>
          <w:sz w:val="20"/>
          <w:lang w:val="en-AU"/>
        </w:rPr>
        <w:t>:  Types of Risks</w:t>
      </w:r>
      <w:bookmarkEnd w:id="710"/>
    </w:p>
    <w:p w:rsidR="00BD23B9" w:rsidRDefault="00AD1310" w:rsidP="0060722B">
      <w:r w:rsidRPr="00AA777B">
        <w:t>When identifying risks the fol</w:t>
      </w:r>
      <w:r w:rsidR="00A00129">
        <w:t>lowing questions are considered:</w:t>
      </w:r>
    </w:p>
    <w:p w:rsidR="004508C7" w:rsidRDefault="004508C7" w:rsidP="0060722B"/>
    <w:p w:rsidR="0060722B" w:rsidRPr="00587891" w:rsidRDefault="00AD1310" w:rsidP="008348B5">
      <w:pPr>
        <w:pStyle w:val="ListParagraph"/>
        <w:numPr>
          <w:ilvl w:val="0"/>
          <w:numId w:val="116"/>
        </w:numPr>
        <w:rPr>
          <w:rFonts w:ascii="Arial" w:hAnsi="Arial" w:cs="Arial"/>
          <w:sz w:val="20"/>
          <w:szCs w:val="20"/>
        </w:rPr>
      </w:pPr>
      <w:r w:rsidRPr="00587891">
        <w:rPr>
          <w:rFonts w:ascii="Arial" w:hAnsi="Arial" w:cs="Arial"/>
          <w:sz w:val="20"/>
          <w:szCs w:val="20"/>
        </w:rPr>
        <w:t>What are the risks to achieving the agreed service levels?</w:t>
      </w:r>
    </w:p>
    <w:p w:rsidR="0060722B" w:rsidRPr="00587891" w:rsidRDefault="00AD1310" w:rsidP="008348B5">
      <w:pPr>
        <w:pStyle w:val="ListParagraph"/>
        <w:numPr>
          <w:ilvl w:val="0"/>
          <w:numId w:val="116"/>
        </w:numPr>
        <w:rPr>
          <w:rFonts w:ascii="Arial" w:hAnsi="Arial" w:cs="Arial"/>
          <w:sz w:val="20"/>
          <w:szCs w:val="20"/>
        </w:rPr>
      </w:pPr>
      <w:r w:rsidRPr="00587891">
        <w:rPr>
          <w:rFonts w:ascii="Arial" w:hAnsi="Arial" w:cs="Arial"/>
          <w:sz w:val="20"/>
          <w:szCs w:val="20"/>
        </w:rPr>
        <w:t>What is the source of each risk?</w:t>
      </w:r>
    </w:p>
    <w:p w:rsidR="0060722B" w:rsidRPr="00587891" w:rsidRDefault="00AD1310" w:rsidP="008348B5">
      <w:pPr>
        <w:pStyle w:val="ListParagraph"/>
        <w:numPr>
          <w:ilvl w:val="0"/>
          <w:numId w:val="116"/>
        </w:numPr>
        <w:rPr>
          <w:rFonts w:ascii="Arial" w:hAnsi="Arial" w:cs="Arial"/>
          <w:sz w:val="20"/>
          <w:szCs w:val="20"/>
        </w:rPr>
      </w:pPr>
      <w:r w:rsidRPr="00587891">
        <w:rPr>
          <w:rFonts w:ascii="Arial" w:hAnsi="Arial" w:cs="Arial"/>
          <w:sz w:val="20"/>
          <w:szCs w:val="20"/>
        </w:rPr>
        <w:t>What might happen?</w:t>
      </w:r>
    </w:p>
    <w:p w:rsidR="0060722B" w:rsidRPr="00587891" w:rsidRDefault="00AD1310" w:rsidP="008348B5">
      <w:pPr>
        <w:pStyle w:val="ListParagraph"/>
        <w:numPr>
          <w:ilvl w:val="0"/>
          <w:numId w:val="116"/>
        </w:numPr>
        <w:rPr>
          <w:rFonts w:ascii="Arial" w:hAnsi="Arial" w:cs="Arial"/>
          <w:sz w:val="20"/>
          <w:szCs w:val="20"/>
        </w:rPr>
      </w:pPr>
      <w:r w:rsidRPr="00587891">
        <w:rPr>
          <w:rFonts w:ascii="Arial" w:hAnsi="Arial" w:cs="Arial"/>
          <w:sz w:val="20"/>
          <w:szCs w:val="20"/>
        </w:rPr>
        <w:t>What would be the effect?</w:t>
      </w:r>
    </w:p>
    <w:p w:rsidR="0060722B" w:rsidRPr="00587891" w:rsidRDefault="00AD1310" w:rsidP="008348B5">
      <w:pPr>
        <w:pStyle w:val="ListParagraph"/>
        <w:numPr>
          <w:ilvl w:val="0"/>
          <w:numId w:val="116"/>
        </w:numPr>
        <w:rPr>
          <w:rFonts w:ascii="Arial" w:hAnsi="Arial" w:cs="Arial"/>
          <w:sz w:val="20"/>
          <w:szCs w:val="20"/>
        </w:rPr>
      </w:pPr>
      <w:r w:rsidRPr="00587891">
        <w:rPr>
          <w:rFonts w:ascii="Arial" w:hAnsi="Arial" w:cs="Arial"/>
          <w:sz w:val="20"/>
          <w:szCs w:val="20"/>
        </w:rPr>
        <w:t>When, where, why and how are these risk</w:t>
      </w:r>
      <w:r w:rsidR="009170C7">
        <w:rPr>
          <w:rFonts w:ascii="Arial" w:hAnsi="Arial" w:cs="Arial"/>
          <w:sz w:val="20"/>
          <w:szCs w:val="20"/>
        </w:rPr>
        <w:t>s</w:t>
      </w:r>
      <w:r w:rsidRPr="00587891">
        <w:rPr>
          <w:rFonts w:ascii="Arial" w:hAnsi="Arial" w:cs="Arial"/>
          <w:sz w:val="20"/>
          <w:szCs w:val="20"/>
        </w:rPr>
        <w:t xml:space="preserve"> likely to occur?</w:t>
      </w:r>
    </w:p>
    <w:p w:rsidR="0060722B" w:rsidRPr="00587891" w:rsidRDefault="00AD1310" w:rsidP="008348B5">
      <w:pPr>
        <w:pStyle w:val="ListParagraph"/>
        <w:numPr>
          <w:ilvl w:val="0"/>
          <w:numId w:val="116"/>
        </w:numPr>
        <w:rPr>
          <w:rFonts w:ascii="Arial" w:hAnsi="Arial" w:cs="Arial"/>
          <w:sz w:val="20"/>
          <w:szCs w:val="20"/>
        </w:rPr>
      </w:pPr>
      <w:r w:rsidRPr="00587891">
        <w:rPr>
          <w:rFonts w:ascii="Arial" w:hAnsi="Arial" w:cs="Arial"/>
          <w:sz w:val="20"/>
          <w:szCs w:val="20"/>
        </w:rPr>
        <w:t>Who might be involved or impacted?</w:t>
      </w:r>
    </w:p>
    <w:p w:rsidR="0060722B" w:rsidRPr="00587891" w:rsidRDefault="00AD1310" w:rsidP="008348B5">
      <w:pPr>
        <w:pStyle w:val="ListParagraph"/>
        <w:numPr>
          <w:ilvl w:val="0"/>
          <w:numId w:val="116"/>
        </w:numPr>
        <w:rPr>
          <w:rFonts w:ascii="Arial" w:hAnsi="Arial" w:cs="Arial"/>
          <w:sz w:val="20"/>
          <w:szCs w:val="20"/>
        </w:rPr>
      </w:pPr>
      <w:r w:rsidRPr="00587891">
        <w:rPr>
          <w:rFonts w:ascii="Arial" w:hAnsi="Arial" w:cs="Arial"/>
          <w:sz w:val="20"/>
          <w:szCs w:val="20"/>
        </w:rPr>
        <w:t xml:space="preserve">What controls presently exist? and </w:t>
      </w:r>
    </w:p>
    <w:p w:rsidR="00AD1310" w:rsidRDefault="00AD1310" w:rsidP="008348B5">
      <w:pPr>
        <w:pStyle w:val="ListParagraph"/>
        <w:numPr>
          <w:ilvl w:val="0"/>
          <w:numId w:val="116"/>
        </w:numPr>
        <w:rPr>
          <w:rFonts w:ascii="Arial" w:hAnsi="Arial" w:cs="Arial"/>
          <w:sz w:val="20"/>
          <w:szCs w:val="20"/>
        </w:rPr>
      </w:pPr>
      <w:r w:rsidRPr="00587891">
        <w:rPr>
          <w:rFonts w:ascii="Arial" w:hAnsi="Arial" w:cs="Arial"/>
          <w:sz w:val="20"/>
          <w:szCs w:val="20"/>
        </w:rPr>
        <w:t>What could cause the control to not have the desired effect on the risk?</w:t>
      </w:r>
    </w:p>
    <w:p w:rsidR="00AD1310" w:rsidRPr="00CF2212" w:rsidRDefault="00AD1310" w:rsidP="007843EB">
      <w:pPr>
        <w:pStyle w:val="Heading2"/>
        <w:keepNext w:val="0"/>
        <w:widowControl w:val="0"/>
      </w:pPr>
      <w:bookmarkStart w:id="711" w:name="_Toc364945344"/>
      <w:r w:rsidRPr="00CF2212">
        <w:t>Risk Analysis</w:t>
      </w:r>
      <w:bookmarkEnd w:id="711"/>
    </w:p>
    <w:p w:rsidR="00AD1310" w:rsidRDefault="00AD1310" w:rsidP="007843EB">
      <w:pPr>
        <w:widowControl w:val="0"/>
      </w:pPr>
      <w:r w:rsidRPr="00AA777B">
        <w:t xml:space="preserve">When analysing a risk, the risk Criteria, Consequence and </w:t>
      </w:r>
      <w:r w:rsidR="009170C7">
        <w:t>Likelihood</w:t>
      </w:r>
      <w:r w:rsidRPr="00AA777B">
        <w:t xml:space="preserve"> need to be considered. There are several criteria that enable asset managers to assess the likely consequence of an event. </w:t>
      </w:r>
    </w:p>
    <w:p w:rsidR="0060722B" w:rsidRPr="00AA777B" w:rsidRDefault="0060722B" w:rsidP="007843EB">
      <w:pPr>
        <w:widowControl w:val="0"/>
      </w:pPr>
    </w:p>
    <w:tbl>
      <w:tblPr>
        <w:tblStyle w:val="TableGrid"/>
        <w:tblW w:w="9089" w:type="dxa"/>
        <w:jc w:val="center"/>
        <w:tblLook w:val="04A0" w:firstRow="1" w:lastRow="0" w:firstColumn="1" w:lastColumn="0" w:noHBand="0" w:noVBand="1"/>
      </w:tblPr>
      <w:tblGrid>
        <w:gridCol w:w="3271"/>
        <w:gridCol w:w="5818"/>
      </w:tblGrid>
      <w:tr w:rsidR="00AA777B" w:rsidRPr="009B244A" w:rsidTr="007843EB">
        <w:trPr>
          <w:cantSplit/>
          <w:jc w:val="center"/>
        </w:trPr>
        <w:tc>
          <w:tcPr>
            <w:tcW w:w="3271" w:type="dxa"/>
            <w:shd w:val="clear" w:color="auto" w:fill="95B3D7" w:themeFill="accent1" w:themeFillTint="99"/>
          </w:tcPr>
          <w:p w:rsidR="00AA777B" w:rsidRPr="009B244A" w:rsidRDefault="00494961" w:rsidP="007843EB">
            <w:pPr>
              <w:widowControl w:val="0"/>
              <w:jc w:val="left"/>
              <w:rPr>
                <w:b/>
                <w:sz w:val="20"/>
              </w:rPr>
            </w:pPr>
            <w:r w:rsidRPr="009B244A">
              <w:rPr>
                <w:b/>
                <w:sz w:val="20"/>
              </w:rPr>
              <w:t>Criteria</w:t>
            </w:r>
          </w:p>
        </w:tc>
        <w:tc>
          <w:tcPr>
            <w:tcW w:w="5818" w:type="dxa"/>
            <w:shd w:val="clear" w:color="auto" w:fill="95B3D7" w:themeFill="accent1" w:themeFillTint="99"/>
          </w:tcPr>
          <w:p w:rsidR="00AA777B" w:rsidRPr="009B244A" w:rsidRDefault="00494961" w:rsidP="007843EB">
            <w:pPr>
              <w:widowControl w:val="0"/>
              <w:jc w:val="left"/>
              <w:rPr>
                <w:b/>
                <w:sz w:val="20"/>
              </w:rPr>
            </w:pPr>
            <w:r w:rsidRPr="009B244A">
              <w:rPr>
                <w:b/>
                <w:sz w:val="20"/>
              </w:rPr>
              <w:t>Impact</w:t>
            </w:r>
          </w:p>
        </w:tc>
      </w:tr>
      <w:tr w:rsidR="00AD1310" w:rsidRPr="00DB6826" w:rsidTr="007843EB">
        <w:trPr>
          <w:cantSplit/>
          <w:jc w:val="center"/>
        </w:trPr>
        <w:tc>
          <w:tcPr>
            <w:tcW w:w="3271" w:type="dxa"/>
          </w:tcPr>
          <w:p w:rsidR="00AD1310" w:rsidRPr="00DB6826" w:rsidRDefault="00AD1310" w:rsidP="007843EB">
            <w:pPr>
              <w:pStyle w:val="ListParagraph"/>
              <w:widowControl w:val="0"/>
              <w:numPr>
                <w:ilvl w:val="0"/>
                <w:numId w:val="105"/>
              </w:numPr>
              <w:jc w:val="left"/>
              <w:rPr>
                <w:rFonts w:ascii="Arial" w:hAnsi="Arial" w:cs="Arial"/>
                <w:sz w:val="19"/>
                <w:szCs w:val="19"/>
              </w:rPr>
            </w:pPr>
            <w:r w:rsidRPr="00DB6826">
              <w:rPr>
                <w:rFonts w:ascii="Arial" w:hAnsi="Arial" w:cs="Arial"/>
                <w:sz w:val="19"/>
                <w:szCs w:val="19"/>
              </w:rPr>
              <w:t xml:space="preserve">Financial </w:t>
            </w:r>
          </w:p>
        </w:tc>
        <w:tc>
          <w:tcPr>
            <w:tcW w:w="5818" w:type="dxa"/>
          </w:tcPr>
          <w:p w:rsidR="00AD1310" w:rsidRPr="00DB6826" w:rsidRDefault="00A00129" w:rsidP="007843EB">
            <w:pPr>
              <w:widowControl w:val="0"/>
              <w:jc w:val="left"/>
              <w:rPr>
                <w:sz w:val="19"/>
                <w:szCs w:val="19"/>
              </w:rPr>
            </w:pPr>
            <w:r w:rsidRPr="00DB6826">
              <w:rPr>
                <w:sz w:val="19"/>
                <w:szCs w:val="19"/>
              </w:rPr>
              <w:t>D</w:t>
            </w:r>
            <w:r w:rsidR="00AD1310" w:rsidRPr="00DB6826">
              <w:rPr>
                <w:sz w:val="19"/>
                <w:szCs w:val="19"/>
              </w:rPr>
              <w:t xml:space="preserve">irect costs (repair , loss, </w:t>
            </w:r>
            <w:r w:rsidRPr="00DB6826">
              <w:rPr>
                <w:sz w:val="19"/>
                <w:szCs w:val="19"/>
              </w:rPr>
              <w:t>third</w:t>
            </w:r>
            <w:r w:rsidR="00AD1310" w:rsidRPr="00DB6826">
              <w:rPr>
                <w:sz w:val="19"/>
                <w:szCs w:val="19"/>
              </w:rPr>
              <w:t xml:space="preserve"> party property damage)</w:t>
            </w:r>
          </w:p>
        </w:tc>
      </w:tr>
      <w:tr w:rsidR="00AD1310" w:rsidRPr="00DB6826" w:rsidTr="007843EB">
        <w:trPr>
          <w:cantSplit/>
          <w:jc w:val="center"/>
        </w:trPr>
        <w:tc>
          <w:tcPr>
            <w:tcW w:w="3271" w:type="dxa"/>
          </w:tcPr>
          <w:p w:rsidR="00AD1310" w:rsidRPr="00DB6826" w:rsidRDefault="00AD1310" w:rsidP="007843EB">
            <w:pPr>
              <w:pStyle w:val="ListParagraph"/>
              <w:widowControl w:val="0"/>
              <w:numPr>
                <w:ilvl w:val="0"/>
                <w:numId w:val="105"/>
              </w:numPr>
              <w:jc w:val="left"/>
              <w:rPr>
                <w:rFonts w:ascii="Arial" w:hAnsi="Arial" w:cs="Arial"/>
                <w:sz w:val="19"/>
                <w:szCs w:val="19"/>
              </w:rPr>
            </w:pPr>
            <w:r w:rsidRPr="00DB6826">
              <w:rPr>
                <w:rFonts w:ascii="Arial" w:hAnsi="Arial" w:cs="Arial"/>
                <w:sz w:val="19"/>
                <w:szCs w:val="19"/>
              </w:rPr>
              <w:t xml:space="preserve">Occupational Health </w:t>
            </w:r>
            <w:r w:rsidR="0060722B" w:rsidRPr="00DB6826">
              <w:rPr>
                <w:rFonts w:ascii="Arial" w:hAnsi="Arial" w:cs="Arial"/>
                <w:sz w:val="19"/>
                <w:szCs w:val="19"/>
              </w:rPr>
              <w:t>and</w:t>
            </w:r>
            <w:r w:rsidR="009A3E79" w:rsidRPr="00DB6826">
              <w:rPr>
                <w:rFonts w:ascii="Arial" w:hAnsi="Arial" w:cs="Arial"/>
                <w:sz w:val="19"/>
                <w:szCs w:val="19"/>
              </w:rPr>
              <w:t xml:space="preserve"> Safety</w:t>
            </w:r>
          </w:p>
        </w:tc>
        <w:tc>
          <w:tcPr>
            <w:tcW w:w="5818" w:type="dxa"/>
          </w:tcPr>
          <w:p w:rsidR="00AD1310" w:rsidRPr="00DB6826" w:rsidRDefault="00A00129" w:rsidP="007843EB">
            <w:pPr>
              <w:widowControl w:val="0"/>
              <w:jc w:val="left"/>
              <w:rPr>
                <w:sz w:val="19"/>
                <w:szCs w:val="19"/>
              </w:rPr>
            </w:pPr>
            <w:r w:rsidRPr="00DB6826">
              <w:rPr>
                <w:sz w:val="19"/>
                <w:szCs w:val="19"/>
              </w:rPr>
              <w:t>Impact on p</w:t>
            </w:r>
            <w:r w:rsidR="00AD1310" w:rsidRPr="00DB6826">
              <w:rPr>
                <w:sz w:val="19"/>
                <w:szCs w:val="19"/>
              </w:rPr>
              <w:t>ublic health and safety</w:t>
            </w:r>
          </w:p>
        </w:tc>
      </w:tr>
      <w:tr w:rsidR="00AD1310" w:rsidRPr="00DB6826" w:rsidTr="007843EB">
        <w:trPr>
          <w:cantSplit/>
          <w:jc w:val="center"/>
        </w:trPr>
        <w:tc>
          <w:tcPr>
            <w:tcW w:w="3271" w:type="dxa"/>
          </w:tcPr>
          <w:p w:rsidR="00AD1310" w:rsidRPr="00DB6826" w:rsidRDefault="009A3E79" w:rsidP="007843EB">
            <w:pPr>
              <w:pStyle w:val="ListParagraph"/>
              <w:widowControl w:val="0"/>
              <w:numPr>
                <w:ilvl w:val="0"/>
                <w:numId w:val="105"/>
              </w:numPr>
              <w:jc w:val="left"/>
              <w:rPr>
                <w:rFonts w:ascii="Arial" w:hAnsi="Arial" w:cs="Arial"/>
                <w:sz w:val="19"/>
                <w:szCs w:val="19"/>
              </w:rPr>
            </w:pPr>
            <w:r w:rsidRPr="00DB6826">
              <w:rPr>
                <w:rFonts w:ascii="Arial" w:hAnsi="Arial" w:cs="Arial"/>
                <w:sz w:val="19"/>
                <w:szCs w:val="19"/>
              </w:rPr>
              <w:t>Business interruption</w:t>
            </w:r>
          </w:p>
        </w:tc>
        <w:tc>
          <w:tcPr>
            <w:tcW w:w="5818" w:type="dxa"/>
          </w:tcPr>
          <w:p w:rsidR="00AD1310" w:rsidRPr="00DB6826" w:rsidRDefault="00A00129" w:rsidP="007843EB">
            <w:pPr>
              <w:widowControl w:val="0"/>
              <w:jc w:val="left"/>
              <w:rPr>
                <w:sz w:val="19"/>
                <w:szCs w:val="19"/>
              </w:rPr>
            </w:pPr>
            <w:r w:rsidRPr="00DB6826">
              <w:rPr>
                <w:sz w:val="19"/>
                <w:szCs w:val="19"/>
              </w:rPr>
              <w:t>E</w:t>
            </w:r>
            <w:r w:rsidR="00AD1310" w:rsidRPr="00DB6826">
              <w:rPr>
                <w:sz w:val="19"/>
                <w:szCs w:val="19"/>
              </w:rPr>
              <w:t>conomic impact on users and businesses</w:t>
            </w:r>
          </w:p>
        </w:tc>
      </w:tr>
      <w:tr w:rsidR="00AD1310" w:rsidRPr="00DB6826" w:rsidTr="007843EB">
        <w:trPr>
          <w:cantSplit/>
          <w:jc w:val="center"/>
        </w:trPr>
        <w:tc>
          <w:tcPr>
            <w:tcW w:w="3271" w:type="dxa"/>
          </w:tcPr>
          <w:p w:rsidR="00AD1310" w:rsidRPr="00DB6826" w:rsidRDefault="00AD1310" w:rsidP="007843EB">
            <w:pPr>
              <w:pStyle w:val="ListParagraph"/>
              <w:widowControl w:val="0"/>
              <w:numPr>
                <w:ilvl w:val="0"/>
                <w:numId w:val="105"/>
              </w:numPr>
              <w:jc w:val="left"/>
              <w:rPr>
                <w:rFonts w:ascii="Arial" w:hAnsi="Arial" w:cs="Arial"/>
                <w:sz w:val="19"/>
                <w:szCs w:val="19"/>
              </w:rPr>
            </w:pPr>
            <w:r w:rsidRPr="00DB6826">
              <w:rPr>
                <w:rFonts w:ascii="Arial" w:hAnsi="Arial" w:cs="Arial"/>
                <w:sz w:val="19"/>
                <w:szCs w:val="19"/>
              </w:rPr>
              <w:t xml:space="preserve">Community Reputation </w:t>
            </w:r>
            <w:r w:rsidR="0060722B" w:rsidRPr="00DB6826">
              <w:rPr>
                <w:rFonts w:ascii="Arial" w:hAnsi="Arial" w:cs="Arial"/>
                <w:sz w:val="19"/>
                <w:szCs w:val="19"/>
              </w:rPr>
              <w:t>and</w:t>
            </w:r>
            <w:r w:rsidR="009A3E79" w:rsidRPr="00DB6826">
              <w:rPr>
                <w:rFonts w:ascii="Arial" w:hAnsi="Arial" w:cs="Arial"/>
                <w:sz w:val="19"/>
                <w:szCs w:val="19"/>
              </w:rPr>
              <w:t xml:space="preserve"> Image</w:t>
            </w:r>
          </w:p>
        </w:tc>
        <w:tc>
          <w:tcPr>
            <w:tcW w:w="5818" w:type="dxa"/>
          </w:tcPr>
          <w:p w:rsidR="00AD1310" w:rsidRPr="00DB6826" w:rsidRDefault="00A00129" w:rsidP="007843EB">
            <w:pPr>
              <w:widowControl w:val="0"/>
              <w:jc w:val="left"/>
              <w:rPr>
                <w:sz w:val="19"/>
                <w:szCs w:val="19"/>
              </w:rPr>
            </w:pPr>
            <w:r w:rsidRPr="00DB6826">
              <w:rPr>
                <w:sz w:val="19"/>
                <w:szCs w:val="19"/>
              </w:rPr>
              <w:t>P</w:t>
            </w:r>
            <w:r w:rsidR="00AD1310" w:rsidRPr="00DB6826">
              <w:rPr>
                <w:sz w:val="19"/>
                <w:szCs w:val="19"/>
              </w:rPr>
              <w:t>rotection of heritage and amenity, image</w:t>
            </w:r>
            <w:r w:rsidR="002F2F1E" w:rsidRPr="00DB6826">
              <w:rPr>
                <w:sz w:val="19"/>
                <w:szCs w:val="19"/>
              </w:rPr>
              <w:t>, reputation and public support</w:t>
            </w:r>
            <w:r w:rsidR="00AD1310" w:rsidRPr="00DB6826">
              <w:rPr>
                <w:sz w:val="19"/>
                <w:szCs w:val="19"/>
              </w:rPr>
              <w:t>/confidence</w:t>
            </w:r>
          </w:p>
        </w:tc>
      </w:tr>
      <w:tr w:rsidR="00AD1310" w:rsidRPr="00DB6826" w:rsidTr="007843EB">
        <w:trPr>
          <w:cantSplit/>
          <w:jc w:val="center"/>
        </w:trPr>
        <w:tc>
          <w:tcPr>
            <w:tcW w:w="3271" w:type="dxa"/>
          </w:tcPr>
          <w:p w:rsidR="00AD1310" w:rsidRPr="00DB6826" w:rsidRDefault="009A3E79" w:rsidP="007843EB">
            <w:pPr>
              <w:pStyle w:val="ListParagraph"/>
              <w:widowControl w:val="0"/>
              <w:numPr>
                <w:ilvl w:val="0"/>
                <w:numId w:val="105"/>
              </w:numPr>
              <w:jc w:val="left"/>
              <w:rPr>
                <w:rFonts w:ascii="Arial" w:hAnsi="Arial" w:cs="Arial"/>
                <w:sz w:val="19"/>
                <w:szCs w:val="19"/>
              </w:rPr>
            </w:pPr>
            <w:r w:rsidRPr="00DB6826">
              <w:rPr>
                <w:rFonts w:ascii="Arial" w:hAnsi="Arial" w:cs="Arial"/>
                <w:sz w:val="19"/>
                <w:szCs w:val="19"/>
              </w:rPr>
              <w:t>Legal</w:t>
            </w:r>
          </w:p>
        </w:tc>
        <w:tc>
          <w:tcPr>
            <w:tcW w:w="5818" w:type="dxa"/>
          </w:tcPr>
          <w:p w:rsidR="00AD1310" w:rsidRPr="00DB6826" w:rsidRDefault="00A00129" w:rsidP="007843EB">
            <w:pPr>
              <w:widowControl w:val="0"/>
              <w:jc w:val="left"/>
              <w:rPr>
                <w:sz w:val="19"/>
                <w:szCs w:val="19"/>
              </w:rPr>
            </w:pPr>
            <w:r w:rsidRPr="00DB6826">
              <w:rPr>
                <w:sz w:val="19"/>
                <w:szCs w:val="19"/>
              </w:rPr>
              <w:t>Liti</w:t>
            </w:r>
            <w:r w:rsidR="00AD1310" w:rsidRPr="00DB6826">
              <w:rPr>
                <w:sz w:val="19"/>
                <w:szCs w:val="19"/>
              </w:rPr>
              <w:t>gation</w:t>
            </w:r>
          </w:p>
        </w:tc>
      </w:tr>
      <w:tr w:rsidR="00AD1310" w:rsidRPr="00DB6826" w:rsidTr="007843EB">
        <w:trPr>
          <w:cantSplit/>
          <w:jc w:val="center"/>
        </w:trPr>
        <w:tc>
          <w:tcPr>
            <w:tcW w:w="3271" w:type="dxa"/>
          </w:tcPr>
          <w:p w:rsidR="00AD1310" w:rsidRPr="00DB6826" w:rsidRDefault="009A3E79" w:rsidP="007843EB">
            <w:pPr>
              <w:pStyle w:val="ListParagraph"/>
              <w:widowControl w:val="0"/>
              <w:numPr>
                <w:ilvl w:val="0"/>
                <w:numId w:val="105"/>
              </w:numPr>
              <w:jc w:val="left"/>
              <w:rPr>
                <w:rFonts w:ascii="Arial" w:hAnsi="Arial" w:cs="Arial"/>
                <w:sz w:val="19"/>
                <w:szCs w:val="19"/>
              </w:rPr>
            </w:pPr>
            <w:r w:rsidRPr="00DB6826">
              <w:rPr>
                <w:rFonts w:ascii="Arial" w:hAnsi="Arial" w:cs="Arial"/>
                <w:sz w:val="19"/>
                <w:szCs w:val="19"/>
              </w:rPr>
              <w:t>Environmental</w:t>
            </w:r>
          </w:p>
        </w:tc>
        <w:tc>
          <w:tcPr>
            <w:tcW w:w="5818" w:type="dxa"/>
          </w:tcPr>
          <w:p w:rsidR="00AD1310" w:rsidRPr="00DB6826" w:rsidRDefault="00AD1310" w:rsidP="007843EB">
            <w:pPr>
              <w:widowControl w:val="0"/>
              <w:jc w:val="left"/>
              <w:rPr>
                <w:sz w:val="19"/>
                <w:szCs w:val="19"/>
              </w:rPr>
            </w:pPr>
            <w:r w:rsidRPr="00DB6826">
              <w:rPr>
                <w:sz w:val="19"/>
                <w:szCs w:val="19"/>
              </w:rPr>
              <w:t xml:space="preserve">Environmental damage </w:t>
            </w:r>
          </w:p>
        </w:tc>
      </w:tr>
      <w:tr w:rsidR="00AD1310" w:rsidRPr="00DB6826" w:rsidTr="007843EB">
        <w:trPr>
          <w:cantSplit/>
          <w:jc w:val="center"/>
        </w:trPr>
        <w:tc>
          <w:tcPr>
            <w:tcW w:w="3271" w:type="dxa"/>
          </w:tcPr>
          <w:p w:rsidR="00AD1310" w:rsidRPr="00DB6826" w:rsidRDefault="009A3E79" w:rsidP="007843EB">
            <w:pPr>
              <w:pStyle w:val="ListParagraph"/>
              <w:widowControl w:val="0"/>
              <w:numPr>
                <w:ilvl w:val="0"/>
                <w:numId w:val="105"/>
              </w:numPr>
              <w:jc w:val="left"/>
              <w:rPr>
                <w:rFonts w:ascii="Arial" w:hAnsi="Arial" w:cs="Arial"/>
                <w:sz w:val="19"/>
                <w:szCs w:val="19"/>
              </w:rPr>
            </w:pPr>
            <w:r w:rsidRPr="00DB6826">
              <w:rPr>
                <w:rFonts w:ascii="Arial" w:hAnsi="Arial" w:cs="Arial"/>
                <w:sz w:val="19"/>
                <w:szCs w:val="19"/>
              </w:rPr>
              <w:t>Sustainability</w:t>
            </w:r>
          </w:p>
        </w:tc>
        <w:tc>
          <w:tcPr>
            <w:tcW w:w="5818" w:type="dxa"/>
          </w:tcPr>
          <w:p w:rsidR="00AD1310" w:rsidRPr="00DB6826" w:rsidRDefault="00A00129" w:rsidP="007843EB">
            <w:pPr>
              <w:widowControl w:val="0"/>
              <w:jc w:val="left"/>
              <w:rPr>
                <w:sz w:val="19"/>
                <w:szCs w:val="19"/>
              </w:rPr>
            </w:pPr>
            <w:r w:rsidRPr="00DB6826">
              <w:rPr>
                <w:sz w:val="19"/>
                <w:szCs w:val="19"/>
              </w:rPr>
              <w:t>L</w:t>
            </w:r>
            <w:r w:rsidR="00AD1310" w:rsidRPr="00DB6826">
              <w:rPr>
                <w:sz w:val="19"/>
                <w:szCs w:val="19"/>
              </w:rPr>
              <w:t>ong term sustainability</w:t>
            </w:r>
          </w:p>
        </w:tc>
      </w:tr>
    </w:tbl>
    <w:p w:rsidR="004508C7" w:rsidRPr="0091425F" w:rsidRDefault="004508C7" w:rsidP="007843EB">
      <w:pPr>
        <w:pStyle w:val="Caption"/>
        <w:widowControl w:val="0"/>
        <w:spacing w:before="240" w:after="240"/>
        <w:ind w:left="0"/>
        <w:jc w:val="center"/>
        <w:rPr>
          <w:rFonts w:ascii="Arial" w:hAnsi="Arial"/>
          <w:i w:val="0"/>
          <w:iCs w:val="0"/>
          <w:sz w:val="20"/>
          <w:lang w:val="en-AU"/>
        </w:rPr>
      </w:pPr>
      <w:bookmarkStart w:id="712" w:name="_Toc364945452"/>
      <w:r w:rsidRPr="0091425F">
        <w:rPr>
          <w:rFonts w:ascii="Arial" w:hAnsi="Arial"/>
          <w:i w:val="0"/>
          <w:iCs w:val="0"/>
          <w:sz w:val="20"/>
          <w:lang w:val="en-AU"/>
        </w:rPr>
        <w:t xml:space="preserve">Table </w:t>
      </w:r>
      <w:r w:rsidR="0090414C" w:rsidRPr="0091425F">
        <w:rPr>
          <w:rFonts w:ascii="Arial" w:hAnsi="Arial"/>
          <w:i w:val="0"/>
          <w:iCs w:val="0"/>
          <w:sz w:val="20"/>
          <w:lang w:val="en-AU"/>
        </w:rPr>
        <w:fldChar w:fldCharType="begin"/>
      </w:r>
      <w:r w:rsidRPr="0091425F">
        <w:rPr>
          <w:rFonts w:ascii="Arial" w:hAnsi="Arial"/>
          <w:i w:val="0"/>
          <w:iCs w:val="0"/>
          <w:sz w:val="20"/>
          <w:lang w:val="en-AU"/>
        </w:rPr>
        <w:instrText xml:space="preserve"> SEQ Table \* ARABIC </w:instrText>
      </w:r>
      <w:r w:rsidR="0090414C" w:rsidRPr="0091425F">
        <w:rPr>
          <w:rFonts w:ascii="Arial" w:hAnsi="Arial"/>
          <w:i w:val="0"/>
          <w:iCs w:val="0"/>
          <w:sz w:val="20"/>
          <w:lang w:val="en-AU"/>
        </w:rPr>
        <w:fldChar w:fldCharType="separate"/>
      </w:r>
      <w:r w:rsidR="00751CEC">
        <w:rPr>
          <w:rFonts w:ascii="Arial" w:hAnsi="Arial"/>
          <w:i w:val="0"/>
          <w:iCs w:val="0"/>
          <w:noProof/>
          <w:sz w:val="20"/>
          <w:lang w:val="en-AU"/>
        </w:rPr>
        <w:t>48</w:t>
      </w:r>
      <w:r w:rsidR="0090414C" w:rsidRPr="0091425F">
        <w:rPr>
          <w:rFonts w:ascii="Arial" w:hAnsi="Arial"/>
          <w:i w:val="0"/>
          <w:iCs w:val="0"/>
          <w:sz w:val="20"/>
          <w:lang w:val="en-AU"/>
        </w:rPr>
        <w:fldChar w:fldCharType="end"/>
      </w:r>
      <w:r w:rsidRPr="0091425F">
        <w:rPr>
          <w:rFonts w:ascii="Arial" w:hAnsi="Arial"/>
          <w:i w:val="0"/>
          <w:iCs w:val="0"/>
          <w:sz w:val="20"/>
          <w:lang w:val="en-AU"/>
        </w:rPr>
        <w:t>:  Risk</w:t>
      </w:r>
      <w:r w:rsidR="002E4F63" w:rsidRPr="0091425F">
        <w:rPr>
          <w:rFonts w:ascii="Arial" w:hAnsi="Arial"/>
          <w:i w:val="0"/>
          <w:iCs w:val="0"/>
          <w:sz w:val="20"/>
          <w:lang w:val="en-AU"/>
        </w:rPr>
        <w:t xml:space="preserve"> Analysis</w:t>
      </w:r>
      <w:bookmarkEnd w:id="712"/>
    </w:p>
    <w:p w:rsidR="00AD1310" w:rsidRPr="00AA777B" w:rsidRDefault="00AD1310" w:rsidP="0011082B">
      <w:pPr>
        <w:rPr>
          <w:rFonts w:cs="Arial"/>
        </w:rPr>
      </w:pPr>
      <w:r w:rsidRPr="00AA777B">
        <w:rPr>
          <w:rFonts w:cs="Arial"/>
        </w:rPr>
        <w:t>The consequence or result of defect or an incident occurring is rated from insignificant to catastrophic. When considering the consequence of an asset’s failure the Infrastructure division must consider the effect on the community and the implications for the organisation.</w:t>
      </w:r>
    </w:p>
    <w:p w:rsidR="00AD1310" w:rsidRPr="00AA777B" w:rsidRDefault="00AD1310" w:rsidP="0011082B"/>
    <w:p w:rsidR="00AD1310" w:rsidRPr="00AA777B" w:rsidRDefault="00AD1310" w:rsidP="0011082B">
      <w:r w:rsidRPr="00AA777B">
        <w:t>Consequences for the organisation include costs to repair assets, fines or litigation</w:t>
      </w:r>
      <w:r w:rsidR="00A00129">
        <w:t xml:space="preserve"> costs</w:t>
      </w:r>
      <w:r w:rsidRPr="00AA777B">
        <w:t xml:space="preserve"> and loss of income, loss of reputation as well as loss of life, or injury to staff. For the community as well as loss of life, or injury there is the impact on service provision, damage to the environment, impact on business and transport and damage to third party property.</w:t>
      </w:r>
    </w:p>
    <w:p w:rsidR="00AD1310" w:rsidRPr="00AD6AD9" w:rsidRDefault="00AD1310" w:rsidP="0011082B"/>
    <w:p w:rsidR="00AD1310" w:rsidRPr="00494961" w:rsidRDefault="00AD1310" w:rsidP="0011082B">
      <w:pPr>
        <w:rPr>
          <w:rFonts w:cs="Arial"/>
        </w:rPr>
      </w:pPr>
      <w:r w:rsidRPr="00494961">
        <w:rPr>
          <w:rFonts w:cs="Arial"/>
        </w:rPr>
        <w:t>The table below lists the likely consequence for each of the risk criteria. The table is used when assessing the risk of a defect, activity or service. When a risk is identified in several categories, the highest rating consequence is use to evaluate the risk.</w:t>
      </w:r>
    </w:p>
    <w:p w:rsidR="00AD1310" w:rsidRPr="00494961" w:rsidRDefault="00AD1310" w:rsidP="0011082B">
      <w:pPr>
        <w:rPr>
          <w:rFonts w:cs="Arial"/>
        </w:rPr>
      </w:pPr>
    </w:p>
    <w:p w:rsidR="00AD1310" w:rsidRDefault="00AD1310" w:rsidP="0011082B">
      <w:r w:rsidRPr="00494961">
        <w:t xml:space="preserve">The </w:t>
      </w:r>
      <w:r w:rsidRPr="00494961">
        <w:rPr>
          <w:i/>
        </w:rPr>
        <w:t>Yarra City Council Risk Management Policy</w:t>
      </w:r>
      <w:r w:rsidRPr="00494961">
        <w:t xml:space="preserve"> clearly identifies that it is the responsibility of all Yarra </w:t>
      </w:r>
      <w:r w:rsidR="009170C7">
        <w:t xml:space="preserve">City Council </w:t>
      </w:r>
      <w:r w:rsidRPr="00494961">
        <w:t>personnel to identify risks and implement actions to address risks. Development of strategic risks, the corporate risk register and strategic risk treatment plans are the responsibility of the Risk and Insurance Co-ordinator.</w:t>
      </w:r>
    </w:p>
    <w:p w:rsidR="00430953" w:rsidRPr="00494961" w:rsidRDefault="00430953" w:rsidP="0011082B"/>
    <w:p w:rsidR="00AD1310" w:rsidRDefault="00AD1310" w:rsidP="0011082B">
      <w:r w:rsidRPr="00494961">
        <w:t xml:space="preserve">The development of </w:t>
      </w:r>
      <w:r w:rsidRPr="00494961">
        <w:rPr>
          <w:i/>
        </w:rPr>
        <w:t>Operational Risk Registers</w:t>
      </w:r>
      <w:r w:rsidRPr="00494961">
        <w:t xml:space="preserve"> and treatment plans are the responsibility of the Branc</w:t>
      </w:r>
      <w:r w:rsidR="009170C7">
        <w:t>h</w:t>
      </w:r>
      <w:r w:rsidRPr="00494961">
        <w:t xml:space="preserve"> </w:t>
      </w:r>
      <w:r w:rsidR="002E4F63">
        <w:t>M</w:t>
      </w:r>
      <w:r w:rsidRPr="00494961">
        <w:t>anager.</w:t>
      </w:r>
    </w:p>
    <w:p w:rsidR="0011082B" w:rsidRDefault="0011082B" w:rsidP="0011082B"/>
    <w:p w:rsidR="00966DD0" w:rsidRDefault="00966DD0" w:rsidP="0011082B">
      <w:pPr>
        <w:sectPr w:rsidR="00966DD0" w:rsidSect="004508C7">
          <w:type w:val="oddPage"/>
          <w:pgSz w:w="11906" w:h="16838" w:code="9"/>
          <w:pgMar w:top="1418" w:right="1418" w:bottom="851" w:left="1418" w:header="284" w:footer="312" w:gutter="0"/>
          <w:cols w:space="720"/>
          <w:docGrid w:linePitch="360"/>
        </w:sectPr>
      </w:pPr>
    </w:p>
    <w:tbl>
      <w:tblPr>
        <w:tblW w:w="530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148"/>
        <w:gridCol w:w="985"/>
        <w:gridCol w:w="1224"/>
        <w:gridCol w:w="1634"/>
        <w:gridCol w:w="1361"/>
        <w:gridCol w:w="3470"/>
        <w:gridCol w:w="1417"/>
        <w:gridCol w:w="3399"/>
        <w:gridCol w:w="1895"/>
      </w:tblGrid>
      <w:tr w:rsidR="00FA1C9A" w:rsidRPr="003B255B" w:rsidTr="00FA1C9A">
        <w:trPr>
          <w:cantSplit/>
          <w:tblHeader/>
        </w:trPr>
        <w:tc>
          <w:tcPr>
            <w:tcW w:w="365" w:type="pct"/>
            <w:gridSpan w:val="2"/>
            <w:tcBorders>
              <w:bottom w:val="single" w:sz="4" w:space="0" w:color="auto"/>
            </w:tcBorders>
            <w:shd w:val="clear" w:color="auto" w:fill="95B3D7" w:themeFill="accent1" w:themeFillTint="99"/>
          </w:tcPr>
          <w:p w:rsidR="00AD1310" w:rsidRPr="003B255B" w:rsidRDefault="00ED394A" w:rsidP="00034876">
            <w:pPr>
              <w:pStyle w:val="TableText1"/>
              <w:spacing w:before="40" w:after="40"/>
              <w:jc w:val="right"/>
              <w:rPr>
                <w:rFonts w:cs="Arial"/>
                <w:b/>
                <w:sz w:val="15"/>
                <w:szCs w:val="15"/>
              </w:rPr>
            </w:pPr>
            <w:r>
              <w:rPr>
                <w:rFonts w:cs="Arial"/>
                <w:b/>
                <w:noProof/>
                <w:sz w:val="15"/>
                <w:szCs w:val="15"/>
              </w:rPr>
              <w:pict>
                <v:shape id="AutoShape 18" o:spid="_x0000_s1044" type="#_x0000_t32" style="position:absolute;left:0;text-align:left;margin-left:2pt;margin-top:7.95pt;width:51.75pt;height:24pt;z-index:251668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"/>
              </w:pict>
            </w:r>
            <w:r w:rsidR="00AD1310" w:rsidRPr="003B255B">
              <w:rPr>
                <w:rFonts w:cs="Arial"/>
                <w:b/>
                <w:sz w:val="15"/>
                <w:szCs w:val="15"/>
              </w:rPr>
              <w:t>Assessment</w:t>
            </w:r>
            <w:r w:rsidR="00661A75" w:rsidRPr="003B255B">
              <w:rPr>
                <w:rFonts w:cs="Arial"/>
                <w:b/>
                <w:sz w:val="15"/>
                <w:szCs w:val="15"/>
              </w:rPr>
              <w:br/>
            </w:r>
            <w:r w:rsidR="00AD1310" w:rsidRPr="003B255B">
              <w:rPr>
                <w:rFonts w:cs="Arial"/>
                <w:b/>
                <w:sz w:val="15"/>
                <w:szCs w:val="15"/>
              </w:rPr>
              <w:t>Criteria</w:t>
            </w:r>
          </w:p>
          <w:p w:rsidR="00661A75" w:rsidRDefault="00661A75" w:rsidP="00034876">
            <w:pPr>
              <w:pStyle w:val="TableText1"/>
              <w:spacing w:before="40" w:after="40"/>
              <w:jc w:val="center"/>
              <w:rPr>
                <w:rFonts w:cs="Arial"/>
                <w:b/>
                <w:sz w:val="7"/>
                <w:szCs w:val="15"/>
              </w:rPr>
            </w:pPr>
          </w:p>
          <w:p w:rsidR="00184168" w:rsidRPr="002F2F1E" w:rsidRDefault="00184168" w:rsidP="00034876">
            <w:pPr>
              <w:pStyle w:val="TableText1"/>
              <w:spacing w:before="40" w:after="40"/>
              <w:jc w:val="center"/>
              <w:rPr>
                <w:rFonts w:cs="Arial"/>
                <w:b/>
                <w:sz w:val="7"/>
                <w:szCs w:val="15"/>
              </w:rPr>
            </w:pPr>
          </w:p>
          <w:p w:rsidR="00AD1310" w:rsidRPr="003B255B" w:rsidRDefault="00AB2113" w:rsidP="00034876">
            <w:pPr>
              <w:pStyle w:val="TableText1"/>
              <w:spacing w:before="40" w:after="40"/>
              <w:jc w:val="center"/>
              <w:rPr>
                <w:rFonts w:cs="Arial"/>
                <w:b/>
                <w:sz w:val="15"/>
                <w:szCs w:val="15"/>
              </w:rPr>
            </w:pPr>
            <w:r w:rsidRPr="003B255B">
              <w:rPr>
                <w:rFonts w:cs="Arial"/>
                <w:b/>
                <w:sz w:val="15"/>
                <w:szCs w:val="15"/>
              </w:rPr>
              <w:t>Consequence</w:t>
            </w:r>
          </w:p>
        </w:tc>
        <w:tc>
          <w:tcPr>
            <w:tcW w:w="394" w:type="pct"/>
            <w:shd w:val="clear" w:color="auto" w:fill="95B3D7" w:themeFill="accent1" w:themeFillTint="99"/>
          </w:tcPr>
          <w:p w:rsidR="00AD1310" w:rsidRPr="003B255B" w:rsidRDefault="00AD1310" w:rsidP="00034876">
            <w:pPr>
              <w:pStyle w:val="TableText1"/>
              <w:spacing w:before="40" w:after="40"/>
              <w:jc w:val="center"/>
              <w:rPr>
                <w:rFonts w:cs="Arial"/>
                <w:b/>
                <w:sz w:val="15"/>
                <w:szCs w:val="15"/>
              </w:rPr>
            </w:pPr>
            <w:r w:rsidRPr="003B255B">
              <w:rPr>
                <w:rFonts w:cs="Arial"/>
                <w:b/>
                <w:snapToGrid w:val="0"/>
                <w:sz w:val="15"/>
                <w:szCs w:val="15"/>
              </w:rPr>
              <w:t>Financial Impact:</w:t>
            </w:r>
            <w:r w:rsidR="00661A75" w:rsidRPr="003B255B">
              <w:rPr>
                <w:rFonts w:cs="Arial"/>
                <w:b/>
                <w:snapToGrid w:val="0"/>
                <w:sz w:val="15"/>
                <w:szCs w:val="15"/>
              </w:rPr>
              <w:br/>
            </w:r>
            <w:r w:rsidRPr="002F2F1E">
              <w:rPr>
                <w:rFonts w:cs="Arial"/>
                <w:snapToGrid w:val="0"/>
                <w:sz w:val="15"/>
                <w:szCs w:val="15"/>
              </w:rPr>
              <w:t>Direct Costs (Repair</w:t>
            </w:r>
            <w:r w:rsidRPr="003B255B">
              <w:rPr>
                <w:rFonts w:cs="Arial"/>
                <w:snapToGrid w:val="0"/>
                <w:sz w:val="15"/>
                <w:szCs w:val="15"/>
              </w:rPr>
              <w:t>, Lost Revenue, 3</w:t>
            </w:r>
            <w:r w:rsidRPr="003B255B">
              <w:rPr>
                <w:rFonts w:cs="Arial"/>
                <w:snapToGrid w:val="0"/>
                <w:sz w:val="15"/>
                <w:szCs w:val="15"/>
                <w:vertAlign w:val="superscript"/>
              </w:rPr>
              <w:t>rd</w:t>
            </w:r>
            <w:r w:rsidRPr="003B255B">
              <w:rPr>
                <w:rFonts w:cs="Arial"/>
                <w:snapToGrid w:val="0"/>
                <w:sz w:val="15"/>
                <w:szCs w:val="15"/>
              </w:rPr>
              <w:t xml:space="preserve"> party damage costs)</w:t>
            </w:r>
          </w:p>
        </w:tc>
        <w:tc>
          <w:tcPr>
            <w:tcW w:w="526" w:type="pct"/>
            <w:shd w:val="clear" w:color="auto" w:fill="95B3D7" w:themeFill="accent1" w:themeFillTint="99"/>
          </w:tcPr>
          <w:p w:rsidR="00AD1310" w:rsidRPr="003B255B" w:rsidRDefault="00AD1310" w:rsidP="00034876">
            <w:pPr>
              <w:pStyle w:val="TableText1"/>
              <w:spacing w:before="40" w:after="40"/>
              <w:jc w:val="center"/>
              <w:rPr>
                <w:rFonts w:cs="Arial"/>
                <w:b/>
                <w:sz w:val="15"/>
                <w:szCs w:val="15"/>
              </w:rPr>
            </w:pPr>
            <w:r w:rsidRPr="003B255B">
              <w:rPr>
                <w:rFonts w:cs="Arial"/>
                <w:b/>
                <w:snapToGrid w:val="0"/>
                <w:sz w:val="15"/>
                <w:szCs w:val="15"/>
              </w:rPr>
              <w:t xml:space="preserve">Occupational Health </w:t>
            </w:r>
            <w:r w:rsidR="00661A75" w:rsidRPr="003B255B">
              <w:rPr>
                <w:rFonts w:cs="Arial"/>
                <w:b/>
                <w:snapToGrid w:val="0"/>
                <w:sz w:val="15"/>
                <w:szCs w:val="15"/>
              </w:rPr>
              <w:t>and</w:t>
            </w:r>
            <w:r w:rsidRPr="003B255B">
              <w:rPr>
                <w:rFonts w:cs="Arial"/>
                <w:b/>
                <w:snapToGrid w:val="0"/>
                <w:sz w:val="15"/>
                <w:szCs w:val="15"/>
              </w:rPr>
              <w:t xml:space="preserve"> Safety:</w:t>
            </w:r>
            <w:r w:rsidR="00661A75" w:rsidRPr="003B255B">
              <w:rPr>
                <w:rFonts w:cs="Arial"/>
                <w:b/>
                <w:snapToGrid w:val="0"/>
                <w:sz w:val="15"/>
                <w:szCs w:val="15"/>
              </w:rPr>
              <w:br/>
            </w:r>
            <w:r w:rsidR="00661A75" w:rsidRPr="003B255B">
              <w:rPr>
                <w:rFonts w:cs="Arial"/>
                <w:snapToGrid w:val="0"/>
                <w:sz w:val="15"/>
                <w:szCs w:val="15"/>
              </w:rPr>
              <w:t>Impacts on Public H</w:t>
            </w:r>
            <w:r w:rsidRPr="003B255B">
              <w:rPr>
                <w:rFonts w:cs="Arial"/>
                <w:snapToGrid w:val="0"/>
                <w:sz w:val="15"/>
                <w:szCs w:val="15"/>
              </w:rPr>
              <w:t xml:space="preserve">ealth and </w:t>
            </w:r>
            <w:r w:rsidR="00661A75" w:rsidRPr="003B255B">
              <w:rPr>
                <w:rFonts w:cs="Arial"/>
                <w:snapToGrid w:val="0"/>
                <w:sz w:val="15"/>
                <w:szCs w:val="15"/>
              </w:rPr>
              <w:t>S</w:t>
            </w:r>
            <w:r w:rsidRPr="003B255B">
              <w:rPr>
                <w:rFonts w:cs="Arial"/>
                <w:snapToGrid w:val="0"/>
                <w:sz w:val="15"/>
                <w:szCs w:val="15"/>
              </w:rPr>
              <w:t>afety</w:t>
            </w:r>
          </w:p>
        </w:tc>
        <w:tc>
          <w:tcPr>
            <w:tcW w:w="438" w:type="pct"/>
            <w:shd w:val="clear" w:color="auto" w:fill="95B3D7" w:themeFill="accent1" w:themeFillTint="99"/>
          </w:tcPr>
          <w:p w:rsidR="00AD1310" w:rsidRPr="003B255B" w:rsidRDefault="00AD1310" w:rsidP="00034876">
            <w:pPr>
              <w:pStyle w:val="TableText1"/>
              <w:spacing w:before="40" w:after="40"/>
              <w:jc w:val="center"/>
              <w:rPr>
                <w:rFonts w:cs="Arial"/>
                <w:b/>
                <w:sz w:val="15"/>
                <w:szCs w:val="15"/>
              </w:rPr>
            </w:pPr>
            <w:r w:rsidRPr="003B255B">
              <w:rPr>
                <w:rFonts w:cs="Arial"/>
                <w:b/>
                <w:snapToGrid w:val="0"/>
                <w:sz w:val="15"/>
                <w:szCs w:val="15"/>
              </w:rPr>
              <w:t>Business Interruption:</w:t>
            </w:r>
            <w:r w:rsidR="00661A75" w:rsidRPr="003B255B">
              <w:rPr>
                <w:rFonts w:cs="Arial"/>
                <w:b/>
                <w:snapToGrid w:val="0"/>
                <w:sz w:val="15"/>
                <w:szCs w:val="15"/>
              </w:rPr>
              <w:br/>
            </w:r>
            <w:r w:rsidRPr="003B255B">
              <w:rPr>
                <w:rFonts w:cs="Arial"/>
                <w:snapToGrid w:val="0"/>
                <w:sz w:val="15"/>
                <w:szCs w:val="15"/>
              </w:rPr>
              <w:t>Service Delivery Impact on Customers and Community</w:t>
            </w:r>
          </w:p>
        </w:tc>
        <w:tc>
          <w:tcPr>
            <w:tcW w:w="1117" w:type="pct"/>
            <w:shd w:val="clear" w:color="auto" w:fill="95B3D7" w:themeFill="accent1" w:themeFillTint="99"/>
          </w:tcPr>
          <w:p w:rsidR="00AD1310" w:rsidRPr="003B255B" w:rsidRDefault="00AD1310" w:rsidP="00034876">
            <w:pPr>
              <w:pStyle w:val="TableText1"/>
              <w:spacing w:before="40" w:after="40"/>
              <w:ind w:left="88" w:right="95"/>
              <w:jc w:val="center"/>
              <w:rPr>
                <w:rFonts w:cs="Arial"/>
                <w:b/>
                <w:sz w:val="15"/>
                <w:szCs w:val="15"/>
              </w:rPr>
            </w:pPr>
            <w:r w:rsidRPr="003B255B">
              <w:rPr>
                <w:rFonts w:cs="Arial"/>
                <w:b/>
                <w:snapToGrid w:val="0"/>
                <w:sz w:val="15"/>
                <w:szCs w:val="15"/>
              </w:rPr>
              <w:t xml:space="preserve">Community Reputation </w:t>
            </w:r>
            <w:r w:rsidR="00587891" w:rsidRPr="003B255B">
              <w:rPr>
                <w:rFonts w:cs="Arial"/>
                <w:b/>
                <w:snapToGrid w:val="0"/>
                <w:sz w:val="15"/>
                <w:szCs w:val="15"/>
              </w:rPr>
              <w:t>and</w:t>
            </w:r>
            <w:r w:rsidRPr="003B255B">
              <w:rPr>
                <w:rFonts w:cs="Arial"/>
                <w:b/>
                <w:snapToGrid w:val="0"/>
                <w:sz w:val="15"/>
                <w:szCs w:val="15"/>
              </w:rPr>
              <w:t xml:space="preserve"> Image:</w:t>
            </w:r>
            <w:r w:rsidR="00661A75" w:rsidRPr="003B255B">
              <w:rPr>
                <w:rFonts w:cs="Arial"/>
                <w:b/>
                <w:snapToGrid w:val="0"/>
                <w:sz w:val="15"/>
                <w:szCs w:val="15"/>
              </w:rPr>
              <w:br/>
            </w:r>
            <w:r w:rsidRPr="003B255B">
              <w:rPr>
                <w:rFonts w:cs="Arial"/>
                <w:snapToGrid w:val="0"/>
                <w:sz w:val="15"/>
                <w:szCs w:val="15"/>
              </w:rPr>
              <w:t>Image, Reputation and Public Support</w:t>
            </w:r>
          </w:p>
        </w:tc>
        <w:tc>
          <w:tcPr>
            <w:tcW w:w="456" w:type="pct"/>
            <w:shd w:val="clear" w:color="auto" w:fill="95B3D7" w:themeFill="accent1" w:themeFillTint="99"/>
          </w:tcPr>
          <w:p w:rsidR="00AD1310" w:rsidRPr="003B255B" w:rsidRDefault="00AD1310" w:rsidP="00034876">
            <w:pPr>
              <w:pStyle w:val="TableText1"/>
              <w:tabs>
                <w:tab w:val="clear" w:pos="794"/>
                <w:tab w:val="clear" w:pos="1247"/>
                <w:tab w:val="clear" w:pos="1701"/>
              </w:tabs>
              <w:spacing w:before="40" w:after="40"/>
              <w:ind w:right="-30"/>
              <w:jc w:val="center"/>
              <w:rPr>
                <w:rFonts w:cs="Arial"/>
                <w:b/>
                <w:snapToGrid w:val="0"/>
                <w:sz w:val="15"/>
                <w:szCs w:val="15"/>
              </w:rPr>
            </w:pPr>
            <w:r w:rsidRPr="003B255B">
              <w:rPr>
                <w:rFonts w:cs="Arial"/>
                <w:b/>
                <w:snapToGrid w:val="0"/>
                <w:sz w:val="15"/>
                <w:szCs w:val="15"/>
              </w:rPr>
              <w:t>Legal</w:t>
            </w:r>
          </w:p>
        </w:tc>
        <w:tc>
          <w:tcPr>
            <w:tcW w:w="1094" w:type="pct"/>
            <w:shd w:val="clear" w:color="auto" w:fill="95B3D7" w:themeFill="accent1" w:themeFillTint="99"/>
          </w:tcPr>
          <w:p w:rsidR="00AD1310" w:rsidRPr="003B255B" w:rsidRDefault="00AD1310" w:rsidP="00034876">
            <w:pPr>
              <w:pStyle w:val="TableText1"/>
              <w:spacing w:before="40" w:after="40"/>
              <w:ind w:right="-109"/>
              <w:jc w:val="center"/>
              <w:rPr>
                <w:rFonts w:cs="Arial"/>
                <w:b/>
                <w:snapToGrid w:val="0"/>
                <w:sz w:val="15"/>
                <w:szCs w:val="15"/>
              </w:rPr>
            </w:pPr>
            <w:r w:rsidRPr="003B255B">
              <w:rPr>
                <w:rFonts w:cs="Arial"/>
                <w:b/>
                <w:snapToGrid w:val="0"/>
                <w:sz w:val="15"/>
                <w:szCs w:val="15"/>
              </w:rPr>
              <w:t>Environmental</w:t>
            </w:r>
          </w:p>
        </w:tc>
        <w:tc>
          <w:tcPr>
            <w:tcW w:w="610" w:type="pct"/>
            <w:shd w:val="clear" w:color="auto" w:fill="95B3D7" w:themeFill="accent1" w:themeFillTint="99"/>
          </w:tcPr>
          <w:p w:rsidR="00AD1310" w:rsidRPr="003B255B" w:rsidRDefault="00AD1310" w:rsidP="00034876">
            <w:pPr>
              <w:pStyle w:val="TableText1"/>
              <w:tabs>
                <w:tab w:val="clear" w:pos="1701"/>
              </w:tabs>
              <w:spacing w:before="40" w:after="40"/>
              <w:jc w:val="center"/>
              <w:rPr>
                <w:rFonts w:cs="Arial"/>
                <w:b/>
                <w:snapToGrid w:val="0"/>
                <w:sz w:val="15"/>
                <w:szCs w:val="15"/>
              </w:rPr>
            </w:pPr>
            <w:r w:rsidRPr="003B255B">
              <w:rPr>
                <w:rFonts w:cs="Arial"/>
                <w:b/>
                <w:snapToGrid w:val="0"/>
                <w:sz w:val="15"/>
                <w:szCs w:val="15"/>
              </w:rPr>
              <w:t>Sustainability</w:t>
            </w:r>
          </w:p>
        </w:tc>
      </w:tr>
      <w:tr w:rsidR="00FA1C9A" w:rsidRPr="003B255B" w:rsidTr="00FA1C9A">
        <w:trPr>
          <w:cantSplit/>
        </w:trPr>
        <w:tc>
          <w:tcPr>
            <w:tcW w:w="48" w:type="pct"/>
          </w:tcPr>
          <w:p w:rsidR="00AD1310" w:rsidRPr="003B255B" w:rsidRDefault="00AD1310" w:rsidP="00034876">
            <w:pPr>
              <w:spacing w:before="20" w:after="20"/>
              <w:jc w:val="left"/>
              <w:rPr>
                <w:rFonts w:cs="Arial"/>
                <w:sz w:val="15"/>
                <w:szCs w:val="15"/>
              </w:rPr>
            </w:pPr>
            <w:r w:rsidRPr="003B255B">
              <w:rPr>
                <w:rFonts w:cs="Arial"/>
                <w:sz w:val="15"/>
                <w:szCs w:val="15"/>
              </w:rPr>
              <w:t>1</w:t>
            </w:r>
          </w:p>
        </w:tc>
        <w:tc>
          <w:tcPr>
            <w:tcW w:w="317" w:type="pct"/>
          </w:tcPr>
          <w:p w:rsidR="00AD1310" w:rsidRPr="003B255B" w:rsidRDefault="00AD1310" w:rsidP="00034876">
            <w:pPr>
              <w:spacing w:before="20" w:after="20"/>
              <w:jc w:val="left"/>
              <w:rPr>
                <w:rFonts w:cs="Arial"/>
                <w:b/>
                <w:sz w:val="15"/>
                <w:szCs w:val="15"/>
              </w:rPr>
            </w:pPr>
            <w:r w:rsidRPr="003B255B">
              <w:rPr>
                <w:rFonts w:cs="Arial"/>
                <w:b/>
                <w:sz w:val="15"/>
                <w:szCs w:val="15"/>
              </w:rPr>
              <w:t>Insignificant</w:t>
            </w:r>
          </w:p>
        </w:tc>
        <w:tc>
          <w:tcPr>
            <w:tcW w:w="394" w:type="pct"/>
          </w:tcPr>
          <w:p w:rsidR="00AD1310" w:rsidRPr="003B255B" w:rsidRDefault="00AD1310" w:rsidP="00034876">
            <w:pPr>
              <w:pStyle w:val="TableText1"/>
              <w:spacing w:before="20" w:after="20"/>
              <w:jc w:val="left"/>
              <w:rPr>
                <w:rFonts w:cs="Arial"/>
                <w:sz w:val="15"/>
                <w:szCs w:val="15"/>
              </w:rPr>
            </w:pPr>
            <w:r w:rsidRPr="003B255B">
              <w:rPr>
                <w:rFonts w:cs="Arial"/>
                <w:sz w:val="15"/>
                <w:szCs w:val="15"/>
              </w:rPr>
              <w:t>&lt; $10,000</w:t>
            </w:r>
          </w:p>
        </w:tc>
        <w:tc>
          <w:tcPr>
            <w:tcW w:w="526" w:type="pct"/>
          </w:tcPr>
          <w:p w:rsidR="00AD1310" w:rsidRPr="003B255B" w:rsidRDefault="00AD1310" w:rsidP="00034876">
            <w:pPr>
              <w:pStyle w:val="TableText1"/>
              <w:spacing w:before="20" w:after="20"/>
              <w:jc w:val="left"/>
              <w:rPr>
                <w:rFonts w:cs="Arial"/>
                <w:snapToGrid w:val="0"/>
                <w:sz w:val="15"/>
                <w:szCs w:val="15"/>
              </w:rPr>
            </w:pPr>
            <w:r w:rsidRPr="003B255B">
              <w:rPr>
                <w:rFonts w:cs="Arial"/>
                <w:snapToGrid w:val="0"/>
                <w:sz w:val="15"/>
                <w:szCs w:val="15"/>
              </w:rPr>
              <w:t>Injury managed with First Aid</w:t>
            </w:r>
          </w:p>
          <w:p w:rsidR="00AD1310" w:rsidRPr="003B255B" w:rsidRDefault="00AD1310" w:rsidP="00034876">
            <w:pPr>
              <w:pStyle w:val="TableText1"/>
              <w:spacing w:before="20" w:after="20"/>
              <w:jc w:val="left"/>
              <w:rPr>
                <w:rFonts w:cs="Arial"/>
                <w:snapToGrid w:val="0"/>
                <w:sz w:val="15"/>
                <w:szCs w:val="15"/>
              </w:rPr>
            </w:pPr>
            <w:r w:rsidRPr="003B255B">
              <w:rPr>
                <w:rFonts w:cs="Arial"/>
                <w:snapToGrid w:val="0"/>
                <w:sz w:val="15"/>
                <w:szCs w:val="15"/>
              </w:rPr>
              <w:t>No health or safety impact.</w:t>
            </w:r>
          </w:p>
        </w:tc>
        <w:tc>
          <w:tcPr>
            <w:tcW w:w="438" w:type="pct"/>
          </w:tcPr>
          <w:p w:rsidR="00AD1310" w:rsidRPr="003B255B" w:rsidRDefault="00AD1310" w:rsidP="00034876">
            <w:pPr>
              <w:pStyle w:val="TableText1"/>
              <w:spacing w:before="20" w:after="20"/>
              <w:jc w:val="left"/>
              <w:rPr>
                <w:rFonts w:cs="Arial"/>
                <w:sz w:val="15"/>
                <w:szCs w:val="15"/>
              </w:rPr>
            </w:pPr>
            <w:r w:rsidRPr="003B255B">
              <w:rPr>
                <w:rFonts w:cs="Arial"/>
                <w:sz w:val="15"/>
                <w:szCs w:val="15"/>
              </w:rPr>
              <w:t>Brief loss of service limited to acceptable level.</w:t>
            </w:r>
          </w:p>
          <w:p w:rsidR="00AD1310" w:rsidRPr="003B255B" w:rsidRDefault="00AD1310" w:rsidP="00034876">
            <w:pPr>
              <w:pStyle w:val="TableText1"/>
              <w:spacing w:before="20" w:after="20"/>
              <w:jc w:val="left"/>
              <w:rPr>
                <w:rFonts w:cs="Arial"/>
                <w:sz w:val="15"/>
                <w:szCs w:val="15"/>
              </w:rPr>
            </w:pPr>
            <w:r w:rsidRPr="003B255B">
              <w:rPr>
                <w:rFonts w:cs="Arial"/>
                <w:sz w:val="15"/>
                <w:szCs w:val="15"/>
              </w:rPr>
              <w:t>&lt; 100 Customer-hours.</w:t>
            </w:r>
          </w:p>
          <w:p w:rsidR="00AD1310" w:rsidRPr="003B255B" w:rsidRDefault="00AD1310" w:rsidP="00034876">
            <w:pPr>
              <w:pStyle w:val="TableText1"/>
              <w:spacing w:before="20" w:after="20"/>
              <w:jc w:val="left"/>
              <w:rPr>
                <w:rFonts w:cs="Arial"/>
                <w:sz w:val="15"/>
                <w:szCs w:val="15"/>
              </w:rPr>
            </w:pPr>
            <w:r w:rsidRPr="003B255B">
              <w:rPr>
                <w:rFonts w:cs="Arial"/>
                <w:snapToGrid w:val="0"/>
                <w:sz w:val="15"/>
                <w:szCs w:val="15"/>
              </w:rPr>
              <w:t>Very localised-little disruptive effect.</w:t>
            </w:r>
          </w:p>
        </w:tc>
        <w:tc>
          <w:tcPr>
            <w:tcW w:w="1117" w:type="pct"/>
          </w:tcPr>
          <w:p w:rsidR="00AD1310" w:rsidRPr="003B255B" w:rsidRDefault="00AD1310" w:rsidP="00034876">
            <w:pPr>
              <w:pStyle w:val="TableText1"/>
              <w:spacing w:before="20" w:after="20"/>
              <w:ind w:left="88" w:right="95"/>
              <w:jc w:val="left"/>
              <w:rPr>
                <w:rFonts w:cs="Arial"/>
                <w:snapToGrid w:val="0"/>
                <w:sz w:val="15"/>
                <w:szCs w:val="15"/>
              </w:rPr>
            </w:pPr>
            <w:r w:rsidRPr="003B255B">
              <w:rPr>
                <w:rFonts w:cs="Arial"/>
                <w:snapToGrid w:val="0"/>
                <w:sz w:val="15"/>
                <w:szCs w:val="15"/>
              </w:rPr>
              <w:t>Issues resolved in day to day management.</w:t>
            </w:r>
          </w:p>
          <w:p w:rsidR="00AD1310" w:rsidRPr="003B255B" w:rsidRDefault="00AD1310" w:rsidP="00034876">
            <w:pPr>
              <w:pStyle w:val="TableText1"/>
              <w:spacing w:before="20" w:after="20"/>
              <w:ind w:left="88" w:right="95"/>
              <w:jc w:val="left"/>
              <w:rPr>
                <w:rFonts w:cs="Arial"/>
                <w:snapToGrid w:val="0"/>
                <w:sz w:val="15"/>
                <w:szCs w:val="15"/>
              </w:rPr>
            </w:pPr>
            <w:r w:rsidRPr="003B255B">
              <w:rPr>
                <w:rFonts w:cs="Arial"/>
                <w:snapToGrid w:val="0"/>
                <w:sz w:val="15"/>
                <w:szCs w:val="15"/>
              </w:rPr>
              <w:t>No media attention or damage to reputation.</w:t>
            </w:r>
          </w:p>
          <w:p w:rsidR="00AD1310" w:rsidRPr="003B255B" w:rsidRDefault="00AD1310" w:rsidP="00034876">
            <w:pPr>
              <w:pStyle w:val="TableText1"/>
              <w:spacing w:before="20" w:after="20"/>
              <w:ind w:left="88" w:right="95"/>
              <w:jc w:val="left"/>
              <w:rPr>
                <w:rFonts w:cs="Arial"/>
                <w:snapToGrid w:val="0"/>
                <w:sz w:val="15"/>
                <w:szCs w:val="15"/>
              </w:rPr>
            </w:pPr>
            <w:r w:rsidRPr="003B255B">
              <w:rPr>
                <w:rFonts w:cs="Arial"/>
                <w:snapToGrid w:val="0"/>
                <w:sz w:val="15"/>
                <w:szCs w:val="15"/>
              </w:rPr>
              <w:t>Negligible social impacts.</w:t>
            </w:r>
          </w:p>
          <w:p w:rsidR="00AD1310" w:rsidRPr="003B255B" w:rsidRDefault="00AD1310" w:rsidP="00034876">
            <w:pPr>
              <w:pStyle w:val="TableText1"/>
              <w:spacing w:before="20" w:after="20"/>
              <w:ind w:left="88" w:right="95"/>
              <w:jc w:val="left"/>
              <w:rPr>
                <w:rFonts w:cs="Arial"/>
                <w:snapToGrid w:val="0"/>
                <w:sz w:val="15"/>
                <w:szCs w:val="15"/>
              </w:rPr>
            </w:pPr>
            <w:r w:rsidRPr="003B255B">
              <w:rPr>
                <w:rFonts w:cs="Arial"/>
                <w:snapToGrid w:val="0"/>
                <w:sz w:val="15"/>
                <w:szCs w:val="15"/>
              </w:rPr>
              <w:t>No damage to valued structures or locations of cultural significance or sacred value.</w:t>
            </w:r>
          </w:p>
        </w:tc>
        <w:tc>
          <w:tcPr>
            <w:tcW w:w="456" w:type="pct"/>
          </w:tcPr>
          <w:p w:rsidR="00AD1310" w:rsidRPr="003B255B" w:rsidRDefault="00AD1310" w:rsidP="00034876">
            <w:pPr>
              <w:pStyle w:val="TableText1"/>
              <w:tabs>
                <w:tab w:val="clear" w:pos="1701"/>
              </w:tabs>
              <w:spacing w:before="20" w:after="20"/>
              <w:ind w:left="88" w:right="-109"/>
              <w:jc w:val="left"/>
              <w:rPr>
                <w:rFonts w:cs="Arial"/>
                <w:snapToGrid w:val="0"/>
                <w:sz w:val="15"/>
                <w:szCs w:val="15"/>
              </w:rPr>
            </w:pPr>
            <w:r w:rsidRPr="003B255B">
              <w:rPr>
                <w:rFonts w:cs="Arial"/>
                <w:snapToGrid w:val="0"/>
                <w:sz w:val="15"/>
                <w:szCs w:val="15"/>
              </w:rPr>
              <w:t>Minimal legal liability cost to Council &lt;$10,000.</w:t>
            </w:r>
          </w:p>
        </w:tc>
        <w:tc>
          <w:tcPr>
            <w:tcW w:w="1094" w:type="pct"/>
          </w:tcPr>
          <w:p w:rsidR="00AD1310" w:rsidRPr="003B255B" w:rsidRDefault="00AD1310" w:rsidP="00FA1C9A">
            <w:pPr>
              <w:pStyle w:val="TableText1"/>
              <w:spacing w:before="20" w:after="20"/>
              <w:ind w:right="120"/>
              <w:jc w:val="left"/>
              <w:rPr>
                <w:rFonts w:cs="Arial"/>
                <w:snapToGrid w:val="0"/>
                <w:sz w:val="15"/>
                <w:szCs w:val="15"/>
              </w:rPr>
            </w:pPr>
            <w:r w:rsidRPr="003B255B">
              <w:rPr>
                <w:rFonts w:cs="Arial"/>
                <w:snapToGrid w:val="0"/>
                <w:sz w:val="15"/>
                <w:szCs w:val="15"/>
              </w:rPr>
              <w:t>Negligible release of pollutant or damage that is self</w:t>
            </w:r>
            <w:r w:rsidR="00F821C8">
              <w:rPr>
                <w:rFonts w:cs="Arial"/>
                <w:snapToGrid w:val="0"/>
                <w:sz w:val="15"/>
                <w:szCs w:val="15"/>
              </w:rPr>
              <w:t>-</w:t>
            </w:r>
            <w:r w:rsidRPr="003B255B">
              <w:rPr>
                <w:rFonts w:cs="Arial"/>
                <w:snapToGrid w:val="0"/>
                <w:sz w:val="15"/>
                <w:szCs w:val="15"/>
              </w:rPr>
              <w:t xml:space="preserve"> contained on-site and is non-reportable.</w:t>
            </w:r>
          </w:p>
          <w:p w:rsidR="00AD1310" w:rsidRPr="003B255B" w:rsidRDefault="00AD1310" w:rsidP="00FA1C9A">
            <w:pPr>
              <w:pStyle w:val="TableText1"/>
              <w:spacing w:before="20" w:after="20"/>
              <w:ind w:right="120"/>
              <w:jc w:val="left"/>
              <w:rPr>
                <w:rFonts w:cs="Arial"/>
                <w:snapToGrid w:val="0"/>
                <w:sz w:val="15"/>
                <w:szCs w:val="15"/>
              </w:rPr>
            </w:pPr>
            <w:r w:rsidRPr="003B255B">
              <w:rPr>
                <w:rFonts w:cs="Arial"/>
                <w:snapToGrid w:val="0"/>
                <w:sz w:val="15"/>
                <w:szCs w:val="15"/>
              </w:rPr>
              <w:t>The damage is fully recoverable (within a week) with no permanent effect on the environment.</w:t>
            </w:r>
          </w:p>
          <w:p w:rsidR="00AD1310" w:rsidRPr="003B255B" w:rsidRDefault="00AD1310" w:rsidP="00FA1C9A">
            <w:pPr>
              <w:pStyle w:val="TableText1"/>
              <w:spacing w:before="20" w:after="20"/>
              <w:ind w:right="120"/>
              <w:jc w:val="left"/>
              <w:rPr>
                <w:rFonts w:cs="Arial"/>
                <w:snapToGrid w:val="0"/>
                <w:sz w:val="15"/>
                <w:szCs w:val="15"/>
              </w:rPr>
            </w:pPr>
            <w:r w:rsidRPr="003B255B">
              <w:rPr>
                <w:rFonts w:cs="Arial"/>
                <w:snapToGrid w:val="0"/>
                <w:sz w:val="15"/>
                <w:szCs w:val="15"/>
              </w:rPr>
              <w:t>No loss of scarce environmental resources.</w:t>
            </w:r>
          </w:p>
        </w:tc>
        <w:tc>
          <w:tcPr>
            <w:tcW w:w="610" w:type="pct"/>
          </w:tcPr>
          <w:p w:rsidR="00AD1310" w:rsidRPr="003B255B" w:rsidRDefault="00BD23B9" w:rsidP="00BD23B9">
            <w:pPr>
              <w:pStyle w:val="TableText1"/>
              <w:tabs>
                <w:tab w:val="clear" w:pos="1701"/>
              </w:tabs>
              <w:spacing w:before="20" w:after="20"/>
              <w:ind w:right="110"/>
              <w:jc w:val="left"/>
              <w:rPr>
                <w:rFonts w:cs="Arial"/>
                <w:snapToGrid w:val="0"/>
                <w:sz w:val="15"/>
                <w:szCs w:val="15"/>
              </w:rPr>
            </w:pPr>
            <w:r>
              <w:rPr>
                <w:rFonts w:cs="Arial"/>
                <w:snapToGrid w:val="0"/>
                <w:sz w:val="15"/>
                <w:szCs w:val="15"/>
              </w:rPr>
              <w:t>Optimal life</w:t>
            </w:r>
            <w:r w:rsidR="00AD1310" w:rsidRPr="003B255B">
              <w:rPr>
                <w:rFonts w:cs="Arial"/>
                <w:snapToGrid w:val="0"/>
                <w:sz w:val="15"/>
                <w:szCs w:val="15"/>
              </w:rPr>
              <w:t>cycle cost</w:t>
            </w:r>
          </w:p>
        </w:tc>
      </w:tr>
      <w:tr w:rsidR="00FA1C9A" w:rsidRPr="003B255B" w:rsidTr="00FA1C9A">
        <w:trPr>
          <w:cantSplit/>
        </w:trPr>
        <w:tc>
          <w:tcPr>
            <w:tcW w:w="48" w:type="pct"/>
          </w:tcPr>
          <w:p w:rsidR="00AD1310" w:rsidRPr="003B255B" w:rsidRDefault="00AD1310" w:rsidP="00034876">
            <w:pPr>
              <w:spacing w:before="20" w:after="20"/>
              <w:jc w:val="left"/>
              <w:rPr>
                <w:rFonts w:cs="Arial"/>
                <w:sz w:val="15"/>
                <w:szCs w:val="15"/>
              </w:rPr>
            </w:pPr>
            <w:r w:rsidRPr="003B255B">
              <w:rPr>
                <w:rFonts w:cs="Arial"/>
                <w:sz w:val="15"/>
                <w:szCs w:val="15"/>
              </w:rPr>
              <w:t>2</w:t>
            </w:r>
          </w:p>
        </w:tc>
        <w:tc>
          <w:tcPr>
            <w:tcW w:w="317" w:type="pct"/>
          </w:tcPr>
          <w:p w:rsidR="00AD1310" w:rsidRPr="003B255B" w:rsidRDefault="00AD1310" w:rsidP="00034876">
            <w:pPr>
              <w:spacing w:before="20" w:after="20"/>
              <w:jc w:val="left"/>
              <w:rPr>
                <w:rFonts w:cs="Arial"/>
                <w:b/>
                <w:sz w:val="15"/>
                <w:szCs w:val="15"/>
              </w:rPr>
            </w:pPr>
            <w:r w:rsidRPr="003B255B">
              <w:rPr>
                <w:rFonts w:cs="Arial"/>
                <w:b/>
                <w:sz w:val="15"/>
                <w:szCs w:val="15"/>
              </w:rPr>
              <w:t>Minor</w:t>
            </w:r>
          </w:p>
        </w:tc>
        <w:tc>
          <w:tcPr>
            <w:tcW w:w="394" w:type="pct"/>
          </w:tcPr>
          <w:p w:rsidR="00AD1310" w:rsidRPr="003B255B" w:rsidRDefault="00AD1310" w:rsidP="00034876">
            <w:pPr>
              <w:pStyle w:val="TableText1"/>
              <w:spacing w:before="20" w:after="20"/>
              <w:jc w:val="left"/>
              <w:rPr>
                <w:rFonts w:cs="Arial"/>
                <w:sz w:val="15"/>
                <w:szCs w:val="15"/>
              </w:rPr>
            </w:pPr>
            <w:r w:rsidRPr="003B255B">
              <w:rPr>
                <w:rFonts w:cs="Arial"/>
                <w:sz w:val="15"/>
                <w:szCs w:val="15"/>
              </w:rPr>
              <w:t>$10,000 to $100,000</w:t>
            </w:r>
          </w:p>
        </w:tc>
        <w:tc>
          <w:tcPr>
            <w:tcW w:w="526" w:type="pct"/>
          </w:tcPr>
          <w:p w:rsidR="00AD1310" w:rsidRPr="003B255B" w:rsidRDefault="00AD1310" w:rsidP="00034876">
            <w:pPr>
              <w:pStyle w:val="TableText1"/>
              <w:spacing w:before="20" w:after="20"/>
              <w:jc w:val="left"/>
              <w:rPr>
                <w:rFonts w:cs="Arial"/>
                <w:snapToGrid w:val="0"/>
                <w:sz w:val="15"/>
                <w:szCs w:val="15"/>
              </w:rPr>
            </w:pPr>
            <w:r w:rsidRPr="003B255B">
              <w:rPr>
                <w:rFonts w:cs="Arial"/>
                <w:snapToGrid w:val="0"/>
                <w:sz w:val="15"/>
                <w:szCs w:val="15"/>
              </w:rPr>
              <w:t>Minor health or safety impact on small number of people.</w:t>
            </w:r>
          </w:p>
          <w:p w:rsidR="00AD1310" w:rsidRPr="003B255B" w:rsidRDefault="00F821C8" w:rsidP="00F821C8">
            <w:pPr>
              <w:pStyle w:val="TableText1"/>
              <w:spacing w:before="20" w:after="20"/>
              <w:jc w:val="left"/>
              <w:rPr>
                <w:rFonts w:cs="Arial"/>
                <w:snapToGrid w:val="0"/>
                <w:sz w:val="15"/>
                <w:szCs w:val="15"/>
              </w:rPr>
            </w:pPr>
            <w:r>
              <w:rPr>
                <w:rFonts w:cs="Arial"/>
                <w:snapToGrid w:val="0"/>
                <w:sz w:val="15"/>
                <w:szCs w:val="15"/>
              </w:rPr>
              <w:t>Injury dealt with by doctor</w:t>
            </w:r>
            <w:r w:rsidR="00AD1310" w:rsidRPr="003B255B">
              <w:rPr>
                <w:rFonts w:cs="Arial"/>
                <w:snapToGrid w:val="0"/>
                <w:sz w:val="15"/>
                <w:szCs w:val="15"/>
              </w:rPr>
              <w:t xml:space="preserve">. (No </w:t>
            </w:r>
            <w:r>
              <w:rPr>
                <w:rFonts w:cs="Arial"/>
                <w:snapToGrid w:val="0"/>
                <w:sz w:val="15"/>
                <w:szCs w:val="15"/>
              </w:rPr>
              <w:t>h</w:t>
            </w:r>
            <w:r w:rsidR="00AD1310" w:rsidRPr="003B255B">
              <w:rPr>
                <w:rFonts w:cs="Arial"/>
                <w:snapToGrid w:val="0"/>
                <w:sz w:val="15"/>
                <w:szCs w:val="15"/>
              </w:rPr>
              <w:t>ospitalisation)</w:t>
            </w:r>
          </w:p>
        </w:tc>
        <w:tc>
          <w:tcPr>
            <w:tcW w:w="438" w:type="pct"/>
          </w:tcPr>
          <w:p w:rsidR="00AD1310" w:rsidRPr="003B255B" w:rsidRDefault="00AD1310" w:rsidP="00034876">
            <w:pPr>
              <w:pStyle w:val="TableText1"/>
              <w:spacing w:before="20" w:after="20"/>
              <w:jc w:val="left"/>
              <w:rPr>
                <w:rFonts w:cs="Arial"/>
                <w:sz w:val="15"/>
                <w:szCs w:val="15"/>
              </w:rPr>
            </w:pPr>
            <w:r w:rsidRPr="003B255B">
              <w:rPr>
                <w:rFonts w:cs="Arial"/>
                <w:sz w:val="15"/>
                <w:szCs w:val="15"/>
              </w:rPr>
              <w:t>Service loss not restored within targeted time.</w:t>
            </w:r>
          </w:p>
          <w:p w:rsidR="00AD1310" w:rsidRPr="003B255B" w:rsidRDefault="00AD1310" w:rsidP="00034876">
            <w:pPr>
              <w:pStyle w:val="TableText1"/>
              <w:spacing w:before="20" w:after="20"/>
              <w:jc w:val="left"/>
              <w:rPr>
                <w:rFonts w:cs="Arial"/>
                <w:sz w:val="15"/>
                <w:szCs w:val="15"/>
              </w:rPr>
            </w:pPr>
            <w:r w:rsidRPr="003B255B">
              <w:rPr>
                <w:rFonts w:cs="Arial"/>
                <w:sz w:val="15"/>
                <w:szCs w:val="15"/>
              </w:rPr>
              <w:t>100 – 1000 Customer- hours.</w:t>
            </w:r>
          </w:p>
          <w:p w:rsidR="00AD1310" w:rsidRPr="003B255B" w:rsidRDefault="00AD1310" w:rsidP="00034876">
            <w:pPr>
              <w:pStyle w:val="TableText1"/>
              <w:spacing w:before="20" w:after="20"/>
              <w:jc w:val="left"/>
              <w:rPr>
                <w:rFonts w:cs="Arial"/>
                <w:sz w:val="15"/>
                <w:szCs w:val="15"/>
              </w:rPr>
            </w:pPr>
            <w:r w:rsidRPr="003B255B">
              <w:rPr>
                <w:rFonts w:cs="Arial"/>
                <w:snapToGrid w:val="0"/>
                <w:sz w:val="15"/>
                <w:szCs w:val="15"/>
              </w:rPr>
              <w:t>Inconvenience to small group.</w:t>
            </w:r>
          </w:p>
        </w:tc>
        <w:tc>
          <w:tcPr>
            <w:tcW w:w="1117" w:type="pct"/>
          </w:tcPr>
          <w:p w:rsidR="00AD1310" w:rsidRPr="003B255B" w:rsidRDefault="00AD1310" w:rsidP="00034876">
            <w:pPr>
              <w:pStyle w:val="TableText1"/>
              <w:spacing w:before="20" w:after="20"/>
              <w:ind w:left="88" w:right="95"/>
              <w:jc w:val="left"/>
              <w:rPr>
                <w:rFonts w:cs="Arial"/>
                <w:snapToGrid w:val="0"/>
                <w:sz w:val="15"/>
                <w:szCs w:val="15"/>
              </w:rPr>
            </w:pPr>
            <w:r w:rsidRPr="003B255B">
              <w:rPr>
                <w:rFonts w:cs="Arial"/>
                <w:snapToGrid w:val="0"/>
                <w:sz w:val="15"/>
                <w:szCs w:val="15"/>
              </w:rPr>
              <w:t>Issues raised by patrons and/or local media coverage, requiring intervention by management.</w:t>
            </w:r>
          </w:p>
          <w:p w:rsidR="00AD1310" w:rsidRPr="003B255B" w:rsidRDefault="00AD1310" w:rsidP="00034876">
            <w:pPr>
              <w:pStyle w:val="TableText1"/>
              <w:spacing w:before="20" w:after="20"/>
              <w:ind w:left="88" w:right="95"/>
              <w:jc w:val="left"/>
              <w:rPr>
                <w:rFonts w:cs="Arial"/>
                <w:snapToGrid w:val="0"/>
                <w:sz w:val="15"/>
                <w:szCs w:val="15"/>
              </w:rPr>
            </w:pPr>
            <w:r w:rsidRPr="003B255B">
              <w:rPr>
                <w:rFonts w:cs="Arial"/>
                <w:snapToGrid w:val="0"/>
                <w:sz w:val="15"/>
                <w:szCs w:val="15"/>
              </w:rPr>
              <w:t>Minimal media attention, but minor damage to Council image from a small group of community.</w:t>
            </w:r>
          </w:p>
          <w:p w:rsidR="00AD1310" w:rsidRPr="003B255B" w:rsidRDefault="00AD1310" w:rsidP="00034876">
            <w:pPr>
              <w:pStyle w:val="TableText1"/>
              <w:spacing w:before="20" w:after="20"/>
              <w:ind w:left="88" w:right="95"/>
              <w:jc w:val="left"/>
              <w:rPr>
                <w:rFonts w:cs="Arial"/>
                <w:snapToGrid w:val="0"/>
                <w:sz w:val="15"/>
                <w:szCs w:val="15"/>
              </w:rPr>
            </w:pPr>
            <w:r w:rsidRPr="003B255B">
              <w:rPr>
                <w:rFonts w:cs="Arial"/>
                <w:snapToGrid w:val="0"/>
                <w:sz w:val="15"/>
                <w:szCs w:val="15"/>
              </w:rPr>
              <w:t>Minor damage to valued structures or locations of cultural significance or sacred value.</w:t>
            </w:r>
          </w:p>
          <w:p w:rsidR="00AD1310" w:rsidRPr="003B255B" w:rsidRDefault="00AD1310" w:rsidP="00034876">
            <w:pPr>
              <w:pStyle w:val="TableText1"/>
              <w:spacing w:before="20" w:after="20"/>
              <w:ind w:left="88" w:right="95"/>
              <w:jc w:val="left"/>
              <w:rPr>
                <w:rFonts w:cs="Arial"/>
                <w:snapToGrid w:val="0"/>
                <w:sz w:val="15"/>
                <w:szCs w:val="15"/>
              </w:rPr>
            </w:pPr>
            <w:r w:rsidRPr="003B255B">
              <w:rPr>
                <w:rFonts w:cs="Arial"/>
                <w:snapToGrid w:val="0"/>
                <w:sz w:val="15"/>
                <w:szCs w:val="15"/>
              </w:rPr>
              <w:t>Minor social impact.</w:t>
            </w:r>
          </w:p>
        </w:tc>
        <w:tc>
          <w:tcPr>
            <w:tcW w:w="456" w:type="pct"/>
          </w:tcPr>
          <w:p w:rsidR="00AD1310" w:rsidRPr="003B255B" w:rsidRDefault="00AD1310" w:rsidP="00034876">
            <w:pPr>
              <w:pStyle w:val="TableText1"/>
              <w:spacing w:before="20" w:after="20"/>
              <w:ind w:left="88" w:right="-109"/>
              <w:jc w:val="left"/>
              <w:rPr>
                <w:rFonts w:cs="Arial"/>
                <w:snapToGrid w:val="0"/>
                <w:sz w:val="15"/>
                <w:szCs w:val="15"/>
              </w:rPr>
            </w:pPr>
            <w:r w:rsidRPr="003B255B">
              <w:rPr>
                <w:rFonts w:cs="Arial"/>
                <w:snapToGrid w:val="0"/>
                <w:sz w:val="15"/>
                <w:szCs w:val="15"/>
              </w:rPr>
              <w:t>Minor breach of legislation, liability cost to Council &lt;$100,000.</w:t>
            </w:r>
          </w:p>
        </w:tc>
        <w:tc>
          <w:tcPr>
            <w:tcW w:w="1094" w:type="pct"/>
          </w:tcPr>
          <w:p w:rsidR="00AD1310" w:rsidRPr="003B255B" w:rsidRDefault="00AD1310" w:rsidP="00FA1C9A">
            <w:pPr>
              <w:pStyle w:val="TableText1"/>
              <w:spacing w:before="20" w:after="20"/>
              <w:ind w:left="101" w:right="120"/>
              <w:jc w:val="left"/>
              <w:rPr>
                <w:rFonts w:cs="Arial"/>
                <w:snapToGrid w:val="0"/>
                <w:sz w:val="15"/>
                <w:szCs w:val="15"/>
              </w:rPr>
            </w:pPr>
            <w:r w:rsidRPr="003B255B">
              <w:rPr>
                <w:rFonts w:cs="Arial"/>
                <w:snapToGrid w:val="0"/>
                <w:sz w:val="15"/>
                <w:szCs w:val="15"/>
              </w:rPr>
              <w:t>Minor violation of regulation or guideline with minimal damage to the environment and small cleanup.</w:t>
            </w:r>
          </w:p>
          <w:p w:rsidR="00AD1310" w:rsidRPr="003B255B" w:rsidRDefault="00AD1310" w:rsidP="00FA1C9A">
            <w:pPr>
              <w:pStyle w:val="TableText1"/>
              <w:spacing w:before="20" w:after="20"/>
              <w:ind w:left="101" w:right="120"/>
              <w:jc w:val="left"/>
              <w:rPr>
                <w:rFonts w:cs="Arial"/>
                <w:snapToGrid w:val="0"/>
                <w:sz w:val="15"/>
                <w:szCs w:val="15"/>
              </w:rPr>
            </w:pPr>
            <w:r w:rsidRPr="003B255B">
              <w:rPr>
                <w:rFonts w:cs="Arial"/>
                <w:snapToGrid w:val="0"/>
                <w:sz w:val="15"/>
                <w:szCs w:val="15"/>
              </w:rPr>
              <w:t>Immediately contained on-site.</w:t>
            </w:r>
          </w:p>
          <w:p w:rsidR="00AD1310" w:rsidRPr="003B255B" w:rsidRDefault="00AD1310" w:rsidP="00FA1C9A">
            <w:pPr>
              <w:pStyle w:val="TableText1"/>
              <w:spacing w:before="20" w:after="20"/>
              <w:ind w:left="101" w:right="120"/>
              <w:jc w:val="left"/>
              <w:rPr>
                <w:rFonts w:cs="Arial"/>
                <w:snapToGrid w:val="0"/>
                <w:sz w:val="15"/>
                <w:szCs w:val="15"/>
              </w:rPr>
            </w:pPr>
            <w:r w:rsidRPr="003B255B">
              <w:rPr>
                <w:rFonts w:cs="Arial"/>
                <w:snapToGrid w:val="0"/>
                <w:sz w:val="15"/>
                <w:szCs w:val="15"/>
              </w:rPr>
              <w:t>Minor loss of scarce environmental resources.</w:t>
            </w:r>
          </w:p>
          <w:p w:rsidR="00AD1310" w:rsidRPr="003B255B" w:rsidRDefault="00AD1310" w:rsidP="00FA1C9A">
            <w:pPr>
              <w:pStyle w:val="TableText1"/>
              <w:spacing w:before="20" w:after="20"/>
              <w:ind w:left="101" w:right="120"/>
              <w:jc w:val="left"/>
              <w:rPr>
                <w:rFonts w:cs="Arial"/>
                <w:snapToGrid w:val="0"/>
                <w:sz w:val="15"/>
                <w:szCs w:val="15"/>
              </w:rPr>
            </w:pPr>
            <w:r w:rsidRPr="003B255B">
              <w:rPr>
                <w:rFonts w:cs="Arial"/>
                <w:snapToGrid w:val="0"/>
                <w:sz w:val="15"/>
                <w:szCs w:val="15"/>
              </w:rPr>
              <w:t>Impact reversible within 3 months.</w:t>
            </w:r>
          </w:p>
        </w:tc>
        <w:tc>
          <w:tcPr>
            <w:tcW w:w="610" w:type="pct"/>
          </w:tcPr>
          <w:p w:rsidR="00AD1310" w:rsidRPr="003B255B" w:rsidRDefault="00AD1310" w:rsidP="00BD23B9">
            <w:pPr>
              <w:pStyle w:val="TableText1"/>
              <w:tabs>
                <w:tab w:val="clear" w:pos="1701"/>
              </w:tabs>
              <w:spacing w:before="20" w:after="20"/>
              <w:ind w:right="110"/>
              <w:jc w:val="left"/>
              <w:rPr>
                <w:rFonts w:cs="Arial"/>
                <w:snapToGrid w:val="0"/>
                <w:sz w:val="15"/>
                <w:szCs w:val="15"/>
              </w:rPr>
            </w:pPr>
            <w:r w:rsidRPr="003B255B">
              <w:rPr>
                <w:rFonts w:cs="Arial"/>
                <w:snapToGrid w:val="0"/>
                <w:sz w:val="15"/>
                <w:szCs w:val="15"/>
              </w:rPr>
              <w:t>Optimal lifecycle cost may be compromised</w:t>
            </w:r>
          </w:p>
        </w:tc>
      </w:tr>
      <w:tr w:rsidR="00FA1C9A" w:rsidRPr="003B255B" w:rsidTr="00FA1C9A">
        <w:trPr>
          <w:cantSplit/>
        </w:trPr>
        <w:tc>
          <w:tcPr>
            <w:tcW w:w="48" w:type="pct"/>
          </w:tcPr>
          <w:p w:rsidR="00AD1310" w:rsidRPr="003B255B" w:rsidRDefault="00AD1310" w:rsidP="00034876">
            <w:pPr>
              <w:spacing w:before="20" w:after="20"/>
              <w:jc w:val="left"/>
              <w:rPr>
                <w:rFonts w:cs="Arial"/>
                <w:sz w:val="15"/>
                <w:szCs w:val="15"/>
              </w:rPr>
            </w:pPr>
            <w:r w:rsidRPr="003B255B">
              <w:rPr>
                <w:rFonts w:cs="Arial"/>
                <w:sz w:val="15"/>
                <w:szCs w:val="15"/>
              </w:rPr>
              <w:t>3</w:t>
            </w:r>
          </w:p>
        </w:tc>
        <w:tc>
          <w:tcPr>
            <w:tcW w:w="317" w:type="pct"/>
          </w:tcPr>
          <w:p w:rsidR="00AD1310" w:rsidRPr="003B255B" w:rsidRDefault="00AD1310" w:rsidP="00034876">
            <w:pPr>
              <w:spacing w:before="20" w:after="20"/>
              <w:jc w:val="left"/>
              <w:rPr>
                <w:rFonts w:cs="Arial"/>
                <w:b/>
                <w:sz w:val="15"/>
                <w:szCs w:val="15"/>
              </w:rPr>
            </w:pPr>
            <w:r w:rsidRPr="003B255B">
              <w:rPr>
                <w:rFonts w:cs="Arial"/>
                <w:b/>
                <w:sz w:val="15"/>
                <w:szCs w:val="15"/>
              </w:rPr>
              <w:t>Moderate</w:t>
            </w:r>
          </w:p>
        </w:tc>
        <w:tc>
          <w:tcPr>
            <w:tcW w:w="394" w:type="pct"/>
          </w:tcPr>
          <w:p w:rsidR="00AD1310" w:rsidRPr="003B255B" w:rsidRDefault="00AD1310" w:rsidP="00034876">
            <w:pPr>
              <w:pStyle w:val="TableText1"/>
              <w:spacing w:before="20" w:after="20"/>
              <w:jc w:val="left"/>
              <w:rPr>
                <w:rFonts w:cs="Arial"/>
                <w:sz w:val="15"/>
                <w:szCs w:val="15"/>
              </w:rPr>
            </w:pPr>
            <w:r w:rsidRPr="003B255B">
              <w:rPr>
                <w:rFonts w:cs="Arial"/>
                <w:sz w:val="15"/>
                <w:szCs w:val="15"/>
              </w:rPr>
              <w:t xml:space="preserve">$100,000 </w:t>
            </w:r>
            <w:r w:rsidR="00661A75" w:rsidRPr="003B255B">
              <w:rPr>
                <w:rFonts w:cs="Arial"/>
                <w:sz w:val="15"/>
                <w:szCs w:val="15"/>
              </w:rPr>
              <w:t>to</w:t>
            </w:r>
            <w:r w:rsidRPr="003B255B">
              <w:rPr>
                <w:rFonts w:cs="Arial"/>
                <w:sz w:val="15"/>
                <w:szCs w:val="15"/>
              </w:rPr>
              <w:t xml:space="preserve"> $500,000</w:t>
            </w:r>
          </w:p>
        </w:tc>
        <w:tc>
          <w:tcPr>
            <w:tcW w:w="526" w:type="pct"/>
          </w:tcPr>
          <w:p w:rsidR="00AD1310" w:rsidRPr="003B255B" w:rsidRDefault="00AD1310" w:rsidP="00034876">
            <w:pPr>
              <w:pStyle w:val="TableText1"/>
              <w:spacing w:before="20" w:after="20"/>
              <w:jc w:val="left"/>
              <w:rPr>
                <w:rFonts w:cs="Arial"/>
                <w:snapToGrid w:val="0"/>
                <w:sz w:val="15"/>
                <w:szCs w:val="15"/>
              </w:rPr>
            </w:pPr>
            <w:r w:rsidRPr="003B255B">
              <w:rPr>
                <w:rFonts w:cs="Arial"/>
                <w:snapToGrid w:val="0"/>
                <w:sz w:val="15"/>
                <w:szCs w:val="15"/>
              </w:rPr>
              <w:t xml:space="preserve">Serious health or safety impact on small number (injuries require hospitalisation), or </w:t>
            </w:r>
          </w:p>
          <w:p w:rsidR="00AD1310" w:rsidRPr="003B255B" w:rsidRDefault="00AD1310" w:rsidP="00D94252">
            <w:pPr>
              <w:pStyle w:val="TableText1"/>
              <w:spacing w:before="20" w:after="20"/>
              <w:jc w:val="left"/>
              <w:rPr>
                <w:rFonts w:cs="Arial"/>
                <w:snapToGrid w:val="0"/>
                <w:sz w:val="15"/>
                <w:szCs w:val="15"/>
              </w:rPr>
            </w:pPr>
            <w:r w:rsidRPr="003B255B">
              <w:rPr>
                <w:rFonts w:cs="Arial"/>
                <w:snapToGrid w:val="0"/>
                <w:sz w:val="15"/>
                <w:szCs w:val="15"/>
              </w:rPr>
              <w:t>Minor impact on large number of people.</w:t>
            </w:r>
          </w:p>
        </w:tc>
        <w:tc>
          <w:tcPr>
            <w:tcW w:w="438" w:type="pct"/>
          </w:tcPr>
          <w:p w:rsidR="00AD1310" w:rsidRPr="003B255B" w:rsidRDefault="00AD1310" w:rsidP="00034876">
            <w:pPr>
              <w:pStyle w:val="TableText1"/>
              <w:spacing w:before="20" w:after="20"/>
              <w:jc w:val="left"/>
              <w:rPr>
                <w:rFonts w:cs="Arial"/>
                <w:snapToGrid w:val="0"/>
                <w:sz w:val="15"/>
                <w:szCs w:val="15"/>
              </w:rPr>
            </w:pPr>
            <w:r w:rsidRPr="003B255B">
              <w:rPr>
                <w:rFonts w:cs="Arial"/>
                <w:snapToGrid w:val="0"/>
                <w:sz w:val="15"/>
                <w:szCs w:val="15"/>
              </w:rPr>
              <w:t>Significant service loss not back in agreed time</w:t>
            </w:r>
          </w:p>
          <w:p w:rsidR="00AD1310" w:rsidRPr="003B255B" w:rsidRDefault="00AD1310" w:rsidP="00034876">
            <w:pPr>
              <w:pStyle w:val="TableText1"/>
              <w:spacing w:before="20" w:after="20"/>
              <w:jc w:val="left"/>
              <w:rPr>
                <w:rFonts w:cs="Arial"/>
                <w:snapToGrid w:val="0"/>
                <w:sz w:val="15"/>
                <w:szCs w:val="15"/>
              </w:rPr>
            </w:pPr>
            <w:r w:rsidRPr="003B255B">
              <w:rPr>
                <w:rFonts w:cs="Arial"/>
                <w:sz w:val="15"/>
                <w:szCs w:val="15"/>
              </w:rPr>
              <w:t>1000 to 20,000 Customer-hours.</w:t>
            </w:r>
          </w:p>
          <w:p w:rsidR="00AD1310" w:rsidRPr="003B255B" w:rsidRDefault="00AD1310" w:rsidP="00034876">
            <w:pPr>
              <w:pStyle w:val="TableText1"/>
              <w:spacing w:before="20" w:after="20"/>
              <w:jc w:val="left"/>
              <w:rPr>
                <w:rFonts w:cs="Arial"/>
                <w:sz w:val="15"/>
                <w:szCs w:val="15"/>
              </w:rPr>
            </w:pPr>
            <w:r w:rsidRPr="003B255B">
              <w:rPr>
                <w:rFonts w:cs="Arial"/>
                <w:snapToGrid w:val="0"/>
                <w:sz w:val="15"/>
                <w:szCs w:val="15"/>
              </w:rPr>
              <w:t>Some disruption to a wider group.</w:t>
            </w:r>
          </w:p>
        </w:tc>
        <w:tc>
          <w:tcPr>
            <w:tcW w:w="1117" w:type="pct"/>
          </w:tcPr>
          <w:p w:rsidR="00AD1310" w:rsidRPr="003B255B" w:rsidRDefault="00AD1310" w:rsidP="00034876">
            <w:pPr>
              <w:pStyle w:val="TableText1"/>
              <w:spacing w:before="20" w:after="20"/>
              <w:ind w:left="88" w:right="95"/>
              <w:jc w:val="left"/>
              <w:rPr>
                <w:rFonts w:cs="Arial"/>
                <w:snapToGrid w:val="0"/>
                <w:sz w:val="15"/>
                <w:szCs w:val="15"/>
              </w:rPr>
            </w:pPr>
            <w:r w:rsidRPr="003B255B">
              <w:rPr>
                <w:rFonts w:cs="Arial"/>
                <w:snapToGrid w:val="0"/>
                <w:sz w:val="15"/>
                <w:szCs w:val="15"/>
              </w:rPr>
              <w:t>Patron and/or Community concern.</w:t>
            </w:r>
          </w:p>
          <w:p w:rsidR="00AD1310" w:rsidRPr="003B255B" w:rsidRDefault="00AD1310" w:rsidP="00034876">
            <w:pPr>
              <w:pStyle w:val="TableText1"/>
              <w:spacing w:before="20" w:after="20"/>
              <w:ind w:left="88" w:right="95"/>
              <w:jc w:val="left"/>
              <w:rPr>
                <w:rFonts w:cs="Arial"/>
                <w:snapToGrid w:val="0"/>
                <w:sz w:val="15"/>
                <w:szCs w:val="15"/>
              </w:rPr>
            </w:pPr>
            <w:r w:rsidRPr="003B255B">
              <w:rPr>
                <w:rFonts w:cs="Arial"/>
                <w:snapToGrid w:val="0"/>
                <w:sz w:val="15"/>
                <w:szCs w:val="15"/>
              </w:rPr>
              <w:t>Negative local media coverage.</w:t>
            </w:r>
          </w:p>
          <w:p w:rsidR="00AD1310" w:rsidRPr="003B255B" w:rsidRDefault="00AD1310" w:rsidP="00034876">
            <w:pPr>
              <w:pStyle w:val="TableText1"/>
              <w:spacing w:before="20" w:after="20"/>
              <w:ind w:left="88" w:right="95"/>
              <w:jc w:val="left"/>
              <w:rPr>
                <w:rFonts w:cs="Arial"/>
                <w:snapToGrid w:val="0"/>
                <w:sz w:val="15"/>
                <w:szCs w:val="15"/>
              </w:rPr>
            </w:pPr>
            <w:r w:rsidRPr="003B255B">
              <w:rPr>
                <w:rFonts w:cs="Arial"/>
                <w:snapToGrid w:val="0"/>
                <w:sz w:val="15"/>
                <w:szCs w:val="15"/>
              </w:rPr>
              <w:t>Community concerned about Council performance.</w:t>
            </w:r>
          </w:p>
          <w:p w:rsidR="00AD1310" w:rsidRPr="003B255B" w:rsidRDefault="00AD1310" w:rsidP="00034876">
            <w:pPr>
              <w:pStyle w:val="TableText1"/>
              <w:spacing w:before="20" w:after="20"/>
              <w:ind w:left="88" w:right="95"/>
              <w:jc w:val="left"/>
              <w:rPr>
                <w:rFonts w:cs="Arial"/>
                <w:snapToGrid w:val="0"/>
                <w:sz w:val="15"/>
                <w:szCs w:val="15"/>
              </w:rPr>
            </w:pPr>
            <w:r w:rsidRPr="003B255B">
              <w:rPr>
                <w:rFonts w:cs="Arial"/>
                <w:snapToGrid w:val="0"/>
                <w:sz w:val="15"/>
                <w:szCs w:val="15"/>
              </w:rPr>
              <w:t>Moderate damage valued structures or locations of cultural significance or sacred value.</w:t>
            </w:r>
          </w:p>
          <w:p w:rsidR="00AD1310" w:rsidRPr="003B255B" w:rsidRDefault="00AD1310" w:rsidP="00034876">
            <w:pPr>
              <w:pStyle w:val="TableText1"/>
              <w:spacing w:before="20" w:after="20"/>
              <w:ind w:left="88" w:right="95"/>
              <w:jc w:val="left"/>
              <w:rPr>
                <w:rFonts w:cs="Arial"/>
                <w:snapToGrid w:val="0"/>
                <w:sz w:val="15"/>
                <w:szCs w:val="15"/>
              </w:rPr>
            </w:pPr>
            <w:r w:rsidRPr="003B255B">
              <w:rPr>
                <w:rFonts w:cs="Arial"/>
                <w:snapToGrid w:val="0"/>
                <w:sz w:val="15"/>
                <w:szCs w:val="15"/>
              </w:rPr>
              <w:t>Moderate social impact.</w:t>
            </w:r>
          </w:p>
        </w:tc>
        <w:tc>
          <w:tcPr>
            <w:tcW w:w="456" w:type="pct"/>
          </w:tcPr>
          <w:p w:rsidR="00AD1310" w:rsidRPr="003B255B" w:rsidRDefault="00AD1310" w:rsidP="00034876">
            <w:pPr>
              <w:pStyle w:val="TableText1"/>
              <w:spacing w:before="20" w:after="20"/>
              <w:ind w:left="88" w:right="-109"/>
              <w:jc w:val="left"/>
              <w:rPr>
                <w:rFonts w:cs="Arial"/>
                <w:snapToGrid w:val="0"/>
                <w:sz w:val="15"/>
                <w:szCs w:val="15"/>
              </w:rPr>
            </w:pPr>
            <w:r w:rsidRPr="003B255B">
              <w:rPr>
                <w:rFonts w:cs="Arial"/>
                <w:snapToGrid w:val="0"/>
                <w:sz w:val="15"/>
                <w:szCs w:val="15"/>
              </w:rPr>
              <w:t>Serious breach of legislation leading to possible prosecution or moderate fine.</w:t>
            </w:r>
          </w:p>
        </w:tc>
        <w:tc>
          <w:tcPr>
            <w:tcW w:w="1094" w:type="pct"/>
          </w:tcPr>
          <w:p w:rsidR="00AD1310" w:rsidRPr="003B255B" w:rsidRDefault="00AD1310" w:rsidP="00FA1C9A">
            <w:pPr>
              <w:pStyle w:val="TableText1"/>
              <w:spacing w:before="20" w:after="20"/>
              <w:ind w:left="101" w:right="120"/>
              <w:jc w:val="left"/>
              <w:rPr>
                <w:rFonts w:cs="Arial"/>
                <w:snapToGrid w:val="0"/>
                <w:sz w:val="15"/>
                <w:szCs w:val="15"/>
              </w:rPr>
            </w:pPr>
            <w:r w:rsidRPr="003B255B">
              <w:rPr>
                <w:rFonts w:cs="Arial"/>
                <w:snapToGrid w:val="0"/>
                <w:sz w:val="15"/>
                <w:szCs w:val="15"/>
              </w:rPr>
              <w:t>Moderate violation of regulation or guideline with moderate damage to the environment and significant clean-up cost.</w:t>
            </w:r>
          </w:p>
          <w:p w:rsidR="00AD1310" w:rsidRPr="003B255B" w:rsidRDefault="00AD1310" w:rsidP="00FA1C9A">
            <w:pPr>
              <w:pStyle w:val="TableText1"/>
              <w:spacing w:before="20" w:after="20"/>
              <w:ind w:left="101" w:right="120"/>
              <w:jc w:val="left"/>
              <w:rPr>
                <w:rFonts w:cs="Arial"/>
                <w:snapToGrid w:val="0"/>
                <w:sz w:val="15"/>
                <w:szCs w:val="15"/>
              </w:rPr>
            </w:pPr>
            <w:r w:rsidRPr="003B255B">
              <w:rPr>
                <w:rFonts w:cs="Arial"/>
                <w:snapToGrid w:val="0"/>
                <w:sz w:val="15"/>
                <w:szCs w:val="15"/>
              </w:rPr>
              <w:t>Evidence of loss of environmental resources.</w:t>
            </w:r>
          </w:p>
          <w:p w:rsidR="00AD1310" w:rsidRPr="003B255B" w:rsidRDefault="00AD1310" w:rsidP="00FA1C9A">
            <w:pPr>
              <w:pStyle w:val="TableText1"/>
              <w:spacing w:before="20" w:after="20"/>
              <w:ind w:left="101" w:right="120"/>
              <w:jc w:val="left"/>
              <w:rPr>
                <w:rFonts w:cs="Arial"/>
                <w:snapToGrid w:val="0"/>
                <w:sz w:val="15"/>
                <w:szCs w:val="15"/>
              </w:rPr>
            </w:pPr>
            <w:r w:rsidRPr="003B255B">
              <w:rPr>
                <w:rFonts w:cs="Arial"/>
                <w:snapToGrid w:val="0"/>
                <w:sz w:val="15"/>
                <w:szCs w:val="15"/>
              </w:rPr>
              <w:t>Impact reversible within 1 year.</w:t>
            </w:r>
          </w:p>
        </w:tc>
        <w:tc>
          <w:tcPr>
            <w:tcW w:w="610" w:type="pct"/>
          </w:tcPr>
          <w:p w:rsidR="00AD1310" w:rsidRPr="003B255B" w:rsidRDefault="00AD1310" w:rsidP="00BD23B9">
            <w:pPr>
              <w:pStyle w:val="TableText1"/>
              <w:tabs>
                <w:tab w:val="clear" w:pos="1701"/>
              </w:tabs>
              <w:spacing w:before="20" w:after="20"/>
              <w:ind w:right="110"/>
              <w:jc w:val="left"/>
              <w:rPr>
                <w:rFonts w:cs="Arial"/>
                <w:snapToGrid w:val="0"/>
                <w:sz w:val="15"/>
                <w:szCs w:val="15"/>
              </w:rPr>
            </w:pPr>
            <w:r w:rsidRPr="003B255B">
              <w:rPr>
                <w:rFonts w:cs="Arial"/>
                <w:snapToGrid w:val="0"/>
                <w:sz w:val="15"/>
                <w:szCs w:val="15"/>
              </w:rPr>
              <w:t>Optimal lifecycle costs not attainable.</w:t>
            </w:r>
          </w:p>
        </w:tc>
      </w:tr>
      <w:tr w:rsidR="00FA1C9A" w:rsidRPr="003B255B" w:rsidTr="00FA1C9A">
        <w:trPr>
          <w:cantSplit/>
        </w:trPr>
        <w:tc>
          <w:tcPr>
            <w:tcW w:w="48" w:type="pct"/>
          </w:tcPr>
          <w:p w:rsidR="00AD1310" w:rsidRPr="003B255B" w:rsidRDefault="00AD1310" w:rsidP="00034876">
            <w:pPr>
              <w:spacing w:before="20" w:after="20"/>
              <w:jc w:val="left"/>
              <w:rPr>
                <w:rFonts w:cs="Arial"/>
                <w:sz w:val="15"/>
                <w:szCs w:val="15"/>
              </w:rPr>
            </w:pPr>
            <w:r w:rsidRPr="003B255B">
              <w:rPr>
                <w:rFonts w:cs="Arial"/>
                <w:sz w:val="15"/>
                <w:szCs w:val="15"/>
              </w:rPr>
              <w:t>4</w:t>
            </w:r>
          </w:p>
        </w:tc>
        <w:tc>
          <w:tcPr>
            <w:tcW w:w="317" w:type="pct"/>
          </w:tcPr>
          <w:p w:rsidR="00AD1310" w:rsidRPr="003B255B" w:rsidRDefault="00AD1310" w:rsidP="00034876">
            <w:pPr>
              <w:spacing w:before="20" w:after="20"/>
              <w:jc w:val="left"/>
              <w:rPr>
                <w:rFonts w:cs="Arial"/>
                <w:b/>
                <w:sz w:val="15"/>
                <w:szCs w:val="15"/>
              </w:rPr>
            </w:pPr>
            <w:r w:rsidRPr="003B255B">
              <w:rPr>
                <w:rFonts w:cs="Arial"/>
                <w:b/>
                <w:sz w:val="15"/>
                <w:szCs w:val="15"/>
              </w:rPr>
              <w:t>Major</w:t>
            </w:r>
          </w:p>
        </w:tc>
        <w:tc>
          <w:tcPr>
            <w:tcW w:w="394" w:type="pct"/>
          </w:tcPr>
          <w:p w:rsidR="00AD1310" w:rsidRPr="003B255B" w:rsidRDefault="00661A75" w:rsidP="00034876">
            <w:pPr>
              <w:pStyle w:val="TableText1"/>
              <w:spacing w:before="20" w:after="20"/>
              <w:jc w:val="left"/>
              <w:rPr>
                <w:rFonts w:cs="Arial"/>
                <w:sz w:val="15"/>
                <w:szCs w:val="15"/>
              </w:rPr>
            </w:pPr>
            <w:r w:rsidRPr="003B255B">
              <w:rPr>
                <w:rFonts w:cs="Arial"/>
                <w:sz w:val="15"/>
                <w:szCs w:val="15"/>
              </w:rPr>
              <w:t>$500,000 to</w:t>
            </w:r>
            <w:r w:rsidR="00AD1310" w:rsidRPr="003B255B">
              <w:rPr>
                <w:rFonts w:cs="Arial"/>
                <w:sz w:val="15"/>
                <w:szCs w:val="15"/>
              </w:rPr>
              <w:t xml:space="preserve"> $2,000,000</w:t>
            </w:r>
          </w:p>
        </w:tc>
        <w:tc>
          <w:tcPr>
            <w:tcW w:w="526" w:type="pct"/>
          </w:tcPr>
          <w:p w:rsidR="00AD1310" w:rsidRPr="003B255B" w:rsidRDefault="00AD1310" w:rsidP="00034876">
            <w:pPr>
              <w:pStyle w:val="TableText1"/>
              <w:spacing w:before="20" w:after="20"/>
              <w:jc w:val="left"/>
              <w:rPr>
                <w:rFonts w:cs="Arial"/>
                <w:snapToGrid w:val="0"/>
                <w:sz w:val="15"/>
                <w:szCs w:val="15"/>
              </w:rPr>
            </w:pPr>
            <w:r w:rsidRPr="003B255B">
              <w:rPr>
                <w:rFonts w:cs="Arial"/>
                <w:snapToGrid w:val="0"/>
                <w:sz w:val="15"/>
                <w:szCs w:val="15"/>
              </w:rPr>
              <w:t>Single fatality.</w:t>
            </w:r>
          </w:p>
          <w:p w:rsidR="00AD1310" w:rsidRPr="003B255B" w:rsidRDefault="00AD1310" w:rsidP="00034876">
            <w:pPr>
              <w:pStyle w:val="TableText1"/>
              <w:spacing w:before="20" w:after="20"/>
              <w:jc w:val="left"/>
              <w:rPr>
                <w:rFonts w:cs="Arial"/>
                <w:snapToGrid w:val="0"/>
                <w:sz w:val="15"/>
                <w:szCs w:val="15"/>
              </w:rPr>
            </w:pPr>
            <w:r w:rsidRPr="003B255B">
              <w:rPr>
                <w:rFonts w:cs="Arial"/>
                <w:snapToGrid w:val="0"/>
                <w:sz w:val="15"/>
                <w:szCs w:val="15"/>
              </w:rPr>
              <w:t>Extensive injuries, or</w:t>
            </w:r>
          </w:p>
          <w:p w:rsidR="00AD1310" w:rsidRPr="003B255B" w:rsidRDefault="00AD1310" w:rsidP="00034876">
            <w:pPr>
              <w:pStyle w:val="TableText1"/>
              <w:spacing w:before="20" w:after="20"/>
              <w:jc w:val="left"/>
              <w:rPr>
                <w:rFonts w:cs="Arial"/>
                <w:snapToGrid w:val="0"/>
                <w:sz w:val="15"/>
                <w:szCs w:val="15"/>
              </w:rPr>
            </w:pPr>
            <w:r w:rsidRPr="003B255B">
              <w:rPr>
                <w:rFonts w:cs="Arial"/>
                <w:snapToGrid w:val="0"/>
                <w:sz w:val="15"/>
                <w:szCs w:val="15"/>
              </w:rPr>
              <w:t>Significant health or safety impacts</w:t>
            </w:r>
          </w:p>
        </w:tc>
        <w:tc>
          <w:tcPr>
            <w:tcW w:w="438" w:type="pct"/>
          </w:tcPr>
          <w:p w:rsidR="00AD1310" w:rsidRPr="003B255B" w:rsidRDefault="00AD1310" w:rsidP="00034876">
            <w:pPr>
              <w:pStyle w:val="TableText1"/>
              <w:spacing w:before="20" w:after="20"/>
              <w:jc w:val="left"/>
              <w:rPr>
                <w:rFonts w:cs="Arial"/>
                <w:sz w:val="15"/>
                <w:szCs w:val="15"/>
              </w:rPr>
            </w:pPr>
            <w:r w:rsidRPr="003B255B">
              <w:rPr>
                <w:rFonts w:cs="Arial"/>
                <w:sz w:val="15"/>
                <w:szCs w:val="15"/>
              </w:rPr>
              <w:t>Critical service loss for one to three months.</w:t>
            </w:r>
          </w:p>
          <w:p w:rsidR="00AD1310" w:rsidRPr="003B255B" w:rsidRDefault="00AD1310" w:rsidP="00034876">
            <w:pPr>
              <w:pStyle w:val="TableText1"/>
              <w:spacing w:before="20" w:after="20"/>
              <w:jc w:val="left"/>
              <w:rPr>
                <w:rFonts w:cs="Arial"/>
                <w:sz w:val="15"/>
                <w:szCs w:val="15"/>
              </w:rPr>
            </w:pPr>
            <w:r w:rsidRPr="003B255B">
              <w:rPr>
                <w:rFonts w:cs="Arial"/>
                <w:sz w:val="15"/>
                <w:szCs w:val="15"/>
              </w:rPr>
              <w:t>20,000 to 500,000 Customer-hours.</w:t>
            </w:r>
          </w:p>
          <w:p w:rsidR="00AD1310" w:rsidRPr="003B255B" w:rsidRDefault="00AD1310" w:rsidP="00034876">
            <w:pPr>
              <w:pStyle w:val="TableText1"/>
              <w:spacing w:before="20" w:after="20"/>
              <w:jc w:val="left"/>
              <w:rPr>
                <w:rFonts w:cs="Arial"/>
                <w:sz w:val="15"/>
                <w:szCs w:val="15"/>
              </w:rPr>
            </w:pPr>
            <w:r w:rsidRPr="003B255B">
              <w:rPr>
                <w:rFonts w:cs="Arial"/>
                <w:sz w:val="15"/>
                <w:szCs w:val="15"/>
              </w:rPr>
              <w:t>Significant effect on large group.</w:t>
            </w:r>
          </w:p>
          <w:p w:rsidR="00AD1310" w:rsidRPr="003B255B" w:rsidRDefault="00AD1310" w:rsidP="00034876">
            <w:pPr>
              <w:pStyle w:val="TableText1"/>
              <w:spacing w:before="20" w:after="20"/>
              <w:jc w:val="left"/>
              <w:rPr>
                <w:rFonts w:cs="Arial"/>
                <w:sz w:val="15"/>
                <w:szCs w:val="15"/>
              </w:rPr>
            </w:pPr>
            <w:r w:rsidRPr="003B255B">
              <w:rPr>
                <w:rFonts w:cs="Arial"/>
                <w:sz w:val="15"/>
                <w:szCs w:val="15"/>
              </w:rPr>
              <w:t>Political involvement.</w:t>
            </w:r>
          </w:p>
        </w:tc>
        <w:tc>
          <w:tcPr>
            <w:tcW w:w="1117" w:type="pct"/>
          </w:tcPr>
          <w:p w:rsidR="00AD1310" w:rsidRPr="003B255B" w:rsidRDefault="00AD1310" w:rsidP="00034876">
            <w:pPr>
              <w:pStyle w:val="TableText1"/>
              <w:spacing w:before="20" w:after="20"/>
              <w:ind w:left="88" w:right="95"/>
              <w:jc w:val="left"/>
              <w:rPr>
                <w:rFonts w:cs="Arial"/>
                <w:snapToGrid w:val="0"/>
                <w:sz w:val="15"/>
                <w:szCs w:val="15"/>
              </w:rPr>
            </w:pPr>
            <w:r w:rsidRPr="003B255B">
              <w:rPr>
                <w:rFonts w:cs="Arial"/>
                <w:snapToGrid w:val="0"/>
                <w:sz w:val="15"/>
                <w:szCs w:val="15"/>
              </w:rPr>
              <w:t>Significant social impact and embarrassment for Council, including severe adverse media coverage.</w:t>
            </w:r>
          </w:p>
          <w:p w:rsidR="00AD1310" w:rsidRPr="003B255B" w:rsidRDefault="00AD1310" w:rsidP="00034876">
            <w:pPr>
              <w:pStyle w:val="TableText1"/>
              <w:spacing w:before="20" w:after="20"/>
              <w:ind w:left="88" w:right="95"/>
              <w:jc w:val="left"/>
              <w:rPr>
                <w:rFonts w:cs="Arial"/>
                <w:snapToGrid w:val="0"/>
                <w:sz w:val="15"/>
                <w:szCs w:val="15"/>
              </w:rPr>
            </w:pPr>
            <w:r w:rsidRPr="003B255B">
              <w:rPr>
                <w:rFonts w:cs="Arial"/>
                <w:snapToGrid w:val="0"/>
                <w:sz w:val="15"/>
                <w:szCs w:val="15"/>
              </w:rPr>
              <w:t>Negative national media coverage.</w:t>
            </w:r>
          </w:p>
          <w:p w:rsidR="00AD1310" w:rsidRPr="003B255B" w:rsidRDefault="00AD1310" w:rsidP="00034876">
            <w:pPr>
              <w:pStyle w:val="TableText1"/>
              <w:spacing w:before="20" w:after="20"/>
              <w:ind w:left="88" w:right="95"/>
              <w:jc w:val="left"/>
              <w:rPr>
                <w:rFonts w:cs="Arial"/>
                <w:snapToGrid w:val="0"/>
                <w:sz w:val="15"/>
                <w:szCs w:val="15"/>
              </w:rPr>
            </w:pPr>
            <w:r w:rsidRPr="003B255B">
              <w:rPr>
                <w:rFonts w:cs="Arial"/>
                <w:snapToGrid w:val="0"/>
                <w:sz w:val="15"/>
                <w:szCs w:val="15"/>
              </w:rPr>
              <w:t>Major damage to highly valued structures or locations of cultural significance or sacred value.</w:t>
            </w:r>
          </w:p>
          <w:p w:rsidR="00AD1310" w:rsidRPr="003B255B" w:rsidRDefault="00AD1310" w:rsidP="00034876">
            <w:pPr>
              <w:pStyle w:val="TableText1"/>
              <w:spacing w:before="20" w:after="20"/>
              <w:ind w:left="88" w:right="95"/>
              <w:jc w:val="left"/>
              <w:rPr>
                <w:rFonts w:cs="Arial"/>
                <w:snapToGrid w:val="0"/>
                <w:sz w:val="15"/>
                <w:szCs w:val="15"/>
              </w:rPr>
            </w:pPr>
            <w:r w:rsidRPr="003B255B">
              <w:rPr>
                <w:rFonts w:cs="Arial"/>
                <w:snapToGrid w:val="0"/>
                <w:sz w:val="15"/>
                <w:szCs w:val="15"/>
              </w:rPr>
              <w:t>Major decrease in community support (loss of key staff).</w:t>
            </w:r>
          </w:p>
        </w:tc>
        <w:tc>
          <w:tcPr>
            <w:tcW w:w="456" w:type="pct"/>
          </w:tcPr>
          <w:p w:rsidR="00AD1310" w:rsidRPr="003B255B" w:rsidRDefault="00AD1310" w:rsidP="00034876">
            <w:pPr>
              <w:pStyle w:val="TableText1"/>
              <w:spacing w:before="20" w:after="20"/>
              <w:ind w:left="88" w:right="-109"/>
              <w:jc w:val="left"/>
              <w:rPr>
                <w:rFonts w:cs="Arial"/>
                <w:snapToGrid w:val="0"/>
                <w:sz w:val="15"/>
                <w:szCs w:val="15"/>
              </w:rPr>
            </w:pPr>
            <w:r w:rsidRPr="003B255B">
              <w:rPr>
                <w:rFonts w:cs="Arial"/>
                <w:snapToGrid w:val="0"/>
                <w:sz w:val="15"/>
                <w:szCs w:val="15"/>
              </w:rPr>
              <w:t>Major breach of legislation involving litigated court action with possible substantial fine.</w:t>
            </w:r>
          </w:p>
        </w:tc>
        <w:tc>
          <w:tcPr>
            <w:tcW w:w="1094" w:type="pct"/>
          </w:tcPr>
          <w:p w:rsidR="00AD1310" w:rsidRPr="003B255B" w:rsidRDefault="00AD1310" w:rsidP="00FA1C9A">
            <w:pPr>
              <w:pStyle w:val="TableText1"/>
              <w:spacing w:before="20" w:after="20"/>
              <w:ind w:left="101" w:right="120"/>
              <w:jc w:val="left"/>
              <w:rPr>
                <w:rFonts w:cs="Arial"/>
                <w:snapToGrid w:val="0"/>
                <w:sz w:val="15"/>
                <w:szCs w:val="15"/>
              </w:rPr>
            </w:pPr>
            <w:r w:rsidRPr="003B255B">
              <w:rPr>
                <w:rFonts w:cs="Arial"/>
                <w:snapToGrid w:val="0"/>
                <w:sz w:val="15"/>
                <w:szCs w:val="15"/>
              </w:rPr>
              <w:t>Significant environmental damage with wide spread impacts.</w:t>
            </w:r>
          </w:p>
          <w:p w:rsidR="00AD1310" w:rsidRPr="003B255B" w:rsidRDefault="00AD1310" w:rsidP="00FA1C9A">
            <w:pPr>
              <w:pStyle w:val="TableText1"/>
              <w:spacing w:before="20" w:after="20"/>
              <w:ind w:left="101" w:right="120"/>
              <w:jc w:val="left"/>
              <w:rPr>
                <w:rFonts w:cs="Arial"/>
                <w:snapToGrid w:val="0"/>
                <w:sz w:val="15"/>
                <w:szCs w:val="15"/>
              </w:rPr>
            </w:pPr>
            <w:r w:rsidRPr="003B255B">
              <w:rPr>
                <w:rFonts w:cs="Arial"/>
                <w:snapToGrid w:val="0"/>
                <w:sz w:val="15"/>
                <w:szCs w:val="15"/>
              </w:rPr>
              <w:t>Significant loss of scarce environmental resources.</w:t>
            </w:r>
          </w:p>
          <w:p w:rsidR="00AD1310" w:rsidRPr="003B255B" w:rsidRDefault="00AD1310" w:rsidP="00FA1C9A">
            <w:pPr>
              <w:pStyle w:val="TableText1"/>
              <w:spacing w:before="20" w:after="20"/>
              <w:ind w:left="101" w:right="120"/>
              <w:jc w:val="left"/>
              <w:rPr>
                <w:rFonts w:cs="Arial"/>
                <w:snapToGrid w:val="0"/>
                <w:sz w:val="15"/>
                <w:szCs w:val="15"/>
              </w:rPr>
            </w:pPr>
            <w:r w:rsidRPr="003B255B">
              <w:rPr>
                <w:rFonts w:cs="Arial"/>
                <w:snapToGrid w:val="0"/>
                <w:sz w:val="15"/>
                <w:szCs w:val="15"/>
              </w:rPr>
              <w:t>Impact reversible within 10 years, or damage may be permanent.</w:t>
            </w:r>
          </w:p>
          <w:p w:rsidR="00AD1310" w:rsidRPr="003B255B" w:rsidRDefault="00AD1310" w:rsidP="00FA1C9A">
            <w:pPr>
              <w:pStyle w:val="TableText1"/>
              <w:spacing w:before="20" w:after="20"/>
              <w:ind w:left="101" w:right="120"/>
              <w:jc w:val="left"/>
              <w:rPr>
                <w:rFonts w:cs="Arial"/>
                <w:snapToGrid w:val="0"/>
                <w:sz w:val="15"/>
                <w:szCs w:val="15"/>
              </w:rPr>
            </w:pPr>
          </w:p>
        </w:tc>
        <w:tc>
          <w:tcPr>
            <w:tcW w:w="610" w:type="pct"/>
          </w:tcPr>
          <w:p w:rsidR="00AD1310" w:rsidRPr="003B255B" w:rsidRDefault="00AD1310" w:rsidP="00034876">
            <w:pPr>
              <w:pStyle w:val="TableText1"/>
              <w:tabs>
                <w:tab w:val="clear" w:pos="1701"/>
              </w:tabs>
              <w:spacing w:before="20" w:after="20"/>
              <w:ind w:right="110"/>
              <w:jc w:val="left"/>
              <w:rPr>
                <w:rFonts w:cs="Arial"/>
                <w:snapToGrid w:val="0"/>
                <w:sz w:val="15"/>
                <w:szCs w:val="15"/>
              </w:rPr>
            </w:pPr>
            <w:r w:rsidRPr="003B255B">
              <w:rPr>
                <w:rFonts w:cs="Arial"/>
                <w:snapToGrid w:val="0"/>
                <w:sz w:val="15"/>
                <w:szCs w:val="15"/>
              </w:rPr>
              <w:t>Service rendered cannot be economically justified.</w:t>
            </w:r>
          </w:p>
        </w:tc>
      </w:tr>
      <w:tr w:rsidR="00FA1C9A" w:rsidRPr="003B255B" w:rsidTr="00FA1C9A">
        <w:trPr>
          <w:cantSplit/>
        </w:trPr>
        <w:tc>
          <w:tcPr>
            <w:tcW w:w="48" w:type="pct"/>
          </w:tcPr>
          <w:p w:rsidR="00AD1310" w:rsidRPr="003B255B" w:rsidRDefault="00AD1310" w:rsidP="00034876">
            <w:pPr>
              <w:spacing w:before="20" w:after="20"/>
              <w:jc w:val="left"/>
              <w:rPr>
                <w:rFonts w:cs="Arial"/>
                <w:sz w:val="15"/>
                <w:szCs w:val="15"/>
              </w:rPr>
            </w:pPr>
            <w:r w:rsidRPr="003B255B">
              <w:rPr>
                <w:rFonts w:cs="Arial"/>
                <w:sz w:val="15"/>
                <w:szCs w:val="15"/>
              </w:rPr>
              <w:t>5</w:t>
            </w:r>
          </w:p>
        </w:tc>
        <w:tc>
          <w:tcPr>
            <w:tcW w:w="317" w:type="pct"/>
          </w:tcPr>
          <w:p w:rsidR="00AD1310" w:rsidRPr="003B255B" w:rsidRDefault="00AD1310" w:rsidP="00034876">
            <w:pPr>
              <w:spacing w:before="20" w:after="20"/>
              <w:jc w:val="left"/>
              <w:rPr>
                <w:rFonts w:cs="Arial"/>
                <w:b/>
                <w:sz w:val="15"/>
                <w:szCs w:val="15"/>
              </w:rPr>
            </w:pPr>
            <w:r w:rsidRPr="003B255B">
              <w:rPr>
                <w:rFonts w:cs="Arial"/>
                <w:b/>
                <w:sz w:val="15"/>
                <w:szCs w:val="15"/>
              </w:rPr>
              <w:t>Catastrophic</w:t>
            </w:r>
          </w:p>
        </w:tc>
        <w:tc>
          <w:tcPr>
            <w:tcW w:w="394" w:type="pct"/>
          </w:tcPr>
          <w:p w:rsidR="00AD1310" w:rsidRPr="003B255B" w:rsidRDefault="00AD1310" w:rsidP="00034876">
            <w:pPr>
              <w:pStyle w:val="TableText1"/>
              <w:spacing w:before="20" w:after="20"/>
              <w:jc w:val="left"/>
              <w:rPr>
                <w:rFonts w:cs="Arial"/>
                <w:sz w:val="15"/>
                <w:szCs w:val="15"/>
              </w:rPr>
            </w:pPr>
            <w:r w:rsidRPr="003B255B">
              <w:rPr>
                <w:rFonts w:cs="Arial"/>
                <w:sz w:val="15"/>
                <w:szCs w:val="15"/>
              </w:rPr>
              <w:t>&gt;$2,000,000</w:t>
            </w:r>
          </w:p>
        </w:tc>
        <w:tc>
          <w:tcPr>
            <w:tcW w:w="526" w:type="pct"/>
          </w:tcPr>
          <w:p w:rsidR="00AD1310" w:rsidRPr="003B255B" w:rsidRDefault="00AD1310" w:rsidP="00034876">
            <w:pPr>
              <w:pStyle w:val="TableText1"/>
              <w:spacing w:before="20" w:after="20"/>
              <w:jc w:val="left"/>
              <w:rPr>
                <w:rFonts w:cs="Arial"/>
                <w:snapToGrid w:val="0"/>
                <w:sz w:val="15"/>
                <w:szCs w:val="15"/>
              </w:rPr>
            </w:pPr>
            <w:r w:rsidRPr="003B255B">
              <w:rPr>
                <w:rFonts w:cs="Arial"/>
                <w:snapToGrid w:val="0"/>
                <w:sz w:val="15"/>
                <w:szCs w:val="15"/>
              </w:rPr>
              <w:t>Multiple fatalities.</w:t>
            </w:r>
          </w:p>
          <w:p w:rsidR="00AD1310" w:rsidRPr="003B255B" w:rsidRDefault="00AD1310" w:rsidP="00034876">
            <w:pPr>
              <w:pStyle w:val="TableText1"/>
              <w:spacing w:before="20" w:after="20"/>
              <w:jc w:val="left"/>
              <w:rPr>
                <w:rFonts w:cs="Arial"/>
                <w:snapToGrid w:val="0"/>
                <w:sz w:val="15"/>
                <w:szCs w:val="15"/>
              </w:rPr>
            </w:pPr>
            <w:r w:rsidRPr="003B255B">
              <w:rPr>
                <w:rFonts w:cs="Arial"/>
                <w:snapToGrid w:val="0"/>
                <w:sz w:val="15"/>
                <w:szCs w:val="15"/>
              </w:rPr>
              <w:t>Widespread health or safety impacts</w:t>
            </w:r>
          </w:p>
        </w:tc>
        <w:tc>
          <w:tcPr>
            <w:tcW w:w="438" w:type="pct"/>
          </w:tcPr>
          <w:p w:rsidR="00AD1310" w:rsidRPr="003B255B" w:rsidRDefault="00AD1310" w:rsidP="00034876">
            <w:pPr>
              <w:pStyle w:val="TableText1"/>
              <w:spacing w:before="20" w:after="20"/>
              <w:jc w:val="left"/>
              <w:rPr>
                <w:rFonts w:cs="Arial"/>
                <w:sz w:val="15"/>
                <w:szCs w:val="15"/>
              </w:rPr>
            </w:pPr>
            <w:r w:rsidRPr="003B255B">
              <w:rPr>
                <w:rFonts w:cs="Arial"/>
                <w:sz w:val="15"/>
                <w:szCs w:val="15"/>
              </w:rPr>
              <w:t>Critical service loss affecting operating viability.</w:t>
            </w:r>
          </w:p>
          <w:p w:rsidR="00AD1310" w:rsidRPr="003B255B" w:rsidRDefault="00AD1310" w:rsidP="00034876">
            <w:pPr>
              <w:pStyle w:val="TableText1"/>
              <w:spacing w:before="20" w:after="20"/>
              <w:jc w:val="left"/>
              <w:rPr>
                <w:rFonts w:cs="Arial"/>
                <w:sz w:val="15"/>
                <w:szCs w:val="15"/>
              </w:rPr>
            </w:pPr>
            <w:r w:rsidRPr="003B255B">
              <w:rPr>
                <w:rFonts w:cs="Arial"/>
                <w:sz w:val="15"/>
                <w:szCs w:val="15"/>
              </w:rPr>
              <w:t>More than 500,000 Customer hours.</w:t>
            </w:r>
          </w:p>
          <w:p w:rsidR="00AD1310" w:rsidRPr="003B255B" w:rsidRDefault="00AD1310" w:rsidP="00034876">
            <w:pPr>
              <w:pStyle w:val="TableText1"/>
              <w:spacing w:before="20" w:after="20"/>
              <w:jc w:val="left"/>
              <w:rPr>
                <w:rFonts w:cs="Arial"/>
                <w:sz w:val="15"/>
                <w:szCs w:val="15"/>
              </w:rPr>
            </w:pPr>
            <w:r w:rsidRPr="003B255B">
              <w:rPr>
                <w:rFonts w:cs="Arial"/>
                <w:snapToGrid w:val="0"/>
                <w:sz w:val="15"/>
                <w:szCs w:val="15"/>
              </w:rPr>
              <w:t>Significant effect to community at large.</w:t>
            </w:r>
          </w:p>
          <w:p w:rsidR="00AD1310" w:rsidRPr="003B255B" w:rsidRDefault="00AD1310" w:rsidP="00034876">
            <w:pPr>
              <w:pStyle w:val="TableText1"/>
              <w:spacing w:before="20" w:after="20"/>
              <w:jc w:val="left"/>
              <w:rPr>
                <w:rFonts w:cs="Arial"/>
                <w:sz w:val="15"/>
                <w:szCs w:val="15"/>
              </w:rPr>
            </w:pPr>
            <w:r w:rsidRPr="003B255B">
              <w:rPr>
                <w:rFonts w:cs="Arial"/>
                <w:snapToGrid w:val="0"/>
                <w:sz w:val="15"/>
                <w:szCs w:val="15"/>
              </w:rPr>
              <w:t>Community alienation.</w:t>
            </w:r>
          </w:p>
        </w:tc>
        <w:tc>
          <w:tcPr>
            <w:tcW w:w="1117" w:type="pct"/>
          </w:tcPr>
          <w:p w:rsidR="00AD1310" w:rsidRPr="003B255B" w:rsidRDefault="00AD1310" w:rsidP="00034876">
            <w:pPr>
              <w:pStyle w:val="TableText1"/>
              <w:spacing w:before="20" w:after="20"/>
              <w:ind w:left="88" w:right="95"/>
              <w:jc w:val="left"/>
              <w:rPr>
                <w:rFonts w:cs="Arial"/>
                <w:snapToGrid w:val="0"/>
                <w:sz w:val="15"/>
                <w:szCs w:val="15"/>
              </w:rPr>
            </w:pPr>
            <w:r w:rsidRPr="003B255B">
              <w:rPr>
                <w:rFonts w:cs="Arial"/>
                <w:snapToGrid w:val="0"/>
                <w:sz w:val="15"/>
                <w:szCs w:val="15"/>
              </w:rPr>
              <w:t>Government Intervention.</w:t>
            </w:r>
          </w:p>
          <w:p w:rsidR="00AD1310" w:rsidRPr="003B255B" w:rsidRDefault="00AD1310" w:rsidP="00034876">
            <w:pPr>
              <w:pStyle w:val="TableText1"/>
              <w:spacing w:before="20" w:after="20"/>
              <w:ind w:left="88" w:right="95"/>
              <w:jc w:val="left"/>
              <w:rPr>
                <w:rFonts w:cs="Arial"/>
                <w:snapToGrid w:val="0"/>
                <w:sz w:val="15"/>
                <w:szCs w:val="15"/>
              </w:rPr>
            </w:pPr>
            <w:r w:rsidRPr="003B255B">
              <w:rPr>
                <w:rFonts w:cs="Arial"/>
                <w:snapToGrid w:val="0"/>
                <w:sz w:val="15"/>
                <w:szCs w:val="15"/>
              </w:rPr>
              <w:t>External enquiry (appointment of Commissioner).</w:t>
            </w:r>
          </w:p>
          <w:p w:rsidR="00AD1310" w:rsidRPr="003B255B" w:rsidRDefault="00AD1310" w:rsidP="00034876">
            <w:pPr>
              <w:pStyle w:val="TableText1"/>
              <w:spacing w:before="20" w:after="20"/>
              <w:ind w:left="88" w:right="95"/>
              <w:jc w:val="left"/>
              <w:rPr>
                <w:rFonts w:cs="Arial"/>
                <w:snapToGrid w:val="0"/>
                <w:sz w:val="15"/>
                <w:szCs w:val="15"/>
              </w:rPr>
            </w:pPr>
            <w:r w:rsidRPr="003B255B">
              <w:rPr>
                <w:rFonts w:cs="Arial"/>
                <w:snapToGrid w:val="0"/>
                <w:sz w:val="15"/>
                <w:szCs w:val="15"/>
              </w:rPr>
              <w:t>Negative international media coverage.</w:t>
            </w:r>
          </w:p>
          <w:p w:rsidR="00AD1310" w:rsidRPr="003B255B" w:rsidRDefault="00AD1310" w:rsidP="00034876">
            <w:pPr>
              <w:pStyle w:val="TableText1"/>
              <w:spacing w:before="20" w:after="20"/>
              <w:ind w:left="88" w:right="95"/>
              <w:jc w:val="left"/>
              <w:rPr>
                <w:rFonts w:cs="Arial"/>
                <w:snapToGrid w:val="0"/>
                <w:sz w:val="15"/>
                <w:szCs w:val="15"/>
              </w:rPr>
            </w:pPr>
            <w:r w:rsidRPr="003B255B">
              <w:rPr>
                <w:rFonts w:cs="Arial"/>
                <w:snapToGrid w:val="0"/>
                <w:sz w:val="15"/>
                <w:szCs w:val="15"/>
              </w:rPr>
              <w:t>Loss of community support.</w:t>
            </w:r>
          </w:p>
          <w:p w:rsidR="00AD1310" w:rsidRPr="003B255B" w:rsidRDefault="00AD1310" w:rsidP="00034876">
            <w:pPr>
              <w:pStyle w:val="TableText1"/>
              <w:spacing w:before="20" w:after="20"/>
              <w:ind w:left="88" w:right="95"/>
              <w:jc w:val="left"/>
              <w:rPr>
                <w:rFonts w:cs="Arial"/>
                <w:snapToGrid w:val="0"/>
                <w:sz w:val="15"/>
                <w:szCs w:val="15"/>
              </w:rPr>
            </w:pPr>
            <w:r w:rsidRPr="003B255B">
              <w:rPr>
                <w:rFonts w:cs="Arial"/>
                <w:snapToGrid w:val="0"/>
                <w:sz w:val="15"/>
                <w:szCs w:val="15"/>
              </w:rPr>
              <w:t>Irreparable damage to highly valued structures or locations of cultural significance or sacred value.</w:t>
            </w:r>
          </w:p>
          <w:p w:rsidR="00AD1310" w:rsidRPr="003B255B" w:rsidRDefault="00AD1310" w:rsidP="00034876">
            <w:pPr>
              <w:pStyle w:val="TableText1"/>
              <w:spacing w:before="20" w:after="20"/>
              <w:ind w:left="88" w:right="95"/>
              <w:jc w:val="left"/>
              <w:rPr>
                <w:rFonts w:cs="Arial"/>
                <w:snapToGrid w:val="0"/>
                <w:sz w:val="15"/>
                <w:szCs w:val="15"/>
              </w:rPr>
            </w:pPr>
            <w:r w:rsidRPr="003B255B">
              <w:rPr>
                <w:rFonts w:cs="Arial"/>
                <w:snapToGrid w:val="0"/>
                <w:sz w:val="15"/>
                <w:szCs w:val="15"/>
              </w:rPr>
              <w:t>Significant, extensive, detrimental long term impacts on the community.</w:t>
            </w:r>
          </w:p>
        </w:tc>
        <w:tc>
          <w:tcPr>
            <w:tcW w:w="456" w:type="pct"/>
          </w:tcPr>
          <w:p w:rsidR="00AD1310" w:rsidRPr="003B255B" w:rsidRDefault="00AD1310" w:rsidP="00034876">
            <w:pPr>
              <w:pStyle w:val="TableText1"/>
              <w:spacing w:before="20" w:after="20"/>
              <w:ind w:left="88" w:right="-109"/>
              <w:jc w:val="left"/>
              <w:rPr>
                <w:rFonts w:cs="Arial"/>
                <w:snapToGrid w:val="0"/>
                <w:sz w:val="15"/>
                <w:szCs w:val="15"/>
              </w:rPr>
            </w:pPr>
            <w:r w:rsidRPr="003B255B">
              <w:rPr>
                <w:rFonts w:cs="Arial"/>
                <w:snapToGrid w:val="0"/>
                <w:sz w:val="15"/>
                <w:szCs w:val="15"/>
              </w:rPr>
              <w:t>Significant prosecution and fines, very serious litigation including class actions and possible jail for Council officers or councillors.</w:t>
            </w:r>
          </w:p>
        </w:tc>
        <w:tc>
          <w:tcPr>
            <w:tcW w:w="1094" w:type="pct"/>
          </w:tcPr>
          <w:p w:rsidR="00AD1310" w:rsidRPr="003B255B" w:rsidRDefault="00AD1310" w:rsidP="00FA1C9A">
            <w:pPr>
              <w:pStyle w:val="TableText1"/>
              <w:spacing w:before="20" w:after="20"/>
              <w:ind w:right="-109"/>
              <w:jc w:val="left"/>
              <w:rPr>
                <w:rFonts w:cs="Arial"/>
                <w:snapToGrid w:val="0"/>
                <w:sz w:val="15"/>
                <w:szCs w:val="15"/>
              </w:rPr>
            </w:pPr>
            <w:r w:rsidRPr="003B255B">
              <w:rPr>
                <w:rFonts w:cs="Arial"/>
                <w:snapToGrid w:val="0"/>
                <w:sz w:val="15"/>
                <w:szCs w:val="15"/>
              </w:rPr>
              <w:t>Long term environmental harm.</w:t>
            </w:r>
          </w:p>
          <w:p w:rsidR="00AD1310" w:rsidRPr="003B255B" w:rsidRDefault="00AD1310" w:rsidP="00FA1C9A">
            <w:pPr>
              <w:pStyle w:val="TableText1"/>
              <w:spacing w:before="20" w:after="20"/>
              <w:ind w:right="-109"/>
              <w:jc w:val="left"/>
              <w:rPr>
                <w:rFonts w:cs="Arial"/>
                <w:snapToGrid w:val="0"/>
                <w:sz w:val="15"/>
                <w:szCs w:val="15"/>
              </w:rPr>
            </w:pPr>
            <w:r w:rsidRPr="003B255B">
              <w:rPr>
                <w:rFonts w:cs="Arial"/>
                <w:snapToGrid w:val="0"/>
                <w:sz w:val="15"/>
                <w:szCs w:val="15"/>
              </w:rPr>
              <w:t>Permanent and significant loss of scarce environmental resources.</w:t>
            </w:r>
          </w:p>
          <w:p w:rsidR="00AD1310" w:rsidRPr="003B255B" w:rsidRDefault="00AD1310" w:rsidP="00FA1C9A">
            <w:pPr>
              <w:pStyle w:val="TableText1"/>
              <w:spacing w:before="20" w:after="20"/>
              <w:ind w:right="-109"/>
              <w:jc w:val="left"/>
              <w:rPr>
                <w:rFonts w:cs="Arial"/>
                <w:snapToGrid w:val="0"/>
                <w:sz w:val="15"/>
                <w:szCs w:val="15"/>
              </w:rPr>
            </w:pPr>
            <w:r w:rsidRPr="003B255B">
              <w:rPr>
                <w:rFonts w:cs="Arial"/>
                <w:snapToGrid w:val="0"/>
                <w:sz w:val="15"/>
                <w:szCs w:val="15"/>
              </w:rPr>
              <w:t>Permanent irreparable damage is caused to the environment.</w:t>
            </w:r>
          </w:p>
          <w:p w:rsidR="00AD1310" w:rsidRPr="003B255B" w:rsidRDefault="00AD1310" w:rsidP="00FA1C9A">
            <w:pPr>
              <w:pStyle w:val="TableText1"/>
              <w:spacing w:before="20" w:after="20"/>
              <w:ind w:right="-109"/>
              <w:jc w:val="left"/>
              <w:rPr>
                <w:rFonts w:cs="Arial"/>
                <w:snapToGrid w:val="0"/>
                <w:sz w:val="15"/>
                <w:szCs w:val="15"/>
              </w:rPr>
            </w:pPr>
          </w:p>
        </w:tc>
        <w:tc>
          <w:tcPr>
            <w:tcW w:w="610" w:type="pct"/>
          </w:tcPr>
          <w:p w:rsidR="00AD1310" w:rsidRPr="003B255B" w:rsidRDefault="00AD1310" w:rsidP="00034876">
            <w:pPr>
              <w:pStyle w:val="TableText1"/>
              <w:tabs>
                <w:tab w:val="clear" w:pos="1701"/>
              </w:tabs>
              <w:spacing w:before="20" w:after="20"/>
              <w:ind w:right="110"/>
              <w:jc w:val="left"/>
              <w:rPr>
                <w:rFonts w:cs="Arial"/>
                <w:snapToGrid w:val="0"/>
                <w:sz w:val="15"/>
                <w:szCs w:val="15"/>
              </w:rPr>
            </w:pPr>
            <w:r w:rsidRPr="003B255B">
              <w:rPr>
                <w:rFonts w:cs="Arial"/>
                <w:snapToGrid w:val="0"/>
                <w:sz w:val="15"/>
                <w:szCs w:val="15"/>
              </w:rPr>
              <w:t>Services rendered fails to meet Council’s Triple Bottom Line objective.</w:t>
            </w:r>
          </w:p>
        </w:tc>
      </w:tr>
    </w:tbl>
    <w:p w:rsidR="00AD1310" w:rsidRPr="00D3382E" w:rsidRDefault="002F2F1E" w:rsidP="00D3382E">
      <w:pPr>
        <w:pStyle w:val="Caption"/>
        <w:spacing w:before="240" w:after="240"/>
        <w:ind w:left="0"/>
        <w:jc w:val="center"/>
        <w:rPr>
          <w:rFonts w:ascii="Arial" w:hAnsi="Arial"/>
          <w:b w:val="0"/>
          <w:i w:val="0"/>
          <w:iCs w:val="0"/>
          <w:sz w:val="18"/>
        </w:rPr>
      </w:pPr>
      <w:bookmarkStart w:id="713" w:name="_Toc364945453"/>
      <w:r w:rsidRPr="00D3382E">
        <w:rPr>
          <w:rFonts w:ascii="Arial" w:hAnsi="Arial"/>
          <w:i w:val="0"/>
          <w:iCs w:val="0"/>
          <w:sz w:val="18"/>
          <w:szCs w:val="18"/>
          <w:lang w:val="en-AU"/>
        </w:rPr>
        <w:t xml:space="preserve">Table </w:t>
      </w:r>
      <w:r w:rsidR="0090414C" w:rsidRPr="00D3382E">
        <w:rPr>
          <w:rFonts w:ascii="Arial" w:hAnsi="Arial"/>
          <w:i w:val="0"/>
          <w:iCs w:val="0"/>
          <w:sz w:val="18"/>
          <w:szCs w:val="18"/>
          <w:lang w:val="en-AU"/>
        </w:rPr>
        <w:fldChar w:fldCharType="begin"/>
      </w:r>
      <w:r w:rsidRPr="00D3382E">
        <w:rPr>
          <w:rFonts w:ascii="Arial" w:hAnsi="Arial"/>
          <w:i w:val="0"/>
          <w:iCs w:val="0"/>
          <w:sz w:val="18"/>
          <w:szCs w:val="18"/>
          <w:lang w:val="en-AU"/>
        </w:rPr>
        <w:instrText xml:space="preserve"> SEQ Table \* ARABIC </w:instrText>
      </w:r>
      <w:r w:rsidR="0090414C" w:rsidRPr="00D3382E">
        <w:rPr>
          <w:rFonts w:ascii="Arial" w:hAnsi="Arial"/>
          <w:i w:val="0"/>
          <w:iCs w:val="0"/>
          <w:sz w:val="18"/>
          <w:szCs w:val="18"/>
          <w:lang w:val="en-AU"/>
        </w:rPr>
        <w:fldChar w:fldCharType="separate"/>
      </w:r>
      <w:r w:rsidR="00751CEC">
        <w:rPr>
          <w:rFonts w:ascii="Arial" w:hAnsi="Arial"/>
          <w:i w:val="0"/>
          <w:iCs w:val="0"/>
          <w:noProof/>
          <w:sz w:val="18"/>
          <w:szCs w:val="18"/>
          <w:lang w:val="en-AU"/>
        </w:rPr>
        <w:t>49</w:t>
      </w:r>
      <w:r w:rsidR="0090414C" w:rsidRPr="00D3382E">
        <w:rPr>
          <w:rFonts w:ascii="Arial" w:hAnsi="Arial"/>
          <w:i w:val="0"/>
          <w:iCs w:val="0"/>
          <w:sz w:val="18"/>
          <w:szCs w:val="18"/>
          <w:lang w:val="en-AU"/>
        </w:rPr>
        <w:fldChar w:fldCharType="end"/>
      </w:r>
      <w:r w:rsidRPr="00D3382E">
        <w:rPr>
          <w:rFonts w:ascii="Arial" w:hAnsi="Arial"/>
          <w:i w:val="0"/>
          <w:iCs w:val="0"/>
          <w:sz w:val="18"/>
          <w:szCs w:val="18"/>
          <w:lang w:val="en-AU"/>
        </w:rPr>
        <w:t>:  Risk Consequence Rating Criteria</w:t>
      </w:r>
      <w:bookmarkEnd w:id="713"/>
    </w:p>
    <w:p w:rsidR="00966DD0" w:rsidRDefault="00966DD0" w:rsidP="002F775C">
      <w:pPr>
        <w:sectPr w:rsidR="00966DD0" w:rsidSect="00FA1C9A">
          <w:headerReference w:type="default" r:id="rId76"/>
          <w:footerReference w:type="default" r:id="rId77"/>
          <w:pgSz w:w="16838" w:h="11906" w:orient="landscape" w:code="9"/>
          <w:pgMar w:top="1418" w:right="1418" w:bottom="851" w:left="851" w:header="284" w:footer="312" w:gutter="0"/>
          <w:cols w:space="720"/>
          <w:docGrid w:linePitch="360"/>
        </w:sectPr>
      </w:pPr>
    </w:p>
    <w:p w:rsidR="00AD1310" w:rsidRPr="00412EEB" w:rsidRDefault="00AD1310" w:rsidP="003E5B9F">
      <w:pPr>
        <w:pStyle w:val="StyleHeading3Heading3Char10ptBefore6pt"/>
      </w:pPr>
      <w:bookmarkStart w:id="714" w:name="_Toc364945345"/>
      <w:r w:rsidRPr="00412EEB">
        <w:t>Risk Probability Rating</w:t>
      </w:r>
      <w:bookmarkEnd w:id="714"/>
      <w:r w:rsidRPr="00412EEB">
        <w:t xml:space="preserve"> </w:t>
      </w:r>
    </w:p>
    <w:p w:rsidR="00DD5E9C" w:rsidRDefault="00DD5E9C" w:rsidP="002F2F1E">
      <w:pPr>
        <w:ind w:left="720"/>
      </w:pPr>
      <w:r>
        <w:t>Once the Consequence Rating and the Likelihood Rating have been selected</w:t>
      </w:r>
      <w:r w:rsidR="005740EF">
        <w:t>,</w:t>
      </w:r>
      <w:r>
        <w:t xml:space="preserve"> then a Risk Probability Rating is assigned.</w:t>
      </w:r>
    </w:p>
    <w:p w:rsidR="00DD5E9C" w:rsidRDefault="00DD5E9C" w:rsidP="002F2F1E">
      <w:pPr>
        <w:ind w:left="720"/>
      </w:pPr>
    </w:p>
    <w:p w:rsidR="00AD1310" w:rsidRPr="00412EEB" w:rsidRDefault="00AD1310" w:rsidP="002F2F1E">
      <w:pPr>
        <w:ind w:left="720"/>
      </w:pPr>
      <w:r w:rsidRPr="00412EEB">
        <w:t xml:space="preserve">The likelihood of an incident occurring itself is rated from rare to almost certain and is based on knowledge gained over time through providing the service. </w:t>
      </w:r>
    </w:p>
    <w:p w:rsidR="00AD1310" w:rsidRPr="00412EEB" w:rsidRDefault="00AD1310" w:rsidP="002F2F1E">
      <w:pPr>
        <w:ind w:left="720"/>
      </w:pPr>
    </w:p>
    <w:p w:rsidR="00AD1310" w:rsidRDefault="00AD1310" w:rsidP="002F2F1E">
      <w:pPr>
        <w:ind w:left="720"/>
      </w:pPr>
      <w:r w:rsidRPr="00412EEB">
        <w:t xml:space="preserve">Asset managers also consider the probability that a risk could occur also based on previous history of providing services and is rated if an incident is likely to occur within </w:t>
      </w:r>
      <w:r w:rsidR="009170C7">
        <w:t>one</w:t>
      </w:r>
      <w:r w:rsidRPr="00412EEB">
        <w:t xml:space="preserve"> year or is it likely to occur once in more than 20 years. </w:t>
      </w:r>
    </w:p>
    <w:p w:rsidR="002F2F1E" w:rsidRPr="00412EEB" w:rsidRDefault="002F2F1E" w:rsidP="002F2F1E">
      <w:pPr>
        <w:ind w:left="720"/>
      </w:pPr>
    </w:p>
    <w:p w:rsidR="00AD1310" w:rsidRPr="00412EEB" w:rsidRDefault="00AD1310" w:rsidP="002F2F1E">
      <w:pPr>
        <w:ind w:left="720"/>
      </w:pPr>
      <w:r w:rsidRPr="00412EEB">
        <w:t>The probability that a risk could occur is assessed using the following table</w:t>
      </w:r>
      <w:r w:rsidR="00233825">
        <w:t>:</w:t>
      </w:r>
      <w:r w:rsidR="002F2F1E">
        <w:t xml:space="preserve"> (Risk Probability Ratings):</w:t>
      </w:r>
    </w:p>
    <w:p w:rsidR="00AD1310" w:rsidRPr="00412EEB" w:rsidRDefault="00AD1310" w:rsidP="002F2F1E">
      <w:pPr>
        <w:ind w:left="720"/>
      </w:pPr>
    </w:p>
    <w:tbl>
      <w:tblPr>
        <w:tblW w:w="0" w:type="auto"/>
        <w:tblInd w:w="7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43"/>
        <w:gridCol w:w="4925"/>
        <w:gridCol w:w="1559"/>
      </w:tblGrid>
      <w:tr w:rsidR="00AD1310" w:rsidRPr="002F2F1E" w:rsidTr="00FC370B">
        <w:trPr>
          <w:cantSplit/>
        </w:trPr>
        <w:tc>
          <w:tcPr>
            <w:tcW w:w="1843" w:type="dxa"/>
            <w:shd w:val="clear" w:color="auto" w:fill="95B3D7" w:themeFill="accent1" w:themeFillTint="99"/>
            <w:vAlign w:val="center"/>
          </w:tcPr>
          <w:p w:rsidR="00AD1310" w:rsidRPr="002F2F1E" w:rsidRDefault="00AD1310" w:rsidP="002F2F1E">
            <w:pPr>
              <w:spacing w:before="120" w:after="120"/>
              <w:jc w:val="center"/>
              <w:rPr>
                <w:b/>
              </w:rPr>
            </w:pPr>
            <w:r w:rsidRPr="002F2F1E">
              <w:rPr>
                <w:b/>
              </w:rPr>
              <w:t>Likelihood of Occurrence</w:t>
            </w:r>
          </w:p>
        </w:tc>
        <w:tc>
          <w:tcPr>
            <w:tcW w:w="4925" w:type="dxa"/>
            <w:shd w:val="clear" w:color="auto" w:fill="95B3D7" w:themeFill="accent1" w:themeFillTint="99"/>
            <w:vAlign w:val="center"/>
          </w:tcPr>
          <w:p w:rsidR="00AD1310" w:rsidRPr="002F2F1E" w:rsidRDefault="00AD1310" w:rsidP="00BB683F">
            <w:pPr>
              <w:spacing w:before="120" w:after="120"/>
              <w:jc w:val="center"/>
              <w:rPr>
                <w:b/>
              </w:rPr>
            </w:pPr>
            <w:r w:rsidRPr="002F2F1E">
              <w:rPr>
                <w:b/>
              </w:rPr>
              <w:t>Description</w:t>
            </w:r>
          </w:p>
        </w:tc>
        <w:tc>
          <w:tcPr>
            <w:tcW w:w="1559" w:type="dxa"/>
            <w:shd w:val="clear" w:color="auto" w:fill="95B3D7" w:themeFill="accent1" w:themeFillTint="99"/>
            <w:vAlign w:val="center"/>
          </w:tcPr>
          <w:p w:rsidR="00AD1310" w:rsidRPr="002F2F1E" w:rsidRDefault="00AD1310" w:rsidP="002F2F1E">
            <w:pPr>
              <w:spacing w:before="120" w:after="120"/>
              <w:jc w:val="center"/>
              <w:rPr>
                <w:b/>
              </w:rPr>
            </w:pPr>
            <w:r w:rsidRPr="002F2F1E">
              <w:rPr>
                <w:b/>
              </w:rPr>
              <w:t>Probability</w:t>
            </w:r>
            <w:r w:rsidR="002F2F1E">
              <w:rPr>
                <w:b/>
              </w:rPr>
              <w:br/>
            </w:r>
            <w:r w:rsidRPr="002F2F1E">
              <w:rPr>
                <w:b/>
              </w:rPr>
              <w:t>Rating</w:t>
            </w:r>
          </w:p>
        </w:tc>
      </w:tr>
      <w:tr w:rsidR="00AD1310" w:rsidRPr="002F2F1E" w:rsidTr="00FC370B">
        <w:trPr>
          <w:cantSplit/>
        </w:trPr>
        <w:tc>
          <w:tcPr>
            <w:tcW w:w="1843" w:type="dxa"/>
          </w:tcPr>
          <w:p w:rsidR="00AD1310" w:rsidRPr="002F2F1E" w:rsidRDefault="00AD1310" w:rsidP="002F2F1E">
            <w:pPr>
              <w:spacing w:before="120" w:after="120"/>
              <w:jc w:val="center"/>
            </w:pPr>
            <w:r w:rsidRPr="002F2F1E">
              <w:t>Rare</w:t>
            </w:r>
          </w:p>
        </w:tc>
        <w:tc>
          <w:tcPr>
            <w:tcW w:w="4925" w:type="dxa"/>
          </w:tcPr>
          <w:p w:rsidR="00AD1310" w:rsidRPr="002F2F1E" w:rsidRDefault="00AF5C36" w:rsidP="00AF5C36">
            <w:pPr>
              <w:spacing w:before="120" w:after="120"/>
              <w:jc w:val="center"/>
            </w:pPr>
            <w:r>
              <w:t>Greater than</w:t>
            </w:r>
            <w:r w:rsidR="00AD1310" w:rsidRPr="002F2F1E">
              <w:t xml:space="preserve"> 10 years</w:t>
            </w:r>
            <w:r w:rsidR="00BB683F">
              <w:br/>
            </w:r>
            <w:r w:rsidR="00AD1310" w:rsidRPr="002F2F1E">
              <w:t>The event may occur only in exceptional circumstances</w:t>
            </w:r>
          </w:p>
        </w:tc>
        <w:tc>
          <w:tcPr>
            <w:tcW w:w="1559" w:type="dxa"/>
          </w:tcPr>
          <w:p w:rsidR="00AD1310" w:rsidRPr="002F2F1E" w:rsidRDefault="00AD1310" w:rsidP="002F2F1E">
            <w:pPr>
              <w:spacing w:before="120" w:after="120"/>
              <w:jc w:val="center"/>
            </w:pPr>
            <w:r w:rsidRPr="002F2F1E">
              <w:t>1</w:t>
            </w:r>
          </w:p>
        </w:tc>
      </w:tr>
      <w:tr w:rsidR="00AD1310" w:rsidRPr="002F2F1E" w:rsidTr="00FC370B">
        <w:trPr>
          <w:cantSplit/>
        </w:trPr>
        <w:tc>
          <w:tcPr>
            <w:tcW w:w="1843" w:type="dxa"/>
          </w:tcPr>
          <w:p w:rsidR="00AD1310" w:rsidRPr="002F2F1E" w:rsidRDefault="00AD1310" w:rsidP="002F2F1E">
            <w:pPr>
              <w:spacing w:before="120" w:after="120"/>
              <w:jc w:val="center"/>
            </w:pPr>
            <w:r w:rsidRPr="002F2F1E">
              <w:t>Unlikely</w:t>
            </w:r>
          </w:p>
        </w:tc>
        <w:tc>
          <w:tcPr>
            <w:tcW w:w="4925" w:type="dxa"/>
          </w:tcPr>
          <w:p w:rsidR="00AD1310" w:rsidRPr="002F2F1E" w:rsidRDefault="00AD1310" w:rsidP="00BB683F">
            <w:pPr>
              <w:spacing w:before="120" w:after="120"/>
              <w:jc w:val="center"/>
            </w:pPr>
            <w:r w:rsidRPr="002F2F1E">
              <w:t>Within next 10 years</w:t>
            </w:r>
            <w:r w:rsidR="00BB683F">
              <w:br/>
            </w:r>
            <w:r w:rsidRPr="002F2F1E">
              <w:t>The event may occur once within 10 years</w:t>
            </w:r>
          </w:p>
        </w:tc>
        <w:tc>
          <w:tcPr>
            <w:tcW w:w="1559" w:type="dxa"/>
          </w:tcPr>
          <w:p w:rsidR="00AD1310" w:rsidRPr="002F2F1E" w:rsidRDefault="00AD1310" w:rsidP="002F2F1E">
            <w:pPr>
              <w:spacing w:before="120" w:after="120"/>
              <w:jc w:val="center"/>
            </w:pPr>
            <w:r w:rsidRPr="002F2F1E">
              <w:t>2</w:t>
            </w:r>
          </w:p>
        </w:tc>
      </w:tr>
      <w:tr w:rsidR="00AD1310" w:rsidRPr="002F2F1E" w:rsidTr="00FC370B">
        <w:trPr>
          <w:cantSplit/>
        </w:trPr>
        <w:tc>
          <w:tcPr>
            <w:tcW w:w="1843" w:type="dxa"/>
          </w:tcPr>
          <w:p w:rsidR="00AD1310" w:rsidRPr="002F2F1E" w:rsidRDefault="00AD1310" w:rsidP="002F2F1E">
            <w:pPr>
              <w:spacing w:before="120" w:after="120"/>
              <w:jc w:val="center"/>
            </w:pPr>
            <w:r w:rsidRPr="002F2F1E">
              <w:t>Possible</w:t>
            </w:r>
          </w:p>
        </w:tc>
        <w:tc>
          <w:tcPr>
            <w:tcW w:w="4925" w:type="dxa"/>
          </w:tcPr>
          <w:p w:rsidR="00AD1310" w:rsidRPr="002F2F1E" w:rsidRDefault="00AD1310" w:rsidP="00BB683F">
            <w:pPr>
              <w:spacing w:before="120" w:after="120"/>
              <w:jc w:val="center"/>
            </w:pPr>
            <w:r w:rsidRPr="002F2F1E">
              <w:t>Within next 5 years</w:t>
            </w:r>
            <w:r w:rsidR="00BB683F">
              <w:br/>
            </w:r>
            <w:r w:rsidRPr="002F2F1E">
              <w:t>The event will most likely occur at least once in 5 years</w:t>
            </w:r>
          </w:p>
        </w:tc>
        <w:tc>
          <w:tcPr>
            <w:tcW w:w="1559" w:type="dxa"/>
          </w:tcPr>
          <w:p w:rsidR="00AD1310" w:rsidRPr="002F2F1E" w:rsidRDefault="00AD1310" w:rsidP="002F2F1E">
            <w:pPr>
              <w:spacing w:before="120" w:after="120"/>
              <w:jc w:val="center"/>
            </w:pPr>
            <w:r w:rsidRPr="002F2F1E">
              <w:t>3</w:t>
            </w:r>
          </w:p>
        </w:tc>
      </w:tr>
      <w:tr w:rsidR="00AD1310" w:rsidRPr="002F2F1E" w:rsidTr="00FC370B">
        <w:trPr>
          <w:cantSplit/>
        </w:trPr>
        <w:tc>
          <w:tcPr>
            <w:tcW w:w="1843" w:type="dxa"/>
          </w:tcPr>
          <w:p w:rsidR="00AD1310" w:rsidRPr="002F2F1E" w:rsidRDefault="00AD1310" w:rsidP="002F2F1E">
            <w:pPr>
              <w:spacing w:before="120" w:after="120"/>
              <w:jc w:val="center"/>
            </w:pPr>
            <w:r w:rsidRPr="002F2F1E">
              <w:t>Likely</w:t>
            </w:r>
          </w:p>
        </w:tc>
        <w:tc>
          <w:tcPr>
            <w:tcW w:w="4925" w:type="dxa"/>
          </w:tcPr>
          <w:p w:rsidR="00AD1310" w:rsidRPr="002F2F1E" w:rsidRDefault="00AD1310" w:rsidP="00BB683F">
            <w:pPr>
              <w:spacing w:before="120" w:after="120"/>
              <w:jc w:val="center"/>
            </w:pPr>
            <w:r w:rsidRPr="002F2F1E">
              <w:t>Within next 2 years</w:t>
            </w:r>
            <w:r w:rsidR="00BB683F">
              <w:br/>
            </w:r>
            <w:r w:rsidRPr="002F2F1E">
              <w:t>The event will probably occur at least once if not a number of times within this timeframe</w:t>
            </w:r>
          </w:p>
        </w:tc>
        <w:tc>
          <w:tcPr>
            <w:tcW w:w="1559" w:type="dxa"/>
          </w:tcPr>
          <w:p w:rsidR="00AD1310" w:rsidRPr="002F2F1E" w:rsidRDefault="00AD1310" w:rsidP="002F2F1E">
            <w:pPr>
              <w:spacing w:before="120" w:after="120"/>
              <w:jc w:val="center"/>
            </w:pPr>
            <w:r w:rsidRPr="002F2F1E">
              <w:t>4</w:t>
            </w:r>
          </w:p>
        </w:tc>
      </w:tr>
      <w:tr w:rsidR="00AD1310" w:rsidRPr="002F2F1E" w:rsidTr="00FC370B">
        <w:trPr>
          <w:cantSplit/>
        </w:trPr>
        <w:tc>
          <w:tcPr>
            <w:tcW w:w="1843" w:type="dxa"/>
          </w:tcPr>
          <w:p w:rsidR="00AD1310" w:rsidRPr="002F2F1E" w:rsidRDefault="00AD1310" w:rsidP="002F2F1E">
            <w:pPr>
              <w:spacing w:before="120" w:after="120"/>
              <w:jc w:val="center"/>
            </w:pPr>
            <w:r w:rsidRPr="002F2F1E">
              <w:t>Almost Certain</w:t>
            </w:r>
          </w:p>
        </w:tc>
        <w:tc>
          <w:tcPr>
            <w:tcW w:w="4925" w:type="dxa"/>
          </w:tcPr>
          <w:p w:rsidR="00AD1310" w:rsidRPr="002F2F1E" w:rsidRDefault="00AD1310" w:rsidP="00BB683F">
            <w:pPr>
              <w:spacing w:before="120" w:after="120"/>
              <w:jc w:val="center"/>
            </w:pPr>
            <w:r w:rsidRPr="002F2F1E">
              <w:t>Within 1 year</w:t>
            </w:r>
            <w:r w:rsidR="00BB683F">
              <w:br/>
            </w:r>
            <w:r w:rsidRPr="002F2F1E">
              <w:t>The event is already occurring or is likely to occur within the coming year.</w:t>
            </w:r>
          </w:p>
        </w:tc>
        <w:tc>
          <w:tcPr>
            <w:tcW w:w="1559" w:type="dxa"/>
          </w:tcPr>
          <w:p w:rsidR="00AD1310" w:rsidRPr="002F2F1E" w:rsidRDefault="00AD1310" w:rsidP="002F2F1E">
            <w:pPr>
              <w:spacing w:before="120" w:after="120"/>
              <w:jc w:val="center"/>
            </w:pPr>
            <w:r w:rsidRPr="002F2F1E">
              <w:t>5</w:t>
            </w:r>
          </w:p>
        </w:tc>
      </w:tr>
    </w:tbl>
    <w:p w:rsidR="002F2F1E" w:rsidRPr="0024611A" w:rsidRDefault="002F2F1E" w:rsidP="00A249BF">
      <w:pPr>
        <w:pStyle w:val="Caption"/>
        <w:spacing w:before="240" w:after="240"/>
        <w:ind w:left="720"/>
        <w:jc w:val="center"/>
        <w:rPr>
          <w:rFonts w:ascii="Arial" w:hAnsi="Arial"/>
          <w:i w:val="0"/>
          <w:iCs w:val="0"/>
          <w:sz w:val="20"/>
          <w:lang w:val="en-AU"/>
        </w:rPr>
      </w:pPr>
      <w:bookmarkStart w:id="715" w:name="_Toc364945454"/>
      <w:r w:rsidRPr="0024611A">
        <w:rPr>
          <w:rFonts w:ascii="Arial" w:hAnsi="Arial"/>
          <w:i w:val="0"/>
          <w:iCs w:val="0"/>
          <w:sz w:val="20"/>
          <w:lang w:val="en-AU"/>
        </w:rPr>
        <w:t xml:space="preserve">Table </w:t>
      </w:r>
      <w:r w:rsidR="0090414C" w:rsidRPr="0024611A">
        <w:rPr>
          <w:rFonts w:ascii="Arial" w:hAnsi="Arial"/>
          <w:i w:val="0"/>
          <w:iCs w:val="0"/>
          <w:sz w:val="20"/>
          <w:lang w:val="en-AU"/>
        </w:rPr>
        <w:fldChar w:fldCharType="begin"/>
      </w:r>
      <w:r w:rsidRPr="0024611A">
        <w:rPr>
          <w:rFonts w:ascii="Arial" w:hAnsi="Arial"/>
          <w:i w:val="0"/>
          <w:iCs w:val="0"/>
          <w:sz w:val="20"/>
          <w:lang w:val="en-AU"/>
        </w:rPr>
        <w:instrText xml:space="preserve"> SEQ Table \* ARABIC </w:instrText>
      </w:r>
      <w:r w:rsidR="0090414C" w:rsidRPr="0024611A">
        <w:rPr>
          <w:rFonts w:ascii="Arial" w:hAnsi="Arial"/>
          <w:i w:val="0"/>
          <w:iCs w:val="0"/>
          <w:sz w:val="20"/>
          <w:lang w:val="en-AU"/>
        </w:rPr>
        <w:fldChar w:fldCharType="separate"/>
      </w:r>
      <w:r w:rsidR="00751CEC">
        <w:rPr>
          <w:rFonts w:ascii="Arial" w:hAnsi="Arial"/>
          <w:i w:val="0"/>
          <w:iCs w:val="0"/>
          <w:noProof/>
          <w:sz w:val="20"/>
          <w:lang w:val="en-AU"/>
        </w:rPr>
        <w:t>50</w:t>
      </w:r>
      <w:r w:rsidR="0090414C" w:rsidRPr="0024611A">
        <w:rPr>
          <w:rFonts w:ascii="Arial" w:hAnsi="Arial"/>
          <w:i w:val="0"/>
          <w:iCs w:val="0"/>
          <w:sz w:val="20"/>
          <w:lang w:val="en-AU"/>
        </w:rPr>
        <w:fldChar w:fldCharType="end"/>
      </w:r>
      <w:r w:rsidRPr="0024611A">
        <w:rPr>
          <w:rFonts w:ascii="Arial" w:hAnsi="Arial"/>
          <w:i w:val="0"/>
          <w:iCs w:val="0"/>
          <w:sz w:val="20"/>
          <w:lang w:val="en-AU"/>
        </w:rPr>
        <w:t>:  Risk Probability Rating Criteria</w:t>
      </w:r>
      <w:bookmarkEnd w:id="715"/>
    </w:p>
    <w:p w:rsidR="009170C7" w:rsidRPr="00CD7D4F" w:rsidRDefault="009170C7" w:rsidP="009170C7">
      <w:pPr>
        <w:ind w:left="720"/>
        <w:rPr>
          <w:lang w:val="en-NZ"/>
        </w:rPr>
      </w:pPr>
      <w:r w:rsidRPr="00CD7D4F">
        <w:rPr>
          <w:lang w:val="en-NZ"/>
        </w:rPr>
        <w:t>Once the impact has been ranked according to the relative risk level it poses, it is then possible to target the treatment of the risk exposure, by beginning with the highest risks and identifying the potential mitigation measures.</w:t>
      </w:r>
    </w:p>
    <w:p w:rsidR="009170C7" w:rsidRPr="00CD7D4F" w:rsidRDefault="009170C7" w:rsidP="009170C7"/>
    <w:tbl>
      <w:tblPr>
        <w:tblW w:w="8469" w:type="dxa"/>
        <w:jc w:val="right"/>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000" w:firstRow="0" w:lastRow="0" w:firstColumn="0" w:lastColumn="0" w:noHBand="0" w:noVBand="0"/>
      </w:tblPr>
      <w:tblGrid>
        <w:gridCol w:w="1276"/>
        <w:gridCol w:w="1701"/>
        <w:gridCol w:w="5492"/>
      </w:tblGrid>
      <w:tr w:rsidR="009170C7" w:rsidRPr="00CD7D4F" w:rsidTr="00D742C1">
        <w:trPr>
          <w:trHeight w:val="510"/>
          <w:jc w:val="right"/>
        </w:trPr>
        <w:tc>
          <w:tcPr>
            <w:tcW w:w="1276" w:type="dxa"/>
            <w:tcBorders>
              <w:bottom w:val="single" w:sz="4" w:space="0" w:color="000000" w:themeColor="text1"/>
            </w:tcBorders>
            <w:shd w:val="clear" w:color="008080" w:fill="00FF00"/>
          </w:tcPr>
          <w:p w:rsidR="009170C7" w:rsidRPr="00CD7D4F" w:rsidRDefault="009170C7" w:rsidP="00D742C1">
            <w:pPr>
              <w:spacing w:before="60" w:after="60"/>
            </w:pPr>
            <w:r w:rsidRPr="00CD7D4F">
              <w:t>L</w:t>
            </w:r>
            <w:r>
              <w:t>ow</w:t>
            </w:r>
          </w:p>
        </w:tc>
        <w:tc>
          <w:tcPr>
            <w:tcW w:w="1701" w:type="dxa"/>
            <w:shd w:val="clear" w:color="auto" w:fill="auto"/>
          </w:tcPr>
          <w:p w:rsidR="009170C7" w:rsidRPr="00CD7D4F" w:rsidRDefault="009170C7" w:rsidP="00D742C1">
            <w:pPr>
              <w:spacing w:before="60" w:after="60"/>
            </w:pPr>
            <w:r w:rsidRPr="00CD7D4F">
              <w:t xml:space="preserve">Low </w:t>
            </w:r>
            <w:r w:rsidRPr="00CD7D4F">
              <w:rPr>
                <w:snapToGrid w:val="0"/>
              </w:rPr>
              <w:t>Risk</w:t>
            </w:r>
          </w:p>
        </w:tc>
        <w:tc>
          <w:tcPr>
            <w:tcW w:w="5492" w:type="dxa"/>
            <w:shd w:val="clear" w:color="auto" w:fill="auto"/>
          </w:tcPr>
          <w:p w:rsidR="009170C7" w:rsidRPr="00CD7D4F" w:rsidRDefault="009170C7" w:rsidP="00D742C1">
            <w:pPr>
              <w:spacing w:before="60" w:after="60"/>
              <w:jc w:val="left"/>
            </w:pPr>
            <w:r>
              <w:rPr>
                <w:rFonts w:ascii="Tahoma" w:hAnsi="Tahoma" w:cs="Tahoma"/>
                <w:color w:val="000000"/>
              </w:rPr>
              <w:t>Negligible impact on achievement of Council Objectives.</w:t>
            </w:r>
          </w:p>
        </w:tc>
      </w:tr>
      <w:tr w:rsidR="009170C7" w:rsidRPr="00CD7D4F" w:rsidTr="00D742C1">
        <w:trPr>
          <w:trHeight w:val="510"/>
          <w:jc w:val="right"/>
        </w:trPr>
        <w:tc>
          <w:tcPr>
            <w:tcW w:w="1276" w:type="dxa"/>
            <w:tcBorders>
              <w:bottom w:val="single" w:sz="4" w:space="0" w:color="000000" w:themeColor="text1"/>
            </w:tcBorders>
            <w:shd w:val="clear" w:color="008080" w:fill="00FFFF"/>
          </w:tcPr>
          <w:p w:rsidR="009170C7" w:rsidRPr="00CD7D4F" w:rsidRDefault="009170C7" w:rsidP="00D742C1">
            <w:pPr>
              <w:spacing w:before="60" w:after="60"/>
            </w:pPr>
            <w:r w:rsidRPr="00CD7D4F">
              <w:t>M</w:t>
            </w:r>
            <w:r>
              <w:t>edium</w:t>
            </w:r>
          </w:p>
        </w:tc>
        <w:tc>
          <w:tcPr>
            <w:tcW w:w="1701" w:type="dxa"/>
            <w:shd w:val="clear" w:color="auto" w:fill="auto"/>
          </w:tcPr>
          <w:p w:rsidR="009170C7" w:rsidRPr="00CD7D4F" w:rsidRDefault="009170C7" w:rsidP="00D742C1">
            <w:pPr>
              <w:spacing w:before="60" w:after="60"/>
            </w:pPr>
            <w:r w:rsidRPr="00CD7D4F">
              <w:t xml:space="preserve">Medium </w:t>
            </w:r>
            <w:r w:rsidRPr="00CD7D4F">
              <w:rPr>
                <w:snapToGrid w:val="0"/>
              </w:rPr>
              <w:t>Risk</w:t>
            </w:r>
          </w:p>
        </w:tc>
        <w:tc>
          <w:tcPr>
            <w:tcW w:w="5492" w:type="dxa"/>
            <w:shd w:val="clear" w:color="auto" w:fill="auto"/>
          </w:tcPr>
          <w:p w:rsidR="009170C7" w:rsidRPr="00CD7D4F" w:rsidRDefault="009170C7" w:rsidP="00D742C1">
            <w:pPr>
              <w:autoSpaceDE w:val="0"/>
              <w:autoSpaceDN w:val="0"/>
              <w:adjustRightInd w:val="0"/>
              <w:spacing w:before="60" w:after="60"/>
              <w:jc w:val="left"/>
            </w:pPr>
            <w:r>
              <w:rPr>
                <w:rFonts w:ascii="Tahoma" w:hAnsi="Tahoma" w:cs="Tahoma"/>
                <w:color w:val="000000"/>
              </w:rPr>
              <w:t>There is some effect on the achievement of Council's objectives which can be easily remedied.</w:t>
            </w:r>
          </w:p>
        </w:tc>
      </w:tr>
      <w:tr w:rsidR="009170C7" w:rsidRPr="00CD7D4F" w:rsidTr="00D742C1">
        <w:trPr>
          <w:trHeight w:val="510"/>
          <w:jc w:val="right"/>
        </w:trPr>
        <w:tc>
          <w:tcPr>
            <w:tcW w:w="1276" w:type="dxa"/>
            <w:tcBorders>
              <w:bottom w:val="single" w:sz="4" w:space="0" w:color="000000" w:themeColor="text1"/>
            </w:tcBorders>
            <w:shd w:val="clear" w:color="008080" w:fill="FFFF00"/>
          </w:tcPr>
          <w:p w:rsidR="009170C7" w:rsidRPr="00CD7D4F" w:rsidRDefault="009170C7" w:rsidP="00D742C1">
            <w:pPr>
              <w:spacing w:before="60" w:after="60"/>
            </w:pPr>
            <w:r>
              <w:t>Significant</w:t>
            </w:r>
          </w:p>
        </w:tc>
        <w:tc>
          <w:tcPr>
            <w:tcW w:w="1701" w:type="dxa"/>
            <w:shd w:val="clear" w:color="auto" w:fill="auto"/>
          </w:tcPr>
          <w:p w:rsidR="009170C7" w:rsidRPr="00CD7D4F" w:rsidRDefault="009170C7" w:rsidP="00D742C1">
            <w:pPr>
              <w:spacing w:before="60" w:after="60"/>
            </w:pPr>
            <w:r>
              <w:t>Significant Risk</w:t>
            </w:r>
          </w:p>
        </w:tc>
        <w:tc>
          <w:tcPr>
            <w:tcW w:w="5492" w:type="dxa"/>
            <w:shd w:val="clear" w:color="auto" w:fill="auto"/>
          </w:tcPr>
          <w:p w:rsidR="009170C7" w:rsidRPr="00CD7D4F" w:rsidRDefault="009170C7" w:rsidP="00D742C1">
            <w:pPr>
              <w:spacing w:before="60" w:after="60"/>
              <w:jc w:val="left"/>
            </w:pPr>
            <w:r>
              <w:rPr>
                <w:rFonts w:ascii="Tahoma" w:hAnsi="Tahoma" w:cs="Tahoma"/>
                <w:color w:val="000000"/>
              </w:rPr>
              <w:t>Serious breach of legislation leading to possible prosecution or fine.</w:t>
            </w:r>
          </w:p>
        </w:tc>
      </w:tr>
      <w:tr w:rsidR="009170C7" w:rsidRPr="00CD7D4F" w:rsidTr="00D742C1">
        <w:trPr>
          <w:trHeight w:val="510"/>
          <w:jc w:val="right"/>
        </w:trPr>
        <w:tc>
          <w:tcPr>
            <w:tcW w:w="1276" w:type="dxa"/>
            <w:tcBorders>
              <w:bottom w:val="single" w:sz="4" w:space="0" w:color="000000" w:themeColor="text1"/>
            </w:tcBorders>
            <w:shd w:val="clear" w:color="008080" w:fill="FF9900"/>
          </w:tcPr>
          <w:p w:rsidR="009170C7" w:rsidRPr="00CD7D4F" w:rsidRDefault="009170C7" w:rsidP="00D742C1">
            <w:pPr>
              <w:spacing w:before="60" w:after="60"/>
            </w:pPr>
            <w:r w:rsidRPr="00CD7D4F">
              <w:t>H</w:t>
            </w:r>
            <w:r>
              <w:t>igh</w:t>
            </w:r>
          </w:p>
        </w:tc>
        <w:tc>
          <w:tcPr>
            <w:tcW w:w="1701" w:type="dxa"/>
            <w:shd w:val="clear" w:color="auto" w:fill="auto"/>
          </w:tcPr>
          <w:p w:rsidR="009170C7" w:rsidRPr="00CD7D4F" w:rsidRDefault="009170C7" w:rsidP="00D742C1">
            <w:pPr>
              <w:spacing w:before="60" w:after="60"/>
            </w:pPr>
            <w:r w:rsidRPr="00CD7D4F">
              <w:t xml:space="preserve">High </w:t>
            </w:r>
            <w:r w:rsidRPr="00CD7D4F">
              <w:rPr>
                <w:snapToGrid w:val="0"/>
              </w:rPr>
              <w:t>Risk</w:t>
            </w:r>
          </w:p>
        </w:tc>
        <w:tc>
          <w:tcPr>
            <w:tcW w:w="5492" w:type="dxa"/>
            <w:shd w:val="clear" w:color="auto" w:fill="auto"/>
          </w:tcPr>
          <w:p w:rsidR="009170C7" w:rsidRPr="00CD7D4F" w:rsidRDefault="009170C7" w:rsidP="00D742C1">
            <w:pPr>
              <w:autoSpaceDE w:val="0"/>
              <w:autoSpaceDN w:val="0"/>
              <w:adjustRightInd w:val="0"/>
              <w:spacing w:before="60" w:after="60"/>
              <w:jc w:val="left"/>
            </w:pPr>
            <w:r>
              <w:rPr>
                <w:rFonts w:ascii="Tahoma" w:hAnsi="Tahoma" w:cs="Tahoma"/>
                <w:color w:val="000000"/>
              </w:rPr>
              <w:t>Major breach of legislation involving litigated court action with possible substantial fine.</w:t>
            </w:r>
          </w:p>
        </w:tc>
      </w:tr>
      <w:tr w:rsidR="009170C7" w:rsidRPr="00CD7D4F" w:rsidTr="00D742C1">
        <w:trPr>
          <w:trHeight w:val="510"/>
          <w:jc w:val="right"/>
        </w:trPr>
        <w:tc>
          <w:tcPr>
            <w:tcW w:w="1276" w:type="dxa"/>
            <w:shd w:val="clear" w:color="008080" w:fill="FF0000"/>
          </w:tcPr>
          <w:p w:rsidR="009170C7" w:rsidRPr="00CD7D4F" w:rsidRDefault="009170C7" w:rsidP="00D742C1">
            <w:pPr>
              <w:spacing w:before="60" w:after="60"/>
            </w:pPr>
            <w:r w:rsidRPr="00CD7D4F">
              <w:t>E</w:t>
            </w:r>
            <w:r>
              <w:t>xtreme</w:t>
            </w:r>
          </w:p>
        </w:tc>
        <w:tc>
          <w:tcPr>
            <w:tcW w:w="1701" w:type="dxa"/>
            <w:shd w:val="clear" w:color="auto" w:fill="auto"/>
          </w:tcPr>
          <w:p w:rsidR="009170C7" w:rsidRPr="00CD7D4F" w:rsidRDefault="009170C7" w:rsidP="00D742C1">
            <w:pPr>
              <w:spacing w:before="60" w:after="60"/>
            </w:pPr>
            <w:r w:rsidRPr="00CD7D4F">
              <w:t xml:space="preserve">Extreme </w:t>
            </w:r>
            <w:r w:rsidRPr="00CD7D4F">
              <w:rPr>
                <w:snapToGrid w:val="0"/>
              </w:rPr>
              <w:t>Risk</w:t>
            </w:r>
          </w:p>
        </w:tc>
        <w:tc>
          <w:tcPr>
            <w:tcW w:w="5492" w:type="dxa"/>
            <w:shd w:val="clear" w:color="auto" w:fill="auto"/>
          </w:tcPr>
          <w:p w:rsidR="009170C7" w:rsidRPr="00CD7D4F" w:rsidRDefault="009170C7" w:rsidP="00D742C1">
            <w:pPr>
              <w:autoSpaceDE w:val="0"/>
              <w:autoSpaceDN w:val="0"/>
              <w:adjustRightInd w:val="0"/>
              <w:spacing w:before="60" w:after="60"/>
              <w:jc w:val="left"/>
            </w:pPr>
            <w:r>
              <w:rPr>
                <w:rFonts w:ascii="Tahoma" w:hAnsi="Tahoma" w:cs="Tahoma"/>
                <w:color w:val="000000"/>
              </w:rPr>
              <w:t>Most important elements of a Council objective cannot be achieved</w:t>
            </w:r>
          </w:p>
        </w:tc>
      </w:tr>
    </w:tbl>
    <w:p w:rsidR="009170C7" w:rsidRPr="0024611A" w:rsidRDefault="009170C7" w:rsidP="009170C7">
      <w:pPr>
        <w:pStyle w:val="Caption"/>
        <w:spacing w:before="240" w:after="240"/>
        <w:ind w:left="720"/>
        <w:jc w:val="center"/>
        <w:rPr>
          <w:rFonts w:ascii="Arial" w:hAnsi="Arial"/>
          <w:i w:val="0"/>
          <w:iCs w:val="0"/>
          <w:sz w:val="20"/>
          <w:lang w:val="en-AU"/>
        </w:rPr>
      </w:pPr>
      <w:bookmarkStart w:id="716" w:name="_Toc364945455"/>
      <w:r w:rsidRPr="0024611A">
        <w:rPr>
          <w:rFonts w:ascii="Arial" w:hAnsi="Arial"/>
          <w:i w:val="0"/>
          <w:iCs w:val="0"/>
          <w:sz w:val="20"/>
          <w:lang w:val="en-AU"/>
        </w:rPr>
        <w:t xml:space="preserve">Table </w:t>
      </w:r>
      <w:r w:rsidRPr="0024611A">
        <w:rPr>
          <w:rFonts w:ascii="Arial" w:hAnsi="Arial"/>
          <w:i w:val="0"/>
          <w:iCs w:val="0"/>
          <w:sz w:val="20"/>
          <w:lang w:val="en-AU"/>
        </w:rPr>
        <w:fldChar w:fldCharType="begin"/>
      </w:r>
      <w:r w:rsidRPr="0024611A">
        <w:rPr>
          <w:rFonts w:ascii="Arial" w:hAnsi="Arial"/>
          <w:i w:val="0"/>
          <w:iCs w:val="0"/>
          <w:sz w:val="20"/>
          <w:lang w:val="en-AU"/>
        </w:rPr>
        <w:instrText xml:space="preserve"> SEQ Table \* ARABIC </w:instrText>
      </w:r>
      <w:r w:rsidRPr="0024611A">
        <w:rPr>
          <w:rFonts w:ascii="Arial" w:hAnsi="Arial"/>
          <w:i w:val="0"/>
          <w:iCs w:val="0"/>
          <w:sz w:val="20"/>
          <w:lang w:val="en-AU"/>
        </w:rPr>
        <w:fldChar w:fldCharType="separate"/>
      </w:r>
      <w:r w:rsidR="00751CEC">
        <w:rPr>
          <w:rFonts w:ascii="Arial" w:hAnsi="Arial"/>
          <w:i w:val="0"/>
          <w:iCs w:val="0"/>
          <w:noProof/>
          <w:sz w:val="20"/>
          <w:lang w:val="en-AU"/>
        </w:rPr>
        <w:t>51</w:t>
      </w:r>
      <w:r w:rsidRPr="0024611A">
        <w:rPr>
          <w:rFonts w:ascii="Arial" w:hAnsi="Arial"/>
          <w:i w:val="0"/>
          <w:iCs w:val="0"/>
          <w:sz w:val="20"/>
          <w:lang w:val="en-AU"/>
        </w:rPr>
        <w:fldChar w:fldCharType="end"/>
      </w:r>
      <w:r w:rsidRPr="0024611A">
        <w:rPr>
          <w:rFonts w:ascii="Arial" w:hAnsi="Arial"/>
          <w:i w:val="0"/>
          <w:iCs w:val="0"/>
          <w:sz w:val="20"/>
          <w:lang w:val="en-AU"/>
        </w:rPr>
        <w:t>:  Comparative Level of Risk</w:t>
      </w:r>
      <w:bookmarkEnd w:id="716"/>
    </w:p>
    <w:p w:rsidR="00471F68" w:rsidRPr="002F2F1E" w:rsidRDefault="00471F68" w:rsidP="00DB6826">
      <w:pPr>
        <w:keepNext/>
        <w:keepLines/>
        <w:ind w:left="720"/>
        <w:rPr>
          <w:color w:val="000000" w:themeColor="text1"/>
          <w:lang w:val="en-NZ"/>
        </w:rPr>
      </w:pPr>
      <w:r w:rsidRPr="002F2F1E">
        <w:rPr>
          <w:color w:val="000000" w:themeColor="text1"/>
          <w:lang w:val="en-NZ"/>
        </w:rPr>
        <w:t>The final outcome is a risk rating.  The risk rating enables definition between those risks that are significant and those that are of a lesser nature. Having established the comparative risk level applicable to individual risks, it is possible to rank those risks</w:t>
      </w:r>
      <w:r w:rsidRPr="00BD23B9">
        <w:rPr>
          <w:color w:val="000000" w:themeColor="text1"/>
          <w:lang w:val="en-NZ"/>
        </w:rPr>
        <w:t>.</w:t>
      </w:r>
    </w:p>
    <w:p w:rsidR="00950182" w:rsidRDefault="00950182" w:rsidP="00DB6826">
      <w:pPr>
        <w:keepNext/>
        <w:keepLines/>
        <w:ind w:left="720"/>
        <w:rPr>
          <w:color w:val="000000" w:themeColor="text1"/>
        </w:rPr>
      </w:pPr>
    </w:p>
    <w:tbl>
      <w:tblPr>
        <w:tblW w:w="8442"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9"/>
        <w:gridCol w:w="1134"/>
        <w:gridCol w:w="1506"/>
        <w:gridCol w:w="1250"/>
        <w:gridCol w:w="1224"/>
        <w:gridCol w:w="1276"/>
        <w:gridCol w:w="1523"/>
      </w:tblGrid>
      <w:tr w:rsidR="00C34F72" w:rsidRPr="00A561FD" w:rsidTr="00822ABC">
        <w:trPr>
          <w:cantSplit/>
          <w:trHeight w:hRule="exact" w:val="510"/>
          <w:jc w:val="right"/>
        </w:trPr>
        <w:tc>
          <w:tcPr>
            <w:tcW w:w="529" w:type="dxa"/>
            <w:tcBorders>
              <w:top w:val="nil"/>
              <w:left w:val="nil"/>
              <w:bottom w:val="nil"/>
              <w:right w:val="nil"/>
            </w:tcBorders>
          </w:tcPr>
          <w:p w:rsidR="00C34F72" w:rsidRPr="00A561FD" w:rsidRDefault="00C34F72" w:rsidP="00DB6826">
            <w:pPr>
              <w:keepNext/>
              <w:keepLines/>
              <w:spacing w:before="120" w:after="120"/>
              <w:rPr>
                <w:rFonts w:cs="Arial"/>
              </w:rPr>
            </w:pPr>
          </w:p>
        </w:tc>
        <w:tc>
          <w:tcPr>
            <w:tcW w:w="1134" w:type="dxa"/>
            <w:tcBorders>
              <w:top w:val="nil"/>
              <w:left w:val="nil"/>
              <w:bottom w:val="nil"/>
            </w:tcBorders>
          </w:tcPr>
          <w:p w:rsidR="00C34F72" w:rsidRPr="00A561FD" w:rsidRDefault="00C34F72" w:rsidP="00DB6826">
            <w:pPr>
              <w:keepNext/>
              <w:keepLines/>
              <w:spacing w:before="120" w:after="120"/>
              <w:rPr>
                <w:rFonts w:cs="Arial"/>
              </w:rPr>
            </w:pPr>
          </w:p>
        </w:tc>
        <w:tc>
          <w:tcPr>
            <w:tcW w:w="6779" w:type="dxa"/>
            <w:gridSpan w:val="5"/>
            <w:shd w:val="pct20" w:color="auto" w:fill="FFFFFF"/>
          </w:tcPr>
          <w:p w:rsidR="00C34F72" w:rsidRPr="00A561FD" w:rsidRDefault="00C34F72" w:rsidP="00DB6826">
            <w:pPr>
              <w:keepNext/>
              <w:keepLines/>
              <w:spacing w:before="120" w:after="120"/>
              <w:jc w:val="center"/>
              <w:rPr>
                <w:rFonts w:cs="Arial"/>
                <w:b/>
                <w:szCs w:val="28"/>
              </w:rPr>
            </w:pPr>
            <w:r w:rsidRPr="00A561FD">
              <w:rPr>
                <w:rFonts w:cs="Arial"/>
                <w:b/>
                <w:szCs w:val="28"/>
              </w:rPr>
              <w:t>Consequence</w:t>
            </w:r>
          </w:p>
        </w:tc>
      </w:tr>
      <w:tr w:rsidR="00C34F72" w:rsidRPr="00A561FD" w:rsidTr="00822ABC">
        <w:trPr>
          <w:cantSplit/>
          <w:trHeight w:hRule="exact" w:val="510"/>
          <w:jc w:val="right"/>
        </w:trPr>
        <w:tc>
          <w:tcPr>
            <w:tcW w:w="529" w:type="dxa"/>
            <w:vMerge w:val="restart"/>
            <w:shd w:val="pct20" w:color="auto" w:fill="FFFFFF"/>
            <w:textDirection w:val="btLr"/>
          </w:tcPr>
          <w:p w:rsidR="00C34F72" w:rsidRPr="00A561FD" w:rsidRDefault="00C34F72" w:rsidP="00DB6826">
            <w:pPr>
              <w:keepNext/>
              <w:keepLines/>
              <w:spacing w:after="120"/>
              <w:jc w:val="center"/>
              <w:rPr>
                <w:rFonts w:cs="Arial"/>
                <w:b/>
                <w:szCs w:val="28"/>
              </w:rPr>
            </w:pPr>
            <w:r w:rsidRPr="00A561FD">
              <w:rPr>
                <w:rFonts w:cs="Arial"/>
                <w:b/>
                <w:szCs w:val="28"/>
              </w:rPr>
              <w:t>Likelihood</w:t>
            </w:r>
          </w:p>
        </w:tc>
        <w:tc>
          <w:tcPr>
            <w:tcW w:w="1134" w:type="dxa"/>
            <w:shd w:val="pct20" w:color="auto" w:fill="FFFFFF"/>
          </w:tcPr>
          <w:p w:rsidR="00C34F72" w:rsidRPr="00A561FD" w:rsidRDefault="00C34F72" w:rsidP="00DB6826">
            <w:pPr>
              <w:keepNext/>
              <w:keepLines/>
              <w:spacing w:before="120" w:after="120"/>
              <w:rPr>
                <w:rFonts w:cs="Arial"/>
              </w:rPr>
            </w:pPr>
          </w:p>
        </w:tc>
        <w:tc>
          <w:tcPr>
            <w:tcW w:w="1506" w:type="dxa"/>
            <w:tcBorders>
              <w:bottom w:val="single" w:sz="4" w:space="0" w:color="auto"/>
            </w:tcBorders>
            <w:shd w:val="pct20" w:color="auto" w:fill="FFFFFF"/>
          </w:tcPr>
          <w:p w:rsidR="00C34F72" w:rsidRPr="00A561FD" w:rsidRDefault="00C34F72" w:rsidP="00DB6826">
            <w:pPr>
              <w:keepNext/>
              <w:keepLines/>
              <w:spacing w:before="120" w:after="120"/>
              <w:jc w:val="center"/>
              <w:rPr>
                <w:rFonts w:cs="Arial"/>
                <w:b/>
              </w:rPr>
            </w:pPr>
            <w:r w:rsidRPr="00A561FD">
              <w:rPr>
                <w:rFonts w:cs="Arial"/>
                <w:b/>
              </w:rPr>
              <w:t>Insignificant</w:t>
            </w:r>
          </w:p>
        </w:tc>
        <w:tc>
          <w:tcPr>
            <w:tcW w:w="1250" w:type="dxa"/>
            <w:tcBorders>
              <w:bottom w:val="single" w:sz="4" w:space="0" w:color="auto"/>
            </w:tcBorders>
            <w:shd w:val="pct20" w:color="auto" w:fill="FFFFFF"/>
          </w:tcPr>
          <w:p w:rsidR="00C34F72" w:rsidRPr="00A561FD" w:rsidRDefault="00C34F72" w:rsidP="00DB6826">
            <w:pPr>
              <w:keepNext/>
              <w:keepLines/>
              <w:spacing w:before="120" w:after="120"/>
              <w:jc w:val="center"/>
              <w:rPr>
                <w:rFonts w:cs="Arial"/>
                <w:b/>
              </w:rPr>
            </w:pPr>
            <w:r w:rsidRPr="00A561FD">
              <w:rPr>
                <w:rFonts w:cs="Arial"/>
                <w:b/>
              </w:rPr>
              <w:t>Minor</w:t>
            </w:r>
          </w:p>
        </w:tc>
        <w:tc>
          <w:tcPr>
            <w:tcW w:w="1224" w:type="dxa"/>
            <w:tcBorders>
              <w:bottom w:val="single" w:sz="4" w:space="0" w:color="auto"/>
            </w:tcBorders>
            <w:shd w:val="pct20" w:color="auto" w:fill="FFFFFF"/>
          </w:tcPr>
          <w:p w:rsidR="00C34F72" w:rsidRPr="00A561FD" w:rsidRDefault="00C34F72" w:rsidP="00DB6826">
            <w:pPr>
              <w:keepNext/>
              <w:keepLines/>
              <w:spacing w:before="120" w:after="120"/>
              <w:jc w:val="center"/>
              <w:rPr>
                <w:rFonts w:cs="Arial"/>
                <w:b/>
              </w:rPr>
            </w:pPr>
            <w:r w:rsidRPr="00A561FD">
              <w:rPr>
                <w:rFonts w:cs="Arial"/>
                <w:b/>
              </w:rPr>
              <w:t>Moderate</w:t>
            </w:r>
          </w:p>
        </w:tc>
        <w:tc>
          <w:tcPr>
            <w:tcW w:w="1276" w:type="dxa"/>
            <w:tcBorders>
              <w:bottom w:val="single" w:sz="4" w:space="0" w:color="auto"/>
            </w:tcBorders>
            <w:shd w:val="pct20" w:color="auto" w:fill="FFFFFF"/>
          </w:tcPr>
          <w:p w:rsidR="00C34F72" w:rsidRPr="00A561FD" w:rsidRDefault="00C34F72" w:rsidP="00DB6826">
            <w:pPr>
              <w:keepNext/>
              <w:keepLines/>
              <w:spacing w:before="120" w:after="120"/>
              <w:jc w:val="center"/>
              <w:rPr>
                <w:rFonts w:cs="Arial"/>
                <w:b/>
              </w:rPr>
            </w:pPr>
            <w:r w:rsidRPr="00A561FD">
              <w:rPr>
                <w:rFonts w:cs="Arial"/>
                <w:b/>
              </w:rPr>
              <w:t>Major</w:t>
            </w:r>
          </w:p>
        </w:tc>
        <w:tc>
          <w:tcPr>
            <w:tcW w:w="1523" w:type="dxa"/>
            <w:tcBorders>
              <w:bottom w:val="single" w:sz="4" w:space="0" w:color="auto"/>
            </w:tcBorders>
            <w:shd w:val="pct20" w:color="auto" w:fill="FFFFFF"/>
          </w:tcPr>
          <w:p w:rsidR="00C34F72" w:rsidRPr="00A561FD" w:rsidRDefault="00C34F72" w:rsidP="00DB6826">
            <w:pPr>
              <w:keepNext/>
              <w:keepLines/>
              <w:spacing w:before="120" w:after="120"/>
              <w:jc w:val="center"/>
              <w:rPr>
                <w:rFonts w:cs="Arial"/>
                <w:b/>
              </w:rPr>
            </w:pPr>
            <w:r w:rsidRPr="00A561FD">
              <w:rPr>
                <w:rFonts w:cs="Arial"/>
                <w:b/>
              </w:rPr>
              <w:t>Catastrophic</w:t>
            </w:r>
          </w:p>
        </w:tc>
      </w:tr>
      <w:tr w:rsidR="00C34F72" w:rsidRPr="00A561FD" w:rsidTr="00822ABC">
        <w:trPr>
          <w:cantSplit/>
          <w:trHeight w:hRule="exact" w:val="510"/>
          <w:jc w:val="right"/>
        </w:trPr>
        <w:tc>
          <w:tcPr>
            <w:tcW w:w="529" w:type="dxa"/>
            <w:vMerge/>
          </w:tcPr>
          <w:p w:rsidR="00C34F72" w:rsidRPr="00A561FD" w:rsidRDefault="00C34F72" w:rsidP="00DB6826">
            <w:pPr>
              <w:keepNext/>
              <w:keepLines/>
              <w:spacing w:before="120" w:after="120"/>
              <w:rPr>
                <w:rFonts w:cs="Arial"/>
              </w:rPr>
            </w:pPr>
          </w:p>
        </w:tc>
        <w:tc>
          <w:tcPr>
            <w:tcW w:w="1134" w:type="dxa"/>
            <w:shd w:val="pct20" w:color="auto" w:fill="FFFFFF"/>
            <w:vAlign w:val="center"/>
          </w:tcPr>
          <w:p w:rsidR="00C34F72" w:rsidRPr="00A561FD" w:rsidRDefault="00C34F72" w:rsidP="00822ABC">
            <w:pPr>
              <w:keepNext/>
              <w:keepLines/>
              <w:rPr>
                <w:rFonts w:cs="Arial"/>
                <w:b/>
              </w:rPr>
            </w:pPr>
            <w:r w:rsidRPr="00A561FD">
              <w:rPr>
                <w:rFonts w:cs="Arial"/>
                <w:b/>
              </w:rPr>
              <w:t xml:space="preserve">Almost </w:t>
            </w:r>
            <w:r w:rsidR="00A561FD">
              <w:rPr>
                <w:rFonts w:cs="Arial"/>
                <w:b/>
              </w:rPr>
              <w:t>C</w:t>
            </w:r>
            <w:r w:rsidRPr="00A561FD">
              <w:rPr>
                <w:rFonts w:cs="Arial"/>
                <w:b/>
              </w:rPr>
              <w:t>ertain</w:t>
            </w:r>
          </w:p>
        </w:tc>
        <w:tc>
          <w:tcPr>
            <w:tcW w:w="1506" w:type="dxa"/>
            <w:tcBorders>
              <w:bottom w:val="single" w:sz="4" w:space="0" w:color="auto"/>
            </w:tcBorders>
            <w:shd w:val="clear" w:color="auto" w:fill="00FFFF"/>
          </w:tcPr>
          <w:p w:rsidR="00C34F72" w:rsidRPr="00A561FD" w:rsidRDefault="00C34F72" w:rsidP="00DB6826">
            <w:pPr>
              <w:keepNext/>
              <w:keepLines/>
              <w:spacing w:before="120" w:after="120"/>
              <w:jc w:val="center"/>
              <w:rPr>
                <w:rFonts w:cs="Arial"/>
              </w:rPr>
            </w:pPr>
            <w:r w:rsidRPr="00A561FD">
              <w:rPr>
                <w:rFonts w:cs="Arial"/>
              </w:rPr>
              <w:t>Mediu</w:t>
            </w:r>
            <w:r w:rsidR="007E61C2" w:rsidRPr="00A561FD">
              <w:rPr>
                <w:rFonts w:cs="Arial"/>
              </w:rPr>
              <w:t>m</w:t>
            </w:r>
          </w:p>
        </w:tc>
        <w:tc>
          <w:tcPr>
            <w:tcW w:w="1250" w:type="dxa"/>
            <w:tcBorders>
              <w:bottom w:val="single" w:sz="4" w:space="0" w:color="auto"/>
            </w:tcBorders>
            <w:shd w:val="clear" w:color="auto" w:fill="FFFF00"/>
          </w:tcPr>
          <w:p w:rsidR="00C34F72" w:rsidRPr="00A561FD" w:rsidRDefault="00C34F72" w:rsidP="00DB6826">
            <w:pPr>
              <w:keepNext/>
              <w:keepLines/>
              <w:spacing w:before="120" w:after="120"/>
              <w:jc w:val="center"/>
              <w:rPr>
                <w:rFonts w:cs="Arial"/>
              </w:rPr>
            </w:pPr>
            <w:r w:rsidRPr="00A561FD">
              <w:rPr>
                <w:rFonts w:cs="Arial"/>
              </w:rPr>
              <w:t>Significant</w:t>
            </w:r>
          </w:p>
        </w:tc>
        <w:tc>
          <w:tcPr>
            <w:tcW w:w="1224" w:type="dxa"/>
            <w:tcBorders>
              <w:bottom w:val="single" w:sz="4" w:space="0" w:color="auto"/>
            </w:tcBorders>
            <w:shd w:val="clear" w:color="auto" w:fill="FF9900"/>
          </w:tcPr>
          <w:p w:rsidR="00C34F72" w:rsidRPr="00A561FD" w:rsidRDefault="00C34F72" w:rsidP="00DB6826">
            <w:pPr>
              <w:keepNext/>
              <w:keepLines/>
              <w:spacing w:before="120" w:after="120"/>
              <w:jc w:val="center"/>
              <w:rPr>
                <w:rFonts w:cs="Arial"/>
              </w:rPr>
            </w:pPr>
            <w:r w:rsidRPr="00A561FD">
              <w:rPr>
                <w:rFonts w:cs="Arial"/>
              </w:rPr>
              <w:t>High</w:t>
            </w:r>
          </w:p>
        </w:tc>
        <w:tc>
          <w:tcPr>
            <w:tcW w:w="1276" w:type="dxa"/>
            <w:tcBorders>
              <w:bottom w:val="single" w:sz="4" w:space="0" w:color="auto"/>
            </w:tcBorders>
            <w:shd w:val="clear" w:color="auto" w:fill="FF0000"/>
          </w:tcPr>
          <w:p w:rsidR="00C34F72" w:rsidRPr="00A561FD" w:rsidRDefault="00C34F72" w:rsidP="00DB6826">
            <w:pPr>
              <w:keepNext/>
              <w:keepLines/>
              <w:spacing w:before="120" w:after="120"/>
              <w:jc w:val="center"/>
              <w:rPr>
                <w:rFonts w:cs="Arial"/>
              </w:rPr>
            </w:pPr>
            <w:r w:rsidRPr="00A561FD">
              <w:rPr>
                <w:rFonts w:cs="Arial"/>
              </w:rPr>
              <w:t>Extreme</w:t>
            </w:r>
          </w:p>
        </w:tc>
        <w:tc>
          <w:tcPr>
            <w:tcW w:w="1523" w:type="dxa"/>
            <w:tcBorders>
              <w:bottom w:val="single" w:sz="4" w:space="0" w:color="auto"/>
            </w:tcBorders>
            <w:shd w:val="clear" w:color="auto" w:fill="FF0000"/>
          </w:tcPr>
          <w:p w:rsidR="00C34F72" w:rsidRPr="00A561FD" w:rsidRDefault="00C34F72" w:rsidP="00DB6826">
            <w:pPr>
              <w:keepNext/>
              <w:keepLines/>
              <w:spacing w:before="120" w:after="120"/>
              <w:jc w:val="center"/>
              <w:rPr>
                <w:rFonts w:cs="Arial"/>
              </w:rPr>
            </w:pPr>
            <w:r w:rsidRPr="00A561FD">
              <w:rPr>
                <w:rFonts w:cs="Arial"/>
              </w:rPr>
              <w:t>Extreme</w:t>
            </w:r>
          </w:p>
        </w:tc>
      </w:tr>
      <w:tr w:rsidR="00C34F72" w:rsidRPr="00A561FD" w:rsidTr="00822ABC">
        <w:trPr>
          <w:cantSplit/>
          <w:trHeight w:hRule="exact" w:val="510"/>
          <w:jc w:val="right"/>
        </w:trPr>
        <w:tc>
          <w:tcPr>
            <w:tcW w:w="529" w:type="dxa"/>
            <w:vMerge/>
          </w:tcPr>
          <w:p w:rsidR="00C34F72" w:rsidRPr="00A561FD" w:rsidRDefault="00C34F72" w:rsidP="00DB6826">
            <w:pPr>
              <w:keepNext/>
              <w:keepLines/>
              <w:spacing w:before="120" w:after="120"/>
              <w:rPr>
                <w:rFonts w:cs="Arial"/>
              </w:rPr>
            </w:pPr>
          </w:p>
        </w:tc>
        <w:tc>
          <w:tcPr>
            <w:tcW w:w="1134" w:type="dxa"/>
            <w:shd w:val="pct20" w:color="auto" w:fill="FFFFFF"/>
          </w:tcPr>
          <w:p w:rsidR="00C34F72" w:rsidRPr="00A561FD" w:rsidRDefault="00C34F72" w:rsidP="00DB6826">
            <w:pPr>
              <w:keepNext/>
              <w:keepLines/>
              <w:spacing w:before="120" w:after="120"/>
              <w:rPr>
                <w:rFonts w:cs="Arial"/>
                <w:b/>
              </w:rPr>
            </w:pPr>
            <w:r w:rsidRPr="00A561FD">
              <w:rPr>
                <w:rFonts w:cs="Arial"/>
                <w:b/>
              </w:rPr>
              <w:t>Likely</w:t>
            </w:r>
          </w:p>
        </w:tc>
        <w:tc>
          <w:tcPr>
            <w:tcW w:w="1506" w:type="dxa"/>
            <w:tcBorders>
              <w:bottom w:val="single" w:sz="4" w:space="0" w:color="auto"/>
            </w:tcBorders>
            <w:shd w:val="clear" w:color="auto" w:fill="00FFFF"/>
          </w:tcPr>
          <w:p w:rsidR="00C34F72" w:rsidRPr="00A561FD" w:rsidRDefault="00C34F72" w:rsidP="00DB6826">
            <w:pPr>
              <w:keepNext/>
              <w:keepLines/>
              <w:spacing w:before="120" w:after="120"/>
              <w:jc w:val="center"/>
              <w:rPr>
                <w:rFonts w:cs="Arial"/>
              </w:rPr>
            </w:pPr>
            <w:r w:rsidRPr="00A561FD">
              <w:rPr>
                <w:rFonts w:cs="Arial"/>
              </w:rPr>
              <w:t>Medium</w:t>
            </w:r>
          </w:p>
        </w:tc>
        <w:tc>
          <w:tcPr>
            <w:tcW w:w="1250" w:type="dxa"/>
            <w:tcBorders>
              <w:bottom w:val="single" w:sz="4" w:space="0" w:color="auto"/>
            </w:tcBorders>
            <w:shd w:val="clear" w:color="auto" w:fill="00FFFF"/>
          </w:tcPr>
          <w:p w:rsidR="00C34F72" w:rsidRPr="00A561FD" w:rsidRDefault="00C34F72" w:rsidP="00DB6826">
            <w:pPr>
              <w:keepNext/>
              <w:keepLines/>
              <w:spacing w:before="120" w:after="120"/>
              <w:jc w:val="center"/>
              <w:rPr>
                <w:rFonts w:cs="Arial"/>
              </w:rPr>
            </w:pPr>
            <w:r w:rsidRPr="00A561FD">
              <w:rPr>
                <w:rFonts w:cs="Arial"/>
              </w:rPr>
              <w:t>Medium</w:t>
            </w:r>
          </w:p>
        </w:tc>
        <w:tc>
          <w:tcPr>
            <w:tcW w:w="1224" w:type="dxa"/>
            <w:tcBorders>
              <w:bottom w:val="single" w:sz="4" w:space="0" w:color="auto"/>
            </w:tcBorders>
            <w:shd w:val="clear" w:color="auto" w:fill="FFFF00"/>
          </w:tcPr>
          <w:p w:rsidR="00C34F72" w:rsidRPr="00A561FD" w:rsidRDefault="00C34F72" w:rsidP="00DB6826">
            <w:pPr>
              <w:keepNext/>
              <w:keepLines/>
              <w:spacing w:before="120" w:after="120"/>
              <w:jc w:val="center"/>
              <w:rPr>
                <w:rFonts w:cs="Arial"/>
              </w:rPr>
            </w:pPr>
            <w:r w:rsidRPr="00A561FD">
              <w:rPr>
                <w:rFonts w:cs="Arial"/>
              </w:rPr>
              <w:t>Significant</w:t>
            </w:r>
          </w:p>
        </w:tc>
        <w:tc>
          <w:tcPr>
            <w:tcW w:w="1276" w:type="dxa"/>
            <w:tcBorders>
              <w:bottom w:val="single" w:sz="4" w:space="0" w:color="auto"/>
            </w:tcBorders>
            <w:shd w:val="clear" w:color="auto" w:fill="FF9900"/>
          </w:tcPr>
          <w:p w:rsidR="00C34F72" w:rsidRPr="00A561FD" w:rsidRDefault="00C34F72" w:rsidP="00DB6826">
            <w:pPr>
              <w:keepNext/>
              <w:keepLines/>
              <w:spacing w:before="120" w:after="120"/>
              <w:jc w:val="center"/>
              <w:rPr>
                <w:rFonts w:cs="Arial"/>
              </w:rPr>
            </w:pPr>
            <w:r w:rsidRPr="00A561FD">
              <w:rPr>
                <w:rFonts w:cs="Arial"/>
              </w:rPr>
              <w:t>High</w:t>
            </w:r>
          </w:p>
        </w:tc>
        <w:tc>
          <w:tcPr>
            <w:tcW w:w="1523" w:type="dxa"/>
            <w:tcBorders>
              <w:bottom w:val="single" w:sz="4" w:space="0" w:color="auto"/>
            </w:tcBorders>
            <w:shd w:val="clear" w:color="auto" w:fill="FF0000"/>
          </w:tcPr>
          <w:p w:rsidR="00C34F72" w:rsidRPr="00A561FD" w:rsidRDefault="00C34F72" w:rsidP="00DB6826">
            <w:pPr>
              <w:keepNext/>
              <w:keepLines/>
              <w:spacing w:before="120" w:after="120"/>
              <w:jc w:val="center"/>
              <w:rPr>
                <w:rFonts w:cs="Arial"/>
              </w:rPr>
            </w:pPr>
            <w:r w:rsidRPr="00A561FD">
              <w:rPr>
                <w:rFonts w:cs="Arial"/>
              </w:rPr>
              <w:t>Extreme</w:t>
            </w:r>
          </w:p>
        </w:tc>
      </w:tr>
      <w:tr w:rsidR="00C34F72" w:rsidRPr="00A561FD" w:rsidTr="00822ABC">
        <w:trPr>
          <w:cantSplit/>
          <w:trHeight w:hRule="exact" w:val="510"/>
          <w:jc w:val="right"/>
        </w:trPr>
        <w:tc>
          <w:tcPr>
            <w:tcW w:w="529" w:type="dxa"/>
            <w:vMerge/>
          </w:tcPr>
          <w:p w:rsidR="00C34F72" w:rsidRPr="00A561FD" w:rsidRDefault="00C34F72" w:rsidP="00DB6826">
            <w:pPr>
              <w:keepNext/>
              <w:keepLines/>
              <w:spacing w:before="120" w:after="120"/>
              <w:rPr>
                <w:rFonts w:cs="Arial"/>
              </w:rPr>
            </w:pPr>
          </w:p>
        </w:tc>
        <w:tc>
          <w:tcPr>
            <w:tcW w:w="1134" w:type="dxa"/>
            <w:shd w:val="pct20" w:color="auto" w:fill="FFFFFF"/>
          </w:tcPr>
          <w:p w:rsidR="00C34F72" w:rsidRPr="00A561FD" w:rsidRDefault="00C34F72" w:rsidP="00DB6826">
            <w:pPr>
              <w:keepNext/>
              <w:keepLines/>
              <w:spacing w:before="120" w:after="120"/>
              <w:rPr>
                <w:rFonts w:cs="Arial"/>
                <w:b/>
              </w:rPr>
            </w:pPr>
            <w:r w:rsidRPr="00A561FD">
              <w:rPr>
                <w:rFonts w:cs="Arial"/>
                <w:b/>
              </w:rPr>
              <w:t>Possible</w:t>
            </w:r>
          </w:p>
        </w:tc>
        <w:tc>
          <w:tcPr>
            <w:tcW w:w="1506" w:type="dxa"/>
            <w:tcBorders>
              <w:top w:val="single" w:sz="4" w:space="0" w:color="auto"/>
              <w:bottom w:val="single" w:sz="4" w:space="0" w:color="auto"/>
              <w:right w:val="single" w:sz="4" w:space="0" w:color="auto"/>
            </w:tcBorders>
            <w:shd w:val="clear" w:color="auto" w:fill="00FF00"/>
          </w:tcPr>
          <w:p w:rsidR="00C34F72" w:rsidRPr="00A561FD" w:rsidRDefault="00C34F72" w:rsidP="00DB6826">
            <w:pPr>
              <w:keepNext/>
              <w:keepLines/>
              <w:spacing w:before="120" w:after="120"/>
              <w:jc w:val="center"/>
              <w:rPr>
                <w:rFonts w:cs="Arial"/>
              </w:rPr>
            </w:pPr>
            <w:r w:rsidRPr="00A561FD">
              <w:rPr>
                <w:rFonts w:cs="Arial"/>
              </w:rPr>
              <w:t>Low</w:t>
            </w:r>
          </w:p>
        </w:tc>
        <w:tc>
          <w:tcPr>
            <w:tcW w:w="1250" w:type="dxa"/>
            <w:tcBorders>
              <w:top w:val="single" w:sz="4" w:space="0" w:color="auto"/>
              <w:left w:val="single" w:sz="4" w:space="0" w:color="auto"/>
              <w:bottom w:val="single" w:sz="4" w:space="0" w:color="auto"/>
              <w:right w:val="single" w:sz="4" w:space="0" w:color="auto"/>
            </w:tcBorders>
            <w:shd w:val="clear" w:color="auto" w:fill="00FFFF"/>
          </w:tcPr>
          <w:p w:rsidR="00C34F72" w:rsidRPr="00A561FD" w:rsidRDefault="00C34F72" w:rsidP="00DB6826">
            <w:pPr>
              <w:keepNext/>
              <w:keepLines/>
              <w:spacing w:before="120" w:after="120"/>
              <w:jc w:val="center"/>
              <w:rPr>
                <w:rFonts w:cs="Arial"/>
              </w:rPr>
            </w:pPr>
            <w:r w:rsidRPr="00A561FD">
              <w:rPr>
                <w:rFonts w:cs="Arial"/>
              </w:rPr>
              <w:t>Medium</w:t>
            </w:r>
          </w:p>
        </w:tc>
        <w:tc>
          <w:tcPr>
            <w:tcW w:w="1224" w:type="dxa"/>
            <w:tcBorders>
              <w:top w:val="single" w:sz="4" w:space="0" w:color="auto"/>
              <w:left w:val="single" w:sz="4" w:space="0" w:color="auto"/>
              <w:bottom w:val="single" w:sz="4" w:space="0" w:color="auto"/>
              <w:right w:val="single" w:sz="4" w:space="0" w:color="auto"/>
            </w:tcBorders>
            <w:shd w:val="clear" w:color="auto" w:fill="FFFF00"/>
          </w:tcPr>
          <w:p w:rsidR="00C34F72" w:rsidRPr="00A561FD" w:rsidRDefault="00C34F72" w:rsidP="00DB6826">
            <w:pPr>
              <w:keepNext/>
              <w:keepLines/>
              <w:spacing w:before="120" w:after="120"/>
              <w:jc w:val="center"/>
              <w:rPr>
                <w:rFonts w:cs="Arial"/>
              </w:rPr>
            </w:pPr>
            <w:r w:rsidRPr="00A561FD">
              <w:rPr>
                <w:rFonts w:cs="Arial"/>
              </w:rPr>
              <w:t>Significant</w:t>
            </w:r>
          </w:p>
        </w:tc>
        <w:tc>
          <w:tcPr>
            <w:tcW w:w="1276" w:type="dxa"/>
            <w:tcBorders>
              <w:top w:val="single" w:sz="4" w:space="0" w:color="auto"/>
              <w:left w:val="single" w:sz="4" w:space="0" w:color="auto"/>
              <w:bottom w:val="single" w:sz="4" w:space="0" w:color="auto"/>
              <w:right w:val="single" w:sz="4" w:space="0" w:color="auto"/>
            </w:tcBorders>
            <w:shd w:val="clear" w:color="auto" w:fill="FF9900"/>
          </w:tcPr>
          <w:p w:rsidR="00C34F72" w:rsidRPr="00A561FD" w:rsidRDefault="00C34F72" w:rsidP="00DB6826">
            <w:pPr>
              <w:keepNext/>
              <w:keepLines/>
              <w:spacing w:before="120" w:after="120"/>
              <w:jc w:val="center"/>
              <w:rPr>
                <w:rFonts w:cs="Arial"/>
              </w:rPr>
            </w:pPr>
            <w:r w:rsidRPr="00A561FD">
              <w:rPr>
                <w:rFonts w:cs="Arial"/>
              </w:rPr>
              <w:t>High</w:t>
            </w:r>
          </w:p>
        </w:tc>
        <w:tc>
          <w:tcPr>
            <w:tcW w:w="1523" w:type="dxa"/>
            <w:tcBorders>
              <w:top w:val="single" w:sz="4" w:space="0" w:color="auto"/>
              <w:left w:val="single" w:sz="4" w:space="0" w:color="auto"/>
              <w:bottom w:val="single" w:sz="4" w:space="0" w:color="auto"/>
            </w:tcBorders>
            <w:shd w:val="clear" w:color="auto" w:fill="FF9900"/>
          </w:tcPr>
          <w:p w:rsidR="00C34F72" w:rsidRPr="00A561FD" w:rsidRDefault="00C34F72" w:rsidP="00DB6826">
            <w:pPr>
              <w:keepNext/>
              <w:keepLines/>
              <w:spacing w:before="120" w:after="120"/>
              <w:jc w:val="center"/>
              <w:rPr>
                <w:rFonts w:cs="Arial"/>
              </w:rPr>
            </w:pPr>
            <w:r w:rsidRPr="00A561FD">
              <w:rPr>
                <w:rFonts w:cs="Arial"/>
              </w:rPr>
              <w:t>High</w:t>
            </w:r>
          </w:p>
        </w:tc>
      </w:tr>
      <w:tr w:rsidR="00C34F72" w:rsidRPr="00A561FD" w:rsidTr="00822ABC">
        <w:trPr>
          <w:cantSplit/>
          <w:trHeight w:hRule="exact" w:val="510"/>
          <w:jc w:val="right"/>
        </w:trPr>
        <w:tc>
          <w:tcPr>
            <w:tcW w:w="529" w:type="dxa"/>
            <w:vMerge/>
          </w:tcPr>
          <w:p w:rsidR="00C34F72" w:rsidRPr="00A561FD" w:rsidRDefault="00C34F72" w:rsidP="00DB6826">
            <w:pPr>
              <w:keepNext/>
              <w:keepLines/>
              <w:spacing w:before="120" w:after="120"/>
              <w:rPr>
                <w:rFonts w:cs="Arial"/>
              </w:rPr>
            </w:pPr>
          </w:p>
        </w:tc>
        <w:tc>
          <w:tcPr>
            <w:tcW w:w="1134" w:type="dxa"/>
            <w:shd w:val="pct20" w:color="auto" w:fill="FFFFFF"/>
          </w:tcPr>
          <w:p w:rsidR="00C34F72" w:rsidRPr="00A561FD" w:rsidRDefault="00C34F72" w:rsidP="00DB6826">
            <w:pPr>
              <w:keepNext/>
              <w:keepLines/>
              <w:spacing w:before="120" w:after="120"/>
              <w:rPr>
                <w:rFonts w:cs="Arial"/>
                <w:b/>
              </w:rPr>
            </w:pPr>
            <w:r w:rsidRPr="00A561FD">
              <w:rPr>
                <w:rFonts w:cs="Arial"/>
                <w:b/>
              </w:rPr>
              <w:t>Unlikely</w:t>
            </w:r>
          </w:p>
        </w:tc>
        <w:tc>
          <w:tcPr>
            <w:tcW w:w="1506" w:type="dxa"/>
            <w:shd w:val="clear" w:color="auto" w:fill="00FF00"/>
          </w:tcPr>
          <w:p w:rsidR="00C34F72" w:rsidRPr="00A561FD" w:rsidRDefault="00C34F72" w:rsidP="00DB6826">
            <w:pPr>
              <w:keepNext/>
              <w:keepLines/>
              <w:spacing w:before="120" w:after="120"/>
              <w:jc w:val="center"/>
              <w:rPr>
                <w:rFonts w:cs="Arial"/>
              </w:rPr>
            </w:pPr>
            <w:r w:rsidRPr="00A561FD">
              <w:rPr>
                <w:rFonts w:cs="Arial"/>
              </w:rPr>
              <w:t>Low</w:t>
            </w:r>
          </w:p>
        </w:tc>
        <w:tc>
          <w:tcPr>
            <w:tcW w:w="1250" w:type="dxa"/>
            <w:shd w:val="clear" w:color="auto" w:fill="00FF00"/>
          </w:tcPr>
          <w:p w:rsidR="00C34F72" w:rsidRPr="00A561FD" w:rsidRDefault="00C34F72" w:rsidP="00DB6826">
            <w:pPr>
              <w:keepNext/>
              <w:keepLines/>
              <w:spacing w:before="120" w:after="120"/>
              <w:jc w:val="center"/>
              <w:rPr>
                <w:rFonts w:cs="Arial"/>
              </w:rPr>
            </w:pPr>
            <w:r w:rsidRPr="00A561FD">
              <w:rPr>
                <w:rFonts w:cs="Arial"/>
              </w:rPr>
              <w:t>Low</w:t>
            </w:r>
          </w:p>
        </w:tc>
        <w:tc>
          <w:tcPr>
            <w:tcW w:w="1224" w:type="dxa"/>
            <w:tcBorders>
              <w:bottom w:val="single" w:sz="4" w:space="0" w:color="auto"/>
            </w:tcBorders>
            <w:shd w:val="clear" w:color="auto" w:fill="00FFFF"/>
          </w:tcPr>
          <w:p w:rsidR="00C34F72" w:rsidRPr="00A561FD" w:rsidRDefault="00C34F72" w:rsidP="00DB6826">
            <w:pPr>
              <w:keepNext/>
              <w:keepLines/>
              <w:spacing w:before="120" w:after="120"/>
              <w:jc w:val="center"/>
              <w:rPr>
                <w:rFonts w:cs="Arial"/>
              </w:rPr>
            </w:pPr>
            <w:r w:rsidRPr="00A561FD">
              <w:rPr>
                <w:rFonts w:cs="Arial"/>
              </w:rPr>
              <w:t>Medium</w:t>
            </w:r>
          </w:p>
        </w:tc>
        <w:tc>
          <w:tcPr>
            <w:tcW w:w="1276" w:type="dxa"/>
            <w:tcBorders>
              <w:bottom w:val="single" w:sz="4" w:space="0" w:color="auto"/>
            </w:tcBorders>
            <w:shd w:val="clear" w:color="auto" w:fill="FFFF00"/>
          </w:tcPr>
          <w:p w:rsidR="00C34F72" w:rsidRPr="00A561FD" w:rsidRDefault="00C34F72" w:rsidP="00DB6826">
            <w:pPr>
              <w:keepNext/>
              <w:keepLines/>
              <w:spacing w:before="120" w:after="120"/>
              <w:jc w:val="center"/>
              <w:rPr>
                <w:rFonts w:cs="Arial"/>
              </w:rPr>
            </w:pPr>
            <w:r w:rsidRPr="00A561FD">
              <w:rPr>
                <w:rFonts w:cs="Arial"/>
              </w:rPr>
              <w:t>Significant</w:t>
            </w:r>
          </w:p>
        </w:tc>
        <w:tc>
          <w:tcPr>
            <w:tcW w:w="1523" w:type="dxa"/>
            <w:tcBorders>
              <w:bottom w:val="single" w:sz="4" w:space="0" w:color="auto"/>
            </w:tcBorders>
            <w:shd w:val="clear" w:color="auto" w:fill="FF9900"/>
          </w:tcPr>
          <w:p w:rsidR="00C34F72" w:rsidRPr="00A561FD" w:rsidRDefault="00C34F72" w:rsidP="00DB6826">
            <w:pPr>
              <w:keepNext/>
              <w:keepLines/>
              <w:spacing w:before="120" w:after="120"/>
              <w:jc w:val="center"/>
              <w:rPr>
                <w:rFonts w:cs="Arial"/>
              </w:rPr>
            </w:pPr>
            <w:r w:rsidRPr="00A561FD">
              <w:rPr>
                <w:rFonts w:cs="Arial"/>
              </w:rPr>
              <w:t>High</w:t>
            </w:r>
          </w:p>
        </w:tc>
      </w:tr>
      <w:tr w:rsidR="00C34F72" w:rsidRPr="00A561FD" w:rsidTr="00822ABC">
        <w:trPr>
          <w:cantSplit/>
          <w:trHeight w:hRule="exact" w:val="510"/>
          <w:jc w:val="right"/>
        </w:trPr>
        <w:tc>
          <w:tcPr>
            <w:tcW w:w="529" w:type="dxa"/>
            <w:vMerge/>
          </w:tcPr>
          <w:p w:rsidR="00C34F72" w:rsidRPr="00A561FD" w:rsidRDefault="00C34F72" w:rsidP="00DB6826">
            <w:pPr>
              <w:keepNext/>
              <w:keepLines/>
              <w:spacing w:before="120" w:after="120"/>
              <w:rPr>
                <w:rFonts w:cs="Arial"/>
              </w:rPr>
            </w:pPr>
          </w:p>
        </w:tc>
        <w:tc>
          <w:tcPr>
            <w:tcW w:w="1134" w:type="dxa"/>
            <w:shd w:val="pct20" w:color="auto" w:fill="FFFFFF"/>
          </w:tcPr>
          <w:p w:rsidR="00C34F72" w:rsidRPr="00A561FD" w:rsidRDefault="00C34F72" w:rsidP="00DB6826">
            <w:pPr>
              <w:keepNext/>
              <w:keepLines/>
              <w:spacing w:before="120" w:after="120"/>
              <w:rPr>
                <w:rFonts w:cs="Arial"/>
                <w:b/>
              </w:rPr>
            </w:pPr>
            <w:r w:rsidRPr="00A561FD">
              <w:rPr>
                <w:rFonts w:cs="Arial"/>
                <w:b/>
              </w:rPr>
              <w:t>Rare</w:t>
            </w:r>
          </w:p>
        </w:tc>
        <w:tc>
          <w:tcPr>
            <w:tcW w:w="1506" w:type="dxa"/>
            <w:tcBorders>
              <w:right w:val="single" w:sz="4" w:space="0" w:color="auto"/>
            </w:tcBorders>
            <w:shd w:val="clear" w:color="auto" w:fill="00FF00"/>
          </w:tcPr>
          <w:p w:rsidR="00C34F72" w:rsidRPr="00A561FD" w:rsidRDefault="00C34F72" w:rsidP="00DB6826">
            <w:pPr>
              <w:keepNext/>
              <w:keepLines/>
              <w:spacing w:before="120" w:after="120"/>
              <w:jc w:val="center"/>
              <w:rPr>
                <w:rFonts w:cs="Arial"/>
              </w:rPr>
            </w:pPr>
            <w:r w:rsidRPr="00A561FD">
              <w:rPr>
                <w:rFonts w:cs="Arial"/>
              </w:rPr>
              <w:t>Low</w:t>
            </w:r>
          </w:p>
        </w:tc>
        <w:tc>
          <w:tcPr>
            <w:tcW w:w="1250" w:type="dxa"/>
            <w:tcBorders>
              <w:left w:val="single" w:sz="4" w:space="0" w:color="auto"/>
              <w:right w:val="single" w:sz="4" w:space="0" w:color="auto"/>
            </w:tcBorders>
            <w:shd w:val="clear" w:color="auto" w:fill="00FF00"/>
          </w:tcPr>
          <w:p w:rsidR="00C34F72" w:rsidRPr="00A561FD" w:rsidRDefault="00C34F72" w:rsidP="00DB6826">
            <w:pPr>
              <w:keepNext/>
              <w:keepLines/>
              <w:spacing w:before="120" w:after="120"/>
              <w:jc w:val="center"/>
              <w:rPr>
                <w:rFonts w:cs="Arial"/>
              </w:rPr>
            </w:pPr>
            <w:r w:rsidRPr="00A561FD">
              <w:rPr>
                <w:rFonts w:cs="Arial"/>
              </w:rPr>
              <w:t>Low</w:t>
            </w:r>
          </w:p>
        </w:tc>
        <w:tc>
          <w:tcPr>
            <w:tcW w:w="1224" w:type="dxa"/>
            <w:tcBorders>
              <w:left w:val="single" w:sz="4" w:space="0" w:color="auto"/>
              <w:right w:val="single" w:sz="4" w:space="0" w:color="auto"/>
            </w:tcBorders>
            <w:shd w:val="clear" w:color="auto" w:fill="00FFFF"/>
          </w:tcPr>
          <w:p w:rsidR="00C34F72" w:rsidRPr="00A561FD" w:rsidRDefault="00C34F72" w:rsidP="00DB6826">
            <w:pPr>
              <w:keepNext/>
              <w:keepLines/>
              <w:spacing w:before="120" w:after="120"/>
              <w:jc w:val="center"/>
              <w:rPr>
                <w:rFonts w:cs="Arial"/>
              </w:rPr>
            </w:pPr>
            <w:r w:rsidRPr="00A561FD">
              <w:rPr>
                <w:rFonts w:cs="Arial"/>
              </w:rPr>
              <w:t>Medium</w:t>
            </w:r>
          </w:p>
        </w:tc>
        <w:tc>
          <w:tcPr>
            <w:tcW w:w="1276" w:type="dxa"/>
            <w:tcBorders>
              <w:left w:val="single" w:sz="4" w:space="0" w:color="auto"/>
              <w:right w:val="single" w:sz="4" w:space="0" w:color="auto"/>
            </w:tcBorders>
            <w:shd w:val="clear" w:color="auto" w:fill="FFFF00"/>
          </w:tcPr>
          <w:p w:rsidR="00C34F72" w:rsidRPr="00A561FD" w:rsidRDefault="00C34F72" w:rsidP="00DB6826">
            <w:pPr>
              <w:keepNext/>
              <w:keepLines/>
              <w:spacing w:before="120" w:after="120"/>
              <w:jc w:val="center"/>
              <w:rPr>
                <w:rFonts w:cs="Arial"/>
              </w:rPr>
            </w:pPr>
            <w:r w:rsidRPr="00A561FD">
              <w:rPr>
                <w:rFonts w:cs="Arial"/>
              </w:rPr>
              <w:t>Significant</w:t>
            </w:r>
          </w:p>
        </w:tc>
        <w:tc>
          <w:tcPr>
            <w:tcW w:w="1523" w:type="dxa"/>
            <w:tcBorders>
              <w:left w:val="single" w:sz="4" w:space="0" w:color="auto"/>
            </w:tcBorders>
            <w:shd w:val="clear" w:color="auto" w:fill="FFFF00"/>
          </w:tcPr>
          <w:p w:rsidR="00C34F72" w:rsidRPr="00A561FD" w:rsidRDefault="00C34F72" w:rsidP="00DB6826">
            <w:pPr>
              <w:keepNext/>
              <w:keepLines/>
              <w:spacing w:before="120" w:after="120"/>
              <w:jc w:val="center"/>
              <w:rPr>
                <w:rFonts w:cs="Arial"/>
              </w:rPr>
            </w:pPr>
            <w:r w:rsidRPr="00A561FD">
              <w:rPr>
                <w:rFonts w:cs="Arial"/>
              </w:rPr>
              <w:t>Significant</w:t>
            </w:r>
          </w:p>
        </w:tc>
      </w:tr>
    </w:tbl>
    <w:p w:rsidR="00BB683F" w:rsidRDefault="00BB683F" w:rsidP="00BB683F">
      <w:pPr>
        <w:pStyle w:val="Caption"/>
        <w:spacing w:before="240" w:after="240"/>
        <w:ind w:left="720"/>
        <w:jc w:val="center"/>
        <w:rPr>
          <w:rFonts w:ascii="Arial" w:hAnsi="Arial"/>
          <w:i w:val="0"/>
          <w:iCs w:val="0"/>
          <w:sz w:val="20"/>
          <w:lang w:val="en-AU"/>
        </w:rPr>
      </w:pPr>
      <w:bookmarkStart w:id="717" w:name="_Toc364945456"/>
      <w:r w:rsidRPr="0024611A">
        <w:rPr>
          <w:rFonts w:ascii="Arial" w:hAnsi="Arial"/>
          <w:i w:val="0"/>
          <w:iCs w:val="0"/>
          <w:sz w:val="20"/>
          <w:lang w:val="en-AU"/>
        </w:rPr>
        <w:t xml:space="preserve">Table </w:t>
      </w:r>
      <w:r w:rsidR="0090414C" w:rsidRPr="0024611A">
        <w:rPr>
          <w:rFonts w:ascii="Arial" w:hAnsi="Arial"/>
          <w:i w:val="0"/>
          <w:iCs w:val="0"/>
          <w:sz w:val="20"/>
          <w:lang w:val="en-AU"/>
        </w:rPr>
        <w:fldChar w:fldCharType="begin"/>
      </w:r>
      <w:r w:rsidRPr="0024611A">
        <w:rPr>
          <w:rFonts w:ascii="Arial" w:hAnsi="Arial"/>
          <w:i w:val="0"/>
          <w:iCs w:val="0"/>
          <w:sz w:val="20"/>
          <w:lang w:val="en-AU"/>
        </w:rPr>
        <w:instrText xml:space="preserve"> SEQ Table \* ARABIC </w:instrText>
      </w:r>
      <w:r w:rsidR="0090414C" w:rsidRPr="0024611A">
        <w:rPr>
          <w:rFonts w:ascii="Arial" w:hAnsi="Arial"/>
          <w:i w:val="0"/>
          <w:iCs w:val="0"/>
          <w:sz w:val="20"/>
          <w:lang w:val="en-AU"/>
        </w:rPr>
        <w:fldChar w:fldCharType="separate"/>
      </w:r>
      <w:r w:rsidR="00751CEC">
        <w:rPr>
          <w:rFonts w:ascii="Arial" w:hAnsi="Arial"/>
          <w:i w:val="0"/>
          <w:iCs w:val="0"/>
          <w:noProof/>
          <w:sz w:val="20"/>
          <w:lang w:val="en-AU"/>
        </w:rPr>
        <w:t>52</w:t>
      </w:r>
      <w:r w:rsidR="0090414C" w:rsidRPr="0024611A">
        <w:rPr>
          <w:rFonts w:ascii="Arial" w:hAnsi="Arial"/>
          <w:i w:val="0"/>
          <w:iCs w:val="0"/>
          <w:sz w:val="20"/>
          <w:lang w:val="en-AU"/>
        </w:rPr>
        <w:fldChar w:fldCharType="end"/>
      </w:r>
      <w:r w:rsidRPr="0024611A">
        <w:rPr>
          <w:rFonts w:ascii="Arial" w:hAnsi="Arial"/>
          <w:i w:val="0"/>
          <w:iCs w:val="0"/>
          <w:sz w:val="20"/>
          <w:lang w:val="en-AU"/>
        </w:rPr>
        <w:t>:  Risk Assessment Matrix</w:t>
      </w:r>
      <w:bookmarkEnd w:id="717"/>
    </w:p>
    <w:p w:rsidR="00EB5C13" w:rsidRDefault="00EB5C13" w:rsidP="00EB5C13">
      <w:pPr>
        <w:ind w:left="720"/>
        <w:rPr>
          <w:color w:val="000000" w:themeColor="text1"/>
          <w:lang w:val="en-NZ"/>
        </w:rPr>
      </w:pPr>
      <w:r w:rsidRPr="002F2F1E">
        <w:rPr>
          <w:color w:val="000000" w:themeColor="text1"/>
          <w:lang w:val="en-NZ"/>
        </w:rPr>
        <w:t xml:space="preserve">After the likelihood and consequence factors have been determined, the level of risk is calculated by </w:t>
      </w:r>
      <w:r w:rsidRPr="008065F3">
        <w:rPr>
          <w:color w:val="000000" w:themeColor="text1"/>
          <w:lang w:val="en-NZ"/>
        </w:rPr>
        <w:t xml:space="preserve">multiplying the Likelihood of Occurrence (Table </w:t>
      </w:r>
      <w:r w:rsidR="008065F3" w:rsidRPr="008065F3">
        <w:rPr>
          <w:color w:val="000000" w:themeColor="text1"/>
          <w:lang w:val="en-NZ"/>
        </w:rPr>
        <w:t>50</w:t>
      </w:r>
      <w:r w:rsidRPr="008065F3">
        <w:rPr>
          <w:color w:val="000000" w:themeColor="text1"/>
          <w:lang w:val="en-NZ"/>
        </w:rPr>
        <w:t>) and Consequence Rating (Table 4</w:t>
      </w:r>
      <w:r w:rsidR="008065F3" w:rsidRPr="008065F3">
        <w:rPr>
          <w:color w:val="000000" w:themeColor="text1"/>
          <w:lang w:val="en-NZ"/>
        </w:rPr>
        <w:t>9</w:t>
      </w:r>
      <w:r w:rsidRPr="008065F3">
        <w:rPr>
          <w:color w:val="000000" w:themeColor="text1"/>
          <w:lang w:val="en-NZ"/>
        </w:rPr>
        <w:t>) together.</w:t>
      </w:r>
    </w:p>
    <w:p w:rsidR="00EB5C13" w:rsidRPr="002F2F1E" w:rsidRDefault="00EB5C13" w:rsidP="00EB5C13">
      <w:pPr>
        <w:ind w:left="720"/>
        <w:rPr>
          <w:color w:val="000000" w:themeColor="text1"/>
          <w:lang w:val="en-NZ"/>
        </w:rPr>
      </w:pPr>
    </w:p>
    <w:p w:rsidR="00EB5C13" w:rsidRPr="008B7EDF" w:rsidRDefault="00EB5C13" w:rsidP="00EB5C13">
      <w:pPr>
        <w:ind w:left="720"/>
        <w:jc w:val="center"/>
        <w:rPr>
          <w:bCs/>
          <w:i/>
          <w:iCs/>
          <w:color w:val="000000" w:themeColor="text1"/>
          <w:lang w:val="en-NZ"/>
        </w:rPr>
      </w:pPr>
      <w:r w:rsidRPr="008B7EDF">
        <w:rPr>
          <w:bCs/>
          <w:i/>
          <w:iCs/>
          <w:color w:val="000000" w:themeColor="text1"/>
          <w:lang w:val="en-NZ"/>
        </w:rPr>
        <w:t xml:space="preserve">Risk = the likelihood of an event occurring </w:t>
      </w:r>
      <w:r w:rsidR="00113665">
        <w:rPr>
          <w:bCs/>
          <w:i/>
          <w:iCs/>
          <w:color w:val="000000" w:themeColor="text1"/>
          <w:lang w:val="en-NZ"/>
        </w:rPr>
        <w:t>x</w:t>
      </w:r>
      <w:r w:rsidRPr="008B7EDF">
        <w:rPr>
          <w:bCs/>
          <w:i/>
          <w:iCs/>
          <w:color w:val="000000" w:themeColor="text1"/>
          <w:lang w:val="en-NZ"/>
        </w:rPr>
        <w:t xml:space="preserve"> the consequence of such an event.</w:t>
      </w:r>
    </w:p>
    <w:p w:rsidR="00EB5C13" w:rsidRDefault="00EB5C13" w:rsidP="00EB5C13">
      <w:pPr>
        <w:ind w:left="720"/>
        <w:rPr>
          <w:highlight w:val="yellow"/>
        </w:rPr>
      </w:pPr>
    </w:p>
    <w:p w:rsidR="00EB5C13" w:rsidRDefault="00EB5C13" w:rsidP="00EB5C13">
      <w:pPr>
        <w:ind w:left="720"/>
      </w:pPr>
      <w:r w:rsidRPr="00EB5C13">
        <w:t>The following sets out the adopted tolerance levels:</w:t>
      </w:r>
    </w:p>
    <w:p w:rsidR="00B16A51" w:rsidRDefault="00B16A51" w:rsidP="00EB5C13">
      <w:pPr>
        <w:ind w:left="720"/>
      </w:pPr>
    </w:p>
    <w:tbl>
      <w:tblPr>
        <w:tblStyle w:val="TableGrid"/>
        <w:tblW w:w="0" w:type="auto"/>
        <w:tblInd w:w="817" w:type="dxa"/>
        <w:tblLook w:val="04A0" w:firstRow="1" w:lastRow="0" w:firstColumn="1" w:lastColumn="0" w:noHBand="0" w:noVBand="1"/>
      </w:tblPr>
      <w:tblGrid>
        <w:gridCol w:w="1701"/>
        <w:gridCol w:w="6768"/>
      </w:tblGrid>
      <w:tr w:rsidR="00B16A51" w:rsidTr="00184168">
        <w:tc>
          <w:tcPr>
            <w:tcW w:w="8469" w:type="dxa"/>
            <w:gridSpan w:val="2"/>
            <w:shd w:val="clear" w:color="auto" w:fill="95B3D7" w:themeFill="accent1" w:themeFillTint="99"/>
          </w:tcPr>
          <w:p w:rsidR="00B16A51" w:rsidRPr="00AE70D8" w:rsidRDefault="00B16A51" w:rsidP="00184168">
            <w:pPr>
              <w:rPr>
                <w:b/>
              </w:rPr>
            </w:pPr>
            <w:r w:rsidRPr="00AE70D8">
              <w:rPr>
                <w:b/>
              </w:rPr>
              <w:t>Extreme</w:t>
            </w:r>
          </w:p>
        </w:tc>
      </w:tr>
      <w:tr w:rsidR="00B16A51" w:rsidTr="00184168">
        <w:tc>
          <w:tcPr>
            <w:tcW w:w="1701" w:type="dxa"/>
          </w:tcPr>
          <w:p w:rsidR="00B16A51" w:rsidRDefault="00B16A51" w:rsidP="00184168">
            <w:r>
              <w:t>What should I do</w:t>
            </w:r>
            <w:r w:rsidR="008065F3">
              <w:t>?</w:t>
            </w:r>
          </w:p>
        </w:tc>
        <w:tc>
          <w:tcPr>
            <w:tcW w:w="6768" w:type="dxa"/>
          </w:tcPr>
          <w:p w:rsidR="00B16A51" w:rsidRDefault="00B16A51" w:rsidP="00184168">
            <w:r>
              <w:t>Immediate action is required, including urgent interim actions, eg. Cessation of activity, if necessary to ensure safety.</w:t>
            </w:r>
          </w:p>
        </w:tc>
      </w:tr>
      <w:tr w:rsidR="00B16A51" w:rsidTr="00184168">
        <w:tc>
          <w:tcPr>
            <w:tcW w:w="1701" w:type="dxa"/>
          </w:tcPr>
          <w:p w:rsidR="00B16A51" w:rsidRDefault="00B16A51" w:rsidP="00184168">
            <w:r>
              <w:t>Who should I tell</w:t>
            </w:r>
            <w:r w:rsidR="008065F3">
              <w:t>?</w:t>
            </w:r>
          </w:p>
        </w:tc>
        <w:tc>
          <w:tcPr>
            <w:tcW w:w="6768" w:type="dxa"/>
          </w:tcPr>
          <w:p w:rsidR="00B16A51" w:rsidRDefault="00B16A51" w:rsidP="00184168">
            <w:r>
              <w:t>CEO/Executive Management Team and Risk Management Unit must be advised.</w:t>
            </w:r>
          </w:p>
        </w:tc>
      </w:tr>
      <w:tr w:rsidR="00B16A51" w:rsidRPr="00AE70D8" w:rsidTr="00184168">
        <w:tc>
          <w:tcPr>
            <w:tcW w:w="1701" w:type="dxa"/>
            <w:shd w:val="clear" w:color="auto" w:fill="95B3D7" w:themeFill="accent1" w:themeFillTint="99"/>
          </w:tcPr>
          <w:p w:rsidR="00B16A51" w:rsidRPr="00AE70D8" w:rsidRDefault="00B16A51" w:rsidP="00184168">
            <w:pPr>
              <w:rPr>
                <w:b/>
              </w:rPr>
            </w:pPr>
            <w:r w:rsidRPr="00AE70D8">
              <w:rPr>
                <w:b/>
              </w:rPr>
              <w:t>High</w:t>
            </w:r>
          </w:p>
        </w:tc>
        <w:tc>
          <w:tcPr>
            <w:tcW w:w="6768" w:type="dxa"/>
            <w:shd w:val="clear" w:color="auto" w:fill="95B3D7" w:themeFill="accent1" w:themeFillTint="99"/>
          </w:tcPr>
          <w:p w:rsidR="00B16A51" w:rsidRPr="00AE70D8" w:rsidRDefault="00B16A51" w:rsidP="00184168">
            <w:pPr>
              <w:rPr>
                <w:b/>
              </w:rPr>
            </w:pPr>
          </w:p>
        </w:tc>
      </w:tr>
      <w:tr w:rsidR="008065F3" w:rsidTr="00184168">
        <w:tc>
          <w:tcPr>
            <w:tcW w:w="1701" w:type="dxa"/>
          </w:tcPr>
          <w:p w:rsidR="008065F3" w:rsidRDefault="008065F3" w:rsidP="00CC75F2">
            <w:r>
              <w:t>What should I do?</w:t>
            </w:r>
          </w:p>
        </w:tc>
        <w:tc>
          <w:tcPr>
            <w:tcW w:w="6768" w:type="dxa"/>
          </w:tcPr>
          <w:p w:rsidR="008065F3" w:rsidRDefault="008065F3" w:rsidP="00184168">
            <w:r>
              <w:t>Prompt action required, including interim actions.</w:t>
            </w:r>
          </w:p>
        </w:tc>
      </w:tr>
      <w:tr w:rsidR="008065F3" w:rsidTr="00184168">
        <w:tc>
          <w:tcPr>
            <w:tcW w:w="1701" w:type="dxa"/>
          </w:tcPr>
          <w:p w:rsidR="008065F3" w:rsidRDefault="008065F3" w:rsidP="00CC75F2">
            <w:r>
              <w:t>Who should I tell?</w:t>
            </w:r>
          </w:p>
        </w:tc>
        <w:tc>
          <w:tcPr>
            <w:tcW w:w="6768" w:type="dxa"/>
          </w:tcPr>
          <w:p w:rsidR="008065F3" w:rsidRDefault="008065F3" w:rsidP="00184168">
            <w:r>
              <w:t>Executive Director and Risk Management Unit must be advised if risk owners unable to fix promptly, or if additional resources are required.</w:t>
            </w:r>
          </w:p>
        </w:tc>
      </w:tr>
      <w:tr w:rsidR="00B16A51" w:rsidRPr="00AE70D8" w:rsidTr="00184168">
        <w:tc>
          <w:tcPr>
            <w:tcW w:w="1701" w:type="dxa"/>
            <w:shd w:val="clear" w:color="auto" w:fill="95B3D7" w:themeFill="accent1" w:themeFillTint="99"/>
          </w:tcPr>
          <w:p w:rsidR="00B16A51" w:rsidRPr="00AE70D8" w:rsidRDefault="00B16A51" w:rsidP="00184168">
            <w:pPr>
              <w:rPr>
                <w:b/>
              </w:rPr>
            </w:pPr>
            <w:r w:rsidRPr="00AE70D8">
              <w:rPr>
                <w:b/>
              </w:rPr>
              <w:t>Significant</w:t>
            </w:r>
          </w:p>
        </w:tc>
        <w:tc>
          <w:tcPr>
            <w:tcW w:w="6768" w:type="dxa"/>
            <w:shd w:val="clear" w:color="auto" w:fill="95B3D7" w:themeFill="accent1" w:themeFillTint="99"/>
          </w:tcPr>
          <w:p w:rsidR="00B16A51" w:rsidRPr="00AE70D8" w:rsidRDefault="00B16A51" w:rsidP="00184168">
            <w:pPr>
              <w:rPr>
                <w:b/>
              </w:rPr>
            </w:pPr>
          </w:p>
        </w:tc>
      </w:tr>
      <w:tr w:rsidR="008065F3" w:rsidTr="00184168">
        <w:tc>
          <w:tcPr>
            <w:tcW w:w="1701" w:type="dxa"/>
          </w:tcPr>
          <w:p w:rsidR="008065F3" w:rsidRDefault="008065F3" w:rsidP="00CC75F2">
            <w:r>
              <w:t>What should I do?</w:t>
            </w:r>
          </w:p>
        </w:tc>
        <w:tc>
          <w:tcPr>
            <w:tcW w:w="6768" w:type="dxa"/>
          </w:tcPr>
          <w:p w:rsidR="008065F3" w:rsidRDefault="008065F3" w:rsidP="00184168">
            <w:r>
              <w:t>Use ALARP principle – if risk not as low as practical, implement control procedures.</w:t>
            </w:r>
          </w:p>
        </w:tc>
      </w:tr>
      <w:tr w:rsidR="008065F3" w:rsidTr="00184168">
        <w:tc>
          <w:tcPr>
            <w:tcW w:w="1701" w:type="dxa"/>
          </w:tcPr>
          <w:p w:rsidR="008065F3" w:rsidRDefault="008065F3" w:rsidP="00CC75F2">
            <w:r>
              <w:t>Who should I tell?</w:t>
            </w:r>
          </w:p>
        </w:tc>
        <w:tc>
          <w:tcPr>
            <w:tcW w:w="6768" w:type="dxa"/>
          </w:tcPr>
          <w:p w:rsidR="008065F3" w:rsidRDefault="008065F3" w:rsidP="00184168">
            <w:r>
              <w:t>Continuity strategies need to be documented and approved.  If these occur, Executive Director and Risk Management Unit must be advised if risk owners unable to fix promptly.</w:t>
            </w:r>
          </w:p>
        </w:tc>
      </w:tr>
      <w:tr w:rsidR="00B16A51" w:rsidRPr="00AE70D8" w:rsidTr="00184168">
        <w:tc>
          <w:tcPr>
            <w:tcW w:w="1701" w:type="dxa"/>
            <w:shd w:val="clear" w:color="auto" w:fill="95B3D7" w:themeFill="accent1" w:themeFillTint="99"/>
          </w:tcPr>
          <w:p w:rsidR="00B16A51" w:rsidRPr="00AE70D8" w:rsidRDefault="00B16A51" w:rsidP="00184168">
            <w:pPr>
              <w:rPr>
                <w:b/>
              </w:rPr>
            </w:pPr>
            <w:r w:rsidRPr="00AE70D8">
              <w:rPr>
                <w:b/>
              </w:rPr>
              <w:t>Medium</w:t>
            </w:r>
          </w:p>
        </w:tc>
        <w:tc>
          <w:tcPr>
            <w:tcW w:w="6768" w:type="dxa"/>
            <w:shd w:val="clear" w:color="auto" w:fill="95B3D7" w:themeFill="accent1" w:themeFillTint="99"/>
          </w:tcPr>
          <w:p w:rsidR="00B16A51" w:rsidRPr="00AE70D8" w:rsidRDefault="00B16A51" w:rsidP="00184168">
            <w:pPr>
              <w:rPr>
                <w:b/>
              </w:rPr>
            </w:pPr>
          </w:p>
        </w:tc>
      </w:tr>
      <w:tr w:rsidR="008065F3" w:rsidTr="00184168">
        <w:tc>
          <w:tcPr>
            <w:tcW w:w="1701" w:type="dxa"/>
          </w:tcPr>
          <w:p w:rsidR="008065F3" w:rsidRDefault="008065F3" w:rsidP="00CC75F2">
            <w:r>
              <w:t>What should I do?</w:t>
            </w:r>
          </w:p>
        </w:tc>
        <w:tc>
          <w:tcPr>
            <w:tcW w:w="6768" w:type="dxa"/>
          </w:tcPr>
          <w:p w:rsidR="008065F3" w:rsidRDefault="008065F3" w:rsidP="00184168">
            <w:r>
              <w:t>Risk is likely to be acceptable; If not use ALARP principle.</w:t>
            </w:r>
          </w:p>
        </w:tc>
      </w:tr>
      <w:tr w:rsidR="008065F3" w:rsidTr="00184168">
        <w:tc>
          <w:tcPr>
            <w:tcW w:w="1701" w:type="dxa"/>
          </w:tcPr>
          <w:p w:rsidR="008065F3" w:rsidRDefault="008065F3" w:rsidP="00CC75F2">
            <w:r>
              <w:t>Who should I tell?</w:t>
            </w:r>
          </w:p>
        </w:tc>
        <w:tc>
          <w:tcPr>
            <w:tcW w:w="6768" w:type="dxa"/>
          </w:tcPr>
          <w:p w:rsidR="008065F3" w:rsidRDefault="008065F3" w:rsidP="00184168">
            <w:r>
              <w:t>Business Unit Manager should be informed if risk owners unable to fix promptly.</w:t>
            </w:r>
          </w:p>
        </w:tc>
      </w:tr>
      <w:tr w:rsidR="00B16A51" w:rsidRPr="00AE70D8" w:rsidTr="00184168">
        <w:tc>
          <w:tcPr>
            <w:tcW w:w="1701" w:type="dxa"/>
            <w:shd w:val="clear" w:color="auto" w:fill="95B3D7" w:themeFill="accent1" w:themeFillTint="99"/>
          </w:tcPr>
          <w:p w:rsidR="00B16A51" w:rsidRPr="00AE70D8" w:rsidRDefault="00B16A51" w:rsidP="00184168">
            <w:pPr>
              <w:rPr>
                <w:b/>
              </w:rPr>
            </w:pPr>
            <w:r w:rsidRPr="00AE70D8">
              <w:rPr>
                <w:b/>
              </w:rPr>
              <w:t>Low</w:t>
            </w:r>
          </w:p>
        </w:tc>
        <w:tc>
          <w:tcPr>
            <w:tcW w:w="6768" w:type="dxa"/>
            <w:shd w:val="clear" w:color="auto" w:fill="95B3D7" w:themeFill="accent1" w:themeFillTint="99"/>
          </w:tcPr>
          <w:p w:rsidR="00B16A51" w:rsidRPr="00AE70D8" w:rsidRDefault="00B16A51" w:rsidP="00184168">
            <w:pPr>
              <w:rPr>
                <w:b/>
              </w:rPr>
            </w:pPr>
          </w:p>
        </w:tc>
      </w:tr>
      <w:tr w:rsidR="008065F3" w:rsidTr="00184168">
        <w:tc>
          <w:tcPr>
            <w:tcW w:w="1701" w:type="dxa"/>
          </w:tcPr>
          <w:p w:rsidR="008065F3" w:rsidRDefault="008065F3" w:rsidP="00CC75F2">
            <w:r>
              <w:t>What should I do?</w:t>
            </w:r>
          </w:p>
        </w:tc>
        <w:tc>
          <w:tcPr>
            <w:tcW w:w="6768" w:type="dxa"/>
          </w:tcPr>
          <w:p w:rsidR="008065F3" w:rsidRDefault="008065F3" w:rsidP="00184168">
            <w:r>
              <w:t>Risk is almost certainly acceptable.  No further action required.</w:t>
            </w:r>
          </w:p>
        </w:tc>
      </w:tr>
      <w:tr w:rsidR="008065F3" w:rsidTr="00184168">
        <w:tc>
          <w:tcPr>
            <w:tcW w:w="1701" w:type="dxa"/>
          </w:tcPr>
          <w:p w:rsidR="008065F3" w:rsidRDefault="008065F3" w:rsidP="00CC75F2">
            <w:r>
              <w:t>Who should I tell?</w:t>
            </w:r>
          </w:p>
        </w:tc>
        <w:tc>
          <w:tcPr>
            <w:tcW w:w="6768" w:type="dxa"/>
          </w:tcPr>
          <w:p w:rsidR="008065F3" w:rsidRDefault="008065F3" w:rsidP="00184168">
            <w:r>
              <w:t>Not required.</w:t>
            </w:r>
          </w:p>
        </w:tc>
      </w:tr>
    </w:tbl>
    <w:p w:rsidR="00EB5C13" w:rsidRPr="008065F3" w:rsidRDefault="008065F3" w:rsidP="008065F3">
      <w:pPr>
        <w:tabs>
          <w:tab w:val="left" w:pos="851"/>
        </w:tabs>
        <w:spacing w:before="60"/>
        <w:ind w:left="851"/>
        <w:rPr>
          <w:i/>
          <w:sz w:val="16"/>
        </w:rPr>
      </w:pPr>
      <w:r w:rsidRPr="008065F3">
        <w:rPr>
          <w:i/>
          <w:sz w:val="16"/>
        </w:rPr>
        <w:t>*</w:t>
      </w:r>
      <w:r>
        <w:rPr>
          <w:i/>
          <w:sz w:val="16"/>
        </w:rPr>
        <w:t xml:space="preserve"> </w:t>
      </w:r>
      <w:r w:rsidR="00B16A51" w:rsidRPr="008065F3">
        <w:rPr>
          <w:i/>
          <w:sz w:val="16"/>
        </w:rPr>
        <w:t>ALARP – As low as reasonabl</w:t>
      </w:r>
      <w:r w:rsidR="00EC7692" w:rsidRPr="008065F3">
        <w:rPr>
          <w:i/>
          <w:sz w:val="16"/>
        </w:rPr>
        <w:t>y</w:t>
      </w:r>
      <w:r w:rsidR="00B16A51" w:rsidRPr="008065F3">
        <w:rPr>
          <w:i/>
          <w:sz w:val="16"/>
        </w:rPr>
        <w:t xml:space="preserve"> practicable</w:t>
      </w:r>
    </w:p>
    <w:p w:rsidR="00AE70D8" w:rsidRDefault="00AE70D8" w:rsidP="00AE70D8">
      <w:pPr>
        <w:pStyle w:val="Caption"/>
        <w:spacing w:before="240" w:after="240"/>
        <w:ind w:left="720"/>
        <w:jc w:val="center"/>
        <w:rPr>
          <w:rFonts w:ascii="Arial" w:hAnsi="Arial"/>
          <w:i w:val="0"/>
          <w:iCs w:val="0"/>
          <w:sz w:val="20"/>
          <w:lang w:val="en-AU"/>
        </w:rPr>
      </w:pPr>
      <w:bookmarkStart w:id="718" w:name="_Toc364945457"/>
      <w:r w:rsidRPr="0024611A">
        <w:rPr>
          <w:rFonts w:ascii="Arial" w:hAnsi="Arial"/>
          <w:i w:val="0"/>
          <w:iCs w:val="0"/>
          <w:sz w:val="20"/>
          <w:lang w:val="en-AU"/>
        </w:rPr>
        <w:t xml:space="preserve">Table </w:t>
      </w:r>
      <w:r w:rsidRPr="0024611A">
        <w:rPr>
          <w:rFonts w:ascii="Arial" w:hAnsi="Arial"/>
          <w:i w:val="0"/>
          <w:iCs w:val="0"/>
          <w:sz w:val="20"/>
          <w:lang w:val="en-AU"/>
        </w:rPr>
        <w:fldChar w:fldCharType="begin"/>
      </w:r>
      <w:r w:rsidRPr="0024611A">
        <w:rPr>
          <w:rFonts w:ascii="Arial" w:hAnsi="Arial"/>
          <w:i w:val="0"/>
          <w:iCs w:val="0"/>
          <w:sz w:val="20"/>
          <w:lang w:val="en-AU"/>
        </w:rPr>
        <w:instrText xml:space="preserve"> SEQ Table \* ARABIC </w:instrText>
      </w:r>
      <w:r w:rsidRPr="0024611A">
        <w:rPr>
          <w:rFonts w:ascii="Arial" w:hAnsi="Arial"/>
          <w:i w:val="0"/>
          <w:iCs w:val="0"/>
          <w:sz w:val="20"/>
          <w:lang w:val="en-AU"/>
        </w:rPr>
        <w:fldChar w:fldCharType="separate"/>
      </w:r>
      <w:r w:rsidR="00751CEC">
        <w:rPr>
          <w:rFonts w:ascii="Arial" w:hAnsi="Arial"/>
          <w:i w:val="0"/>
          <w:iCs w:val="0"/>
          <w:noProof/>
          <w:sz w:val="20"/>
          <w:lang w:val="en-AU"/>
        </w:rPr>
        <w:t>53</w:t>
      </w:r>
      <w:r w:rsidRPr="0024611A">
        <w:rPr>
          <w:rFonts w:ascii="Arial" w:hAnsi="Arial"/>
          <w:i w:val="0"/>
          <w:iCs w:val="0"/>
          <w:sz w:val="20"/>
          <w:lang w:val="en-AU"/>
        </w:rPr>
        <w:fldChar w:fldCharType="end"/>
      </w:r>
      <w:r w:rsidRPr="0024611A">
        <w:rPr>
          <w:rFonts w:ascii="Arial" w:hAnsi="Arial"/>
          <w:i w:val="0"/>
          <w:iCs w:val="0"/>
          <w:sz w:val="20"/>
          <w:lang w:val="en-AU"/>
        </w:rPr>
        <w:t xml:space="preserve">:  </w:t>
      </w:r>
      <w:r>
        <w:rPr>
          <w:rFonts w:ascii="Arial" w:hAnsi="Arial"/>
          <w:i w:val="0"/>
          <w:iCs w:val="0"/>
          <w:sz w:val="20"/>
          <w:lang w:val="en-AU"/>
        </w:rPr>
        <w:t>Tolerance Levels</w:t>
      </w:r>
      <w:bookmarkEnd w:id="718"/>
    </w:p>
    <w:p w:rsidR="00EB5C13" w:rsidRDefault="00EB5C13" w:rsidP="00EB5C13">
      <w:pPr>
        <w:ind w:left="720"/>
      </w:pPr>
    </w:p>
    <w:p w:rsidR="00C44259" w:rsidRPr="00CF2212" w:rsidRDefault="00C44259" w:rsidP="00CF2212">
      <w:pPr>
        <w:pStyle w:val="Heading2"/>
      </w:pPr>
      <w:bookmarkStart w:id="719" w:name="_Toc364945346"/>
      <w:r w:rsidRPr="00CF2212">
        <w:t>Risk Identification</w:t>
      </w:r>
      <w:bookmarkEnd w:id="719"/>
    </w:p>
    <w:p w:rsidR="00AB2113" w:rsidRPr="00CD7D4F" w:rsidRDefault="00CF1416" w:rsidP="003E5B9F">
      <w:pPr>
        <w:pStyle w:val="StyleHeading3Heading3Char10ptBefore6pt"/>
      </w:pPr>
      <w:bookmarkStart w:id="720" w:name="_Toc364945347"/>
      <w:r>
        <w:t>Buildings’ Risks</w:t>
      </w:r>
      <w:bookmarkEnd w:id="720"/>
    </w:p>
    <w:p w:rsidR="00AB2113" w:rsidRDefault="00AB2113" w:rsidP="00BB683F">
      <w:pPr>
        <w:ind w:left="720"/>
      </w:pPr>
      <w:r w:rsidRPr="00412EEB">
        <w:t>The following risk issues associated with the building stock are typical in relation to the use of buildings and should be regularly monitored in future</w:t>
      </w:r>
      <w:r w:rsidR="000C4E4D">
        <w:t>:</w:t>
      </w:r>
    </w:p>
    <w:p w:rsidR="00CF1416" w:rsidRDefault="00CF1416" w:rsidP="00BB683F">
      <w:pPr>
        <w:ind w:left="720"/>
      </w:pPr>
    </w:p>
    <w:p w:rsidR="00AB2113" w:rsidRPr="00BB683F" w:rsidRDefault="00AB2113" w:rsidP="00852F5D">
      <w:pPr>
        <w:keepNext/>
        <w:keepLines/>
        <w:ind w:left="720"/>
        <w:rPr>
          <w:u w:val="single"/>
        </w:rPr>
      </w:pPr>
      <w:bookmarkStart w:id="721" w:name="_Toc267659220"/>
      <w:r w:rsidRPr="00BB683F">
        <w:rPr>
          <w:u w:val="single"/>
        </w:rPr>
        <w:t>Land Contamination</w:t>
      </w:r>
      <w:bookmarkEnd w:id="721"/>
    </w:p>
    <w:p w:rsidR="00BB683F" w:rsidRDefault="00BB683F" w:rsidP="00852F5D">
      <w:pPr>
        <w:keepNext/>
        <w:keepLines/>
        <w:ind w:left="720"/>
      </w:pPr>
    </w:p>
    <w:p w:rsidR="00AB2113" w:rsidRPr="00412EEB" w:rsidRDefault="00AB2113" w:rsidP="00852F5D">
      <w:pPr>
        <w:keepNext/>
        <w:keepLines/>
        <w:ind w:left="720"/>
      </w:pPr>
      <w:r w:rsidRPr="00412EEB">
        <w:t xml:space="preserve">There are </w:t>
      </w:r>
      <w:r w:rsidR="00E93138">
        <w:t>39 Council-</w:t>
      </w:r>
      <w:r w:rsidR="00FC790B">
        <w:t>owned contaminated sites on the</w:t>
      </w:r>
      <w:r w:rsidRPr="00412EEB">
        <w:t xml:space="preserve"> contaminated site register which is available on Council’s GIS system. </w:t>
      </w:r>
    </w:p>
    <w:p w:rsidR="00BB683F" w:rsidRDefault="00BB683F" w:rsidP="00852F5D">
      <w:pPr>
        <w:keepNext/>
        <w:keepLines/>
        <w:ind w:left="720"/>
      </w:pPr>
    </w:p>
    <w:p w:rsidR="00AB2113" w:rsidRPr="00412EEB" w:rsidRDefault="00AB2113" w:rsidP="00BB683F">
      <w:pPr>
        <w:ind w:left="720"/>
      </w:pPr>
      <w:r w:rsidRPr="00412EEB">
        <w:t>Most of the contaminated sites are parkland, playgrounds or open reserves. However there are contaminated sites that include buildings. In the absence of any excavation activities, the exposure to the sub-surface soil is generally considered minimal and thus posing minimal health risks to the site users under existing site conditions.</w:t>
      </w:r>
    </w:p>
    <w:p w:rsidR="00BB683F" w:rsidRDefault="00BB683F" w:rsidP="00BB683F">
      <w:pPr>
        <w:ind w:left="720"/>
      </w:pPr>
    </w:p>
    <w:p w:rsidR="00AB2113" w:rsidRPr="00412EEB" w:rsidRDefault="00AB2113" w:rsidP="00BB683F">
      <w:pPr>
        <w:ind w:left="720"/>
      </w:pPr>
      <w:r w:rsidRPr="00412EEB">
        <w:t xml:space="preserve">Environmental site assessment (soil) and health risk assessment reports are attached to each site identified as contaminated through the GIS.  The register, together with the reports, should be referred to with future redevelopment of the contaminated sites. </w:t>
      </w:r>
    </w:p>
    <w:p w:rsidR="00BB683F" w:rsidRDefault="00BB683F" w:rsidP="00BB683F">
      <w:pPr>
        <w:ind w:left="720"/>
      </w:pPr>
      <w:bookmarkStart w:id="722" w:name="_Toc341191960"/>
      <w:bookmarkStart w:id="723" w:name="_Toc341193501"/>
      <w:bookmarkStart w:id="724" w:name="_Toc341193725"/>
      <w:bookmarkStart w:id="725" w:name="_Toc341354224"/>
      <w:bookmarkStart w:id="726" w:name="_Toc267659221"/>
      <w:bookmarkEnd w:id="722"/>
      <w:bookmarkEnd w:id="723"/>
      <w:bookmarkEnd w:id="724"/>
      <w:bookmarkEnd w:id="725"/>
    </w:p>
    <w:p w:rsidR="00AB2113" w:rsidRPr="00BB683F" w:rsidRDefault="00AB2113" w:rsidP="00BB683F">
      <w:pPr>
        <w:ind w:left="720"/>
        <w:rPr>
          <w:u w:val="single"/>
        </w:rPr>
      </w:pPr>
      <w:r w:rsidRPr="00BB683F">
        <w:rPr>
          <w:u w:val="single"/>
        </w:rPr>
        <w:t>Asbestos</w:t>
      </w:r>
      <w:bookmarkEnd w:id="726"/>
    </w:p>
    <w:p w:rsidR="00BB683F" w:rsidRDefault="00BB683F" w:rsidP="00BB683F">
      <w:pPr>
        <w:ind w:left="720"/>
      </w:pPr>
    </w:p>
    <w:p w:rsidR="00AB2113" w:rsidRPr="00412EEB" w:rsidRDefault="00AB2113" w:rsidP="00BB683F">
      <w:pPr>
        <w:ind w:left="720"/>
      </w:pPr>
      <w:r w:rsidRPr="00412EEB">
        <w:t xml:space="preserve">The Building Maintenance and Management Coordinator has in place a </w:t>
      </w:r>
      <w:r w:rsidR="000C4E4D">
        <w:t>five</w:t>
      </w:r>
      <w:r w:rsidRPr="00050793">
        <w:t>-</w:t>
      </w:r>
      <w:r w:rsidRPr="00412EEB">
        <w:t>yearly inspection pr</w:t>
      </w:r>
      <w:r w:rsidR="00FC790B">
        <w:t>ogram to monitor the asbestos af</w:t>
      </w:r>
      <w:r w:rsidRPr="00412EEB">
        <w:t xml:space="preserve">fected buildings within the municipality.  </w:t>
      </w:r>
    </w:p>
    <w:p w:rsidR="00A008DA" w:rsidRDefault="00A008DA" w:rsidP="00BB683F">
      <w:pPr>
        <w:ind w:left="720"/>
      </w:pPr>
    </w:p>
    <w:p w:rsidR="00AB2113" w:rsidRPr="00412EEB" w:rsidRDefault="00AB2113" w:rsidP="00BB683F">
      <w:pPr>
        <w:ind w:left="720"/>
      </w:pPr>
      <w:r w:rsidRPr="00412EEB">
        <w:t xml:space="preserve">An asbestos audit (Division 5 Audit) of all Council buildings was completed in 2009 and an asbestos register developed.  All contractors, internal staff or Council maintenance crews undertaking works of a destructive nature </w:t>
      </w:r>
      <w:r w:rsidR="00FC790B">
        <w:t>are</w:t>
      </w:r>
      <w:r w:rsidRPr="00412EEB">
        <w:t xml:space="preserve"> referred to the detailed asbestos report.</w:t>
      </w:r>
    </w:p>
    <w:p w:rsidR="00A008DA" w:rsidRDefault="00A008DA" w:rsidP="00BB683F">
      <w:pPr>
        <w:ind w:left="720"/>
      </w:pPr>
    </w:p>
    <w:p w:rsidR="00AB2113" w:rsidRPr="00412EEB" w:rsidRDefault="00AB2113" w:rsidP="00BB683F">
      <w:pPr>
        <w:ind w:left="720"/>
      </w:pPr>
      <w:r w:rsidRPr="00412EEB">
        <w:t>All the asbestos containing material identified in Council buildings had been non-friable asbestos cement sheeting which was widely used in building until the early 1980s. Non friable types of asbestos products (vinyl floor tiles, suspended ceiling tiles, asbestos cement products), do not present a significant health risk unless they are tooled, cut, sanded or otherwise abraded or machined so as to release asbestos dust.</w:t>
      </w:r>
    </w:p>
    <w:p w:rsidR="00A008DA" w:rsidRDefault="00A008DA" w:rsidP="00BB683F">
      <w:pPr>
        <w:ind w:left="720"/>
      </w:pPr>
      <w:bookmarkStart w:id="727" w:name="_Toc341191962"/>
      <w:bookmarkStart w:id="728" w:name="_Toc341193503"/>
      <w:bookmarkStart w:id="729" w:name="_Toc341193727"/>
      <w:bookmarkStart w:id="730" w:name="_Toc341354226"/>
      <w:bookmarkStart w:id="731" w:name="_Toc267659222"/>
      <w:bookmarkEnd w:id="727"/>
      <w:bookmarkEnd w:id="728"/>
      <w:bookmarkEnd w:id="729"/>
      <w:bookmarkEnd w:id="730"/>
    </w:p>
    <w:p w:rsidR="00AB2113" w:rsidRPr="00A008DA" w:rsidRDefault="00AB2113" w:rsidP="00BB683F">
      <w:pPr>
        <w:ind w:left="720"/>
        <w:rPr>
          <w:u w:val="single"/>
        </w:rPr>
      </w:pPr>
      <w:r w:rsidRPr="00A008DA">
        <w:rPr>
          <w:u w:val="single"/>
        </w:rPr>
        <w:t>O</w:t>
      </w:r>
      <w:r w:rsidR="000C4E4D">
        <w:rPr>
          <w:u w:val="single"/>
        </w:rPr>
        <w:t xml:space="preserve">ccupational </w:t>
      </w:r>
      <w:r w:rsidRPr="00A008DA">
        <w:rPr>
          <w:u w:val="single"/>
        </w:rPr>
        <w:t>H</w:t>
      </w:r>
      <w:r w:rsidR="000C4E4D">
        <w:rPr>
          <w:u w:val="single"/>
        </w:rPr>
        <w:t>ealth and Safety</w:t>
      </w:r>
      <w:r w:rsidRPr="00A008DA">
        <w:rPr>
          <w:u w:val="single"/>
        </w:rPr>
        <w:t xml:space="preserve"> Compliance</w:t>
      </w:r>
      <w:bookmarkEnd w:id="731"/>
      <w:r w:rsidR="000C4E4D">
        <w:rPr>
          <w:u w:val="single"/>
        </w:rPr>
        <w:t xml:space="preserve"> (OH&amp;S)</w:t>
      </w:r>
    </w:p>
    <w:p w:rsidR="00A008DA" w:rsidRDefault="00A008DA" w:rsidP="00BB683F">
      <w:pPr>
        <w:ind w:left="720"/>
      </w:pPr>
    </w:p>
    <w:p w:rsidR="00AB2113" w:rsidRPr="00412EEB" w:rsidRDefault="00BD23B9" w:rsidP="00BB683F">
      <w:pPr>
        <w:ind w:left="720"/>
      </w:pPr>
      <w:r>
        <w:t>Identified OH&amp;S</w:t>
      </w:r>
      <w:r w:rsidR="00AB2113" w:rsidRPr="00412EEB">
        <w:t xml:space="preserve"> Maintenance is addressed as a matter of urgency within Council’s property portfolio. The Building Maintenance </w:t>
      </w:r>
      <w:r w:rsidR="00927AFA">
        <w:t>and</w:t>
      </w:r>
      <w:r w:rsidR="00FC790B">
        <w:t xml:space="preserve"> Management </w:t>
      </w:r>
      <w:r w:rsidR="00AB2113" w:rsidRPr="00412EEB">
        <w:t>Coordinator is respo</w:t>
      </w:r>
      <w:r w:rsidR="00FC790B">
        <w:t xml:space="preserve">nsible for </w:t>
      </w:r>
      <w:r>
        <w:t xml:space="preserve">OH&amp;S </w:t>
      </w:r>
      <w:r w:rsidR="00AB2113" w:rsidRPr="00412EEB">
        <w:t xml:space="preserve">practices for those buildings directly under his control. </w:t>
      </w:r>
    </w:p>
    <w:p w:rsidR="00A008DA" w:rsidRDefault="00A008DA" w:rsidP="00BB683F">
      <w:pPr>
        <w:ind w:left="720"/>
      </w:pPr>
    </w:p>
    <w:p w:rsidR="00AB2113" w:rsidRPr="00412EEB" w:rsidRDefault="00AB2113" w:rsidP="00BB683F">
      <w:pPr>
        <w:ind w:left="720"/>
      </w:pPr>
      <w:r w:rsidRPr="00412EEB">
        <w:t xml:space="preserve">The process requires regular inspections and reporting of hazardous situations within and surrounding the building. The inspections cover tripping hazards, limited access spaces, fire escape blockages, dangerous goods storage, etc. </w:t>
      </w:r>
    </w:p>
    <w:p w:rsidR="00A008DA" w:rsidRDefault="00A008DA" w:rsidP="00BB683F">
      <w:pPr>
        <w:ind w:left="720"/>
      </w:pPr>
    </w:p>
    <w:p w:rsidR="00AB2113" w:rsidRPr="00412EEB" w:rsidRDefault="00AB2113" w:rsidP="00BB683F">
      <w:pPr>
        <w:ind w:left="720"/>
      </w:pPr>
      <w:r w:rsidRPr="00412EEB">
        <w:t xml:space="preserve">All buildings require surveys to be undertaken to identify working at height issues and a register is required.  Furthermore, the Job Safety Analysis and associated documents need to be completed to comply with </w:t>
      </w:r>
      <w:r w:rsidR="00BD23B9">
        <w:t>OH&amp;S</w:t>
      </w:r>
      <w:r w:rsidRPr="00412EEB">
        <w:t xml:space="preserve"> requirements.  Council is required to comply with Health Regulations and Children’s Regulations; both monitored by the Department of Human Services (DHS).</w:t>
      </w:r>
    </w:p>
    <w:p w:rsidR="00A008DA" w:rsidRDefault="00A008DA" w:rsidP="00BB683F">
      <w:pPr>
        <w:ind w:left="720"/>
      </w:pPr>
    </w:p>
    <w:p w:rsidR="00AB2113" w:rsidRPr="00412EEB" w:rsidRDefault="00AB2113" w:rsidP="00BB683F">
      <w:pPr>
        <w:ind w:left="720"/>
      </w:pPr>
      <w:r w:rsidRPr="00412EEB">
        <w:t>Discrimination and Disability Act</w:t>
      </w:r>
      <w:r w:rsidR="000C4E4D">
        <w:t xml:space="preserve"> </w:t>
      </w:r>
      <w:r w:rsidR="00BD23B9">
        <w:t>(DDA)</w:t>
      </w:r>
      <w:r w:rsidRPr="00412EEB">
        <w:t xml:space="preserve"> reports need to be prepared for buildings and the findings may result in upgrade works being required.</w:t>
      </w:r>
    </w:p>
    <w:p w:rsidR="00AB2113" w:rsidRPr="00CD7D4F" w:rsidRDefault="00AB2113" w:rsidP="00AE70D8">
      <w:pPr>
        <w:pStyle w:val="StyleHeading3Heading3Char10ptBefore6pt"/>
        <w:keepLines/>
      </w:pPr>
      <w:bookmarkStart w:id="732" w:name="_Toc364945348"/>
      <w:r w:rsidRPr="00CD7D4F">
        <w:t>Activity Risks</w:t>
      </w:r>
      <w:bookmarkEnd w:id="732"/>
    </w:p>
    <w:p w:rsidR="00AB2113" w:rsidRDefault="00AB2113" w:rsidP="00AE70D8">
      <w:pPr>
        <w:keepNext/>
        <w:keepLines/>
        <w:ind w:left="720"/>
      </w:pPr>
      <w:r w:rsidRPr="00412EEB">
        <w:t>The activity risks associated with the BAMP relate to Planning and Management. Planning includes strategic planning for the future, planning for natural and environmental events such as storms and climate change, this planning for these events or disasters needs to be considered at the local or state level.</w:t>
      </w:r>
    </w:p>
    <w:p w:rsidR="00A008DA" w:rsidRPr="00412EEB" w:rsidRDefault="00A008DA" w:rsidP="00AE70D8">
      <w:pPr>
        <w:keepNext/>
        <w:keepLines/>
        <w:ind w:left="720"/>
      </w:pPr>
    </w:p>
    <w:p w:rsidR="00AB2113" w:rsidRDefault="00AB2113" w:rsidP="00AE70D8">
      <w:pPr>
        <w:keepNext/>
        <w:keepLines/>
        <w:ind w:left="720"/>
      </w:pPr>
      <w:r w:rsidRPr="00412EEB">
        <w:t>Activity risks also relate to the management of Council’s building assets. They include risks associated with the management of data and information regarding the assets, the financial risks and having the right people to manage the assets. Examples of activity risks include:</w:t>
      </w:r>
    </w:p>
    <w:p w:rsidR="00A008DA" w:rsidRPr="00412EEB" w:rsidRDefault="00A008DA" w:rsidP="00A008DA">
      <w:pPr>
        <w:ind w:left="720"/>
      </w:pPr>
    </w:p>
    <w:p w:rsidR="00AB2113" w:rsidRPr="00A008DA" w:rsidRDefault="00AB2113" w:rsidP="00E07083">
      <w:pPr>
        <w:keepNext/>
        <w:keepLines/>
        <w:ind w:left="720"/>
        <w:rPr>
          <w:u w:val="single"/>
        </w:rPr>
      </w:pPr>
      <w:r w:rsidRPr="00A008DA">
        <w:rPr>
          <w:u w:val="single"/>
        </w:rPr>
        <w:t xml:space="preserve">Climate Change </w:t>
      </w:r>
    </w:p>
    <w:p w:rsidR="00A008DA" w:rsidRDefault="00A008DA" w:rsidP="00E07083">
      <w:pPr>
        <w:keepNext/>
        <w:keepLines/>
        <w:ind w:left="720"/>
      </w:pPr>
    </w:p>
    <w:p w:rsidR="00AB2113" w:rsidRDefault="00AB2113" w:rsidP="00E07083">
      <w:pPr>
        <w:keepNext/>
        <w:keepLines/>
        <w:ind w:left="720"/>
      </w:pPr>
      <w:r w:rsidRPr="00412EEB">
        <w:t>Climate change has the potential to have wide</w:t>
      </w:r>
      <w:r w:rsidR="00BD23B9">
        <w:t>-</w:t>
      </w:r>
      <w:r w:rsidRPr="00412EEB">
        <w:t>ranging and significant impacts on the building infrastructure. This will occur through changes in the average climate and changes in the frequency and intensity of severe weather events.</w:t>
      </w:r>
    </w:p>
    <w:p w:rsidR="00A008DA" w:rsidRPr="00412EEB" w:rsidRDefault="00A008DA" w:rsidP="00A008DA">
      <w:pPr>
        <w:ind w:left="720"/>
      </w:pPr>
    </w:p>
    <w:p w:rsidR="00AB2113" w:rsidRDefault="00AB2113" w:rsidP="00A008DA">
      <w:pPr>
        <w:ind w:left="720"/>
      </w:pPr>
      <w:r w:rsidRPr="00412EEB">
        <w:t>Possible climate change impacts on buildings include:</w:t>
      </w:r>
    </w:p>
    <w:p w:rsidR="00A008DA" w:rsidRPr="00412EEB" w:rsidRDefault="00A008DA" w:rsidP="00A008DA">
      <w:pPr>
        <w:ind w:left="720"/>
      </w:pPr>
    </w:p>
    <w:p w:rsidR="00AB2113" w:rsidRPr="00A008DA" w:rsidRDefault="00AB2113" w:rsidP="008348B5">
      <w:pPr>
        <w:pStyle w:val="ListParagraph"/>
        <w:numPr>
          <w:ilvl w:val="0"/>
          <w:numId w:val="104"/>
        </w:numPr>
        <w:ind w:left="1080"/>
        <w:rPr>
          <w:rFonts w:ascii="Arial" w:hAnsi="Arial" w:cs="Arial"/>
          <w:sz w:val="20"/>
          <w:szCs w:val="20"/>
        </w:rPr>
      </w:pPr>
      <w:r w:rsidRPr="00A008DA">
        <w:rPr>
          <w:rFonts w:ascii="Arial" w:hAnsi="Arial" w:cs="Arial"/>
          <w:sz w:val="20"/>
          <w:szCs w:val="20"/>
        </w:rPr>
        <w:t>Increased building heating/cooling costs;</w:t>
      </w:r>
    </w:p>
    <w:p w:rsidR="00AB2113" w:rsidRPr="00A008DA" w:rsidRDefault="00AB2113" w:rsidP="008348B5">
      <w:pPr>
        <w:pStyle w:val="ListParagraph"/>
        <w:numPr>
          <w:ilvl w:val="0"/>
          <w:numId w:val="104"/>
        </w:numPr>
        <w:ind w:left="1080"/>
        <w:rPr>
          <w:rFonts w:ascii="Arial" w:hAnsi="Arial" w:cs="Arial"/>
          <w:sz w:val="20"/>
          <w:szCs w:val="20"/>
        </w:rPr>
      </w:pPr>
      <w:r w:rsidRPr="00A008DA">
        <w:rPr>
          <w:rFonts w:ascii="Arial" w:hAnsi="Arial" w:cs="Arial"/>
          <w:sz w:val="20"/>
          <w:szCs w:val="20"/>
        </w:rPr>
        <w:t>Building damage resulting from changes in soil moisture, increased storm events, wind intensity;  and</w:t>
      </w:r>
    </w:p>
    <w:p w:rsidR="00AB2113" w:rsidRPr="00A008DA" w:rsidRDefault="00AB2113" w:rsidP="008348B5">
      <w:pPr>
        <w:pStyle w:val="ListParagraph"/>
        <w:numPr>
          <w:ilvl w:val="0"/>
          <w:numId w:val="104"/>
        </w:numPr>
        <w:ind w:left="1080"/>
        <w:rPr>
          <w:rFonts w:ascii="Arial" w:hAnsi="Arial" w:cs="Arial"/>
          <w:sz w:val="20"/>
          <w:szCs w:val="20"/>
        </w:rPr>
      </w:pPr>
      <w:r w:rsidRPr="00A008DA">
        <w:rPr>
          <w:rFonts w:ascii="Arial" w:hAnsi="Arial" w:cs="Arial"/>
          <w:sz w:val="20"/>
          <w:szCs w:val="20"/>
        </w:rPr>
        <w:t>Higher rates of building deterioration and associated maintenance costs.</w:t>
      </w:r>
    </w:p>
    <w:p w:rsidR="00AB2113" w:rsidRPr="00412EEB" w:rsidRDefault="00AB2113" w:rsidP="00A008DA">
      <w:pPr>
        <w:ind w:left="720"/>
      </w:pPr>
    </w:p>
    <w:p w:rsidR="00AB2113" w:rsidRDefault="00AB2113" w:rsidP="00A008DA">
      <w:pPr>
        <w:ind w:left="720"/>
      </w:pPr>
      <w:r w:rsidRPr="00412EEB">
        <w:t xml:space="preserve">In the short term the cost of climate change for building infrastructure would mainly arise from repair caused </w:t>
      </w:r>
      <w:r w:rsidR="00094B33">
        <w:t>by increased maintenance, clean</w:t>
      </w:r>
      <w:r w:rsidRPr="00412EEB">
        <w:t>up and emergency response.</w:t>
      </w:r>
    </w:p>
    <w:p w:rsidR="00A008DA" w:rsidRPr="00412EEB" w:rsidRDefault="00A008DA" w:rsidP="00A008DA">
      <w:pPr>
        <w:ind w:left="720"/>
      </w:pPr>
    </w:p>
    <w:p w:rsidR="00AB2113" w:rsidRPr="00412EEB" w:rsidRDefault="006C6D1B" w:rsidP="00A008DA">
      <w:pPr>
        <w:ind w:left="720"/>
      </w:pPr>
      <w:r>
        <w:t xml:space="preserve">In future </w:t>
      </w:r>
      <w:r w:rsidR="00AB2113" w:rsidRPr="00412EEB">
        <w:t>costs for preventive activity such as altered building design, and higher capital expenditure for improved drainage are likely to be incurred.</w:t>
      </w:r>
    </w:p>
    <w:p w:rsidR="00A008DA" w:rsidRDefault="00A008DA" w:rsidP="00A008DA">
      <w:pPr>
        <w:ind w:left="720"/>
      </w:pPr>
      <w:bookmarkStart w:id="733" w:name="_Toc341191966"/>
      <w:bookmarkStart w:id="734" w:name="_Toc341193507"/>
      <w:bookmarkStart w:id="735" w:name="_Toc341193731"/>
      <w:bookmarkStart w:id="736" w:name="_Toc341354230"/>
      <w:bookmarkStart w:id="737" w:name="_Toc341083296"/>
      <w:bookmarkStart w:id="738" w:name="_Toc341107417"/>
      <w:bookmarkStart w:id="739" w:name="_Toc341168957"/>
      <w:bookmarkStart w:id="740" w:name="_Toc341191967"/>
      <w:bookmarkStart w:id="741" w:name="_Toc341193508"/>
      <w:bookmarkStart w:id="742" w:name="_Toc341193732"/>
      <w:bookmarkStart w:id="743" w:name="_Toc341354231"/>
      <w:bookmarkStart w:id="744" w:name="_Toc341083297"/>
      <w:bookmarkStart w:id="745" w:name="_Toc341107418"/>
      <w:bookmarkStart w:id="746" w:name="_Toc341168958"/>
      <w:bookmarkStart w:id="747" w:name="_Toc341191968"/>
      <w:bookmarkStart w:id="748" w:name="_Toc341193509"/>
      <w:bookmarkStart w:id="749" w:name="_Toc341193733"/>
      <w:bookmarkStart w:id="750" w:name="_Toc341354232"/>
      <w:bookmarkStart w:id="751" w:name="_Toc341083298"/>
      <w:bookmarkStart w:id="752" w:name="_Toc341107419"/>
      <w:bookmarkStart w:id="753" w:name="_Toc341168959"/>
      <w:bookmarkStart w:id="754" w:name="_Toc341191969"/>
      <w:bookmarkStart w:id="755" w:name="_Toc341193510"/>
      <w:bookmarkStart w:id="756" w:name="_Toc341193734"/>
      <w:bookmarkStart w:id="757" w:name="_Toc341354233"/>
      <w:bookmarkStart w:id="758" w:name="_Toc341083299"/>
      <w:bookmarkStart w:id="759" w:name="_Toc341107420"/>
      <w:bookmarkStart w:id="760" w:name="_Toc341168960"/>
      <w:bookmarkStart w:id="761" w:name="_Toc341191970"/>
      <w:bookmarkStart w:id="762" w:name="_Toc341193511"/>
      <w:bookmarkStart w:id="763" w:name="_Toc341193735"/>
      <w:bookmarkStart w:id="764" w:name="_Toc341354234"/>
      <w:bookmarkStart w:id="765" w:name="_Toc341083300"/>
      <w:bookmarkStart w:id="766" w:name="_Toc341107421"/>
      <w:bookmarkStart w:id="767" w:name="_Toc341168961"/>
      <w:bookmarkStart w:id="768" w:name="_Toc341191971"/>
      <w:bookmarkStart w:id="769" w:name="_Toc341193512"/>
      <w:bookmarkStart w:id="770" w:name="_Toc341193736"/>
      <w:bookmarkStart w:id="771" w:name="_Toc341354235"/>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p>
    <w:p w:rsidR="00AB2113" w:rsidRPr="00A008DA" w:rsidRDefault="00AB2113" w:rsidP="00A008DA">
      <w:pPr>
        <w:ind w:left="720"/>
        <w:rPr>
          <w:u w:val="single"/>
        </w:rPr>
      </w:pPr>
      <w:r w:rsidRPr="00A008DA">
        <w:rPr>
          <w:u w:val="single"/>
        </w:rPr>
        <w:t>Data Management</w:t>
      </w:r>
    </w:p>
    <w:p w:rsidR="00A008DA" w:rsidRDefault="00A008DA" w:rsidP="00A008DA">
      <w:pPr>
        <w:ind w:left="720"/>
      </w:pPr>
    </w:p>
    <w:p w:rsidR="00AB2113" w:rsidRPr="00050793" w:rsidRDefault="00AB2113" w:rsidP="00050793">
      <w:pPr>
        <w:ind w:left="720"/>
      </w:pPr>
      <w:r w:rsidRPr="00412EEB">
        <w:t xml:space="preserve">Data risk management helps organisations balance potential data risks with business priorities, expenses and other resource constraints. Data risk management helps organisations meet regulatory compliance mandates. As well as maintaining information about the assets, sound data management practices are required to comply with </w:t>
      </w:r>
      <w:r w:rsidRPr="00050793">
        <w:t>funding bodies within the state and federal governments.</w:t>
      </w:r>
    </w:p>
    <w:p w:rsidR="0098148F" w:rsidRPr="00050793" w:rsidRDefault="0098148F" w:rsidP="00A008DA">
      <w:pPr>
        <w:ind w:left="720"/>
      </w:pPr>
    </w:p>
    <w:p w:rsidR="00AB2113" w:rsidRPr="002B10A6" w:rsidRDefault="00AB2113" w:rsidP="00A008DA">
      <w:pPr>
        <w:ind w:left="720"/>
        <w:rPr>
          <w:rFonts w:cs="Arial"/>
        </w:rPr>
      </w:pPr>
      <w:r w:rsidRPr="002B10A6">
        <w:rPr>
          <w:rFonts w:cs="Arial"/>
        </w:rPr>
        <w:t xml:space="preserve">With regard to buildings sound data management is required for the storage of information relating to the building asset. It includes but is not limited to documentation relating to funding applications and agreements, contracts, employment agreements, memoranda of understanding, lease agreements, condition audit data and maintenance/renewal programs. Buildings data is managed within TRIM (Council’s records management software) and </w:t>
      </w:r>
      <w:r w:rsidR="00897C2D">
        <w:rPr>
          <w:rFonts w:cs="Arial"/>
        </w:rPr>
        <w:t>TechnologyOne</w:t>
      </w:r>
      <w:r w:rsidRPr="002B10A6">
        <w:rPr>
          <w:rFonts w:cs="Arial"/>
        </w:rPr>
        <w:t xml:space="preserve"> Asset Management (Council</w:t>
      </w:r>
      <w:r w:rsidR="008473C2">
        <w:rPr>
          <w:rFonts w:cs="Arial"/>
        </w:rPr>
        <w:t>’</w:t>
      </w:r>
      <w:r w:rsidRPr="002B10A6">
        <w:rPr>
          <w:rFonts w:cs="Arial"/>
        </w:rPr>
        <w:t>s Asset Management System).</w:t>
      </w:r>
    </w:p>
    <w:p w:rsidR="0098148F" w:rsidRDefault="0098148F" w:rsidP="00A008DA">
      <w:pPr>
        <w:ind w:left="720"/>
        <w:rPr>
          <w:rFonts w:cs="Arial"/>
        </w:rPr>
      </w:pPr>
    </w:p>
    <w:p w:rsidR="00AB2113" w:rsidRPr="002B10A6" w:rsidRDefault="00AB2113" w:rsidP="00A008DA">
      <w:pPr>
        <w:ind w:left="720"/>
        <w:rPr>
          <w:rFonts w:cs="Arial"/>
        </w:rPr>
      </w:pPr>
      <w:r w:rsidRPr="002B10A6">
        <w:rPr>
          <w:rFonts w:cs="Arial"/>
        </w:rPr>
        <w:t>The Buildings and Property Branch is highly reliant on data to manage their business and the exponential growth of data. This fact highlights the growing importance of appropriate data governance. The importance is further escalated with the increased focus on legal and regulatory compliance.</w:t>
      </w:r>
    </w:p>
    <w:p w:rsidR="0098148F" w:rsidRDefault="0098148F" w:rsidP="00A008DA">
      <w:pPr>
        <w:ind w:left="720"/>
      </w:pPr>
      <w:bookmarkStart w:id="772" w:name="_Toc341191973"/>
      <w:bookmarkStart w:id="773" w:name="_Toc341193514"/>
      <w:bookmarkStart w:id="774" w:name="_Toc341193738"/>
      <w:bookmarkStart w:id="775" w:name="_Toc341354237"/>
      <w:bookmarkEnd w:id="772"/>
      <w:bookmarkEnd w:id="773"/>
      <w:bookmarkEnd w:id="774"/>
      <w:bookmarkEnd w:id="775"/>
    </w:p>
    <w:p w:rsidR="00AB2113" w:rsidRPr="0098148F" w:rsidRDefault="00AB2113" w:rsidP="00A008DA">
      <w:pPr>
        <w:ind w:left="720"/>
        <w:rPr>
          <w:u w:val="single"/>
        </w:rPr>
      </w:pPr>
      <w:r w:rsidRPr="0098148F">
        <w:rPr>
          <w:u w:val="single"/>
        </w:rPr>
        <w:t xml:space="preserve">Project </w:t>
      </w:r>
      <w:r w:rsidR="0098148F">
        <w:rPr>
          <w:u w:val="single"/>
        </w:rPr>
        <w:t>P</w:t>
      </w:r>
      <w:r w:rsidRPr="0098148F">
        <w:rPr>
          <w:u w:val="single"/>
        </w:rPr>
        <w:t xml:space="preserve">lanning and </w:t>
      </w:r>
      <w:r w:rsidR="0098148F">
        <w:rPr>
          <w:u w:val="single"/>
        </w:rPr>
        <w:t>D</w:t>
      </w:r>
      <w:r w:rsidRPr="0098148F">
        <w:rPr>
          <w:u w:val="single"/>
        </w:rPr>
        <w:t xml:space="preserve">esign not </w:t>
      </w:r>
      <w:r w:rsidR="0098148F">
        <w:rPr>
          <w:u w:val="single"/>
        </w:rPr>
        <w:t>R</w:t>
      </w:r>
      <w:r w:rsidRPr="0098148F">
        <w:rPr>
          <w:u w:val="single"/>
        </w:rPr>
        <w:t xml:space="preserve">ecognising </w:t>
      </w:r>
      <w:r w:rsidR="0098148F">
        <w:rPr>
          <w:u w:val="single"/>
        </w:rPr>
        <w:t>F</w:t>
      </w:r>
      <w:r w:rsidRPr="0098148F">
        <w:rPr>
          <w:u w:val="single"/>
        </w:rPr>
        <w:t xml:space="preserve">uture </w:t>
      </w:r>
      <w:r w:rsidR="0098148F">
        <w:rPr>
          <w:u w:val="single"/>
        </w:rPr>
        <w:t>F</w:t>
      </w:r>
      <w:r w:rsidRPr="0098148F">
        <w:rPr>
          <w:u w:val="single"/>
        </w:rPr>
        <w:t>unding</w:t>
      </w:r>
    </w:p>
    <w:p w:rsidR="0098148F" w:rsidRDefault="0098148F" w:rsidP="00A008DA">
      <w:pPr>
        <w:ind w:left="720"/>
      </w:pPr>
    </w:p>
    <w:p w:rsidR="00AB2113" w:rsidRDefault="00AB2113" w:rsidP="00A008DA">
      <w:pPr>
        <w:ind w:left="720"/>
      </w:pPr>
      <w:r w:rsidRPr="00412EEB">
        <w:t>Lifecycle funding should take into account all costs for land purchases, planning, installation/construction, maintenance, operation, and eventual decommissioning/disposal of the building. Considerations should also include the social costs and the user costs. When planning the acquisition of a major asset, a considerable time and effort is often made in making an economic evaluation of the initial (capital) cost. This evaluation typically considers the:</w:t>
      </w:r>
    </w:p>
    <w:p w:rsidR="0098148F" w:rsidRPr="00412EEB" w:rsidRDefault="0098148F" w:rsidP="00A008DA">
      <w:pPr>
        <w:ind w:left="720"/>
      </w:pPr>
    </w:p>
    <w:p w:rsidR="00AB2113" w:rsidRPr="0098148F" w:rsidRDefault="00AB2113" w:rsidP="008348B5">
      <w:pPr>
        <w:pStyle w:val="ListParagraph"/>
        <w:numPr>
          <w:ilvl w:val="0"/>
          <w:numId w:val="104"/>
        </w:numPr>
        <w:ind w:left="1080"/>
        <w:rPr>
          <w:rFonts w:ascii="Arial" w:hAnsi="Arial" w:cs="Arial"/>
          <w:sz w:val="20"/>
          <w:szCs w:val="20"/>
        </w:rPr>
      </w:pPr>
      <w:r w:rsidRPr="0098148F">
        <w:rPr>
          <w:rFonts w:ascii="Arial" w:hAnsi="Arial" w:cs="Arial"/>
          <w:sz w:val="20"/>
          <w:szCs w:val="20"/>
        </w:rPr>
        <w:t>Required size or capacity of the item;</w:t>
      </w:r>
    </w:p>
    <w:p w:rsidR="00AB2113" w:rsidRPr="0098148F" w:rsidRDefault="00AB2113" w:rsidP="008348B5">
      <w:pPr>
        <w:pStyle w:val="ListParagraph"/>
        <w:numPr>
          <w:ilvl w:val="0"/>
          <w:numId w:val="104"/>
        </w:numPr>
        <w:ind w:left="1080"/>
        <w:rPr>
          <w:rFonts w:ascii="Arial" w:hAnsi="Arial" w:cs="Arial"/>
          <w:sz w:val="20"/>
          <w:szCs w:val="20"/>
        </w:rPr>
      </w:pPr>
      <w:r w:rsidRPr="0098148F">
        <w:rPr>
          <w:rFonts w:ascii="Arial" w:hAnsi="Arial" w:cs="Arial"/>
          <w:sz w:val="20"/>
          <w:szCs w:val="20"/>
        </w:rPr>
        <w:t>Operating performance requirements;</w:t>
      </w:r>
    </w:p>
    <w:p w:rsidR="00AB2113" w:rsidRPr="0098148F" w:rsidRDefault="00AB2113" w:rsidP="008348B5">
      <w:pPr>
        <w:pStyle w:val="ListParagraph"/>
        <w:numPr>
          <w:ilvl w:val="0"/>
          <w:numId w:val="104"/>
        </w:numPr>
        <w:ind w:left="1080"/>
        <w:rPr>
          <w:rFonts w:ascii="Arial" w:hAnsi="Arial" w:cs="Arial"/>
          <w:sz w:val="20"/>
          <w:szCs w:val="20"/>
        </w:rPr>
      </w:pPr>
      <w:r w:rsidRPr="0098148F">
        <w:rPr>
          <w:rFonts w:ascii="Arial" w:hAnsi="Arial" w:cs="Arial"/>
          <w:sz w:val="20"/>
          <w:szCs w:val="20"/>
        </w:rPr>
        <w:t>Physical appearance or image projected;</w:t>
      </w:r>
    </w:p>
    <w:p w:rsidR="00AB2113" w:rsidRPr="0098148F" w:rsidRDefault="00AB2113" w:rsidP="008348B5">
      <w:pPr>
        <w:pStyle w:val="ListParagraph"/>
        <w:numPr>
          <w:ilvl w:val="0"/>
          <w:numId w:val="104"/>
        </w:numPr>
        <w:ind w:left="1080"/>
        <w:rPr>
          <w:rFonts w:ascii="Arial" w:hAnsi="Arial" w:cs="Arial"/>
          <w:sz w:val="20"/>
          <w:szCs w:val="20"/>
        </w:rPr>
      </w:pPr>
      <w:r w:rsidRPr="0098148F">
        <w:rPr>
          <w:rFonts w:ascii="Arial" w:hAnsi="Arial" w:cs="Arial"/>
          <w:sz w:val="20"/>
          <w:szCs w:val="20"/>
        </w:rPr>
        <w:t>Capital cost; and</w:t>
      </w:r>
    </w:p>
    <w:p w:rsidR="00AB2113" w:rsidRPr="0098148F" w:rsidRDefault="00AB2113" w:rsidP="008348B5">
      <w:pPr>
        <w:pStyle w:val="ListParagraph"/>
        <w:numPr>
          <w:ilvl w:val="0"/>
          <w:numId w:val="104"/>
        </w:numPr>
        <w:ind w:left="1080"/>
        <w:rPr>
          <w:rFonts w:ascii="Arial" w:hAnsi="Arial" w:cs="Arial"/>
          <w:sz w:val="20"/>
          <w:szCs w:val="20"/>
        </w:rPr>
      </w:pPr>
      <w:r w:rsidRPr="0098148F">
        <w:rPr>
          <w:rFonts w:ascii="Arial" w:hAnsi="Arial" w:cs="Arial"/>
          <w:sz w:val="20"/>
          <w:szCs w:val="20"/>
        </w:rPr>
        <w:t>Alternative product options.</w:t>
      </w:r>
    </w:p>
    <w:p w:rsidR="0098148F" w:rsidRDefault="0098148F" w:rsidP="00A008DA">
      <w:pPr>
        <w:ind w:left="720"/>
      </w:pPr>
    </w:p>
    <w:p w:rsidR="00AB2113" w:rsidRDefault="00AB2113" w:rsidP="00A008DA">
      <w:pPr>
        <w:ind w:left="720"/>
      </w:pPr>
      <w:r w:rsidRPr="00412EEB">
        <w:t>Future costs are less visible, as they are often hidden within general operating expenses, but they can have a significant impact on the future viability of a new building. These future costs will arise from the following:</w:t>
      </w:r>
    </w:p>
    <w:p w:rsidR="0098148F" w:rsidRPr="00412EEB" w:rsidRDefault="0098148F" w:rsidP="00A008DA">
      <w:pPr>
        <w:ind w:left="720"/>
      </w:pPr>
    </w:p>
    <w:p w:rsidR="00AB2113" w:rsidRPr="0098148F" w:rsidRDefault="00AB2113" w:rsidP="008348B5">
      <w:pPr>
        <w:pStyle w:val="ListParagraph"/>
        <w:numPr>
          <w:ilvl w:val="0"/>
          <w:numId w:val="106"/>
        </w:numPr>
        <w:rPr>
          <w:rFonts w:ascii="Arial" w:hAnsi="Arial" w:cs="Arial"/>
          <w:sz w:val="20"/>
        </w:rPr>
      </w:pPr>
      <w:r w:rsidRPr="0098148F">
        <w:rPr>
          <w:rFonts w:ascii="Arial" w:hAnsi="Arial" w:cs="Arial"/>
          <w:sz w:val="20"/>
        </w:rPr>
        <w:t>Operational needs, including labour, equipment, insurances and overhead</w:t>
      </w:r>
      <w:r w:rsidR="006C6D1B" w:rsidRPr="0098148F">
        <w:rPr>
          <w:rFonts w:ascii="Arial" w:hAnsi="Arial" w:cs="Arial"/>
          <w:sz w:val="20"/>
        </w:rPr>
        <w:t xml:space="preserve"> charges. Consumables, such as  toner and ink and utilities such as power and water;</w:t>
      </w:r>
    </w:p>
    <w:p w:rsidR="00AB2113" w:rsidRPr="0098148F" w:rsidRDefault="00AB2113" w:rsidP="008348B5">
      <w:pPr>
        <w:pStyle w:val="ListParagraph"/>
        <w:numPr>
          <w:ilvl w:val="0"/>
          <w:numId w:val="106"/>
        </w:numPr>
        <w:rPr>
          <w:rFonts w:ascii="Arial" w:hAnsi="Arial" w:cs="Arial"/>
          <w:sz w:val="20"/>
        </w:rPr>
      </w:pPr>
      <w:r w:rsidRPr="0098148F">
        <w:rPr>
          <w:rFonts w:ascii="Arial" w:hAnsi="Arial" w:cs="Arial"/>
          <w:sz w:val="20"/>
        </w:rPr>
        <w:t xml:space="preserve">Maintenance and Minor Repairs, including labour, parts, materials, and overhead charges to maintain the asset at the desired condition and performance level; </w:t>
      </w:r>
    </w:p>
    <w:p w:rsidR="00AB2113" w:rsidRPr="0098148F" w:rsidRDefault="00AB2113" w:rsidP="008348B5">
      <w:pPr>
        <w:pStyle w:val="ListParagraph"/>
        <w:numPr>
          <w:ilvl w:val="0"/>
          <w:numId w:val="106"/>
        </w:numPr>
        <w:rPr>
          <w:rFonts w:ascii="Arial" w:hAnsi="Arial" w:cs="Arial"/>
          <w:sz w:val="20"/>
        </w:rPr>
      </w:pPr>
      <w:r w:rsidRPr="0098148F">
        <w:rPr>
          <w:rFonts w:ascii="Arial" w:hAnsi="Arial" w:cs="Arial"/>
          <w:sz w:val="20"/>
        </w:rPr>
        <w:t>Upgrade and Renewal, including major repairs, refurbishment, renewals and overhauls to extend the life of the asset or equipment; and</w:t>
      </w:r>
    </w:p>
    <w:p w:rsidR="00AB2113" w:rsidRPr="0098148F" w:rsidRDefault="00AB2113" w:rsidP="008348B5">
      <w:pPr>
        <w:pStyle w:val="ListParagraph"/>
        <w:numPr>
          <w:ilvl w:val="0"/>
          <w:numId w:val="106"/>
        </w:numPr>
        <w:rPr>
          <w:rFonts w:ascii="Arial" w:hAnsi="Arial" w:cs="Arial"/>
          <w:sz w:val="20"/>
        </w:rPr>
      </w:pPr>
      <w:r w:rsidRPr="0098148F">
        <w:rPr>
          <w:rFonts w:ascii="Arial" w:hAnsi="Arial" w:cs="Arial"/>
          <w:sz w:val="20"/>
        </w:rPr>
        <w:t>Disposal, including costs associated with selling, demolishing and safely disposing the remnants of the asset.</w:t>
      </w:r>
    </w:p>
    <w:p w:rsidR="0098148F" w:rsidRDefault="0098148F" w:rsidP="00A008DA">
      <w:pPr>
        <w:ind w:left="720"/>
      </w:pPr>
    </w:p>
    <w:p w:rsidR="00AB2113" w:rsidRPr="00692B4A" w:rsidRDefault="00AB2113" w:rsidP="00692B4A">
      <w:pPr>
        <w:ind w:left="720"/>
      </w:pPr>
      <w:r w:rsidRPr="00412EEB">
        <w:t>The study of these issues should be part of a complete risk assessment of the merit of a specific building project.</w:t>
      </w:r>
    </w:p>
    <w:p w:rsidR="00AB2113" w:rsidRPr="00412EEB" w:rsidRDefault="00AB2113" w:rsidP="00EE0F60">
      <w:pPr>
        <w:pStyle w:val="StyleHeading3Heading3Char10ptBefore6pt"/>
        <w:keepLines/>
      </w:pPr>
      <w:bookmarkStart w:id="776" w:name="_Toc346740144"/>
      <w:bookmarkStart w:id="777" w:name="_Toc364945349"/>
      <w:r w:rsidRPr="00412EEB">
        <w:t>Operational Risk</w:t>
      </w:r>
      <w:bookmarkEnd w:id="776"/>
      <w:bookmarkEnd w:id="777"/>
    </w:p>
    <w:p w:rsidR="00AB2113" w:rsidRPr="00412EEB" w:rsidRDefault="00AB2113" w:rsidP="00EE0F60">
      <w:pPr>
        <w:keepNext/>
        <w:keepLines/>
        <w:ind w:left="720"/>
      </w:pPr>
      <w:r w:rsidRPr="00412EEB">
        <w:t>The physical asset risks are classified by both component and sub</w:t>
      </w:r>
      <w:r w:rsidR="006C6D1B">
        <w:t>-</w:t>
      </w:r>
      <w:r w:rsidRPr="00412EEB">
        <w:t>component. There is a strong correlation between operational risks and technical levels of service. Defects that have a critical or significant effect on the performance of the sub</w:t>
      </w:r>
      <w:r w:rsidR="006C6D1B">
        <w:t>-</w:t>
      </w:r>
      <w:r w:rsidRPr="00412EEB">
        <w:t xml:space="preserve"> components have been identified and documented. Measures to prevent failure and the rectification of failures at the asset and the component level are generally carried out through capital works programs. Actions to prevent failure and the rectification of defects at the sub</w:t>
      </w:r>
      <w:r w:rsidR="006C6D1B">
        <w:t>-</w:t>
      </w:r>
      <w:r w:rsidRPr="00412EEB">
        <w:t xml:space="preserve"> component level are carried out through routine and reactive maintenance programs.</w:t>
      </w:r>
    </w:p>
    <w:p w:rsidR="00AB2113" w:rsidRPr="00412EEB" w:rsidRDefault="00AB2113" w:rsidP="003E5B9F">
      <w:pPr>
        <w:pStyle w:val="StyleHeading3Heading3Char10ptBefore6pt"/>
      </w:pPr>
      <w:bookmarkStart w:id="778" w:name="_Toc341191955"/>
      <w:bookmarkStart w:id="779" w:name="_Toc341193496"/>
      <w:bookmarkStart w:id="780" w:name="_Toc341193720"/>
      <w:bookmarkStart w:id="781" w:name="_Toc341354219"/>
      <w:bookmarkStart w:id="782" w:name="_Toc341191957"/>
      <w:bookmarkStart w:id="783" w:name="_Toc341193498"/>
      <w:bookmarkStart w:id="784" w:name="_Toc341193722"/>
      <w:bookmarkStart w:id="785" w:name="_Toc341354221"/>
      <w:bookmarkStart w:id="786" w:name="_Toc341191964"/>
      <w:bookmarkStart w:id="787" w:name="_Toc341193505"/>
      <w:bookmarkStart w:id="788" w:name="_Toc341193729"/>
      <w:bookmarkStart w:id="789" w:name="_Toc341354228"/>
      <w:bookmarkStart w:id="790" w:name="_Toc341193516"/>
      <w:bookmarkStart w:id="791" w:name="_Toc341193740"/>
      <w:bookmarkStart w:id="792" w:name="_Toc341354239"/>
      <w:bookmarkStart w:id="793" w:name="_Toc346740145"/>
      <w:bookmarkStart w:id="794" w:name="_Toc364945350"/>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r w:rsidRPr="00412EEB">
        <w:t>Critical Assets</w:t>
      </w:r>
      <w:bookmarkEnd w:id="793"/>
      <w:bookmarkEnd w:id="794"/>
    </w:p>
    <w:p w:rsidR="00AB2113" w:rsidRDefault="00AB2113" w:rsidP="0098148F">
      <w:pPr>
        <w:ind w:left="720"/>
      </w:pPr>
      <w:r w:rsidRPr="00412EEB">
        <w:t xml:space="preserve">It is important to identify </w:t>
      </w:r>
      <w:r w:rsidRPr="006C6D1B">
        <w:t>Critical Building Assets</w:t>
      </w:r>
      <w:r w:rsidRPr="00412EEB">
        <w:t xml:space="preserve"> and the risk associated with maintaining those critical assets.</w:t>
      </w:r>
      <w:r w:rsidRPr="00412EEB">
        <w:rPr>
          <w:b/>
        </w:rPr>
        <w:t xml:space="preserve"> </w:t>
      </w:r>
      <w:r w:rsidRPr="00412EEB">
        <w:t xml:space="preserve">Critical assets are defined as those assets that are maintained by the Building Maintenance </w:t>
      </w:r>
      <w:r w:rsidR="006C6D1B">
        <w:t>Unit</w:t>
      </w:r>
      <w:r w:rsidRPr="00412EEB">
        <w:t xml:space="preserve"> which have a high consequence if they fail, but not necessarily a high probability of failure. By identifying these critical assets (and critical failure modes) the Branch can develop inspection regimes’, maintenance plans and capital works programs for those critical assets.</w:t>
      </w:r>
    </w:p>
    <w:p w:rsidR="00412EEB" w:rsidRPr="00412EEB" w:rsidRDefault="00412EEB" w:rsidP="0098148F">
      <w:pPr>
        <w:ind w:left="720"/>
      </w:pPr>
    </w:p>
    <w:p w:rsidR="00AB2113" w:rsidRDefault="00AB2113" w:rsidP="0098148F">
      <w:pPr>
        <w:ind w:left="720"/>
      </w:pPr>
      <w:r w:rsidRPr="00412EEB">
        <w:t>Council’s policy on significance identifies heritage listed buildings as part of the council’s strategic assets. These assets must be preserved at all costs for future generations and, by default, are critical assets.</w:t>
      </w:r>
    </w:p>
    <w:p w:rsidR="00412EEB" w:rsidRPr="00412EEB" w:rsidRDefault="00412EEB" w:rsidP="0098148F">
      <w:pPr>
        <w:ind w:left="720"/>
      </w:pPr>
    </w:p>
    <w:p w:rsidR="00AB2113" w:rsidRPr="00412EEB" w:rsidRDefault="00AB2113" w:rsidP="0098148F">
      <w:pPr>
        <w:ind w:left="720"/>
      </w:pPr>
      <w:r w:rsidRPr="00412EEB">
        <w:t>For the purpose of this Plan other building assets can be considered as critical even though they may not be significant from the perspective of heritage, historical or cultural value.</w:t>
      </w:r>
    </w:p>
    <w:p w:rsidR="00AB2113" w:rsidRDefault="00AB2113" w:rsidP="0098148F">
      <w:pPr>
        <w:ind w:left="720"/>
      </w:pPr>
      <w:r w:rsidRPr="00412EEB">
        <w:t xml:space="preserve">At this stage Council has established a </w:t>
      </w:r>
      <w:r w:rsidR="006C6D1B">
        <w:t xml:space="preserve">four </w:t>
      </w:r>
      <w:r w:rsidRPr="00412EEB">
        <w:t>level priority to identify critical assets at the building classification level. Bui</w:t>
      </w:r>
      <w:r w:rsidR="006C6D1B">
        <w:t>ldings in hierarchy L</w:t>
      </w:r>
      <w:r w:rsidRPr="00412EEB">
        <w:t>evel ‘1’ are considered to be more critical than buildings in other hierarchical levels.</w:t>
      </w:r>
    </w:p>
    <w:p w:rsidR="00412EEB" w:rsidRPr="00412EEB" w:rsidRDefault="00412EEB" w:rsidP="0098148F">
      <w:pPr>
        <w:ind w:left="720"/>
      </w:pPr>
    </w:p>
    <w:p w:rsidR="00AB2113" w:rsidRDefault="00AB2113" w:rsidP="0098148F">
      <w:pPr>
        <w:ind w:left="720"/>
      </w:pPr>
      <w:r w:rsidRPr="00412EEB">
        <w:t>In future it would be necessary to identify critical assets at the individual building level.</w:t>
      </w:r>
    </w:p>
    <w:p w:rsidR="008B7EDF" w:rsidRPr="0062287A" w:rsidRDefault="008B7EDF" w:rsidP="008B7EDF">
      <w:pPr>
        <w:keepNext/>
        <w:keepLines/>
        <w:ind w:left="720"/>
      </w:pPr>
    </w:p>
    <w:tbl>
      <w:tblPr>
        <w:tblW w:w="0" w:type="auto"/>
        <w:jc w:val="right"/>
        <w:tblBorders>
          <w:top w:val="single" w:sz="4"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30" w:type="dxa"/>
          <w:right w:w="30" w:type="dxa"/>
        </w:tblCellMar>
        <w:tblLook w:val="0000" w:firstRow="0" w:lastRow="0" w:firstColumn="0" w:lastColumn="0" w:noHBand="0" w:noVBand="0"/>
      </w:tblPr>
      <w:tblGrid>
        <w:gridCol w:w="992"/>
        <w:gridCol w:w="3969"/>
        <w:gridCol w:w="3430"/>
      </w:tblGrid>
      <w:tr w:rsidR="008B7EDF" w:rsidRPr="0062287A" w:rsidTr="008B7EDF">
        <w:trPr>
          <w:cantSplit/>
          <w:jc w:val="right"/>
        </w:trPr>
        <w:tc>
          <w:tcPr>
            <w:tcW w:w="992" w:type="dxa"/>
            <w:tcBorders>
              <w:top w:val="single" w:sz="4" w:space="0" w:color="auto"/>
              <w:left w:val="single" w:sz="4" w:space="0" w:color="auto"/>
              <w:bottom w:val="single" w:sz="4" w:space="0" w:color="auto"/>
              <w:right w:val="single" w:sz="4" w:space="0" w:color="auto"/>
            </w:tcBorders>
            <w:shd w:val="clear" w:color="auto" w:fill="95B3D7" w:themeFill="accent1" w:themeFillTint="99"/>
          </w:tcPr>
          <w:p w:rsidR="008B7EDF" w:rsidRPr="00412181" w:rsidRDefault="008B7EDF" w:rsidP="008B7EDF">
            <w:pPr>
              <w:keepNext/>
              <w:keepLines/>
              <w:spacing w:before="120" w:after="120"/>
              <w:jc w:val="center"/>
              <w:rPr>
                <w:rFonts w:eastAsia="Calibri"/>
                <w:b/>
              </w:rPr>
            </w:pPr>
            <w:r w:rsidRPr="00412181">
              <w:rPr>
                <w:rFonts w:eastAsia="Calibri"/>
                <w:b/>
              </w:rPr>
              <w:t>Hierarchy</w:t>
            </w:r>
          </w:p>
        </w:tc>
        <w:tc>
          <w:tcPr>
            <w:tcW w:w="3969" w:type="dxa"/>
            <w:tcBorders>
              <w:top w:val="single" w:sz="4" w:space="0" w:color="auto"/>
              <w:left w:val="single" w:sz="4" w:space="0" w:color="auto"/>
              <w:bottom w:val="single" w:sz="4" w:space="0" w:color="auto"/>
              <w:right w:val="single" w:sz="4" w:space="0" w:color="auto"/>
            </w:tcBorders>
            <w:shd w:val="clear" w:color="auto" w:fill="95B3D7" w:themeFill="accent1" w:themeFillTint="99"/>
          </w:tcPr>
          <w:p w:rsidR="008B7EDF" w:rsidRPr="006F599F" w:rsidRDefault="008B7EDF" w:rsidP="008B7EDF">
            <w:pPr>
              <w:keepNext/>
              <w:keepLines/>
              <w:spacing w:before="120" w:after="120"/>
              <w:jc w:val="left"/>
              <w:rPr>
                <w:rFonts w:eastAsia="Calibri"/>
                <w:b/>
              </w:rPr>
            </w:pPr>
            <w:r w:rsidRPr="006F599F">
              <w:rPr>
                <w:rFonts w:eastAsia="Calibri"/>
                <w:b/>
              </w:rPr>
              <w:t>Building Significance</w:t>
            </w:r>
          </w:p>
        </w:tc>
        <w:tc>
          <w:tcPr>
            <w:tcW w:w="3430" w:type="dxa"/>
            <w:tcBorders>
              <w:top w:val="single" w:sz="4" w:space="0" w:color="auto"/>
              <w:left w:val="single" w:sz="4" w:space="0" w:color="auto"/>
              <w:bottom w:val="single" w:sz="4" w:space="0" w:color="auto"/>
              <w:right w:val="single" w:sz="4" w:space="0" w:color="auto"/>
            </w:tcBorders>
            <w:shd w:val="clear" w:color="auto" w:fill="95B3D7" w:themeFill="accent1" w:themeFillTint="99"/>
          </w:tcPr>
          <w:p w:rsidR="008B7EDF" w:rsidRPr="006F599F" w:rsidRDefault="008B7EDF" w:rsidP="008B7EDF">
            <w:pPr>
              <w:keepNext/>
              <w:keepLines/>
              <w:spacing w:before="120" w:after="120"/>
              <w:jc w:val="left"/>
              <w:rPr>
                <w:rFonts w:eastAsia="Calibri"/>
                <w:b/>
              </w:rPr>
            </w:pPr>
            <w:r w:rsidRPr="006F599F">
              <w:rPr>
                <w:rFonts w:eastAsia="Calibri"/>
                <w:b/>
              </w:rPr>
              <w:t>Buildings Included</w:t>
            </w:r>
          </w:p>
        </w:tc>
      </w:tr>
      <w:tr w:rsidR="008B7EDF" w:rsidRPr="00412181" w:rsidTr="008B7EDF">
        <w:trPr>
          <w:cantSplit/>
          <w:jc w:val="right"/>
        </w:trPr>
        <w:tc>
          <w:tcPr>
            <w:tcW w:w="992" w:type="dxa"/>
            <w:tcBorders>
              <w:top w:val="single" w:sz="4" w:space="0" w:color="auto"/>
            </w:tcBorders>
          </w:tcPr>
          <w:p w:rsidR="008B7EDF" w:rsidRPr="00412181" w:rsidRDefault="008B7EDF" w:rsidP="008B7EDF">
            <w:pPr>
              <w:pStyle w:val="TableText1"/>
              <w:keepNext/>
              <w:keepLines/>
              <w:spacing w:before="120" w:after="120"/>
              <w:jc w:val="center"/>
              <w:rPr>
                <w:rFonts w:eastAsia="Calibri"/>
                <w:snapToGrid w:val="0"/>
                <w:sz w:val="20"/>
              </w:rPr>
            </w:pPr>
            <w:r w:rsidRPr="00412181">
              <w:rPr>
                <w:rFonts w:eastAsia="Calibri"/>
                <w:snapToGrid w:val="0"/>
                <w:sz w:val="20"/>
              </w:rPr>
              <w:t>1</w:t>
            </w:r>
          </w:p>
        </w:tc>
        <w:tc>
          <w:tcPr>
            <w:tcW w:w="3969" w:type="dxa"/>
            <w:tcBorders>
              <w:top w:val="single" w:sz="4" w:space="0" w:color="auto"/>
            </w:tcBorders>
          </w:tcPr>
          <w:p w:rsidR="008B7EDF" w:rsidRPr="00412181" w:rsidRDefault="008B7EDF" w:rsidP="008B7EDF">
            <w:pPr>
              <w:pStyle w:val="TableText1"/>
              <w:keepNext/>
              <w:keepLines/>
              <w:spacing w:before="120" w:after="120"/>
              <w:jc w:val="left"/>
              <w:rPr>
                <w:rFonts w:eastAsia="Calibri"/>
                <w:snapToGrid w:val="0"/>
                <w:sz w:val="20"/>
              </w:rPr>
            </w:pPr>
            <w:r w:rsidRPr="00412181">
              <w:rPr>
                <w:rFonts w:eastAsia="Calibri"/>
                <w:snapToGrid w:val="0"/>
                <w:sz w:val="20"/>
              </w:rPr>
              <w:t>Facilities that serve the wider community; that are a critical service.</w:t>
            </w:r>
          </w:p>
        </w:tc>
        <w:tc>
          <w:tcPr>
            <w:tcW w:w="3430" w:type="dxa"/>
            <w:tcBorders>
              <w:top w:val="single" w:sz="4" w:space="0" w:color="auto"/>
            </w:tcBorders>
            <w:shd w:val="solid" w:color="FFFFFF" w:fill="auto"/>
          </w:tcPr>
          <w:p w:rsidR="008B7EDF" w:rsidRPr="00412181" w:rsidRDefault="008B7EDF" w:rsidP="008B7EDF">
            <w:pPr>
              <w:pStyle w:val="TableText1"/>
              <w:keepNext/>
              <w:keepLines/>
              <w:spacing w:before="120" w:after="120"/>
              <w:jc w:val="left"/>
              <w:rPr>
                <w:rFonts w:eastAsia="Calibri"/>
                <w:snapToGrid w:val="0"/>
                <w:sz w:val="20"/>
              </w:rPr>
            </w:pPr>
            <w:r>
              <w:rPr>
                <w:rFonts w:eastAsia="Calibri"/>
                <w:snapToGrid w:val="0"/>
                <w:sz w:val="20"/>
              </w:rPr>
              <w:t>Child Care Centres/</w:t>
            </w:r>
            <w:r w:rsidRPr="00412181">
              <w:rPr>
                <w:rFonts w:eastAsia="Calibri"/>
                <w:snapToGrid w:val="0"/>
                <w:sz w:val="20"/>
              </w:rPr>
              <w:t>Kindergartens</w:t>
            </w:r>
          </w:p>
          <w:p w:rsidR="008B7EDF" w:rsidRPr="00412181" w:rsidRDefault="008B7EDF" w:rsidP="008B7EDF">
            <w:pPr>
              <w:pStyle w:val="TableText1"/>
              <w:keepNext/>
              <w:keepLines/>
              <w:spacing w:before="120" w:after="120"/>
              <w:jc w:val="left"/>
              <w:rPr>
                <w:rFonts w:eastAsia="Calibri"/>
                <w:snapToGrid w:val="0"/>
                <w:sz w:val="20"/>
              </w:rPr>
            </w:pPr>
            <w:r w:rsidRPr="00412181">
              <w:rPr>
                <w:rFonts w:eastAsia="Calibri"/>
                <w:snapToGrid w:val="0"/>
                <w:sz w:val="20"/>
              </w:rPr>
              <w:t>Leisure Centres</w:t>
            </w:r>
          </w:p>
          <w:p w:rsidR="008B7EDF" w:rsidRPr="00412181" w:rsidRDefault="008B7EDF" w:rsidP="008B7EDF">
            <w:pPr>
              <w:pStyle w:val="TableText1"/>
              <w:keepNext/>
              <w:keepLines/>
              <w:spacing w:before="120" w:after="120"/>
              <w:jc w:val="left"/>
              <w:rPr>
                <w:rFonts w:eastAsia="Calibri"/>
                <w:snapToGrid w:val="0"/>
                <w:sz w:val="20"/>
              </w:rPr>
            </w:pPr>
            <w:r>
              <w:rPr>
                <w:rFonts w:eastAsia="Calibri"/>
                <w:snapToGrid w:val="0"/>
                <w:sz w:val="20"/>
              </w:rPr>
              <w:t>Maternal and</w:t>
            </w:r>
            <w:r w:rsidRPr="00412181">
              <w:rPr>
                <w:rFonts w:eastAsia="Calibri"/>
                <w:snapToGrid w:val="0"/>
                <w:sz w:val="20"/>
              </w:rPr>
              <w:t xml:space="preserve"> Child Health Centres</w:t>
            </w:r>
          </w:p>
          <w:p w:rsidR="008B7EDF" w:rsidRPr="00412181" w:rsidRDefault="008B7EDF" w:rsidP="008B7EDF">
            <w:pPr>
              <w:pStyle w:val="TableText1"/>
              <w:keepNext/>
              <w:keepLines/>
              <w:spacing w:before="120" w:after="120"/>
              <w:jc w:val="left"/>
              <w:rPr>
                <w:rFonts w:eastAsia="Calibri"/>
                <w:snapToGrid w:val="0"/>
                <w:sz w:val="20"/>
              </w:rPr>
            </w:pPr>
            <w:r w:rsidRPr="00412181">
              <w:rPr>
                <w:rFonts w:eastAsia="Calibri"/>
                <w:snapToGrid w:val="0"/>
                <w:sz w:val="20"/>
              </w:rPr>
              <w:t>Libraries, Public Toilets</w:t>
            </w:r>
          </w:p>
          <w:p w:rsidR="008B7EDF" w:rsidRPr="00412181" w:rsidRDefault="008B7EDF" w:rsidP="008B7EDF">
            <w:pPr>
              <w:pStyle w:val="TableText1"/>
              <w:keepNext/>
              <w:keepLines/>
              <w:spacing w:before="120" w:after="120"/>
              <w:jc w:val="left"/>
              <w:rPr>
                <w:rFonts w:eastAsia="Calibri"/>
                <w:snapToGrid w:val="0"/>
                <w:sz w:val="20"/>
              </w:rPr>
            </w:pPr>
            <w:r w:rsidRPr="00412181">
              <w:rPr>
                <w:rFonts w:eastAsia="Calibri"/>
                <w:snapToGrid w:val="0"/>
                <w:sz w:val="20"/>
              </w:rPr>
              <w:t>Seniors Centres, Youth Centres</w:t>
            </w:r>
          </w:p>
          <w:p w:rsidR="008B7EDF" w:rsidRPr="00412181" w:rsidRDefault="008B7EDF" w:rsidP="008B7EDF">
            <w:pPr>
              <w:pStyle w:val="TableText1"/>
              <w:keepNext/>
              <w:keepLines/>
              <w:spacing w:before="120" w:after="120"/>
              <w:jc w:val="left"/>
              <w:rPr>
                <w:rFonts w:eastAsia="Calibri"/>
                <w:snapToGrid w:val="0"/>
                <w:sz w:val="20"/>
              </w:rPr>
            </w:pPr>
            <w:r w:rsidRPr="00412181">
              <w:rPr>
                <w:rFonts w:eastAsia="Calibri"/>
                <w:snapToGrid w:val="0"/>
                <w:sz w:val="20"/>
              </w:rPr>
              <w:t>Neighbourhood Houses</w:t>
            </w:r>
          </w:p>
        </w:tc>
      </w:tr>
      <w:tr w:rsidR="008B7EDF" w:rsidRPr="00412181" w:rsidTr="008B7EDF">
        <w:trPr>
          <w:cantSplit/>
          <w:jc w:val="right"/>
        </w:trPr>
        <w:tc>
          <w:tcPr>
            <w:tcW w:w="992" w:type="dxa"/>
          </w:tcPr>
          <w:p w:rsidR="008B7EDF" w:rsidRPr="00412181" w:rsidRDefault="008B7EDF" w:rsidP="008B7EDF">
            <w:pPr>
              <w:pStyle w:val="TableText1"/>
              <w:spacing w:before="120" w:after="120"/>
              <w:jc w:val="center"/>
              <w:rPr>
                <w:rFonts w:eastAsia="Calibri"/>
                <w:snapToGrid w:val="0"/>
                <w:sz w:val="20"/>
              </w:rPr>
            </w:pPr>
            <w:r w:rsidRPr="00412181">
              <w:rPr>
                <w:rFonts w:eastAsia="Calibri"/>
                <w:snapToGrid w:val="0"/>
                <w:sz w:val="20"/>
              </w:rPr>
              <w:t>2</w:t>
            </w:r>
          </w:p>
        </w:tc>
        <w:tc>
          <w:tcPr>
            <w:tcW w:w="3969" w:type="dxa"/>
          </w:tcPr>
          <w:p w:rsidR="008B7EDF" w:rsidRPr="00412181" w:rsidRDefault="008B7EDF" w:rsidP="008B7EDF">
            <w:pPr>
              <w:pStyle w:val="TableText1"/>
              <w:spacing w:before="120" w:after="120"/>
              <w:jc w:val="left"/>
              <w:rPr>
                <w:rFonts w:eastAsia="Calibri"/>
                <w:snapToGrid w:val="0"/>
                <w:sz w:val="20"/>
              </w:rPr>
            </w:pPr>
            <w:r w:rsidRPr="00412181">
              <w:rPr>
                <w:rFonts w:eastAsia="Calibri"/>
                <w:snapToGrid w:val="0"/>
                <w:sz w:val="20"/>
              </w:rPr>
              <w:t>Facilities required for Council operations or with heritage and cultural significance.</w:t>
            </w:r>
          </w:p>
          <w:p w:rsidR="008B7EDF" w:rsidRPr="00412181" w:rsidRDefault="008B7EDF" w:rsidP="008B7EDF">
            <w:pPr>
              <w:pStyle w:val="TableText1"/>
              <w:spacing w:before="120" w:after="120"/>
              <w:jc w:val="left"/>
              <w:rPr>
                <w:rFonts w:eastAsia="Calibri"/>
                <w:snapToGrid w:val="0"/>
                <w:sz w:val="20"/>
              </w:rPr>
            </w:pPr>
            <w:r w:rsidRPr="00412181">
              <w:rPr>
                <w:rFonts w:eastAsia="Calibri"/>
                <w:snapToGrid w:val="0"/>
                <w:sz w:val="20"/>
              </w:rPr>
              <w:t>Facilities that support passive and active recreation.</w:t>
            </w:r>
          </w:p>
        </w:tc>
        <w:tc>
          <w:tcPr>
            <w:tcW w:w="3430" w:type="dxa"/>
            <w:shd w:val="solid" w:color="FFFFFF" w:fill="auto"/>
          </w:tcPr>
          <w:p w:rsidR="008B7EDF" w:rsidRPr="00412181" w:rsidRDefault="008B7EDF" w:rsidP="008B7EDF">
            <w:pPr>
              <w:pStyle w:val="TableText1"/>
              <w:spacing w:before="120" w:after="120"/>
              <w:jc w:val="left"/>
              <w:rPr>
                <w:rFonts w:eastAsia="Calibri"/>
                <w:snapToGrid w:val="0"/>
                <w:sz w:val="20"/>
              </w:rPr>
            </w:pPr>
            <w:r w:rsidRPr="00412181">
              <w:rPr>
                <w:rFonts w:eastAsia="Calibri"/>
                <w:snapToGrid w:val="0"/>
                <w:sz w:val="20"/>
              </w:rPr>
              <w:t>Town Halls, Depot Administration Buildings, Heritage Buildings</w:t>
            </w:r>
          </w:p>
          <w:p w:rsidR="008B7EDF" w:rsidRPr="00412181" w:rsidRDefault="008B7EDF" w:rsidP="008B7EDF">
            <w:pPr>
              <w:pStyle w:val="TableText1"/>
              <w:spacing w:before="120" w:after="120"/>
              <w:jc w:val="left"/>
              <w:rPr>
                <w:rFonts w:eastAsia="Calibri"/>
                <w:snapToGrid w:val="0"/>
                <w:sz w:val="20"/>
              </w:rPr>
            </w:pPr>
            <w:r>
              <w:rPr>
                <w:rFonts w:eastAsia="Calibri"/>
                <w:snapToGrid w:val="0"/>
                <w:sz w:val="20"/>
              </w:rPr>
              <w:t>Community Halls/</w:t>
            </w:r>
            <w:r w:rsidR="00CE5EFF">
              <w:rPr>
                <w:rFonts w:eastAsia="Calibri"/>
                <w:snapToGrid w:val="0"/>
                <w:sz w:val="20"/>
              </w:rPr>
              <w:t>Pavilions</w:t>
            </w:r>
            <w:r w:rsidRPr="00412181">
              <w:rPr>
                <w:rFonts w:eastAsia="Calibri"/>
                <w:snapToGrid w:val="0"/>
                <w:sz w:val="20"/>
              </w:rPr>
              <w:t>/</w:t>
            </w:r>
            <w:r w:rsidR="00CE5EFF">
              <w:rPr>
                <w:rFonts w:eastAsia="Calibri"/>
                <w:snapToGrid w:val="0"/>
                <w:sz w:val="20"/>
              </w:rPr>
              <w:t xml:space="preserve"> </w:t>
            </w:r>
            <w:r w:rsidRPr="00412181">
              <w:rPr>
                <w:rFonts w:eastAsia="Calibri"/>
                <w:snapToGrid w:val="0"/>
                <w:sz w:val="20"/>
              </w:rPr>
              <w:t xml:space="preserve">Grandstands </w:t>
            </w:r>
          </w:p>
        </w:tc>
      </w:tr>
      <w:tr w:rsidR="008B7EDF" w:rsidRPr="00412181" w:rsidTr="008B7EDF">
        <w:trPr>
          <w:cantSplit/>
          <w:jc w:val="right"/>
        </w:trPr>
        <w:tc>
          <w:tcPr>
            <w:tcW w:w="992" w:type="dxa"/>
          </w:tcPr>
          <w:p w:rsidR="008B7EDF" w:rsidRPr="00412181" w:rsidRDefault="008B7EDF" w:rsidP="008B7EDF">
            <w:pPr>
              <w:pStyle w:val="TableText1"/>
              <w:spacing w:before="120" w:after="120"/>
              <w:jc w:val="center"/>
              <w:rPr>
                <w:rFonts w:eastAsia="Calibri"/>
                <w:snapToGrid w:val="0"/>
                <w:sz w:val="20"/>
              </w:rPr>
            </w:pPr>
            <w:r w:rsidRPr="00412181">
              <w:rPr>
                <w:rFonts w:eastAsia="Calibri"/>
                <w:snapToGrid w:val="0"/>
                <w:sz w:val="20"/>
              </w:rPr>
              <w:t>3</w:t>
            </w:r>
          </w:p>
        </w:tc>
        <w:tc>
          <w:tcPr>
            <w:tcW w:w="3969" w:type="dxa"/>
          </w:tcPr>
          <w:p w:rsidR="008B7EDF" w:rsidRPr="00412181" w:rsidRDefault="008B7EDF" w:rsidP="008B7EDF">
            <w:pPr>
              <w:pStyle w:val="TableText1"/>
              <w:spacing w:before="120" w:after="120"/>
              <w:jc w:val="left"/>
              <w:rPr>
                <w:rFonts w:eastAsia="Calibri"/>
                <w:snapToGrid w:val="0"/>
                <w:sz w:val="20"/>
              </w:rPr>
            </w:pPr>
            <w:r w:rsidRPr="00412181">
              <w:rPr>
                <w:rFonts w:eastAsia="Calibri"/>
                <w:snapToGrid w:val="0"/>
                <w:sz w:val="20"/>
              </w:rPr>
              <w:t xml:space="preserve">Non critical assets where purely functional performance is acceptable. </w:t>
            </w:r>
          </w:p>
        </w:tc>
        <w:tc>
          <w:tcPr>
            <w:tcW w:w="3430" w:type="dxa"/>
            <w:shd w:val="solid" w:color="FFFFFF" w:fill="auto"/>
          </w:tcPr>
          <w:p w:rsidR="008B7EDF" w:rsidRPr="00412181" w:rsidRDefault="008B7EDF" w:rsidP="008B7EDF">
            <w:pPr>
              <w:pStyle w:val="TableText1"/>
              <w:spacing w:before="120" w:after="120"/>
              <w:jc w:val="left"/>
              <w:rPr>
                <w:rFonts w:eastAsia="Calibri"/>
                <w:snapToGrid w:val="0"/>
                <w:sz w:val="20"/>
              </w:rPr>
            </w:pPr>
            <w:r>
              <w:rPr>
                <w:rFonts w:eastAsia="Calibri"/>
                <w:snapToGrid w:val="0"/>
                <w:sz w:val="20"/>
              </w:rPr>
              <w:t>Storage sheds</w:t>
            </w:r>
            <w:r w:rsidRPr="00412181">
              <w:rPr>
                <w:rFonts w:eastAsia="Calibri"/>
                <w:snapToGrid w:val="0"/>
                <w:sz w:val="20"/>
              </w:rPr>
              <w:t>/garages</w:t>
            </w:r>
          </w:p>
          <w:p w:rsidR="008B7EDF" w:rsidRPr="00412181" w:rsidRDefault="008B7EDF" w:rsidP="008B7EDF">
            <w:pPr>
              <w:pStyle w:val="TableText1"/>
              <w:spacing w:before="120" w:after="120"/>
              <w:jc w:val="left"/>
              <w:rPr>
                <w:rFonts w:eastAsia="Calibri"/>
                <w:snapToGrid w:val="0"/>
                <w:sz w:val="20"/>
              </w:rPr>
            </w:pPr>
            <w:r>
              <w:rPr>
                <w:rFonts w:eastAsia="Calibri"/>
                <w:snapToGrid w:val="0"/>
                <w:sz w:val="20"/>
              </w:rPr>
              <w:t>Rotunda</w:t>
            </w:r>
            <w:r w:rsidRPr="00412181">
              <w:rPr>
                <w:rFonts w:eastAsia="Calibri"/>
                <w:snapToGrid w:val="0"/>
                <w:sz w:val="20"/>
              </w:rPr>
              <w:t>/Gazebos/Shelters</w:t>
            </w:r>
          </w:p>
          <w:p w:rsidR="008B7EDF" w:rsidRPr="00412181" w:rsidRDefault="008B7EDF" w:rsidP="008B7EDF">
            <w:pPr>
              <w:pStyle w:val="TableText1"/>
              <w:spacing w:before="120" w:after="120"/>
              <w:jc w:val="left"/>
              <w:rPr>
                <w:rFonts w:eastAsia="Calibri"/>
                <w:snapToGrid w:val="0"/>
                <w:sz w:val="20"/>
              </w:rPr>
            </w:pPr>
            <w:r>
              <w:rPr>
                <w:rFonts w:eastAsia="Calibri"/>
                <w:snapToGrid w:val="0"/>
                <w:sz w:val="20"/>
              </w:rPr>
              <w:t>Ticket box</w:t>
            </w:r>
            <w:r w:rsidR="00113665">
              <w:rPr>
                <w:rFonts w:eastAsia="Calibri"/>
                <w:snapToGrid w:val="0"/>
                <w:sz w:val="20"/>
              </w:rPr>
              <w:t>es</w:t>
            </w:r>
            <w:r w:rsidRPr="00412181">
              <w:rPr>
                <w:rFonts w:eastAsia="Calibri"/>
                <w:snapToGrid w:val="0"/>
                <w:sz w:val="20"/>
              </w:rPr>
              <w:t>/scoreboards</w:t>
            </w:r>
          </w:p>
        </w:tc>
      </w:tr>
    </w:tbl>
    <w:p w:rsidR="008B7EDF" w:rsidRPr="0024611A" w:rsidRDefault="008B7EDF" w:rsidP="008B7EDF">
      <w:pPr>
        <w:pStyle w:val="Caption"/>
        <w:spacing w:before="240" w:after="240"/>
        <w:ind w:left="720"/>
        <w:jc w:val="center"/>
        <w:rPr>
          <w:rFonts w:ascii="Arial" w:hAnsi="Arial"/>
          <w:i w:val="0"/>
          <w:iCs w:val="0"/>
          <w:sz w:val="20"/>
          <w:lang w:val="en-AU"/>
        </w:rPr>
      </w:pPr>
      <w:bookmarkStart w:id="795" w:name="_Toc364945458"/>
      <w:r w:rsidRPr="0024611A">
        <w:rPr>
          <w:rFonts w:ascii="Arial" w:hAnsi="Arial"/>
          <w:i w:val="0"/>
          <w:iCs w:val="0"/>
          <w:sz w:val="20"/>
          <w:lang w:val="en-AU"/>
        </w:rPr>
        <w:t xml:space="preserve">Table </w:t>
      </w:r>
      <w:r w:rsidR="0090414C" w:rsidRPr="0024611A">
        <w:rPr>
          <w:rFonts w:ascii="Arial" w:hAnsi="Arial"/>
          <w:i w:val="0"/>
          <w:iCs w:val="0"/>
          <w:sz w:val="20"/>
          <w:lang w:val="en-AU"/>
        </w:rPr>
        <w:fldChar w:fldCharType="begin"/>
      </w:r>
      <w:r w:rsidRPr="0024611A">
        <w:rPr>
          <w:rFonts w:ascii="Arial" w:hAnsi="Arial"/>
          <w:i w:val="0"/>
          <w:iCs w:val="0"/>
          <w:sz w:val="20"/>
          <w:lang w:val="en-AU"/>
        </w:rPr>
        <w:instrText xml:space="preserve"> SEQ Table \* ARABIC </w:instrText>
      </w:r>
      <w:r w:rsidR="0090414C" w:rsidRPr="0024611A">
        <w:rPr>
          <w:rFonts w:ascii="Arial" w:hAnsi="Arial"/>
          <w:i w:val="0"/>
          <w:iCs w:val="0"/>
          <w:sz w:val="20"/>
          <w:lang w:val="en-AU"/>
        </w:rPr>
        <w:fldChar w:fldCharType="separate"/>
      </w:r>
      <w:r w:rsidR="00751CEC">
        <w:rPr>
          <w:rFonts w:ascii="Arial" w:hAnsi="Arial"/>
          <w:i w:val="0"/>
          <w:iCs w:val="0"/>
          <w:noProof/>
          <w:sz w:val="20"/>
          <w:lang w:val="en-AU"/>
        </w:rPr>
        <w:t>54</w:t>
      </w:r>
      <w:r w:rsidR="0090414C" w:rsidRPr="0024611A">
        <w:rPr>
          <w:rFonts w:ascii="Arial" w:hAnsi="Arial"/>
          <w:i w:val="0"/>
          <w:iCs w:val="0"/>
          <w:sz w:val="20"/>
          <w:lang w:val="en-AU"/>
        </w:rPr>
        <w:fldChar w:fldCharType="end"/>
      </w:r>
      <w:r w:rsidRPr="0024611A">
        <w:rPr>
          <w:rFonts w:ascii="Arial" w:hAnsi="Arial"/>
          <w:i w:val="0"/>
          <w:iCs w:val="0"/>
          <w:sz w:val="20"/>
          <w:lang w:val="en-AU"/>
        </w:rPr>
        <w:t>:  Building Significance Hierarchy</w:t>
      </w:r>
      <w:bookmarkEnd w:id="795"/>
    </w:p>
    <w:p w:rsidR="00AB2113" w:rsidRDefault="00AB2113" w:rsidP="00DB6826">
      <w:pPr>
        <w:keepNext/>
        <w:keepLines/>
        <w:ind w:left="720"/>
      </w:pPr>
      <w:bookmarkStart w:id="796" w:name="_Toc346738050"/>
      <w:bookmarkStart w:id="797" w:name="_Toc346739645"/>
      <w:bookmarkStart w:id="798" w:name="_Toc346740146"/>
      <w:bookmarkEnd w:id="796"/>
      <w:bookmarkEnd w:id="797"/>
      <w:bookmarkEnd w:id="798"/>
      <w:r w:rsidRPr="002A263C">
        <w:t>The table below lists the operational risks that have been identified and documented in the Corporate Risk Register for th</w:t>
      </w:r>
      <w:r w:rsidR="00ED5E16">
        <w:t>e Buildings and Property Branch:</w:t>
      </w:r>
    </w:p>
    <w:p w:rsidR="00AB2113" w:rsidRDefault="00AB2113" w:rsidP="00DB6826">
      <w:pPr>
        <w:keepNext/>
        <w:keepLines/>
        <w:ind w:left="720"/>
      </w:pPr>
    </w:p>
    <w:tbl>
      <w:tblPr>
        <w:tblW w:w="8363" w:type="dxa"/>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49"/>
        <w:gridCol w:w="2837"/>
        <w:gridCol w:w="1134"/>
        <w:gridCol w:w="1417"/>
        <w:gridCol w:w="1134"/>
        <w:gridCol w:w="992"/>
      </w:tblGrid>
      <w:tr w:rsidR="00EE4BEA" w:rsidRPr="009C48AC" w:rsidTr="00EE4BEA">
        <w:trPr>
          <w:cantSplit/>
          <w:trHeight w:val="340"/>
          <w:tblHeader/>
        </w:trPr>
        <w:tc>
          <w:tcPr>
            <w:tcW w:w="849" w:type="dxa"/>
            <w:tcBorders>
              <w:right w:val="nil"/>
            </w:tcBorders>
            <w:shd w:val="clear" w:color="auto" w:fill="95B3D7" w:themeFill="accent1" w:themeFillTint="99"/>
            <w:vAlign w:val="center"/>
          </w:tcPr>
          <w:p w:rsidR="00832004" w:rsidRPr="009C48AC" w:rsidRDefault="00832004" w:rsidP="00DB6826">
            <w:pPr>
              <w:keepNext/>
              <w:keepLines/>
              <w:ind w:left="720" w:right="-45" w:hanging="720"/>
              <w:rPr>
                <w:sz w:val="18"/>
                <w:szCs w:val="18"/>
              </w:rPr>
            </w:pPr>
          </w:p>
        </w:tc>
        <w:tc>
          <w:tcPr>
            <w:tcW w:w="2837" w:type="dxa"/>
            <w:tcBorders>
              <w:left w:val="nil"/>
            </w:tcBorders>
            <w:shd w:val="clear" w:color="auto" w:fill="95B3D7" w:themeFill="accent1" w:themeFillTint="99"/>
            <w:vAlign w:val="center"/>
          </w:tcPr>
          <w:p w:rsidR="00832004" w:rsidRPr="009C48AC" w:rsidRDefault="00832004" w:rsidP="00DB6826">
            <w:pPr>
              <w:keepNext/>
              <w:keepLines/>
              <w:ind w:right="-45"/>
              <w:jc w:val="left"/>
              <w:rPr>
                <w:b/>
                <w:sz w:val="18"/>
                <w:szCs w:val="18"/>
              </w:rPr>
            </w:pPr>
            <w:r w:rsidRPr="009C48AC">
              <w:rPr>
                <w:b/>
                <w:sz w:val="18"/>
                <w:szCs w:val="18"/>
              </w:rPr>
              <w:t>Risk</w:t>
            </w:r>
          </w:p>
        </w:tc>
        <w:tc>
          <w:tcPr>
            <w:tcW w:w="1134" w:type="dxa"/>
            <w:shd w:val="clear" w:color="auto" w:fill="95B3D7" w:themeFill="accent1" w:themeFillTint="99"/>
            <w:vAlign w:val="center"/>
          </w:tcPr>
          <w:p w:rsidR="00832004" w:rsidRPr="009C48AC" w:rsidRDefault="00832004" w:rsidP="00DB6826">
            <w:pPr>
              <w:keepNext/>
              <w:keepLines/>
              <w:ind w:right="-45"/>
              <w:jc w:val="center"/>
              <w:rPr>
                <w:b/>
                <w:sz w:val="18"/>
                <w:szCs w:val="18"/>
              </w:rPr>
            </w:pPr>
            <w:r w:rsidRPr="009C48AC">
              <w:rPr>
                <w:b/>
                <w:sz w:val="18"/>
                <w:szCs w:val="18"/>
              </w:rPr>
              <w:t>Likelihood</w:t>
            </w:r>
          </w:p>
        </w:tc>
        <w:tc>
          <w:tcPr>
            <w:tcW w:w="1417" w:type="dxa"/>
            <w:shd w:val="clear" w:color="auto" w:fill="95B3D7" w:themeFill="accent1" w:themeFillTint="99"/>
            <w:vAlign w:val="center"/>
          </w:tcPr>
          <w:p w:rsidR="00832004" w:rsidRPr="009C48AC" w:rsidRDefault="00832004" w:rsidP="00DB6826">
            <w:pPr>
              <w:keepNext/>
              <w:keepLines/>
              <w:ind w:right="-45"/>
              <w:jc w:val="center"/>
              <w:rPr>
                <w:b/>
                <w:sz w:val="18"/>
                <w:szCs w:val="18"/>
              </w:rPr>
            </w:pPr>
            <w:r w:rsidRPr="009C48AC">
              <w:rPr>
                <w:b/>
                <w:sz w:val="18"/>
                <w:szCs w:val="18"/>
              </w:rPr>
              <w:t>Consequence</w:t>
            </w:r>
          </w:p>
        </w:tc>
        <w:tc>
          <w:tcPr>
            <w:tcW w:w="1134" w:type="dxa"/>
            <w:shd w:val="clear" w:color="auto" w:fill="95B3D7" w:themeFill="accent1" w:themeFillTint="99"/>
            <w:vAlign w:val="center"/>
          </w:tcPr>
          <w:p w:rsidR="00832004" w:rsidRPr="009C48AC" w:rsidRDefault="00832004" w:rsidP="00DB6826">
            <w:pPr>
              <w:keepNext/>
              <w:keepLines/>
              <w:ind w:right="-45"/>
              <w:jc w:val="center"/>
              <w:rPr>
                <w:b/>
                <w:sz w:val="18"/>
                <w:szCs w:val="18"/>
              </w:rPr>
            </w:pPr>
            <w:r w:rsidRPr="009C48AC">
              <w:rPr>
                <w:b/>
                <w:sz w:val="18"/>
                <w:szCs w:val="18"/>
              </w:rPr>
              <w:t>Rating</w:t>
            </w:r>
          </w:p>
        </w:tc>
        <w:tc>
          <w:tcPr>
            <w:tcW w:w="992" w:type="dxa"/>
            <w:tcBorders>
              <w:bottom w:val="single" w:sz="4" w:space="0" w:color="000000"/>
            </w:tcBorders>
            <w:shd w:val="clear" w:color="auto" w:fill="95B3D7" w:themeFill="accent1" w:themeFillTint="99"/>
            <w:vAlign w:val="center"/>
          </w:tcPr>
          <w:p w:rsidR="00832004" w:rsidRPr="009C48AC" w:rsidRDefault="00832004" w:rsidP="00DB6826">
            <w:pPr>
              <w:keepNext/>
              <w:keepLines/>
              <w:ind w:right="-45"/>
              <w:jc w:val="center"/>
              <w:rPr>
                <w:b/>
                <w:sz w:val="18"/>
                <w:szCs w:val="18"/>
              </w:rPr>
            </w:pPr>
            <w:r w:rsidRPr="009C48AC">
              <w:rPr>
                <w:b/>
                <w:sz w:val="18"/>
                <w:szCs w:val="18"/>
              </w:rPr>
              <w:t>Risk Priority</w:t>
            </w:r>
          </w:p>
        </w:tc>
      </w:tr>
      <w:tr w:rsidR="00EE4BEA" w:rsidRPr="009C48AC" w:rsidTr="00EE4BEA">
        <w:trPr>
          <w:cantSplit/>
        </w:trPr>
        <w:tc>
          <w:tcPr>
            <w:tcW w:w="849" w:type="dxa"/>
          </w:tcPr>
          <w:p w:rsidR="00832004" w:rsidRPr="009C48AC" w:rsidRDefault="00832004" w:rsidP="00DB6826">
            <w:pPr>
              <w:keepNext/>
              <w:keepLines/>
              <w:ind w:left="720" w:right="-45" w:hanging="720"/>
              <w:jc w:val="center"/>
              <w:rPr>
                <w:sz w:val="18"/>
                <w:szCs w:val="18"/>
              </w:rPr>
            </w:pPr>
            <w:r w:rsidRPr="009C48AC">
              <w:rPr>
                <w:sz w:val="18"/>
                <w:szCs w:val="18"/>
              </w:rPr>
              <w:t>BPB1</w:t>
            </w:r>
          </w:p>
        </w:tc>
        <w:tc>
          <w:tcPr>
            <w:tcW w:w="2837" w:type="dxa"/>
          </w:tcPr>
          <w:p w:rsidR="00832004" w:rsidRPr="009C48AC" w:rsidRDefault="00832004" w:rsidP="00DB6826">
            <w:pPr>
              <w:keepNext/>
              <w:keepLines/>
              <w:autoSpaceDE w:val="0"/>
              <w:autoSpaceDN w:val="0"/>
              <w:adjustRightInd w:val="0"/>
              <w:spacing w:after="60"/>
              <w:ind w:right="-45"/>
              <w:jc w:val="left"/>
              <w:rPr>
                <w:sz w:val="18"/>
                <w:szCs w:val="18"/>
              </w:rPr>
            </w:pPr>
            <w:r w:rsidRPr="009C48AC">
              <w:rPr>
                <w:rFonts w:eastAsia="Calibri"/>
                <w:sz w:val="18"/>
                <w:szCs w:val="18"/>
              </w:rPr>
              <w:t>Failing to adequately manage essential safety measures (ESM) results in reputational and financial loss to Council</w:t>
            </w:r>
          </w:p>
        </w:tc>
        <w:tc>
          <w:tcPr>
            <w:tcW w:w="1134" w:type="dxa"/>
          </w:tcPr>
          <w:p w:rsidR="00832004" w:rsidRPr="009C48AC" w:rsidRDefault="00832004" w:rsidP="00DB6826">
            <w:pPr>
              <w:keepNext/>
              <w:keepLines/>
              <w:ind w:left="720" w:right="-45" w:hanging="720"/>
              <w:jc w:val="center"/>
              <w:rPr>
                <w:sz w:val="18"/>
                <w:szCs w:val="18"/>
              </w:rPr>
            </w:pPr>
            <w:r w:rsidRPr="009C48AC">
              <w:rPr>
                <w:sz w:val="18"/>
                <w:szCs w:val="18"/>
              </w:rPr>
              <w:t>Possible</w:t>
            </w:r>
          </w:p>
        </w:tc>
        <w:tc>
          <w:tcPr>
            <w:tcW w:w="1417" w:type="dxa"/>
          </w:tcPr>
          <w:p w:rsidR="00832004" w:rsidRPr="009C48AC" w:rsidRDefault="00832004" w:rsidP="00DB6826">
            <w:pPr>
              <w:keepNext/>
              <w:keepLines/>
              <w:ind w:left="720" w:right="-45" w:hanging="720"/>
              <w:jc w:val="center"/>
              <w:rPr>
                <w:sz w:val="18"/>
                <w:szCs w:val="18"/>
              </w:rPr>
            </w:pPr>
            <w:r w:rsidRPr="009C48AC">
              <w:rPr>
                <w:sz w:val="18"/>
                <w:szCs w:val="18"/>
              </w:rPr>
              <w:t>Major</w:t>
            </w:r>
          </w:p>
        </w:tc>
        <w:tc>
          <w:tcPr>
            <w:tcW w:w="1134" w:type="dxa"/>
          </w:tcPr>
          <w:p w:rsidR="00832004" w:rsidRPr="009C48AC" w:rsidRDefault="00832004" w:rsidP="00DB6826">
            <w:pPr>
              <w:keepNext/>
              <w:keepLines/>
              <w:ind w:left="720" w:right="-45" w:hanging="720"/>
              <w:jc w:val="center"/>
              <w:rPr>
                <w:sz w:val="18"/>
                <w:szCs w:val="18"/>
              </w:rPr>
            </w:pPr>
            <w:r w:rsidRPr="009C48AC">
              <w:rPr>
                <w:sz w:val="18"/>
                <w:szCs w:val="18"/>
              </w:rPr>
              <w:t>High</w:t>
            </w:r>
          </w:p>
        </w:tc>
        <w:tc>
          <w:tcPr>
            <w:tcW w:w="992" w:type="dxa"/>
            <w:shd w:val="clear" w:color="auto" w:fill="FF9900"/>
          </w:tcPr>
          <w:p w:rsidR="00832004" w:rsidRPr="009C48AC" w:rsidRDefault="00832004" w:rsidP="00DB6826">
            <w:pPr>
              <w:keepNext/>
              <w:keepLines/>
              <w:ind w:left="720" w:right="-45" w:hanging="720"/>
              <w:jc w:val="center"/>
              <w:rPr>
                <w:sz w:val="18"/>
                <w:szCs w:val="18"/>
              </w:rPr>
            </w:pPr>
          </w:p>
        </w:tc>
      </w:tr>
      <w:tr w:rsidR="00EE4BEA" w:rsidRPr="009C48AC" w:rsidTr="00EE4BEA">
        <w:trPr>
          <w:cantSplit/>
        </w:trPr>
        <w:tc>
          <w:tcPr>
            <w:tcW w:w="849" w:type="dxa"/>
          </w:tcPr>
          <w:p w:rsidR="00832004" w:rsidRPr="009C48AC" w:rsidRDefault="00832004" w:rsidP="00DB6826">
            <w:pPr>
              <w:keepNext/>
              <w:keepLines/>
              <w:ind w:left="720" w:right="-45" w:hanging="720"/>
              <w:jc w:val="center"/>
              <w:rPr>
                <w:sz w:val="18"/>
                <w:szCs w:val="18"/>
              </w:rPr>
            </w:pPr>
            <w:r w:rsidRPr="009C48AC">
              <w:rPr>
                <w:sz w:val="18"/>
                <w:szCs w:val="18"/>
              </w:rPr>
              <w:t>BPB2</w:t>
            </w:r>
          </w:p>
        </w:tc>
        <w:tc>
          <w:tcPr>
            <w:tcW w:w="2837" w:type="dxa"/>
          </w:tcPr>
          <w:p w:rsidR="00832004" w:rsidRPr="009C48AC" w:rsidRDefault="00832004" w:rsidP="00DB6826">
            <w:pPr>
              <w:keepNext/>
              <w:keepLines/>
              <w:autoSpaceDE w:val="0"/>
              <w:autoSpaceDN w:val="0"/>
              <w:adjustRightInd w:val="0"/>
              <w:spacing w:after="60"/>
              <w:ind w:right="-45"/>
              <w:jc w:val="left"/>
              <w:rPr>
                <w:sz w:val="18"/>
                <w:szCs w:val="18"/>
              </w:rPr>
            </w:pPr>
            <w:r w:rsidRPr="009C48AC">
              <w:rPr>
                <w:rFonts w:eastAsia="Calibri"/>
                <w:sz w:val="18"/>
                <w:szCs w:val="18"/>
              </w:rPr>
              <w:t>Failure to comply with legislation relevant to building occupancy and management including DDA, Heritage and the Building Code and Regulations results in prosecutions for non</w:t>
            </w:r>
            <w:r>
              <w:rPr>
                <w:rFonts w:eastAsia="Calibri"/>
                <w:sz w:val="18"/>
                <w:szCs w:val="18"/>
              </w:rPr>
              <w:t>-</w:t>
            </w:r>
            <w:r w:rsidRPr="009C48AC">
              <w:rPr>
                <w:rFonts w:eastAsia="Calibri"/>
                <w:sz w:val="18"/>
                <w:szCs w:val="18"/>
              </w:rPr>
              <w:t xml:space="preserve"> compliant buildings leading to financial and reputational loss to Council</w:t>
            </w:r>
          </w:p>
        </w:tc>
        <w:tc>
          <w:tcPr>
            <w:tcW w:w="1134" w:type="dxa"/>
          </w:tcPr>
          <w:p w:rsidR="00832004" w:rsidRPr="009C48AC" w:rsidRDefault="00832004" w:rsidP="00DB6826">
            <w:pPr>
              <w:keepNext/>
              <w:keepLines/>
              <w:ind w:left="720" w:right="-45" w:hanging="720"/>
              <w:jc w:val="center"/>
              <w:rPr>
                <w:sz w:val="18"/>
                <w:szCs w:val="18"/>
              </w:rPr>
            </w:pPr>
            <w:r w:rsidRPr="009C48AC">
              <w:rPr>
                <w:sz w:val="18"/>
                <w:szCs w:val="18"/>
              </w:rPr>
              <w:t>Possible</w:t>
            </w:r>
          </w:p>
        </w:tc>
        <w:tc>
          <w:tcPr>
            <w:tcW w:w="1417" w:type="dxa"/>
          </w:tcPr>
          <w:p w:rsidR="00832004" w:rsidRPr="009C48AC" w:rsidRDefault="00832004" w:rsidP="00DB6826">
            <w:pPr>
              <w:keepNext/>
              <w:keepLines/>
              <w:ind w:left="720" w:right="-45" w:hanging="720"/>
              <w:jc w:val="center"/>
              <w:rPr>
                <w:sz w:val="18"/>
                <w:szCs w:val="18"/>
              </w:rPr>
            </w:pPr>
            <w:r w:rsidRPr="009C48AC">
              <w:rPr>
                <w:sz w:val="18"/>
                <w:szCs w:val="18"/>
              </w:rPr>
              <w:t>Moderate</w:t>
            </w:r>
          </w:p>
        </w:tc>
        <w:tc>
          <w:tcPr>
            <w:tcW w:w="1134" w:type="dxa"/>
          </w:tcPr>
          <w:p w:rsidR="00832004" w:rsidRPr="009C48AC" w:rsidRDefault="00832004" w:rsidP="00DB6826">
            <w:pPr>
              <w:keepNext/>
              <w:keepLines/>
              <w:ind w:left="720" w:right="-45" w:hanging="720"/>
              <w:jc w:val="center"/>
              <w:rPr>
                <w:sz w:val="18"/>
                <w:szCs w:val="18"/>
              </w:rPr>
            </w:pPr>
            <w:r w:rsidRPr="009C48AC">
              <w:rPr>
                <w:sz w:val="18"/>
                <w:szCs w:val="18"/>
              </w:rPr>
              <w:t>Significant</w:t>
            </w:r>
          </w:p>
        </w:tc>
        <w:tc>
          <w:tcPr>
            <w:tcW w:w="992" w:type="dxa"/>
            <w:tcBorders>
              <w:bottom w:val="single" w:sz="4" w:space="0" w:color="000000"/>
            </w:tcBorders>
            <w:shd w:val="clear" w:color="auto" w:fill="FFFF00"/>
          </w:tcPr>
          <w:p w:rsidR="00832004" w:rsidRPr="009C48AC" w:rsidRDefault="00832004" w:rsidP="00DB6826">
            <w:pPr>
              <w:keepNext/>
              <w:keepLines/>
              <w:ind w:left="720" w:right="-45" w:hanging="720"/>
              <w:jc w:val="center"/>
              <w:rPr>
                <w:sz w:val="18"/>
                <w:szCs w:val="18"/>
              </w:rPr>
            </w:pPr>
          </w:p>
        </w:tc>
      </w:tr>
      <w:tr w:rsidR="00EE4BEA" w:rsidRPr="009C48AC" w:rsidTr="00EE4BEA">
        <w:trPr>
          <w:cantSplit/>
        </w:trPr>
        <w:tc>
          <w:tcPr>
            <w:tcW w:w="849" w:type="dxa"/>
          </w:tcPr>
          <w:p w:rsidR="00832004" w:rsidRPr="009C48AC" w:rsidRDefault="00832004" w:rsidP="00193120">
            <w:pPr>
              <w:ind w:left="720" w:right="-45" w:hanging="720"/>
              <w:jc w:val="center"/>
              <w:rPr>
                <w:sz w:val="18"/>
                <w:szCs w:val="18"/>
              </w:rPr>
            </w:pPr>
            <w:r w:rsidRPr="009C48AC">
              <w:rPr>
                <w:sz w:val="18"/>
                <w:szCs w:val="18"/>
              </w:rPr>
              <w:t>BPB3</w:t>
            </w:r>
          </w:p>
        </w:tc>
        <w:tc>
          <w:tcPr>
            <w:tcW w:w="2837" w:type="dxa"/>
          </w:tcPr>
          <w:p w:rsidR="00832004" w:rsidRPr="009C48AC" w:rsidRDefault="00832004" w:rsidP="00DB6826">
            <w:pPr>
              <w:autoSpaceDE w:val="0"/>
              <w:autoSpaceDN w:val="0"/>
              <w:adjustRightInd w:val="0"/>
              <w:spacing w:after="60"/>
              <w:ind w:right="-45"/>
              <w:jc w:val="left"/>
              <w:rPr>
                <w:sz w:val="18"/>
                <w:szCs w:val="18"/>
              </w:rPr>
            </w:pPr>
            <w:r w:rsidRPr="009C48AC">
              <w:rPr>
                <w:rFonts w:eastAsia="Calibri"/>
                <w:sz w:val="18"/>
                <w:szCs w:val="18"/>
              </w:rPr>
              <w:t>Failure to ensure new buildings projects comply with relevant design standards including energy management, are fit for purpose and all appropriate maintenance considerations have been addressed leads to interrupted service delivery, constant complaints and ongoing disputes resulting in financial and reputational loss to Council</w:t>
            </w:r>
          </w:p>
        </w:tc>
        <w:tc>
          <w:tcPr>
            <w:tcW w:w="1134" w:type="dxa"/>
          </w:tcPr>
          <w:p w:rsidR="00832004" w:rsidRPr="009C48AC" w:rsidRDefault="00832004" w:rsidP="00193120">
            <w:pPr>
              <w:ind w:left="720" w:right="-45" w:hanging="720"/>
              <w:jc w:val="center"/>
              <w:rPr>
                <w:sz w:val="18"/>
                <w:szCs w:val="18"/>
              </w:rPr>
            </w:pPr>
            <w:r w:rsidRPr="009C48AC">
              <w:rPr>
                <w:sz w:val="18"/>
                <w:szCs w:val="18"/>
              </w:rPr>
              <w:t>Rare</w:t>
            </w:r>
          </w:p>
        </w:tc>
        <w:tc>
          <w:tcPr>
            <w:tcW w:w="1417" w:type="dxa"/>
          </w:tcPr>
          <w:p w:rsidR="00832004" w:rsidRPr="009C48AC" w:rsidRDefault="00832004" w:rsidP="00193120">
            <w:pPr>
              <w:ind w:left="720" w:right="-45" w:hanging="720"/>
              <w:jc w:val="center"/>
              <w:rPr>
                <w:sz w:val="18"/>
                <w:szCs w:val="18"/>
              </w:rPr>
            </w:pPr>
            <w:r w:rsidRPr="009C48AC">
              <w:rPr>
                <w:sz w:val="18"/>
                <w:szCs w:val="18"/>
              </w:rPr>
              <w:t>Moderate</w:t>
            </w:r>
          </w:p>
        </w:tc>
        <w:tc>
          <w:tcPr>
            <w:tcW w:w="1134" w:type="dxa"/>
          </w:tcPr>
          <w:p w:rsidR="00832004" w:rsidRPr="009C48AC" w:rsidRDefault="00832004" w:rsidP="00193120">
            <w:pPr>
              <w:ind w:left="720" w:right="-45" w:hanging="720"/>
              <w:jc w:val="center"/>
              <w:rPr>
                <w:sz w:val="18"/>
                <w:szCs w:val="18"/>
              </w:rPr>
            </w:pPr>
            <w:r>
              <w:rPr>
                <w:sz w:val="18"/>
                <w:szCs w:val="18"/>
              </w:rPr>
              <w:t>Medium</w:t>
            </w:r>
          </w:p>
        </w:tc>
        <w:tc>
          <w:tcPr>
            <w:tcW w:w="992" w:type="dxa"/>
            <w:shd w:val="clear" w:color="auto" w:fill="00FFFF"/>
          </w:tcPr>
          <w:p w:rsidR="00832004" w:rsidRPr="009C48AC" w:rsidRDefault="00832004" w:rsidP="00193120">
            <w:pPr>
              <w:ind w:left="720" w:right="-45" w:hanging="720"/>
              <w:jc w:val="center"/>
              <w:rPr>
                <w:sz w:val="18"/>
                <w:szCs w:val="18"/>
              </w:rPr>
            </w:pPr>
          </w:p>
        </w:tc>
      </w:tr>
      <w:tr w:rsidR="00EE4BEA" w:rsidRPr="009C48AC" w:rsidTr="00EE4BEA">
        <w:trPr>
          <w:cantSplit/>
        </w:trPr>
        <w:tc>
          <w:tcPr>
            <w:tcW w:w="849" w:type="dxa"/>
          </w:tcPr>
          <w:p w:rsidR="00832004" w:rsidRPr="009C48AC" w:rsidRDefault="00832004" w:rsidP="00193120">
            <w:pPr>
              <w:ind w:left="720" w:right="-45" w:hanging="720"/>
              <w:jc w:val="center"/>
              <w:rPr>
                <w:sz w:val="18"/>
                <w:szCs w:val="18"/>
              </w:rPr>
            </w:pPr>
            <w:r w:rsidRPr="009C48AC">
              <w:rPr>
                <w:sz w:val="18"/>
                <w:szCs w:val="18"/>
              </w:rPr>
              <w:t>BPB4</w:t>
            </w:r>
          </w:p>
        </w:tc>
        <w:tc>
          <w:tcPr>
            <w:tcW w:w="2837" w:type="dxa"/>
          </w:tcPr>
          <w:p w:rsidR="00832004" w:rsidRPr="009C48AC" w:rsidRDefault="00832004" w:rsidP="00DB6826">
            <w:pPr>
              <w:autoSpaceDE w:val="0"/>
              <w:autoSpaceDN w:val="0"/>
              <w:adjustRightInd w:val="0"/>
              <w:spacing w:after="60"/>
              <w:ind w:right="-45"/>
              <w:jc w:val="left"/>
              <w:rPr>
                <w:sz w:val="18"/>
                <w:szCs w:val="18"/>
              </w:rPr>
            </w:pPr>
            <w:r w:rsidRPr="009C48AC">
              <w:rPr>
                <w:rFonts w:eastAsia="Calibri"/>
                <w:sz w:val="18"/>
                <w:szCs w:val="18"/>
              </w:rPr>
              <w:t>As a result of a fraud or corruption incident Council suffers reputational and financial loss</w:t>
            </w:r>
          </w:p>
        </w:tc>
        <w:tc>
          <w:tcPr>
            <w:tcW w:w="1134" w:type="dxa"/>
          </w:tcPr>
          <w:p w:rsidR="00832004" w:rsidRPr="009C48AC" w:rsidRDefault="00832004" w:rsidP="00193120">
            <w:pPr>
              <w:ind w:left="720" w:right="-45" w:hanging="720"/>
              <w:jc w:val="center"/>
              <w:rPr>
                <w:sz w:val="18"/>
                <w:szCs w:val="18"/>
              </w:rPr>
            </w:pPr>
            <w:r w:rsidRPr="009C48AC">
              <w:rPr>
                <w:sz w:val="18"/>
                <w:szCs w:val="18"/>
              </w:rPr>
              <w:t>Possible</w:t>
            </w:r>
          </w:p>
        </w:tc>
        <w:tc>
          <w:tcPr>
            <w:tcW w:w="1417" w:type="dxa"/>
          </w:tcPr>
          <w:p w:rsidR="00832004" w:rsidRPr="009C48AC" w:rsidRDefault="00832004" w:rsidP="00193120">
            <w:pPr>
              <w:ind w:left="720" w:right="-45" w:hanging="720"/>
              <w:jc w:val="center"/>
              <w:rPr>
                <w:sz w:val="18"/>
                <w:szCs w:val="18"/>
              </w:rPr>
            </w:pPr>
            <w:r w:rsidRPr="009C48AC">
              <w:rPr>
                <w:sz w:val="18"/>
                <w:szCs w:val="18"/>
              </w:rPr>
              <w:t>Moderate</w:t>
            </w:r>
          </w:p>
        </w:tc>
        <w:tc>
          <w:tcPr>
            <w:tcW w:w="1134" w:type="dxa"/>
          </w:tcPr>
          <w:p w:rsidR="00832004" w:rsidRPr="009C48AC" w:rsidRDefault="00832004" w:rsidP="00193120">
            <w:pPr>
              <w:ind w:left="720" w:right="-45" w:hanging="720"/>
              <w:jc w:val="center"/>
              <w:rPr>
                <w:sz w:val="18"/>
                <w:szCs w:val="18"/>
              </w:rPr>
            </w:pPr>
            <w:r w:rsidRPr="009C48AC">
              <w:rPr>
                <w:sz w:val="18"/>
                <w:szCs w:val="18"/>
              </w:rPr>
              <w:t>Significant</w:t>
            </w:r>
          </w:p>
        </w:tc>
        <w:tc>
          <w:tcPr>
            <w:tcW w:w="992" w:type="dxa"/>
            <w:shd w:val="clear" w:color="auto" w:fill="FFFF00"/>
          </w:tcPr>
          <w:p w:rsidR="00832004" w:rsidRPr="009C48AC" w:rsidRDefault="00832004" w:rsidP="00193120">
            <w:pPr>
              <w:ind w:left="720" w:right="-45" w:hanging="720"/>
              <w:jc w:val="center"/>
              <w:rPr>
                <w:sz w:val="18"/>
                <w:szCs w:val="18"/>
              </w:rPr>
            </w:pPr>
          </w:p>
        </w:tc>
      </w:tr>
      <w:tr w:rsidR="00EE4BEA" w:rsidRPr="009C48AC" w:rsidTr="00EE4BEA">
        <w:trPr>
          <w:cantSplit/>
        </w:trPr>
        <w:tc>
          <w:tcPr>
            <w:tcW w:w="849" w:type="dxa"/>
          </w:tcPr>
          <w:p w:rsidR="00832004" w:rsidRPr="009C48AC" w:rsidRDefault="00832004" w:rsidP="00193120">
            <w:pPr>
              <w:ind w:left="720" w:right="-45" w:hanging="720"/>
              <w:jc w:val="center"/>
              <w:rPr>
                <w:sz w:val="18"/>
                <w:szCs w:val="18"/>
              </w:rPr>
            </w:pPr>
            <w:r w:rsidRPr="009C48AC">
              <w:rPr>
                <w:sz w:val="18"/>
                <w:szCs w:val="18"/>
              </w:rPr>
              <w:t>BPB5</w:t>
            </w:r>
          </w:p>
        </w:tc>
        <w:tc>
          <w:tcPr>
            <w:tcW w:w="2837" w:type="dxa"/>
          </w:tcPr>
          <w:p w:rsidR="00832004" w:rsidRPr="009C48AC" w:rsidRDefault="00832004" w:rsidP="00DB6826">
            <w:pPr>
              <w:autoSpaceDE w:val="0"/>
              <w:autoSpaceDN w:val="0"/>
              <w:adjustRightInd w:val="0"/>
              <w:spacing w:after="60"/>
              <w:ind w:right="-45"/>
              <w:jc w:val="left"/>
              <w:rPr>
                <w:sz w:val="18"/>
                <w:szCs w:val="18"/>
              </w:rPr>
            </w:pPr>
            <w:r w:rsidRPr="009C48AC">
              <w:rPr>
                <w:rFonts w:eastAsia="Calibri"/>
                <w:sz w:val="18"/>
                <w:szCs w:val="18"/>
              </w:rPr>
              <w:t>Failure to inspect and maintain Council buildings to an acceptable level results in loss of services, reduction in asset value and possible exposure to dangers leading to financial and reputational loss to Council</w:t>
            </w:r>
          </w:p>
        </w:tc>
        <w:tc>
          <w:tcPr>
            <w:tcW w:w="1134" w:type="dxa"/>
          </w:tcPr>
          <w:p w:rsidR="00832004" w:rsidRPr="009C48AC" w:rsidRDefault="00832004" w:rsidP="00193120">
            <w:pPr>
              <w:ind w:left="720" w:right="-45" w:hanging="720"/>
              <w:jc w:val="center"/>
              <w:rPr>
                <w:sz w:val="18"/>
                <w:szCs w:val="18"/>
              </w:rPr>
            </w:pPr>
            <w:r w:rsidRPr="009C48AC">
              <w:rPr>
                <w:sz w:val="18"/>
                <w:szCs w:val="18"/>
              </w:rPr>
              <w:t>Possible</w:t>
            </w:r>
          </w:p>
        </w:tc>
        <w:tc>
          <w:tcPr>
            <w:tcW w:w="1417" w:type="dxa"/>
          </w:tcPr>
          <w:p w:rsidR="00832004" w:rsidRPr="009C48AC" w:rsidRDefault="00832004" w:rsidP="00193120">
            <w:pPr>
              <w:ind w:left="720" w:right="-45" w:hanging="720"/>
              <w:jc w:val="center"/>
              <w:rPr>
                <w:sz w:val="18"/>
                <w:szCs w:val="18"/>
              </w:rPr>
            </w:pPr>
            <w:r w:rsidRPr="009C48AC">
              <w:rPr>
                <w:sz w:val="18"/>
                <w:szCs w:val="18"/>
              </w:rPr>
              <w:t>Moderate</w:t>
            </w:r>
          </w:p>
        </w:tc>
        <w:tc>
          <w:tcPr>
            <w:tcW w:w="1134" w:type="dxa"/>
          </w:tcPr>
          <w:p w:rsidR="00832004" w:rsidRPr="009C48AC" w:rsidRDefault="00832004" w:rsidP="00193120">
            <w:pPr>
              <w:ind w:left="720" w:right="-45" w:hanging="720"/>
              <w:jc w:val="center"/>
              <w:rPr>
                <w:sz w:val="18"/>
                <w:szCs w:val="18"/>
              </w:rPr>
            </w:pPr>
            <w:r w:rsidRPr="009C48AC">
              <w:rPr>
                <w:sz w:val="18"/>
                <w:szCs w:val="18"/>
              </w:rPr>
              <w:t>Significant</w:t>
            </w:r>
          </w:p>
        </w:tc>
        <w:tc>
          <w:tcPr>
            <w:tcW w:w="992" w:type="dxa"/>
            <w:shd w:val="clear" w:color="auto" w:fill="FFFF00"/>
          </w:tcPr>
          <w:p w:rsidR="00832004" w:rsidRPr="009C48AC" w:rsidRDefault="00832004" w:rsidP="00193120">
            <w:pPr>
              <w:ind w:left="720" w:right="-45" w:hanging="720"/>
              <w:jc w:val="center"/>
              <w:rPr>
                <w:sz w:val="18"/>
                <w:szCs w:val="18"/>
              </w:rPr>
            </w:pPr>
          </w:p>
        </w:tc>
      </w:tr>
      <w:tr w:rsidR="00EE4BEA" w:rsidRPr="009C48AC" w:rsidTr="00EE4BEA">
        <w:trPr>
          <w:cantSplit/>
        </w:trPr>
        <w:tc>
          <w:tcPr>
            <w:tcW w:w="849" w:type="dxa"/>
          </w:tcPr>
          <w:p w:rsidR="00832004" w:rsidRPr="009C48AC" w:rsidRDefault="00832004" w:rsidP="00193120">
            <w:pPr>
              <w:ind w:left="720" w:right="-45" w:hanging="720"/>
              <w:jc w:val="center"/>
              <w:rPr>
                <w:sz w:val="18"/>
                <w:szCs w:val="18"/>
              </w:rPr>
            </w:pPr>
            <w:r w:rsidRPr="009C48AC">
              <w:rPr>
                <w:sz w:val="18"/>
                <w:szCs w:val="18"/>
              </w:rPr>
              <w:t>BPB6</w:t>
            </w:r>
          </w:p>
        </w:tc>
        <w:tc>
          <w:tcPr>
            <w:tcW w:w="2837" w:type="dxa"/>
          </w:tcPr>
          <w:p w:rsidR="00832004" w:rsidRPr="009C48AC" w:rsidRDefault="00832004" w:rsidP="00DB6826">
            <w:pPr>
              <w:autoSpaceDE w:val="0"/>
              <w:autoSpaceDN w:val="0"/>
              <w:adjustRightInd w:val="0"/>
              <w:spacing w:after="60"/>
              <w:ind w:right="-45"/>
              <w:jc w:val="left"/>
              <w:rPr>
                <w:rFonts w:eastAsia="Calibri"/>
                <w:sz w:val="18"/>
                <w:szCs w:val="18"/>
              </w:rPr>
            </w:pPr>
            <w:r w:rsidRPr="009C48AC">
              <w:rPr>
                <w:rFonts w:eastAsia="Calibri"/>
                <w:sz w:val="18"/>
                <w:szCs w:val="18"/>
              </w:rPr>
              <w:t>Failure to adequately manage third party leasing and licensing arrangements for Council buildings results in legal disputes, inability to apply enforcement actions and continued disruptions to services leading to financial and reputational loss to Council</w:t>
            </w:r>
          </w:p>
        </w:tc>
        <w:tc>
          <w:tcPr>
            <w:tcW w:w="1134" w:type="dxa"/>
          </w:tcPr>
          <w:p w:rsidR="00832004" w:rsidRPr="009C48AC" w:rsidRDefault="00832004" w:rsidP="00193120">
            <w:pPr>
              <w:ind w:left="720" w:right="-45" w:hanging="720"/>
              <w:jc w:val="center"/>
              <w:rPr>
                <w:sz w:val="18"/>
                <w:szCs w:val="18"/>
              </w:rPr>
            </w:pPr>
            <w:r w:rsidRPr="009C48AC">
              <w:rPr>
                <w:sz w:val="18"/>
                <w:szCs w:val="18"/>
              </w:rPr>
              <w:t>Possible</w:t>
            </w:r>
          </w:p>
        </w:tc>
        <w:tc>
          <w:tcPr>
            <w:tcW w:w="1417" w:type="dxa"/>
          </w:tcPr>
          <w:p w:rsidR="00832004" w:rsidRPr="009C48AC" w:rsidRDefault="00832004" w:rsidP="00193120">
            <w:pPr>
              <w:ind w:left="720" w:right="-45" w:hanging="720"/>
              <w:jc w:val="center"/>
              <w:rPr>
                <w:sz w:val="18"/>
                <w:szCs w:val="18"/>
              </w:rPr>
            </w:pPr>
            <w:r w:rsidRPr="009C48AC">
              <w:rPr>
                <w:sz w:val="18"/>
                <w:szCs w:val="18"/>
              </w:rPr>
              <w:t>Moderate</w:t>
            </w:r>
          </w:p>
        </w:tc>
        <w:tc>
          <w:tcPr>
            <w:tcW w:w="1134" w:type="dxa"/>
          </w:tcPr>
          <w:p w:rsidR="00832004" w:rsidRPr="009C48AC" w:rsidRDefault="00832004" w:rsidP="00193120">
            <w:pPr>
              <w:ind w:left="720" w:right="-45" w:hanging="720"/>
              <w:jc w:val="center"/>
              <w:rPr>
                <w:sz w:val="18"/>
                <w:szCs w:val="18"/>
              </w:rPr>
            </w:pPr>
            <w:r w:rsidRPr="009C48AC">
              <w:rPr>
                <w:sz w:val="18"/>
                <w:szCs w:val="18"/>
              </w:rPr>
              <w:t>Significant</w:t>
            </w:r>
          </w:p>
        </w:tc>
        <w:tc>
          <w:tcPr>
            <w:tcW w:w="992" w:type="dxa"/>
            <w:shd w:val="clear" w:color="auto" w:fill="FFFF00"/>
          </w:tcPr>
          <w:p w:rsidR="00832004" w:rsidRPr="009C48AC" w:rsidRDefault="00832004" w:rsidP="00193120">
            <w:pPr>
              <w:ind w:left="720" w:right="-45" w:hanging="720"/>
              <w:jc w:val="center"/>
              <w:rPr>
                <w:sz w:val="18"/>
                <w:szCs w:val="18"/>
              </w:rPr>
            </w:pPr>
          </w:p>
        </w:tc>
      </w:tr>
      <w:tr w:rsidR="00EE4BEA" w:rsidRPr="009C48AC" w:rsidTr="00EE4BEA">
        <w:trPr>
          <w:cantSplit/>
        </w:trPr>
        <w:tc>
          <w:tcPr>
            <w:tcW w:w="849" w:type="dxa"/>
          </w:tcPr>
          <w:p w:rsidR="00832004" w:rsidRPr="009C48AC" w:rsidRDefault="00832004" w:rsidP="00193120">
            <w:pPr>
              <w:ind w:left="720" w:right="-45" w:hanging="720"/>
              <w:jc w:val="center"/>
              <w:rPr>
                <w:sz w:val="18"/>
                <w:szCs w:val="18"/>
              </w:rPr>
            </w:pPr>
            <w:r w:rsidRPr="009C48AC">
              <w:rPr>
                <w:sz w:val="18"/>
                <w:szCs w:val="18"/>
              </w:rPr>
              <w:t>BPB7</w:t>
            </w:r>
          </w:p>
        </w:tc>
        <w:tc>
          <w:tcPr>
            <w:tcW w:w="2837" w:type="dxa"/>
          </w:tcPr>
          <w:p w:rsidR="00832004" w:rsidRPr="009C48AC" w:rsidRDefault="00832004" w:rsidP="00DB6826">
            <w:pPr>
              <w:autoSpaceDE w:val="0"/>
              <w:autoSpaceDN w:val="0"/>
              <w:adjustRightInd w:val="0"/>
              <w:spacing w:after="60"/>
              <w:ind w:right="-45"/>
              <w:jc w:val="left"/>
              <w:rPr>
                <w:rFonts w:eastAsia="Calibri"/>
                <w:sz w:val="18"/>
                <w:szCs w:val="18"/>
              </w:rPr>
            </w:pPr>
            <w:r w:rsidRPr="009C48AC">
              <w:rPr>
                <w:rFonts w:eastAsia="Calibri"/>
                <w:sz w:val="18"/>
                <w:szCs w:val="18"/>
              </w:rPr>
              <w:t xml:space="preserve">A safety incident occurs whilst on site that results </w:t>
            </w:r>
            <w:r w:rsidR="00AE70D8">
              <w:rPr>
                <w:rFonts w:eastAsia="Calibri"/>
                <w:sz w:val="18"/>
                <w:szCs w:val="18"/>
              </w:rPr>
              <w:t>in a standard Work</w:t>
            </w:r>
            <w:r w:rsidRPr="009C48AC">
              <w:rPr>
                <w:rFonts w:eastAsia="Calibri"/>
                <w:sz w:val="18"/>
                <w:szCs w:val="18"/>
              </w:rPr>
              <w:t>Cover claim</w:t>
            </w:r>
          </w:p>
        </w:tc>
        <w:tc>
          <w:tcPr>
            <w:tcW w:w="1134" w:type="dxa"/>
          </w:tcPr>
          <w:p w:rsidR="00832004" w:rsidRPr="009C48AC" w:rsidRDefault="00832004" w:rsidP="00193120">
            <w:pPr>
              <w:ind w:left="720" w:right="-45" w:hanging="720"/>
              <w:jc w:val="center"/>
              <w:rPr>
                <w:sz w:val="18"/>
                <w:szCs w:val="18"/>
              </w:rPr>
            </w:pPr>
            <w:r w:rsidRPr="009C48AC">
              <w:rPr>
                <w:sz w:val="18"/>
                <w:szCs w:val="18"/>
              </w:rPr>
              <w:t>Possible</w:t>
            </w:r>
          </w:p>
        </w:tc>
        <w:tc>
          <w:tcPr>
            <w:tcW w:w="1417" w:type="dxa"/>
          </w:tcPr>
          <w:p w:rsidR="00832004" w:rsidRPr="009C48AC" w:rsidRDefault="00832004" w:rsidP="00193120">
            <w:pPr>
              <w:ind w:left="720" w:right="-45" w:hanging="720"/>
              <w:jc w:val="center"/>
              <w:rPr>
                <w:sz w:val="18"/>
                <w:szCs w:val="18"/>
              </w:rPr>
            </w:pPr>
            <w:r w:rsidRPr="009C48AC">
              <w:rPr>
                <w:sz w:val="18"/>
                <w:szCs w:val="18"/>
              </w:rPr>
              <w:t>Moderate</w:t>
            </w:r>
          </w:p>
        </w:tc>
        <w:tc>
          <w:tcPr>
            <w:tcW w:w="1134" w:type="dxa"/>
          </w:tcPr>
          <w:p w:rsidR="00832004" w:rsidRPr="009C48AC" w:rsidRDefault="00832004" w:rsidP="00193120">
            <w:pPr>
              <w:ind w:left="720" w:right="-45" w:hanging="720"/>
              <w:jc w:val="center"/>
              <w:rPr>
                <w:sz w:val="18"/>
                <w:szCs w:val="18"/>
              </w:rPr>
            </w:pPr>
            <w:r w:rsidRPr="009C48AC">
              <w:rPr>
                <w:sz w:val="18"/>
                <w:szCs w:val="18"/>
              </w:rPr>
              <w:t>Significant</w:t>
            </w:r>
          </w:p>
        </w:tc>
        <w:tc>
          <w:tcPr>
            <w:tcW w:w="992" w:type="dxa"/>
            <w:shd w:val="clear" w:color="auto" w:fill="FFFF00"/>
          </w:tcPr>
          <w:p w:rsidR="00832004" w:rsidRPr="009C48AC" w:rsidRDefault="00832004" w:rsidP="00193120">
            <w:pPr>
              <w:ind w:left="720" w:right="-45" w:hanging="720"/>
              <w:jc w:val="center"/>
              <w:rPr>
                <w:sz w:val="18"/>
                <w:szCs w:val="18"/>
              </w:rPr>
            </w:pPr>
          </w:p>
        </w:tc>
      </w:tr>
    </w:tbl>
    <w:p w:rsidR="00AB2113" w:rsidRPr="0024611A" w:rsidRDefault="00AB2113" w:rsidP="00A249BF">
      <w:pPr>
        <w:pStyle w:val="Caption"/>
        <w:spacing w:before="240" w:after="240"/>
        <w:ind w:left="720"/>
        <w:jc w:val="center"/>
        <w:rPr>
          <w:rFonts w:ascii="Arial" w:hAnsi="Arial"/>
          <w:i w:val="0"/>
          <w:iCs w:val="0"/>
          <w:sz w:val="20"/>
          <w:lang w:val="en-AU"/>
        </w:rPr>
      </w:pPr>
      <w:bookmarkStart w:id="799" w:name="_Toc364945459"/>
      <w:r w:rsidRPr="0024611A">
        <w:rPr>
          <w:rFonts w:ascii="Arial" w:hAnsi="Arial"/>
          <w:i w:val="0"/>
          <w:iCs w:val="0"/>
          <w:sz w:val="20"/>
          <w:lang w:val="en-AU"/>
        </w:rPr>
        <w:t xml:space="preserve">Table </w:t>
      </w:r>
      <w:r w:rsidR="0090414C" w:rsidRPr="0024611A">
        <w:rPr>
          <w:rFonts w:ascii="Arial" w:hAnsi="Arial"/>
          <w:i w:val="0"/>
          <w:iCs w:val="0"/>
          <w:sz w:val="20"/>
          <w:lang w:val="en-AU"/>
        </w:rPr>
        <w:fldChar w:fldCharType="begin"/>
      </w:r>
      <w:r w:rsidR="0012012A" w:rsidRPr="0024611A">
        <w:rPr>
          <w:rFonts w:ascii="Arial" w:hAnsi="Arial"/>
          <w:i w:val="0"/>
          <w:iCs w:val="0"/>
          <w:sz w:val="20"/>
          <w:lang w:val="en-AU"/>
        </w:rPr>
        <w:instrText xml:space="preserve"> SEQ Table \* ARABIC </w:instrText>
      </w:r>
      <w:r w:rsidR="0090414C" w:rsidRPr="0024611A">
        <w:rPr>
          <w:rFonts w:ascii="Arial" w:hAnsi="Arial"/>
          <w:i w:val="0"/>
          <w:iCs w:val="0"/>
          <w:sz w:val="20"/>
          <w:lang w:val="en-AU"/>
        </w:rPr>
        <w:fldChar w:fldCharType="separate"/>
      </w:r>
      <w:r w:rsidR="00751CEC">
        <w:rPr>
          <w:rFonts w:ascii="Arial" w:hAnsi="Arial"/>
          <w:i w:val="0"/>
          <w:iCs w:val="0"/>
          <w:noProof/>
          <w:sz w:val="20"/>
          <w:lang w:val="en-AU"/>
        </w:rPr>
        <w:t>55</w:t>
      </w:r>
      <w:r w:rsidR="0090414C" w:rsidRPr="0024611A">
        <w:rPr>
          <w:rFonts w:ascii="Arial" w:hAnsi="Arial"/>
          <w:i w:val="0"/>
          <w:iCs w:val="0"/>
          <w:sz w:val="20"/>
          <w:lang w:val="en-AU"/>
        </w:rPr>
        <w:fldChar w:fldCharType="end"/>
      </w:r>
      <w:r w:rsidRPr="0024611A">
        <w:rPr>
          <w:rFonts w:ascii="Arial" w:hAnsi="Arial"/>
          <w:i w:val="0"/>
          <w:iCs w:val="0"/>
          <w:sz w:val="20"/>
          <w:lang w:val="en-AU"/>
        </w:rPr>
        <w:t xml:space="preserve">: </w:t>
      </w:r>
      <w:r w:rsidR="00ED5E16" w:rsidRPr="0024611A">
        <w:rPr>
          <w:rFonts w:ascii="Arial" w:hAnsi="Arial"/>
          <w:i w:val="0"/>
          <w:iCs w:val="0"/>
          <w:sz w:val="20"/>
          <w:lang w:val="en-AU"/>
        </w:rPr>
        <w:t xml:space="preserve"> </w:t>
      </w:r>
      <w:r w:rsidRPr="0024611A">
        <w:rPr>
          <w:rFonts w:ascii="Arial" w:hAnsi="Arial"/>
          <w:i w:val="0"/>
          <w:iCs w:val="0"/>
          <w:sz w:val="20"/>
          <w:lang w:val="en-AU"/>
        </w:rPr>
        <w:t>Operational Risks</w:t>
      </w:r>
      <w:r w:rsidR="00FC790B" w:rsidRPr="0024611A">
        <w:rPr>
          <w:rFonts w:ascii="Arial" w:hAnsi="Arial"/>
          <w:i w:val="0"/>
          <w:iCs w:val="0"/>
          <w:sz w:val="20"/>
          <w:lang w:val="en-AU"/>
        </w:rPr>
        <w:t xml:space="preserve"> as at April 2012</w:t>
      </w:r>
      <w:bookmarkEnd w:id="799"/>
    </w:p>
    <w:p w:rsidR="00E96F28" w:rsidRPr="00CF2212" w:rsidRDefault="00E96F28" w:rsidP="00CF2212">
      <w:pPr>
        <w:pStyle w:val="Heading2"/>
      </w:pPr>
      <w:bookmarkStart w:id="800" w:name="_Toc364945351"/>
      <w:r w:rsidRPr="00CF2212">
        <w:t>Risk Management Strategies</w:t>
      </w:r>
      <w:bookmarkEnd w:id="800"/>
    </w:p>
    <w:p w:rsidR="005F198D" w:rsidRDefault="005F198D" w:rsidP="006E1DC9">
      <w:r w:rsidRPr="00CD7D4F">
        <w:t xml:space="preserve">Potential treatments to further reduce risk levels have been </w:t>
      </w:r>
      <w:r w:rsidR="00341F12" w:rsidRPr="00CD7D4F">
        <w:t>developed</w:t>
      </w:r>
      <w:r w:rsidRPr="00CD7D4F">
        <w:t xml:space="preserve"> including:</w:t>
      </w:r>
    </w:p>
    <w:p w:rsidR="00ED5E16" w:rsidRPr="00CD7D4F" w:rsidRDefault="00ED5E16" w:rsidP="006E1DC9"/>
    <w:p w:rsidR="005F198D" w:rsidRPr="00ED5E16" w:rsidRDefault="005F198D" w:rsidP="008348B5">
      <w:pPr>
        <w:pStyle w:val="ListParagraph"/>
        <w:numPr>
          <w:ilvl w:val="0"/>
          <w:numId w:val="107"/>
        </w:numPr>
        <w:rPr>
          <w:rFonts w:ascii="Arial" w:hAnsi="Arial" w:cs="Arial"/>
          <w:sz w:val="20"/>
        </w:rPr>
      </w:pPr>
      <w:r w:rsidRPr="00ED5E16">
        <w:rPr>
          <w:rFonts w:ascii="Arial" w:hAnsi="Arial" w:cs="Arial"/>
          <w:sz w:val="20"/>
        </w:rPr>
        <w:t>Ensuring asset descriptions and condition data is accurate prior to next AMP and future revaluation</w:t>
      </w:r>
      <w:r w:rsidR="00ED5E16">
        <w:rPr>
          <w:rFonts w:ascii="Arial" w:hAnsi="Arial" w:cs="Arial"/>
          <w:sz w:val="20"/>
        </w:rPr>
        <w:t>;</w:t>
      </w:r>
    </w:p>
    <w:p w:rsidR="005F198D" w:rsidRPr="00ED5E16" w:rsidRDefault="005F198D" w:rsidP="008348B5">
      <w:pPr>
        <w:pStyle w:val="ListParagraph"/>
        <w:numPr>
          <w:ilvl w:val="0"/>
          <w:numId w:val="107"/>
        </w:numPr>
        <w:rPr>
          <w:rFonts w:ascii="Arial" w:hAnsi="Arial" w:cs="Arial"/>
          <w:sz w:val="20"/>
        </w:rPr>
      </w:pPr>
      <w:r w:rsidRPr="00ED5E16">
        <w:rPr>
          <w:rFonts w:ascii="Arial" w:hAnsi="Arial" w:cs="Arial"/>
          <w:sz w:val="20"/>
        </w:rPr>
        <w:t>Basing annual plan budgets on condition and performance data</w:t>
      </w:r>
      <w:r w:rsidR="00ED5E16">
        <w:rPr>
          <w:rFonts w:ascii="Arial" w:hAnsi="Arial" w:cs="Arial"/>
          <w:sz w:val="20"/>
        </w:rPr>
        <w:t>;</w:t>
      </w:r>
    </w:p>
    <w:p w:rsidR="005F198D" w:rsidRPr="00ED5E16" w:rsidRDefault="005F198D" w:rsidP="008348B5">
      <w:pPr>
        <w:pStyle w:val="ListParagraph"/>
        <w:numPr>
          <w:ilvl w:val="0"/>
          <w:numId w:val="107"/>
        </w:numPr>
        <w:rPr>
          <w:rFonts w:ascii="Arial" w:hAnsi="Arial" w:cs="Arial"/>
          <w:sz w:val="20"/>
        </w:rPr>
      </w:pPr>
      <w:r w:rsidRPr="00ED5E16">
        <w:rPr>
          <w:rFonts w:ascii="Arial" w:hAnsi="Arial" w:cs="Arial"/>
          <w:sz w:val="20"/>
        </w:rPr>
        <w:t>Improved asset planning processes linked to project delivery and asset replacement or renewal</w:t>
      </w:r>
      <w:r w:rsidR="00ED5E16">
        <w:rPr>
          <w:rFonts w:ascii="Arial" w:hAnsi="Arial" w:cs="Arial"/>
          <w:sz w:val="20"/>
        </w:rPr>
        <w:t>;</w:t>
      </w:r>
    </w:p>
    <w:p w:rsidR="005F198D" w:rsidRPr="00ED5E16" w:rsidRDefault="005F198D" w:rsidP="008348B5">
      <w:pPr>
        <w:pStyle w:val="ListParagraph"/>
        <w:numPr>
          <w:ilvl w:val="0"/>
          <w:numId w:val="107"/>
        </w:numPr>
        <w:rPr>
          <w:rFonts w:ascii="Arial" w:hAnsi="Arial" w:cs="Arial"/>
          <w:sz w:val="20"/>
        </w:rPr>
      </w:pPr>
      <w:r w:rsidRPr="00ED5E16">
        <w:rPr>
          <w:rFonts w:ascii="Arial" w:hAnsi="Arial" w:cs="Arial"/>
          <w:sz w:val="20"/>
        </w:rPr>
        <w:t>Developing a robust end-to-end process of information system and management</w:t>
      </w:r>
      <w:r w:rsidR="00ED5E16">
        <w:rPr>
          <w:rFonts w:ascii="Arial" w:hAnsi="Arial" w:cs="Arial"/>
          <w:sz w:val="20"/>
        </w:rPr>
        <w:t>;</w:t>
      </w:r>
    </w:p>
    <w:p w:rsidR="005F198D" w:rsidRPr="00ED5E16" w:rsidRDefault="005F198D" w:rsidP="008348B5">
      <w:pPr>
        <w:pStyle w:val="ListParagraph"/>
        <w:numPr>
          <w:ilvl w:val="0"/>
          <w:numId w:val="107"/>
        </w:numPr>
        <w:rPr>
          <w:rFonts w:ascii="Arial" w:hAnsi="Arial" w:cs="Arial"/>
          <w:sz w:val="20"/>
        </w:rPr>
      </w:pPr>
      <w:r w:rsidRPr="00ED5E16">
        <w:rPr>
          <w:rFonts w:ascii="Arial" w:hAnsi="Arial" w:cs="Arial"/>
          <w:sz w:val="20"/>
        </w:rPr>
        <w:t>Improved use of filing, and other, systems (document management system)</w:t>
      </w:r>
      <w:r w:rsidR="00ED5E16">
        <w:rPr>
          <w:rFonts w:ascii="Arial" w:hAnsi="Arial" w:cs="Arial"/>
          <w:sz w:val="20"/>
        </w:rPr>
        <w:t>;</w:t>
      </w:r>
    </w:p>
    <w:p w:rsidR="005F198D" w:rsidRPr="00ED5E16" w:rsidRDefault="005F198D" w:rsidP="008348B5">
      <w:pPr>
        <w:pStyle w:val="ListParagraph"/>
        <w:numPr>
          <w:ilvl w:val="0"/>
          <w:numId w:val="107"/>
        </w:numPr>
        <w:rPr>
          <w:rFonts w:ascii="Arial" w:hAnsi="Arial" w:cs="Arial"/>
          <w:sz w:val="20"/>
        </w:rPr>
      </w:pPr>
      <w:r w:rsidRPr="00ED5E16">
        <w:rPr>
          <w:rFonts w:ascii="Arial" w:hAnsi="Arial" w:cs="Arial"/>
          <w:sz w:val="20"/>
        </w:rPr>
        <w:t>Clearly defined roles and</w:t>
      </w:r>
      <w:r w:rsidR="00357674">
        <w:rPr>
          <w:rFonts w:ascii="Arial" w:hAnsi="Arial" w:cs="Arial"/>
          <w:sz w:val="20"/>
        </w:rPr>
        <w:t xml:space="preserve"> responsibilities</w:t>
      </w:r>
    </w:p>
    <w:p w:rsidR="005F198D" w:rsidRPr="00ED5E16" w:rsidRDefault="005F198D" w:rsidP="008348B5">
      <w:pPr>
        <w:pStyle w:val="ListParagraph"/>
        <w:numPr>
          <w:ilvl w:val="0"/>
          <w:numId w:val="107"/>
        </w:numPr>
        <w:rPr>
          <w:rFonts w:ascii="Arial" w:hAnsi="Arial" w:cs="Arial"/>
          <w:sz w:val="20"/>
        </w:rPr>
      </w:pPr>
      <w:r w:rsidRPr="00ED5E16">
        <w:rPr>
          <w:rFonts w:ascii="Arial" w:hAnsi="Arial" w:cs="Arial"/>
          <w:sz w:val="20"/>
        </w:rPr>
        <w:t>Provision of appropriate training for internal staff</w:t>
      </w:r>
      <w:r w:rsidR="00ED5E16">
        <w:rPr>
          <w:rFonts w:ascii="Arial" w:hAnsi="Arial" w:cs="Arial"/>
          <w:sz w:val="20"/>
        </w:rPr>
        <w:t>;</w:t>
      </w:r>
    </w:p>
    <w:p w:rsidR="005F198D" w:rsidRPr="00ED5E16" w:rsidRDefault="005F198D" w:rsidP="008348B5">
      <w:pPr>
        <w:pStyle w:val="ListParagraph"/>
        <w:numPr>
          <w:ilvl w:val="0"/>
          <w:numId w:val="107"/>
        </w:numPr>
        <w:rPr>
          <w:rFonts w:ascii="Arial" w:hAnsi="Arial" w:cs="Arial"/>
          <w:sz w:val="20"/>
        </w:rPr>
      </w:pPr>
      <w:r w:rsidRPr="00ED5E16">
        <w:rPr>
          <w:rFonts w:ascii="Arial" w:hAnsi="Arial" w:cs="Arial"/>
          <w:sz w:val="20"/>
        </w:rPr>
        <w:t>Continued improvement programmes for asset management and service delivery</w:t>
      </w:r>
      <w:r w:rsidR="00ED5E16">
        <w:rPr>
          <w:rFonts w:ascii="Arial" w:hAnsi="Arial" w:cs="Arial"/>
          <w:sz w:val="20"/>
        </w:rPr>
        <w:t>;</w:t>
      </w:r>
    </w:p>
    <w:p w:rsidR="005F198D" w:rsidRPr="00ED5E16" w:rsidRDefault="005F198D" w:rsidP="008348B5">
      <w:pPr>
        <w:pStyle w:val="ListParagraph"/>
        <w:numPr>
          <w:ilvl w:val="0"/>
          <w:numId w:val="107"/>
        </w:numPr>
        <w:rPr>
          <w:rFonts w:ascii="Arial" w:hAnsi="Arial" w:cs="Arial"/>
          <w:sz w:val="20"/>
        </w:rPr>
      </w:pPr>
      <w:r w:rsidRPr="00ED5E16">
        <w:rPr>
          <w:rFonts w:ascii="Arial" w:hAnsi="Arial" w:cs="Arial"/>
          <w:sz w:val="20"/>
        </w:rPr>
        <w:t>Development and maintenance of  stakeholder communication plans</w:t>
      </w:r>
      <w:r w:rsidR="00ED5E16">
        <w:rPr>
          <w:rFonts w:ascii="Arial" w:hAnsi="Arial" w:cs="Arial"/>
          <w:sz w:val="20"/>
        </w:rPr>
        <w:t>;</w:t>
      </w:r>
    </w:p>
    <w:p w:rsidR="005F198D" w:rsidRPr="00ED5E16" w:rsidRDefault="005F198D" w:rsidP="008348B5">
      <w:pPr>
        <w:pStyle w:val="ListParagraph"/>
        <w:numPr>
          <w:ilvl w:val="0"/>
          <w:numId w:val="107"/>
        </w:numPr>
        <w:rPr>
          <w:rFonts w:ascii="Arial" w:hAnsi="Arial" w:cs="Arial"/>
          <w:sz w:val="20"/>
        </w:rPr>
      </w:pPr>
      <w:r w:rsidRPr="00ED5E16">
        <w:rPr>
          <w:rFonts w:ascii="Arial" w:hAnsi="Arial" w:cs="Arial"/>
          <w:sz w:val="20"/>
        </w:rPr>
        <w:t>Robust application of council’s procurement policy</w:t>
      </w:r>
      <w:r w:rsidR="00ED5E16">
        <w:rPr>
          <w:rFonts w:ascii="Arial" w:hAnsi="Arial" w:cs="Arial"/>
          <w:sz w:val="20"/>
        </w:rPr>
        <w:t>;</w:t>
      </w:r>
    </w:p>
    <w:p w:rsidR="005F198D" w:rsidRPr="00ED5E16" w:rsidRDefault="005F198D" w:rsidP="008348B5">
      <w:pPr>
        <w:pStyle w:val="ListParagraph"/>
        <w:numPr>
          <w:ilvl w:val="0"/>
          <w:numId w:val="107"/>
        </w:numPr>
        <w:rPr>
          <w:rFonts w:ascii="Arial" w:hAnsi="Arial" w:cs="Arial"/>
          <w:sz w:val="20"/>
        </w:rPr>
      </w:pPr>
      <w:r w:rsidRPr="00ED5E16">
        <w:rPr>
          <w:rFonts w:ascii="Arial" w:hAnsi="Arial" w:cs="Arial"/>
          <w:sz w:val="20"/>
        </w:rPr>
        <w:t>Continual benchmarked asset management practices</w:t>
      </w:r>
      <w:r w:rsidR="00ED5E16">
        <w:rPr>
          <w:rFonts w:ascii="Arial" w:hAnsi="Arial" w:cs="Arial"/>
          <w:sz w:val="20"/>
        </w:rPr>
        <w:t>; and</w:t>
      </w:r>
    </w:p>
    <w:p w:rsidR="005F198D" w:rsidRPr="00ED5E16" w:rsidRDefault="005F198D" w:rsidP="008348B5">
      <w:pPr>
        <w:pStyle w:val="ListParagraph"/>
        <w:numPr>
          <w:ilvl w:val="0"/>
          <w:numId w:val="107"/>
        </w:numPr>
        <w:rPr>
          <w:rFonts w:ascii="Arial" w:hAnsi="Arial" w:cs="Arial"/>
          <w:sz w:val="20"/>
        </w:rPr>
      </w:pPr>
      <w:r w:rsidRPr="00ED5E16">
        <w:rPr>
          <w:rFonts w:ascii="Arial" w:hAnsi="Arial" w:cs="Arial"/>
          <w:sz w:val="20"/>
        </w:rPr>
        <w:t>Improved community understanding of levels of service and cost options</w:t>
      </w:r>
      <w:r w:rsidR="00ED5E16">
        <w:rPr>
          <w:rFonts w:ascii="Arial" w:hAnsi="Arial" w:cs="Arial"/>
          <w:sz w:val="20"/>
        </w:rPr>
        <w:t>.</w:t>
      </w:r>
    </w:p>
    <w:p w:rsidR="005F198D" w:rsidRPr="00CD7D4F" w:rsidRDefault="005F198D" w:rsidP="006E1DC9">
      <w:pPr>
        <w:rPr>
          <w:highlight w:val="lightGray"/>
        </w:rPr>
      </w:pPr>
    </w:p>
    <w:p w:rsidR="005F198D" w:rsidRDefault="00357674" w:rsidP="006E1DC9">
      <w:r>
        <w:t>T</w:t>
      </w:r>
      <w:r w:rsidR="005F198D" w:rsidRPr="00CD7D4F">
        <w:t>he risks in the risk framework will be monitored and reviewed at least annu</w:t>
      </w:r>
      <w:r w:rsidR="006C6D1B">
        <w:t xml:space="preserve">ally </w:t>
      </w:r>
      <w:r>
        <w:t>by Council</w:t>
      </w:r>
      <w:r w:rsidR="008473C2">
        <w:t>’</w:t>
      </w:r>
      <w:r>
        <w:t xml:space="preserve">s </w:t>
      </w:r>
      <w:r w:rsidR="006814EE">
        <w:t xml:space="preserve">Coordinator, </w:t>
      </w:r>
      <w:r>
        <w:t xml:space="preserve">Risk Management </w:t>
      </w:r>
      <w:r w:rsidR="006814EE">
        <w:t>and Insurance</w:t>
      </w:r>
      <w:r w:rsidR="005F198D" w:rsidRPr="00CD7D4F">
        <w:t xml:space="preserve">. </w:t>
      </w:r>
    </w:p>
    <w:p w:rsidR="00852F5D" w:rsidRDefault="00852F5D" w:rsidP="006E1DC9"/>
    <w:p w:rsidR="00D435CF" w:rsidRDefault="00D435CF" w:rsidP="00D435CF"/>
    <w:p w:rsidR="00966DD0" w:rsidRDefault="00966DD0" w:rsidP="00D435CF">
      <w:pPr>
        <w:sectPr w:rsidR="00966DD0" w:rsidSect="00966DD0">
          <w:headerReference w:type="default" r:id="rId78"/>
          <w:footerReference w:type="default" r:id="rId79"/>
          <w:pgSz w:w="11906" w:h="16838" w:code="9"/>
          <w:pgMar w:top="1418" w:right="1418" w:bottom="851" w:left="1418" w:header="284" w:footer="312" w:gutter="0"/>
          <w:cols w:space="720"/>
          <w:docGrid w:linePitch="360"/>
        </w:sectPr>
      </w:pPr>
    </w:p>
    <w:p w:rsidR="00C13842" w:rsidRPr="00E062A4" w:rsidRDefault="00C13842" w:rsidP="002F775C">
      <w:pPr>
        <w:pStyle w:val="Heading1"/>
      </w:pPr>
      <w:bookmarkStart w:id="801" w:name="_Toc364945352"/>
      <w:r w:rsidRPr="00E062A4">
        <w:t>A</w:t>
      </w:r>
      <w:r w:rsidR="00185B47">
        <w:t>sset Management Practices</w:t>
      </w:r>
      <w:bookmarkEnd w:id="801"/>
    </w:p>
    <w:p w:rsidR="008B7EDF" w:rsidRPr="006F599F" w:rsidRDefault="008B7EDF" w:rsidP="008B7EDF">
      <w:pPr>
        <w:rPr>
          <w:sz w:val="8"/>
        </w:rPr>
      </w:pPr>
    </w:p>
    <w:p w:rsidR="00C13842" w:rsidRPr="00CF2212" w:rsidRDefault="00C13842" w:rsidP="00CF2212">
      <w:pPr>
        <w:pStyle w:val="Heading2"/>
      </w:pPr>
      <w:bookmarkStart w:id="802" w:name="_Toc364945353"/>
      <w:r w:rsidRPr="00CF2212">
        <w:t>Overview</w:t>
      </w:r>
      <w:bookmarkEnd w:id="802"/>
      <w:r w:rsidRPr="00CF2212">
        <w:t xml:space="preserve"> </w:t>
      </w:r>
    </w:p>
    <w:p w:rsidR="00C13842" w:rsidRDefault="00C52F07" w:rsidP="00D435CF">
      <w:r>
        <w:t xml:space="preserve">The </w:t>
      </w:r>
      <w:r w:rsidR="00C13842">
        <w:t>Yarra</w:t>
      </w:r>
      <w:r w:rsidR="00622DC3">
        <w:t xml:space="preserve"> City Council</w:t>
      </w:r>
      <w:r w:rsidR="00C13842" w:rsidRPr="00CD7D4F">
        <w:t xml:space="preserve"> needs to be able to translate the long</w:t>
      </w:r>
      <w:r>
        <w:t xml:space="preserve"> </w:t>
      </w:r>
      <w:r w:rsidR="00C13842" w:rsidRPr="00CD7D4F">
        <w:t xml:space="preserve">term aspirations identified in the </w:t>
      </w:r>
      <w:r w:rsidR="00C13842">
        <w:t>Council</w:t>
      </w:r>
      <w:r w:rsidR="00C13842" w:rsidRPr="00CD7D4F">
        <w:t xml:space="preserve"> Plan</w:t>
      </w:r>
      <w:r w:rsidR="00C13842">
        <w:t xml:space="preserve"> and Long Term Financial Plan</w:t>
      </w:r>
      <w:r w:rsidR="00C13842" w:rsidRPr="00CD7D4F">
        <w:t xml:space="preserve"> into appropriate asset solutions, which are the essential outputs of effective asset management practices.  This section will describe the practices that have enabled us to provide the information contained in the previous sections of this</w:t>
      </w:r>
      <w:r>
        <w:t xml:space="preserve"> B</w:t>
      </w:r>
      <w:r w:rsidR="00D435CF">
        <w:t>AMP.</w:t>
      </w:r>
    </w:p>
    <w:p w:rsidR="00D435CF" w:rsidRPr="00CD7D4F" w:rsidRDefault="00D435CF" w:rsidP="00D435CF"/>
    <w:p w:rsidR="00C13842" w:rsidRDefault="00C13842" w:rsidP="00D435CF">
      <w:r w:rsidRPr="00CD7D4F">
        <w:t>These practices can be grouped into three broad areas:</w:t>
      </w:r>
    </w:p>
    <w:p w:rsidR="00D435CF" w:rsidRPr="00CD7D4F" w:rsidRDefault="00D435CF" w:rsidP="00D435CF"/>
    <w:p w:rsidR="00D435CF" w:rsidRPr="00D435CF" w:rsidRDefault="00C13842" w:rsidP="008348B5">
      <w:pPr>
        <w:pStyle w:val="ListParagraph"/>
        <w:numPr>
          <w:ilvl w:val="0"/>
          <w:numId w:val="108"/>
        </w:numPr>
        <w:rPr>
          <w:rFonts w:ascii="Arial" w:hAnsi="Arial" w:cs="Arial"/>
          <w:sz w:val="20"/>
          <w:szCs w:val="20"/>
        </w:rPr>
      </w:pPr>
      <w:r w:rsidRPr="00D435CF">
        <w:rPr>
          <w:rFonts w:ascii="Arial" w:hAnsi="Arial" w:cs="Arial"/>
          <w:sz w:val="20"/>
          <w:szCs w:val="20"/>
        </w:rPr>
        <w:t>Processes – the detailed processes for making and implementing day-to-day asset management decisions</w:t>
      </w:r>
      <w:r w:rsidR="00D435CF" w:rsidRPr="00D435CF">
        <w:rPr>
          <w:rFonts w:ascii="Arial" w:hAnsi="Arial" w:cs="Arial"/>
          <w:sz w:val="20"/>
          <w:szCs w:val="20"/>
        </w:rPr>
        <w:t>;</w:t>
      </w:r>
    </w:p>
    <w:p w:rsidR="00D435CF" w:rsidRPr="00D435CF" w:rsidRDefault="00C13842" w:rsidP="008348B5">
      <w:pPr>
        <w:pStyle w:val="ListParagraph"/>
        <w:numPr>
          <w:ilvl w:val="0"/>
          <w:numId w:val="108"/>
        </w:numPr>
        <w:rPr>
          <w:rFonts w:ascii="Arial" w:hAnsi="Arial" w:cs="Arial"/>
          <w:sz w:val="20"/>
          <w:szCs w:val="20"/>
        </w:rPr>
      </w:pPr>
      <w:r w:rsidRPr="00D435CF">
        <w:rPr>
          <w:rFonts w:ascii="Arial" w:hAnsi="Arial" w:cs="Arial"/>
          <w:sz w:val="20"/>
          <w:szCs w:val="20"/>
        </w:rPr>
        <w:t>Systems – asset management information systems (AMIS)</w:t>
      </w:r>
      <w:r w:rsidR="00D435CF" w:rsidRPr="00D435CF">
        <w:rPr>
          <w:rFonts w:ascii="Arial" w:hAnsi="Arial" w:cs="Arial"/>
          <w:sz w:val="20"/>
          <w:szCs w:val="20"/>
        </w:rPr>
        <w:t>; and</w:t>
      </w:r>
    </w:p>
    <w:p w:rsidR="00C13842" w:rsidRPr="00D435CF" w:rsidRDefault="00C13842" w:rsidP="008348B5">
      <w:pPr>
        <w:pStyle w:val="ListParagraph"/>
        <w:numPr>
          <w:ilvl w:val="0"/>
          <w:numId w:val="108"/>
        </w:numPr>
        <w:rPr>
          <w:rFonts w:ascii="Arial" w:hAnsi="Arial" w:cs="Arial"/>
          <w:sz w:val="20"/>
          <w:szCs w:val="20"/>
        </w:rPr>
      </w:pPr>
      <w:r w:rsidRPr="00D435CF">
        <w:rPr>
          <w:rFonts w:ascii="Arial" w:hAnsi="Arial" w:cs="Arial"/>
          <w:sz w:val="20"/>
          <w:szCs w:val="20"/>
        </w:rPr>
        <w:t>Data – the asset data sets contained in those system</w:t>
      </w:r>
      <w:r w:rsidR="00D435CF" w:rsidRPr="00D435CF">
        <w:rPr>
          <w:rFonts w:ascii="Arial" w:hAnsi="Arial" w:cs="Arial"/>
          <w:sz w:val="20"/>
          <w:szCs w:val="20"/>
        </w:rPr>
        <w:t>s to support A</w:t>
      </w:r>
      <w:r w:rsidR="000B68CF">
        <w:rPr>
          <w:rFonts w:ascii="Arial" w:hAnsi="Arial" w:cs="Arial"/>
          <w:sz w:val="20"/>
          <w:szCs w:val="20"/>
        </w:rPr>
        <w:t>sset Management</w:t>
      </w:r>
      <w:r w:rsidR="00D435CF" w:rsidRPr="00D435CF">
        <w:rPr>
          <w:rFonts w:ascii="Arial" w:hAnsi="Arial" w:cs="Arial"/>
          <w:sz w:val="20"/>
          <w:szCs w:val="20"/>
        </w:rPr>
        <w:t xml:space="preserve"> decision</w:t>
      </w:r>
      <w:r w:rsidR="0067277B">
        <w:rPr>
          <w:rFonts w:ascii="Arial" w:hAnsi="Arial" w:cs="Arial"/>
          <w:sz w:val="20"/>
          <w:szCs w:val="20"/>
        </w:rPr>
        <w:t>-</w:t>
      </w:r>
      <w:r w:rsidR="00D435CF" w:rsidRPr="00D435CF">
        <w:rPr>
          <w:rFonts w:ascii="Arial" w:hAnsi="Arial" w:cs="Arial"/>
          <w:sz w:val="20"/>
          <w:szCs w:val="20"/>
        </w:rPr>
        <w:t>making.</w:t>
      </w:r>
    </w:p>
    <w:p w:rsidR="00D435CF" w:rsidRPr="00CD7D4F" w:rsidRDefault="00D435CF" w:rsidP="00D435CF"/>
    <w:p w:rsidR="00C13842" w:rsidRDefault="00C13842" w:rsidP="00D435CF">
      <w:r w:rsidRPr="00CD7D4F">
        <w:t xml:space="preserve">Implementation of </w:t>
      </w:r>
      <w:r>
        <w:t>Yarra</w:t>
      </w:r>
      <w:r w:rsidR="00622DC3">
        <w:t xml:space="preserve"> City Council</w:t>
      </w:r>
      <w:r w:rsidRPr="00CD7D4F">
        <w:t xml:space="preserve">’s Asset Management Framework is a centre-led approach supported by a robust internal control and quality assurance structure managed by central teams within the council.  However, responsibility and accountability for asset management practices for each activity lies with individual </w:t>
      </w:r>
      <w:r w:rsidR="00622DC3">
        <w:t>C</w:t>
      </w:r>
      <w:r w:rsidRPr="00CD7D4F">
        <w:t>ouncil departments.</w:t>
      </w:r>
    </w:p>
    <w:p w:rsidR="00D435CF" w:rsidRPr="00CD7D4F" w:rsidRDefault="00D435CF" w:rsidP="00D435CF"/>
    <w:p w:rsidR="00C13842" w:rsidRDefault="00C13842" w:rsidP="00D435CF">
      <w:r w:rsidRPr="00CD7D4F">
        <w:t>Each individual asset manager is responsible for ensuring that appropriate processes, systems and data are in place to facilitate the effective management of their assets.  Centralised teams will work with asset managers to seek efficient organisational wide practices and ensure appropriate integration with other organisational processes.</w:t>
      </w:r>
    </w:p>
    <w:p w:rsidR="00D435CF" w:rsidRPr="00CD7D4F" w:rsidRDefault="00D435CF" w:rsidP="00D435CF"/>
    <w:p w:rsidR="00C13842" w:rsidRDefault="00C13842" w:rsidP="00D435CF">
      <w:r w:rsidRPr="00CD7D4F">
        <w:t>To support effective asset management, these practices should be able to:</w:t>
      </w:r>
    </w:p>
    <w:p w:rsidR="00D435CF" w:rsidRPr="00CD7D4F" w:rsidRDefault="00D435CF" w:rsidP="00D435CF"/>
    <w:p w:rsidR="00C13842" w:rsidRPr="00D435CF" w:rsidRDefault="00C13842" w:rsidP="008348B5">
      <w:pPr>
        <w:pStyle w:val="ListParagraph"/>
        <w:numPr>
          <w:ilvl w:val="0"/>
          <w:numId w:val="109"/>
        </w:numPr>
        <w:rPr>
          <w:rFonts w:ascii="Arial" w:hAnsi="Arial" w:cs="Arial"/>
          <w:sz w:val="20"/>
        </w:rPr>
      </w:pPr>
      <w:r w:rsidRPr="00D435CF">
        <w:rPr>
          <w:rFonts w:ascii="Arial" w:hAnsi="Arial" w:cs="Arial"/>
          <w:sz w:val="20"/>
        </w:rPr>
        <w:t>inform asset review, appraisal, decision-making and planning processes</w:t>
      </w:r>
      <w:r w:rsidR="00D435CF">
        <w:rPr>
          <w:rFonts w:ascii="Arial" w:hAnsi="Arial" w:cs="Arial"/>
          <w:sz w:val="20"/>
        </w:rPr>
        <w:t>;</w:t>
      </w:r>
    </w:p>
    <w:p w:rsidR="00C13842" w:rsidRPr="00D435CF" w:rsidRDefault="00C13842" w:rsidP="008348B5">
      <w:pPr>
        <w:pStyle w:val="ListParagraph"/>
        <w:numPr>
          <w:ilvl w:val="0"/>
          <w:numId w:val="109"/>
        </w:numPr>
        <w:rPr>
          <w:rFonts w:ascii="Arial" w:hAnsi="Arial" w:cs="Arial"/>
          <w:sz w:val="20"/>
        </w:rPr>
      </w:pPr>
      <w:r w:rsidRPr="00D435CF">
        <w:rPr>
          <w:rFonts w:ascii="Arial" w:hAnsi="Arial" w:cs="Arial"/>
          <w:sz w:val="20"/>
        </w:rPr>
        <w:t>monitor and assess the implementation of asset strategy and asset performance</w:t>
      </w:r>
      <w:r w:rsidR="00D435CF">
        <w:rPr>
          <w:rFonts w:ascii="Arial" w:hAnsi="Arial" w:cs="Arial"/>
          <w:sz w:val="20"/>
        </w:rPr>
        <w:t>;</w:t>
      </w:r>
    </w:p>
    <w:p w:rsidR="00C13842" w:rsidRPr="00D435CF" w:rsidRDefault="00C13842" w:rsidP="008348B5">
      <w:pPr>
        <w:pStyle w:val="ListParagraph"/>
        <w:numPr>
          <w:ilvl w:val="0"/>
          <w:numId w:val="109"/>
        </w:numPr>
        <w:rPr>
          <w:rFonts w:ascii="Arial" w:hAnsi="Arial" w:cs="Arial"/>
          <w:sz w:val="20"/>
        </w:rPr>
      </w:pPr>
      <w:r w:rsidRPr="00D435CF">
        <w:rPr>
          <w:rFonts w:ascii="Arial" w:hAnsi="Arial" w:cs="Arial"/>
          <w:sz w:val="20"/>
        </w:rPr>
        <w:t>satisfy statutory and other external reporting and compliance requirements</w:t>
      </w:r>
      <w:r w:rsidR="00D435CF">
        <w:rPr>
          <w:rFonts w:ascii="Arial" w:hAnsi="Arial" w:cs="Arial"/>
          <w:sz w:val="20"/>
        </w:rPr>
        <w:t>;</w:t>
      </w:r>
    </w:p>
    <w:p w:rsidR="00C13842" w:rsidRPr="00D435CF" w:rsidRDefault="00C13842" w:rsidP="008348B5">
      <w:pPr>
        <w:pStyle w:val="ListParagraph"/>
        <w:numPr>
          <w:ilvl w:val="0"/>
          <w:numId w:val="109"/>
        </w:numPr>
        <w:rPr>
          <w:rFonts w:ascii="Arial" w:hAnsi="Arial" w:cs="Arial"/>
          <w:sz w:val="20"/>
        </w:rPr>
      </w:pPr>
      <w:r w:rsidRPr="00D435CF">
        <w:rPr>
          <w:rFonts w:ascii="Arial" w:hAnsi="Arial" w:cs="Arial"/>
          <w:sz w:val="20"/>
        </w:rPr>
        <w:t>support the continuous management and maintenance of the asset base</w:t>
      </w:r>
      <w:r w:rsidR="00D435CF">
        <w:rPr>
          <w:rFonts w:ascii="Arial" w:hAnsi="Arial" w:cs="Arial"/>
          <w:sz w:val="20"/>
        </w:rPr>
        <w:t>; and</w:t>
      </w:r>
    </w:p>
    <w:p w:rsidR="00C13842" w:rsidRPr="00D435CF" w:rsidRDefault="00C13842" w:rsidP="008348B5">
      <w:pPr>
        <w:pStyle w:val="ListParagraph"/>
        <w:numPr>
          <w:ilvl w:val="0"/>
          <w:numId w:val="109"/>
        </w:numPr>
        <w:rPr>
          <w:rFonts w:ascii="Arial" w:hAnsi="Arial" w:cs="Arial"/>
          <w:sz w:val="20"/>
        </w:rPr>
      </w:pPr>
      <w:r w:rsidRPr="00D435CF">
        <w:rPr>
          <w:rFonts w:ascii="Arial" w:hAnsi="Arial" w:cs="Arial"/>
          <w:sz w:val="20"/>
        </w:rPr>
        <w:t>maintain a complete and accurate asset register.</w:t>
      </w:r>
    </w:p>
    <w:p w:rsidR="00D435CF" w:rsidRDefault="00D435CF" w:rsidP="00D435CF"/>
    <w:p w:rsidR="00C13842" w:rsidRPr="00CD7D4F" w:rsidRDefault="00C52F07" w:rsidP="00D435CF">
      <w:r>
        <w:t>The</w:t>
      </w:r>
      <w:r w:rsidR="00C13842">
        <w:t xml:space="preserve"> Yarra</w:t>
      </w:r>
      <w:r w:rsidR="00C13842" w:rsidRPr="00CD7D4F">
        <w:t xml:space="preserve"> </w:t>
      </w:r>
      <w:r>
        <w:t xml:space="preserve">City Council </w:t>
      </w:r>
      <w:r w:rsidR="00C13842" w:rsidRPr="00CD7D4F">
        <w:t>does not currently have unified systems and established processes to deliver all of these capabilities.  As such, this section describes the current state of the asset practises used to develop the other sections</w:t>
      </w:r>
      <w:r>
        <w:t xml:space="preserve"> of this asset management plan. </w:t>
      </w:r>
      <w:r w:rsidR="00C13842" w:rsidRPr="00CD7D4F">
        <w:t>Improvement</w:t>
      </w:r>
      <w:r>
        <w:t>s</w:t>
      </w:r>
      <w:r w:rsidR="00C13842" w:rsidRPr="00CD7D4F">
        <w:t xml:space="preserve"> to these practices </w:t>
      </w:r>
      <w:r w:rsidR="00357674">
        <w:t xml:space="preserve">will be discussed in </w:t>
      </w:r>
      <w:r w:rsidR="00357674" w:rsidRPr="002E4F63">
        <w:t>detail in S</w:t>
      </w:r>
      <w:r w:rsidR="00C13842" w:rsidRPr="002E4F63">
        <w:t xml:space="preserve">ection </w:t>
      </w:r>
      <w:r w:rsidR="00357674" w:rsidRPr="002E4F63">
        <w:t>9</w:t>
      </w:r>
      <w:r w:rsidR="00C13842" w:rsidRPr="002E4F63">
        <w:t>.</w:t>
      </w:r>
      <w:r w:rsidR="00C13842" w:rsidRPr="00CD7D4F">
        <w:t xml:space="preserve">  </w:t>
      </w:r>
    </w:p>
    <w:p w:rsidR="00C13842" w:rsidRPr="00CF2212" w:rsidRDefault="00C13842" w:rsidP="00D435CF">
      <w:pPr>
        <w:pStyle w:val="Heading2"/>
        <w:keepLines/>
      </w:pPr>
      <w:bookmarkStart w:id="803" w:name="_Toc286645735"/>
      <w:bookmarkStart w:id="804" w:name="_Toc364945354"/>
      <w:r w:rsidRPr="00CF2212">
        <w:t>Processes</w:t>
      </w:r>
      <w:bookmarkEnd w:id="803"/>
      <w:bookmarkEnd w:id="804"/>
    </w:p>
    <w:p w:rsidR="00C13842" w:rsidRPr="00CD7D4F" w:rsidRDefault="00C13842" w:rsidP="00D435CF">
      <w:pPr>
        <w:keepNext/>
        <w:keepLines/>
      </w:pPr>
      <w:r w:rsidRPr="00CD7D4F">
        <w:t xml:space="preserve">Processes for managing </w:t>
      </w:r>
      <w:r>
        <w:t xml:space="preserve">buildings and property </w:t>
      </w:r>
      <w:r w:rsidRPr="00CD7D4F">
        <w:t>assets include:</w:t>
      </w:r>
    </w:p>
    <w:p w:rsidR="00C13842" w:rsidRPr="00CD7D4F" w:rsidRDefault="00C13842" w:rsidP="00D435CF">
      <w:pPr>
        <w:keepNext/>
        <w:keepLines/>
      </w:pPr>
    </w:p>
    <w:tbl>
      <w:tblPr>
        <w:tblW w:w="9154"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19"/>
        <w:gridCol w:w="3426"/>
        <w:gridCol w:w="1985"/>
        <w:gridCol w:w="1924"/>
      </w:tblGrid>
      <w:tr w:rsidR="0045016F" w:rsidRPr="0045016F" w:rsidTr="00EB65F3">
        <w:trPr>
          <w:cantSplit/>
          <w:tblHeader/>
          <w:jc w:val="right"/>
        </w:trPr>
        <w:tc>
          <w:tcPr>
            <w:tcW w:w="1819" w:type="dxa"/>
            <w:tcBorders>
              <w:bottom w:val="single" w:sz="4" w:space="0" w:color="auto"/>
            </w:tcBorders>
            <w:shd w:val="clear" w:color="auto" w:fill="95B3D7" w:themeFill="accent1" w:themeFillTint="99"/>
            <w:vAlign w:val="center"/>
          </w:tcPr>
          <w:p w:rsidR="00C13842" w:rsidRPr="0045016F" w:rsidRDefault="00C13842" w:rsidP="00EB65F3">
            <w:pPr>
              <w:keepNext/>
              <w:keepLines/>
              <w:spacing w:before="80" w:after="80"/>
              <w:jc w:val="left"/>
              <w:rPr>
                <w:b/>
              </w:rPr>
            </w:pPr>
            <w:r w:rsidRPr="0045016F">
              <w:rPr>
                <w:b/>
              </w:rPr>
              <w:t>Process</w:t>
            </w:r>
          </w:p>
        </w:tc>
        <w:tc>
          <w:tcPr>
            <w:tcW w:w="3426" w:type="dxa"/>
            <w:tcBorders>
              <w:bottom w:val="single" w:sz="4" w:space="0" w:color="auto"/>
            </w:tcBorders>
            <w:shd w:val="clear" w:color="auto" w:fill="95B3D7" w:themeFill="accent1" w:themeFillTint="99"/>
            <w:vAlign w:val="center"/>
          </w:tcPr>
          <w:p w:rsidR="00C13842" w:rsidRPr="0045016F" w:rsidRDefault="00C13842" w:rsidP="00EB65F3">
            <w:pPr>
              <w:keepNext/>
              <w:keepLines/>
              <w:spacing w:before="80" w:after="80"/>
              <w:jc w:val="center"/>
              <w:rPr>
                <w:b/>
              </w:rPr>
            </w:pPr>
            <w:r w:rsidRPr="0045016F">
              <w:rPr>
                <w:b/>
              </w:rPr>
              <w:t>Description</w:t>
            </w:r>
          </w:p>
        </w:tc>
        <w:tc>
          <w:tcPr>
            <w:tcW w:w="1985" w:type="dxa"/>
            <w:tcBorders>
              <w:bottom w:val="single" w:sz="4" w:space="0" w:color="auto"/>
            </w:tcBorders>
            <w:shd w:val="clear" w:color="auto" w:fill="95B3D7" w:themeFill="accent1" w:themeFillTint="99"/>
            <w:vAlign w:val="center"/>
          </w:tcPr>
          <w:p w:rsidR="00C13842" w:rsidRPr="0045016F" w:rsidRDefault="00C13842" w:rsidP="00EB65F3">
            <w:pPr>
              <w:keepNext/>
              <w:keepLines/>
              <w:spacing w:before="80" w:after="80"/>
              <w:jc w:val="center"/>
              <w:rPr>
                <w:b/>
              </w:rPr>
            </w:pPr>
            <w:r w:rsidRPr="0045016F">
              <w:rPr>
                <w:b/>
              </w:rPr>
              <w:t>Lifecycle</w:t>
            </w:r>
          </w:p>
        </w:tc>
        <w:tc>
          <w:tcPr>
            <w:tcW w:w="1924" w:type="dxa"/>
            <w:tcBorders>
              <w:bottom w:val="single" w:sz="4" w:space="0" w:color="auto"/>
            </w:tcBorders>
            <w:shd w:val="clear" w:color="auto" w:fill="95B3D7" w:themeFill="accent1" w:themeFillTint="99"/>
            <w:vAlign w:val="center"/>
          </w:tcPr>
          <w:p w:rsidR="00C13842" w:rsidRPr="0045016F" w:rsidRDefault="00C13842" w:rsidP="00EB65F3">
            <w:pPr>
              <w:keepNext/>
              <w:keepLines/>
              <w:spacing w:before="80" w:after="80"/>
              <w:jc w:val="center"/>
              <w:rPr>
                <w:b/>
              </w:rPr>
            </w:pPr>
            <w:r w:rsidRPr="0045016F">
              <w:rPr>
                <w:b/>
              </w:rPr>
              <w:t xml:space="preserve">Status </w:t>
            </w:r>
            <w:r w:rsidR="00D435CF">
              <w:rPr>
                <w:b/>
              </w:rPr>
              <w:t>and</w:t>
            </w:r>
            <w:r w:rsidRPr="0045016F">
              <w:rPr>
                <w:b/>
              </w:rPr>
              <w:t xml:space="preserve"> Improvements</w:t>
            </w:r>
          </w:p>
        </w:tc>
      </w:tr>
      <w:tr w:rsidR="00B255CE" w:rsidRPr="002D4917" w:rsidTr="00EB65F3">
        <w:trPr>
          <w:cantSplit/>
          <w:jc w:val="right"/>
        </w:trPr>
        <w:tc>
          <w:tcPr>
            <w:tcW w:w="1819" w:type="dxa"/>
            <w:shd w:val="clear" w:color="auto" w:fill="auto"/>
          </w:tcPr>
          <w:p w:rsidR="00B255CE" w:rsidRPr="002D4917" w:rsidRDefault="00B255CE" w:rsidP="00D435CF">
            <w:pPr>
              <w:keepNext/>
              <w:keepLines/>
              <w:spacing w:before="120" w:after="120"/>
              <w:jc w:val="left"/>
            </w:pPr>
            <w:r w:rsidRPr="002D4917">
              <w:t>Policy for Developing Capital Works Projects</w:t>
            </w:r>
          </w:p>
        </w:tc>
        <w:tc>
          <w:tcPr>
            <w:tcW w:w="3426" w:type="dxa"/>
            <w:shd w:val="clear" w:color="auto" w:fill="auto"/>
          </w:tcPr>
          <w:p w:rsidR="00B255CE" w:rsidRPr="002D4917" w:rsidRDefault="00B255CE" w:rsidP="00D435CF">
            <w:pPr>
              <w:keepNext/>
              <w:keepLines/>
              <w:spacing w:before="120" w:after="120"/>
              <w:jc w:val="left"/>
            </w:pPr>
            <w:r w:rsidRPr="002D4917">
              <w:t>This document sets out a standard process for capital planning team members to assess the priority of proposed capital works (including capital renewal and asset creation projects). For strategic projects that require Executive approval, the framework is designed to produce information that fits with Council’s corporate decision framework.</w:t>
            </w:r>
          </w:p>
        </w:tc>
        <w:tc>
          <w:tcPr>
            <w:tcW w:w="1985" w:type="dxa"/>
            <w:shd w:val="clear" w:color="auto" w:fill="auto"/>
          </w:tcPr>
          <w:p w:rsidR="00B255CE" w:rsidRPr="002D4917" w:rsidRDefault="00B255CE" w:rsidP="00D435CF">
            <w:pPr>
              <w:keepNext/>
              <w:keepLines/>
              <w:spacing w:before="120" w:after="120"/>
              <w:jc w:val="left"/>
            </w:pPr>
            <w:r w:rsidRPr="002D4917">
              <w:t>As part of the 10 year LTP process, identifying projects/ budgets within Council plans and strategies.</w:t>
            </w:r>
          </w:p>
        </w:tc>
        <w:tc>
          <w:tcPr>
            <w:tcW w:w="1924" w:type="dxa"/>
            <w:shd w:val="clear" w:color="auto" w:fill="auto"/>
          </w:tcPr>
          <w:p w:rsidR="00B255CE" w:rsidRPr="002D4917" w:rsidRDefault="00B255CE" w:rsidP="001F4752">
            <w:pPr>
              <w:spacing w:before="120" w:after="120"/>
              <w:jc w:val="left"/>
            </w:pPr>
            <w:r w:rsidRPr="002D4917">
              <w:t>Sustainable Asset Management Branch to review and update</w:t>
            </w:r>
          </w:p>
        </w:tc>
      </w:tr>
      <w:tr w:rsidR="00B255CE" w:rsidRPr="002D4917" w:rsidTr="00EB65F3">
        <w:trPr>
          <w:cantSplit/>
          <w:jc w:val="right"/>
        </w:trPr>
        <w:tc>
          <w:tcPr>
            <w:tcW w:w="1819" w:type="dxa"/>
            <w:shd w:val="clear" w:color="auto" w:fill="auto"/>
          </w:tcPr>
          <w:p w:rsidR="00B255CE" w:rsidRPr="002D4917" w:rsidRDefault="00B255CE" w:rsidP="00D435CF">
            <w:pPr>
              <w:spacing w:before="120" w:after="120"/>
              <w:jc w:val="left"/>
            </w:pPr>
            <w:r w:rsidRPr="002D4917">
              <w:t>Procurement and Purchasing</w:t>
            </w:r>
          </w:p>
        </w:tc>
        <w:tc>
          <w:tcPr>
            <w:tcW w:w="3426" w:type="dxa"/>
            <w:shd w:val="clear" w:color="auto" w:fill="auto"/>
          </w:tcPr>
          <w:p w:rsidR="00B255CE" w:rsidRPr="002D4917" w:rsidRDefault="00B255CE" w:rsidP="00622DC3">
            <w:pPr>
              <w:spacing w:before="120" w:after="120"/>
              <w:jc w:val="left"/>
            </w:pPr>
            <w:r w:rsidRPr="002D4917">
              <w:t>Procurement is carried out by following the processes mandated by the Yarra</w:t>
            </w:r>
            <w:r w:rsidR="00622DC3">
              <w:t xml:space="preserve"> City Council`s</w:t>
            </w:r>
            <w:r w:rsidRPr="002D4917">
              <w:t xml:space="preserve"> Procurement Manual,  Purchasing Policies and Guidelines, and all other relevant Council policies. As part of this process, consideration is made as to whether the purchase will need to be made via a formal process, e.g. request for tender, request for quotation.</w:t>
            </w:r>
          </w:p>
        </w:tc>
        <w:tc>
          <w:tcPr>
            <w:tcW w:w="1985" w:type="dxa"/>
            <w:shd w:val="clear" w:color="auto" w:fill="auto"/>
          </w:tcPr>
          <w:p w:rsidR="00B255CE" w:rsidRPr="002D4917" w:rsidRDefault="00B255CE" w:rsidP="00D435CF">
            <w:pPr>
              <w:spacing w:before="120" w:after="120"/>
              <w:jc w:val="left"/>
            </w:pPr>
          </w:p>
        </w:tc>
        <w:tc>
          <w:tcPr>
            <w:tcW w:w="1924" w:type="dxa"/>
            <w:shd w:val="clear" w:color="auto" w:fill="auto"/>
          </w:tcPr>
          <w:p w:rsidR="00B255CE" w:rsidRPr="002D4917" w:rsidRDefault="00B255CE" w:rsidP="00D435CF">
            <w:pPr>
              <w:spacing w:before="120" w:after="120"/>
              <w:jc w:val="left"/>
            </w:pPr>
          </w:p>
        </w:tc>
      </w:tr>
      <w:tr w:rsidR="00B255CE" w:rsidRPr="0045016F" w:rsidTr="00EB65F3">
        <w:trPr>
          <w:cantSplit/>
          <w:jc w:val="right"/>
        </w:trPr>
        <w:tc>
          <w:tcPr>
            <w:tcW w:w="1819" w:type="dxa"/>
            <w:shd w:val="clear" w:color="auto" w:fill="auto"/>
          </w:tcPr>
          <w:p w:rsidR="00B255CE" w:rsidRPr="002D4917" w:rsidRDefault="00B255CE" w:rsidP="00D435CF">
            <w:pPr>
              <w:spacing w:before="120" w:after="120"/>
              <w:jc w:val="left"/>
            </w:pPr>
            <w:r w:rsidRPr="002D4917">
              <w:t>Asset Management Policy and Strategy</w:t>
            </w:r>
          </w:p>
        </w:tc>
        <w:tc>
          <w:tcPr>
            <w:tcW w:w="3426" w:type="dxa"/>
            <w:shd w:val="clear" w:color="auto" w:fill="auto"/>
          </w:tcPr>
          <w:p w:rsidR="00B255CE" w:rsidRPr="002D4917" w:rsidRDefault="00B255CE" w:rsidP="00622DC3">
            <w:pPr>
              <w:spacing w:before="120" w:after="120"/>
              <w:jc w:val="left"/>
            </w:pPr>
            <w:r w:rsidRPr="002D4917">
              <w:t>An A</w:t>
            </w:r>
            <w:r w:rsidR="005419D7">
              <w:t>sset Management</w:t>
            </w:r>
            <w:r w:rsidRPr="002D4917">
              <w:t xml:space="preserve"> framework was developed </w:t>
            </w:r>
            <w:r w:rsidR="00622DC3">
              <w:t xml:space="preserve">for </w:t>
            </w:r>
            <w:r w:rsidR="005419D7">
              <w:t>Yarra</w:t>
            </w:r>
            <w:r w:rsidR="00622DC3">
              <w:t xml:space="preserve"> City Council</w:t>
            </w:r>
            <w:r w:rsidR="005419D7">
              <w:t xml:space="preserve"> in April 2011, and integrates</w:t>
            </w:r>
            <w:r w:rsidRPr="002D4917">
              <w:t xml:space="preserve"> planning processes, decision-making and information across all infrastructure assets and activities.  The framework enables consistent A</w:t>
            </w:r>
            <w:r w:rsidR="005419D7">
              <w:t>sset Management</w:t>
            </w:r>
            <w:r w:rsidRPr="002D4917">
              <w:t xml:space="preserve"> practice by linking the A</w:t>
            </w:r>
            <w:r w:rsidR="005419D7">
              <w:t>sset Management</w:t>
            </w:r>
            <w:r w:rsidRPr="002D4917">
              <w:t xml:space="preserve"> responsibilities of key stakeholders.  High quality A</w:t>
            </w:r>
            <w:r w:rsidR="005419D7">
              <w:t>sset Management</w:t>
            </w:r>
            <w:r w:rsidRPr="002D4917">
              <w:t xml:space="preserve"> outcomes are highly dependent upon the consistent use of the framework by stakeholders, planners and decision</w:t>
            </w:r>
            <w:r w:rsidR="0067277B">
              <w:t>-</w:t>
            </w:r>
            <w:r w:rsidRPr="002D4917">
              <w:t>makers.</w:t>
            </w:r>
          </w:p>
        </w:tc>
        <w:tc>
          <w:tcPr>
            <w:tcW w:w="1985" w:type="dxa"/>
            <w:shd w:val="clear" w:color="auto" w:fill="auto"/>
          </w:tcPr>
          <w:p w:rsidR="00B255CE" w:rsidRPr="002D4917" w:rsidRDefault="00B255CE" w:rsidP="00D435CF">
            <w:pPr>
              <w:spacing w:before="120" w:after="120"/>
              <w:jc w:val="left"/>
            </w:pPr>
            <w:r w:rsidRPr="002D4917">
              <w:t>Annual Amendment Document.</w:t>
            </w:r>
          </w:p>
          <w:p w:rsidR="00B255CE" w:rsidRPr="002D4917" w:rsidRDefault="00B255CE" w:rsidP="00D435CF">
            <w:pPr>
              <w:spacing w:before="120" w:after="120"/>
              <w:jc w:val="left"/>
            </w:pPr>
            <w:r w:rsidRPr="002D4917">
              <w:t>4 year AMP production cycle</w:t>
            </w:r>
          </w:p>
        </w:tc>
        <w:tc>
          <w:tcPr>
            <w:tcW w:w="1924" w:type="dxa"/>
            <w:shd w:val="clear" w:color="auto" w:fill="auto"/>
          </w:tcPr>
          <w:p w:rsidR="00B255CE" w:rsidRPr="0045016F" w:rsidRDefault="00B255CE" w:rsidP="00B255CE">
            <w:pPr>
              <w:spacing w:before="120" w:after="120"/>
              <w:jc w:val="left"/>
            </w:pPr>
            <w:r w:rsidRPr="002D4917">
              <w:t>Sustainable Asset Management Branch to review and update</w:t>
            </w:r>
          </w:p>
        </w:tc>
      </w:tr>
      <w:tr w:rsidR="00B255CE" w:rsidRPr="0045016F" w:rsidTr="00EB65F3">
        <w:trPr>
          <w:cantSplit/>
          <w:jc w:val="right"/>
        </w:trPr>
        <w:tc>
          <w:tcPr>
            <w:tcW w:w="1819" w:type="dxa"/>
            <w:shd w:val="clear" w:color="auto" w:fill="auto"/>
          </w:tcPr>
          <w:p w:rsidR="00B255CE" w:rsidRPr="0045016F" w:rsidRDefault="00B255CE" w:rsidP="00D435CF">
            <w:pPr>
              <w:spacing w:before="120" w:after="120"/>
              <w:jc w:val="left"/>
            </w:pPr>
            <w:r w:rsidRPr="0045016F">
              <w:t>Asset Management Plan Development</w:t>
            </w:r>
          </w:p>
        </w:tc>
        <w:tc>
          <w:tcPr>
            <w:tcW w:w="3426" w:type="dxa"/>
            <w:shd w:val="clear" w:color="auto" w:fill="auto"/>
          </w:tcPr>
          <w:p w:rsidR="00B255CE" w:rsidRPr="0045016F" w:rsidRDefault="00B255CE" w:rsidP="00B255CE">
            <w:pPr>
              <w:spacing w:before="120" w:after="120"/>
              <w:jc w:val="left"/>
            </w:pPr>
            <w:r w:rsidRPr="0045016F">
              <w:t xml:space="preserve">A structured project team with a blend of in-house specialists and external resources have been used to develop this </w:t>
            </w:r>
            <w:r>
              <w:t>B</w:t>
            </w:r>
            <w:r w:rsidRPr="0045016F">
              <w:t xml:space="preserve">AMP. </w:t>
            </w:r>
          </w:p>
        </w:tc>
        <w:tc>
          <w:tcPr>
            <w:tcW w:w="1985" w:type="dxa"/>
            <w:shd w:val="clear" w:color="auto" w:fill="auto"/>
          </w:tcPr>
          <w:p w:rsidR="00B255CE" w:rsidRPr="0045016F" w:rsidRDefault="00B255CE" w:rsidP="00D435CF">
            <w:pPr>
              <w:spacing w:before="120" w:after="120"/>
              <w:jc w:val="left"/>
            </w:pPr>
            <w:r w:rsidRPr="0045016F">
              <w:t>Annual Amendment Document.</w:t>
            </w:r>
          </w:p>
          <w:p w:rsidR="00B255CE" w:rsidRPr="0045016F" w:rsidRDefault="00B255CE" w:rsidP="00D435CF">
            <w:pPr>
              <w:spacing w:before="120" w:after="120"/>
              <w:jc w:val="left"/>
            </w:pPr>
            <w:r w:rsidRPr="0045016F">
              <w:t>4 year AMP production cycle</w:t>
            </w:r>
          </w:p>
        </w:tc>
        <w:tc>
          <w:tcPr>
            <w:tcW w:w="1924" w:type="dxa"/>
            <w:shd w:val="clear" w:color="auto" w:fill="auto"/>
          </w:tcPr>
          <w:p w:rsidR="00B255CE" w:rsidRPr="0045016F" w:rsidRDefault="00622DC3" w:rsidP="00B255CE">
            <w:pPr>
              <w:spacing w:before="120" w:after="120"/>
              <w:jc w:val="left"/>
            </w:pPr>
            <w:r>
              <w:t>Buildings and</w:t>
            </w:r>
            <w:r w:rsidR="00B255CE" w:rsidRPr="0045016F">
              <w:t xml:space="preserve"> Property Branch to review and update</w:t>
            </w:r>
          </w:p>
        </w:tc>
      </w:tr>
      <w:tr w:rsidR="00B255CE" w:rsidRPr="0045016F" w:rsidTr="00EB65F3">
        <w:trPr>
          <w:cantSplit/>
          <w:jc w:val="right"/>
        </w:trPr>
        <w:tc>
          <w:tcPr>
            <w:tcW w:w="1819" w:type="dxa"/>
            <w:shd w:val="clear" w:color="auto" w:fill="auto"/>
          </w:tcPr>
          <w:p w:rsidR="00B255CE" w:rsidRPr="0045016F" w:rsidRDefault="00B255CE" w:rsidP="00D435CF">
            <w:pPr>
              <w:spacing w:before="120" w:after="120"/>
              <w:jc w:val="left"/>
            </w:pPr>
            <w:r>
              <w:t>Operations and</w:t>
            </w:r>
            <w:r w:rsidRPr="0045016F">
              <w:t xml:space="preserve"> Maintenance</w:t>
            </w:r>
          </w:p>
        </w:tc>
        <w:tc>
          <w:tcPr>
            <w:tcW w:w="3426" w:type="dxa"/>
            <w:shd w:val="clear" w:color="auto" w:fill="auto"/>
          </w:tcPr>
          <w:p w:rsidR="00B255CE" w:rsidRPr="0045016F" w:rsidRDefault="00B255CE" w:rsidP="00622DC3">
            <w:pPr>
              <w:spacing w:before="120" w:after="120"/>
              <w:jc w:val="left"/>
            </w:pPr>
            <w:r w:rsidRPr="0045016F">
              <w:t>Day to day operations and maintena</w:t>
            </w:r>
            <w:r w:rsidR="00622DC3">
              <w:t>nce of assets - carried out by the Buildings and Property Branch</w:t>
            </w:r>
            <w:r w:rsidRPr="0045016F">
              <w:t xml:space="preserve">. </w:t>
            </w:r>
            <w:r w:rsidR="007C62B3">
              <w:t>TechnologyOne</w:t>
            </w:r>
            <w:r w:rsidRPr="0045016F">
              <w:t xml:space="preserve"> Maintenance Management system is used for recording maintenance history.</w:t>
            </w:r>
          </w:p>
        </w:tc>
        <w:tc>
          <w:tcPr>
            <w:tcW w:w="1985" w:type="dxa"/>
            <w:shd w:val="clear" w:color="auto" w:fill="auto"/>
          </w:tcPr>
          <w:p w:rsidR="00B255CE" w:rsidRPr="0045016F" w:rsidRDefault="00B255CE" w:rsidP="00D435CF">
            <w:pPr>
              <w:spacing w:before="120" w:after="120"/>
              <w:jc w:val="left"/>
            </w:pPr>
            <w:r w:rsidRPr="0045016F">
              <w:t>Daily, reporting monthly, budgeting is annual</w:t>
            </w:r>
          </w:p>
        </w:tc>
        <w:tc>
          <w:tcPr>
            <w:tcW w:w="1924" w:type="dxa"/>
            <w:shd w:val="clear" w:color="auto" w:fill="auto"/>
          </w:tcPr>
          <w:p w:rsidR="00B255CE" w:rsidRPr="0045016F" w:rsidRDefault="00622DC3" w:rsidP="00B255CE">
            <w:pPr>
              <w:spacing w:before="120" w:after="120"/>
              <w:jc w:val="left"/>
            </w:pPr>
            <w:r>
              <w:t>Buildings and</w:t>
            </w:r>
            <w:r w:rsidR="00B255CE" w:rsidRPr="0045016F">
              <w:t xml:space="preserve"> Property Branch to review and update</w:t>
            </w:r>
            <w:r w:rsidR="00B255CE">
              <w:t xml:space="preserve"> Operational Plan</w:t>
            </w:r>
          </w:p>
        </w:tc>
      </w:tr>
      <w:tr w:rsidR="00B255CE" w:rsidRPr="0045016F" w:rsidTr="00EB65F3">
        <w:trPr>
          <w:cantSplit/>
          <w:jc w:val="right"/>
        </w:trPr>
        <w:tc>
          <w:tcPr>
            <w:tcW w:w="1819" w:type="dxa"/>
            <w:shd w:val="clear" w:color="auto" w:fill="auto"/>
          </w:tcPr>
          <w:p w:rsidR="00B255CE" w:rsidRPr="0045016F" w:rsidRDefault="00B255CE" w:rsidP="00D435CF">
            <w:pPr>
              <w:spacing w:before="120" w:after="120"/>
              <w:jc w:val="left"/>
            </w:pPr>
            <w:r w:rsidRPr="0045016F">
              <w:t>Capital Projects</w:t>
            </w:r>
          </w:p>
        </w:tc>
        <w:tc>
          <w:tcPr>
            <w:tcW w:w="3426" w:type="dxa"/>
            <w:shd w:val="clear" w:color="auto" w:fill="auto"/>
          </w:tcPr>
          <w:p w:rsidR="00B255CE" w:rsidRPr="0045016F" w:rsidRDefault="00B255CE" w:rsidP="00D435CF">
            <w:pPr>
              <w:spacing w:before="120" w:after="120"/>
              <w:jc w:val="left"/>
            </w:pPr>
            <w:r w:rsidRPr="0045016F">
              <w:t>Capital Works Monitoring (CAPMON) meetings are held monthly where project managers report progress of all capital works projects this is also reported monthly to the Executive. Each month Council is briefed on progress of the Capital Works program and key projects.</w:t>
            </w:r>
          </w:p>
        </w:tc>
        <w:tc>
          <w:tcPr>
            <w:tcW w:w="1985" w:type="dxa"/>
            <w:shd w:val="clear" w:color="auto" w:fill="auto"/>
          </w:tcPr>
          <w:p w:rsidR="00B255CE" w:rsidRPr="0045016F" w:rsidRDefault="00B255CE" w:rsidP="00D435CF">
            <w:pPr>
              <w:spacing w:before="120" w:after="120"/>
              <w:jc w:val="left"/>
            </w:pPr>
            <w:r w:rsidRPr="0045016F">
              <w:t>Reporting monthly, budgeting is annual</w:t>
            </w:r>
          </w:p>
          <w:p w:rsidR="00B255CE" w:rsidRPr="0045016F" w:rsidRDefault="00B255CE" w:rsidP="00D435CF">
            <w:pPr>
              <w:spacing w:before="120" w:after="120"/>
              <w:jc w:val="left"/>
            </w:pPr>
            <w:r w:rsidRPr="0045016F">
              <w:t>10 year programme - review every year.</w:t>
            </w:r>
          </w:p>
        </w:tc>
        <w:tc>
          <w:tcPr>
            <w:tcW w:w="1924" w:type="dxa"/>
            <w:shd w:val="clear" w:color="auto" w:fill="auto"/>
          </w:tcPr>
          <w:p w:rsidR="00B255CE" w:rsidRPr="0045016F" w:rsidRDefault="00B255CE" w:rsidP="001F4752">
            <w:pPr>
              <w:spacing w:before="120" w:after="120"/>
              <w:jc w:val="left"/>
            </w:pPr>
            <w:r>
              <w:t>Sustainable Asset Management Branch</w:t>
            </w:r>
            <w:r w:rsidRPr="0045016F">
              <w:t xml:space="preserve"> to review and update</w:t>
            </w:r>
            <w:r>
              <w:t xml:space="preserve"> reporting process.</w:t>
            </w:r>
          </w:p>
        </w:tc>
      </w:tr>
      <w:tr w:rsidR="00B255CE" w:rsidRPr="0045016F" w:rsidTr="00EB65F3">
        <w:trPr>
          <w:cantSplit/>
          <w:jc w:val="right"/>
        </w:trPr>
        <w:tc>
          <w:tcPr>
            <w:tcW w:w="1819" w:type="dxa"/>
            <w:shd w:val="clear" w:color="auto" w:fill="auto"/>
          </w:tcPr>
          <w:p w:rsidR="00B255CE" w:rsidRPr="0045016F" w:rsidRDefault="00B255CE" w:rsidP="00D435CF">
            <w:pPr>
              <w:spacing w:before="120" w:after="120"/>
              <w:jc w:val="left"/>
            </w:pPr>
            <w:r w:rsidRPr="0045016F">
              <w:t>Customer Services and Performance Management</w:t>
            </w:r>
          </w:p>
        </w:tc>
        <w:tc>
          <w:tcPr>
            <w:tcW w:w="3426" w:type="dxa"/>
            <w:shd w:val="clear" w:color="auto" w:fill="auto"/>
          </w:tcPr>
          <w:p w:rsidR="00B255CE" w:rsidRPr="0045016F" w:rsidRDefault="00B255CE" w:rsidP="00D435CF">
            <w:pPr>
              <w:spacing w:before="120" w:after="120"/>
              <w:jc w:val="left"/>
            </w:pPr>
            <w:r w:rsidRPr="0045016F">
              <w:t>Levels of Service: Customer feedback via research and monitoring of technical performance measures. Revision of same to ensure levels of service and performance measures are linked</w:t>
            </w:r>
          </w:p>
          <w:p w:rsidR="00B255CE" w:rsidRPr="0045016F" w:rsidRDefault="00B255CE" w:rsidP="00D435CF">
            <w:pPr>
              <w:spacing w:before="120" w:after="120"/>
              <w:jc w:val="left"/>
            </w:pPr>
            <w:r w:rsidRPr="0045016F">
              <w:t>Performance Monitoring: Customer/Market Research Surveys conducted on a regular basis and ‘as-required’ and monthly reporting on  performance measures to support  service reviews and make changes to the service delivery as appropriate.</w:t>
            </w:r>
          </w:p>
        </w:tc>
        <w:tc>
          <w:tcPr>
            <w:tcW w:w="1985" w:type="dxa"/>
            <w:shd w:val="clear" w:color="auto" w:fill="auto"/>
          </w:tcPr>
          <w:p w:rsidR="00B255CE" w:rsidRPr="0045016F" w:rsidRDefault="00B255CE" w:rsidP="00D435CF">
            <w:pPr>
              <w:spacing w:before="120" w:after="120"/>
              <w:jc w:val="left"/>
            </w:pPr>
            <w:r w:rsidRPr="0045016F">
              <w:t>Monthly Reports</w:t>
            </w:r>
          </w:p>
          <w:p w:rsidR="00B255CE" w:rsidRPr="0045016F" w:rsidRDefault="00B255CE" w:rsidP="00D435CF">
            <w:pPr>
              <w:spacing w:before="120" w:after="120"/>
              <w:jc w:val="left"/>
            </w:pPr>
            <w:r w:rsidRPr="0045016F">
              <w:t>Annual Reporting</w:t>
            </w:r>
          </w:p>
        </w:tc>
        <w:tc>
          <w:tcPr>
            <w:tcW w:w="1924" w:type="dxa"/>
            <w:shd w:val="clear" w:color="auto" w:fill="auto"/>
          </w:tcPr>
          <w:p w:rsidR="00B255CE" w:rsidRPr="0045016F" w:rsidRDefault="00B255CE" w:rsidP="00B255CE">
            <w:pPr>
              <w:keepNext/>
              <w:spacing w:before="120" w:after="120"/>
              <w:jc w:val="left"/>
            </w:pPr>
            <w:r w:rsidRPr="0045016F">
              <w:t xml:space="preserve">Regular meetings with service managers and annual </w:t>
            </w:r>
            <w:r>
              <w:t xml:space="preserve"> review of </w:t>
            </w:r>
            <w:r w:rsidRPr="0045016F">
              <w:t>fit</w:t>
            </w:r>
            <w:r>
              <w:t>ness</w:t>
            </w:r>
            <w:r w:rsidRPr="0045016F">
              <w:t xml:space="preserve"> for purpose</w:t>
            </w:r>
            <w:r>
              <w:t xml:space="preserve"> and condition data</w:t>
            </w:r>
          </w:p>
        </w:tc>
      </w:tr>
    </w:tbl>
    <w:p w:rsidR="00C13842" w:rsidRPr="0024611A" w:rsidRDefault="00C13842" w:rsidP="00A249BF">
      <w:pPr>
        <w:pStyle w:val="Caption"/>
        <w:spacing w:before="240" w:after="240"/>
        <w:ind w:left="720"/>
        <w:jc w:val="center"/>
        <w:rPr>
          <w:rFonts w:ascii="Arial" w:hAnsi="Arial"/>
          <w:i w:val="0"/>
          <w:iCs w:val="0"/>
          <w:sz w:val="20"/>
          <w:lang w:val="en-AU"/>
        </w:rPr>
      </w:pPr>
      <w:bookmarkStart w:id="805" w:name="_Toc364945460"/>
      <w:r w:rsidRPr="0024611A">
        <w:rPr>
          <w:rFonts w:ascii="Arial" w:hAnsi="Arial"/>
          <w:i w:val="0"/>
          <w:iCs w:val="0"/>
          <w:sz w:val="20"/>
          <w:lang w:val="en-AU"/>
        </w:rPr>
        <w:t xml:space="preserve">Table </w:t>
      </w:r>
      <w:r w:rsidR="0090414C" w:rsidRPr="0024611A">
        <w:rPr>
          <w:rFonts w:ascii="Arial" w:hAnsi="Arial"/>
          <w:i w:val="0"/>
          <w:iCs w:val="0"/>
          <w:sz w:val="20"/>
          <w:lang w:val="en-AU"/>
        </w:rPr>
        <w:fldChar w:fldCharType="begin"/>
      </w:r>
      <w:r w:rsidR="0012012A" w:rsidRPr="0024611A">
        <w:rPr>
          <w:rFonts w:ascii="Arial" w:hAnsi="Arial"/>
          <w:i w:val="0"/>
          <w:iCs w:val="0"/>
          <w:sz w:val="20"/>
          <w:lang w:val="en-AU"/>
        </w:rPr>
        <w:instrText xml:space="preserve"> SEQ Table \* ARABIC </w:instrText>
      </w:r>
      <w:r w:rsidR="0090414C" w:rsidRPr="0024611A">
        <w:rPr>
          <w:rFonts w:ascii="Arial" w:hAnsi="Arial"/>
          <w:i w:val="0"/>
          <w:iCs w:val="0"/>
          <w:sz w:val="20"/>
          <w:lang w:val="en-AU"/>
        </w:rPr>
        <w:fldChar w:fldCharType="separate"/>
      </w:r>
      <w:r w:rsidR="00751CEC">
        <w:rPr>
          <w:rFonts w:ascii="Arial" w:hAnsi="Arial"/>
          <w:i w:val="0"/>
          <w:iCs w:val="0"/>
          <w:noProof/>
          <w:sz w:val="20"/>
          <w:lang w:val="en-AU"/>
        </w:rPr>
        <w:t>56</w:t>
      </w:r>
      <w:r w:rsidR="0090414C" w:rsidRPr="0024611A">
        <w:rPr>
          <w:rFonts w:ascii="Arial" w:hAnsi="Arial"/>
          <w:i w:val="0"/>
          <w:iCs w:val="0"/>
          <w:sz w:val="20"/>
          <w:lang w:val="en-AU"/>
        </w:rPr>
        <w:fldChar w:fldCharType="end"/>
      </w:r>
      <w:r w:rsidRPr="0024611A">
        <w:rPr>
          <w:rFonts w:ascii="Arial" w:hAnsi="Arial"/>
          <w:i w:val="0"/>
          <w:iCs w:val="0"/>
          <w:sz w:val="20"/>
          <w:lang w:val="en-AU"/>
        </w:rPr>
        <w:t xml:space="preserve">: </w:t>
      </w:r>
      <w:r w:rsidR="0045016F" w:rsidRPr="0024611A">
        <w:rPr>
          <w:rFonts w:ascii="Arial" w:hAnsi="Arial"/>
          <w:i w:val="0"/>
          <w:iCs w:val="0"/>
          <w:sz w:val="20"/>
          <w:lang w:val="en-AU"/>
        </w:rPr>
        <w:t xml:space="preserve"> </w:t>
      </w:r>
      <w:r w:rsidRPr="0024611A">
        <w:rPr>
          <w:rFonts w:ascii="Arial" w:hAnsi="Arial"/>
          <w:i w:val="0"/>
          <w:iCs w:val="0"/>
          <w:sz w:val="20"/>
          <w:lang w:val="en-AU"/>
        </w:rPr>
        <w:t>Current Status of Asset Management Processes</w:t>
      </w:r>
      <w:bookmarkEnd w:id="805"/>
    </w:p>
    <w:p w:rsidR="00C13842" w:rsidRPr="00CF2212" w:rsidRDefault="00C13842" w:rsidP="00CF2212">
      <w:pPr>
        <w:pStyle w:val="Heading2"/>
      </w:pPr>
      <w:bookmarkStart w:id="806" w:name="_Toc364945355"/>
      <w:r w:rsidRPr="00CF2212">
        <w:t>Systems</w:t>
      </w:r>
      <w:r w:rsidR="00F20879">
        <w:t xml:space="preserve"> and Data</w:t>
      </w:r>
      <w:bookmarkEnd w:id="806"/>
    </w:p>
    <w:p w:rsidR="00D435CF" w:rsidRDefault="00622DC3" w:rsidP="00D435CF">
      <w:r>
        <w:t xml:space="preserve">It is important to note that the </w:t>
      </w:r>
      <w:r w:rsidR="00C13842">
        <w:t>Yarra</w:t>
      </w:r>
      <w:r>
        <w:t xml:space="preserve"> City Council</w:t>
      </w:r>
      <w:r w:rsidR="00C13842" w:rsidRPr="00CD7D4F">
        <w:t xml:space="preserve"> </w:t>
      </w:r>
      <w:r w:rsidR="00B255CE">
        <w:t xml:space="preserve">is </w:t>
      </w:r>
      <w:r w:rsidR="00C13842" w:rsidRPr="00CD7D4F">
        <w:t xml:space="preserve">currently </w:t>
      </w:r>
      <w:r w:rsidR="00B255CE">
        <w:t>implementing</w:t>
      </w:r>
      <w:r w:rsidR="00C13842" w:rsidRPr="00CD7D4F">
        <w:t xml:space="preserve"> an integrated Asset Management Information System (AMIS</w:t>
      </w:r>
      <w:r w:rsidR="008C4D19">
        <w:t xml:space="preserve"> </w:t>
      </w:r>
      <w:r w:rsidR="00C13842" w:rsidRPr="00CD7D4F">
        <w:t>)</w:t>
      </w:r>
      <w:r w:rsidR="00B255CE">
        <w:t>- Techn</w:t>
      </w:r>
      <w:r w:rsidR="007C62B3">
        <w:t>ology</w:t>
      </w:r>
      <w:r w:rsidR="00B255CE">
        <w:t>One Asset Management.</w:t>
      </w:r>
    </w:p>
    <w:p w:rsidR="00F20879" w:rsidRDefault="00F20879" w:rsidP="00D435CF"/>
    <w:p w:rsidR="00F20879" w:rsidRDefault="00F20879" w:rsidP="00F20879">
      <w:r w:rsidRPr="00CD7D4F">
        <w:t xml:space="preserve">Data quality is important for </w:t>
      </w:r>
      <w:r>
        <w:t>asset managers</w:t>
      </w:r>
      <w:r w:rsidRPr="00CD7D4F">
        <w:t xml:space="preserve"> so that they can have confidence </w:t>
      </w:r>
      <w:r>
        <w:t xml:space="preserve">when </w:t>
      </w:r>
      <w:r w:rsidRPr="00CD7D4F">
        <w:t>analysi</w:t>
      </w:r>
      <w:r>
        <w:t>ng and</w:t>
      </w:r>
      <w:r w:rsidRPr="00CD7D4F">
        <w:t xml:space="preserve"> using th</w:t>
      </w:r>
      <w:r>
        <w:t>e data.</w:t>
      </w:r>
      <w:r w:rsidRPr="00CD7D4F">
        <w:t xml:space="preserve"> </w:t>
      </w:r>
      <w:r w:rsidRPr="00CD7D4F">
        <w:rPr>
          <w:iCs/>
        </w:rPr>
        <w:t xml:space="preserve">The data quality and completeness </w:t>
      </w:r>
      <w:r>
        <w:rPr>
          <w:iCs/>
        </w:rPr>
        <w:t>is currently captured in several databases across the organisation. The implementation of Council</w:t>
      </w:r>
      <w:r w:rsidR="008473C2">
        <w:rPr>
          <w:iCs/>
        </w:rPr>
        <w:t>’</w:t>
      </w:r>
      <w:r>
        <w:rPr>
          <w:iCs/>
        </w:rPr>
        <w:t xml:space="preserve">s Asset Management system will improve the data quality. </w:t>
      </w:r>
      <w:r w:rsidRPr="00CD7D4F">
        <w:t xml:space="preserve">It is important to note all sections of this asset management plan were completed using large amount of data which cannot be included in the plan itself. </w:t>
      </w:r>
    </w:p>
    <w:p w:rsidR="008B7EDF" w:rsidRDefault="008B7EDF" w:rsidP="00F20879"/>
    <w:p w:rsidR="00B255CE" w:rsidRDefault="00F20879" w:rsidP="00DB6826">
      <w:pPr>
        <w:keepNext/>
        <w:keepLines/>
      </w:pPr>
      <w:r>
        <w:t>T</w:t>
      </w:r>
      <w:r w:rsidR="00B255CE">
        <w:t>he following table depicts the current status of asset management systems</w:t>
      </w:r>
      <w:r>
        <w:t xml:space="preserve"> and data</w:t>
      </w:r>
      <w:r w:rsidR="00B255CE">
        <w:t>:</w:t>
      </w:r>
    </w:p>
    <w:p w:rsidR="00DB6826" w:rsidRPr="00CD7D4F" w:rsidRDefault="00DB6826" w:rsidP="00DB6826">
      <w:pPr>
        <w:keepNext/>
        <w:keepLines/>
      </w:pPr>
    </w:p>
    <w:tbl>
      <w:tblPr>
        <w:tblW w:w="90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93"/>
        <w:gridCol w:w="2163"/>
        <w:gridCol w:w="2940"/>
        <w:gridCol w:w="2598"/>
      </w:tblGrid>
      <w:tr w:rsidR="00613737" w:rsidRPr="00DB6826" w:rsidTr="00613737">
        <w:trPr>
          <w:cantSplit/>
          <w:tblHeader/>
          <w:jc w:val="center"/>
        </w:trPr>
        <w:tc>
          <w:tcPr>
            <w:tcW w:w="1393" w:type="dxa"/>
            <w:shd w:val="clear" w:color="auto" w:fill="95B3D7" w:themeFill="accent1" w:themeFillTint="99"/>
          </w:tcPr>
          <w:p w:rsidR="00C13842" w:rsidRPr="00DB6826" w:rsidRDefault="00C13842" w:rsidP="000B68CF">
            <w:pPr>
              <w:keepNext/>
              <w:keepLines/>
              <w:spacing w:before="80" w:after="80"/>
              <w:jc w:val="center"/>
              <w:rPr>
                <w:rFonts w:cs="Arial"/>
                <w:b/>
                <w:sz w:val="19"/>
                <w:szCs w:val="19"/>
              </w:rPr>
            </w:pPr>
            <w:r w:rsidRPr="00DB6826">
              <w:rPr>
                <w:rFonts w:cs="Arial"/>
                <w:b/>
                <w:sz w:val="19"/>
                <w:szCs w:val="19"/>
              </w:rPr>
              <w:t>A</w:t>
            </w:r>
            <w:r w:rsidR="000B68CF">
              <w:rPr>
                <w:rFonts w:cs="Arial"/>
                <w:b/>
                <w:sz w:val="19"/>
                <w:szCs w:val="19"/>
              </w:rPr>
              <w:t>sset Management</w:t>
            </w:r>
            <w:r w:rsidRPr="00DB6826">
              <w:rPr>
                <w:rFonts w:cs="Arial"/>
                <w:b/>
                <w:sz w:val="19"/>
                <w:szCs w:val="19"/>
              </w:rPr>
              <w:t xml:space="preserve"> Functions</w:t>
            </w:r>
          </w:p>
        </w:tc>
        <w:tc>
          <w:tcPr>
            <w:tcW w:w="2163" w:type="dxa"/>
            <w:shd w:val="clear" w:color="auto" w:fill="95B3D7" w:themeFill="accent1" w:themeFillTint="99"/>
          </w:tcPr>
          <w:p w:rsidR="00C13842" w:rsidRPr="00DB6826" w:rsidRDefault="00C13842" w:rsidP="00DB6826">
            <w:pPr>
              <w:keepNext/>
              <w:keepLines/>
              <w:spacing w:before="80" w:after="80"/>
              <w:jc w:val="center"/>
              <w:rPr>
                <w:rFonts w:cs="Arial"/>
                <w:b/>
                <w:sz w:val="19"/>
                <w:szCs w:val="19"/>
              </w:rPr>
            </w:pPr>
            <w:r w:rsidRPr="00DB6826">
              <w:rPr>
                <w:rFonts w:cs="Arial"/>
                <w:b/>
                <w:sz w:val="19"/>
                <w:szCs w:val="19"/>
              </w:rPr>
              <w:t>Critical Systems</w:t>
            </w:r>
          </w:p>
        </w:tc>
        <w:tc>
          <w:tcPr>
            <w:tcW w:w="2940" w:type="dxa"/>
            <w:shd w:val="clear" w:color="auto" w:fill="95B3D7" w:themeFill="accent1" w:themeFillTint="99"/>
          </w:tcPr>
          <w:p w:rsidR="00C13842" w:rsidRPr="00DB6826" w:rsidRDefault="00C13842" w:rsidP="00DB6826">
            <w:pPr>
              <w:keepNext/>
              <w:keepLines/>
              <w:spacing w:before="80" w:after="80"/>
              <w:jc w:val="center"/>
              <w:rPr>
                <w:rFonts w:cs="Arial"/>
                <w:b/>
                <w:sz w:val="19"/>
                <w:szCs w:val="19"/>
              </w:rPr>
            </w:pPr>
            <w:r w:rsidRPr="00DB6826">
              <w:rPr>
                <w:rFonts w:cs="Arial"/>
                <w:b/>
                <w:sz w:val="19"/>
                <w:szCs w:val="19"/>
              </w:rPr>
              <w:t>Description</w:t>
            </w:r>
          </w:p>
        </w:tc>
        <w:tc>
          <w:tcPr>
            <w:tcW w:w="2598" w:type="dxa"/>
            <w:shd w:val="clear" w:color="auto" w:fill="95B3D7" w:themeFill="accent1" w:themeFillTint="99"/>
          </w:tcPr>
          <w:p w:rsidR="00C13842" w:rsidRPr="00DB6826" w:rsidRDefault="00C13842" w:rsidP="00DB6826">
            <w:pPr>
              <w:keepNext/>
              <w:keepLines/>
              <w:spacing w:before="80" w:after="80"/>
              <w:jc w:val="center"/>
              <w:rPr>
                <w:rFonts w:cs="Arial"/>
                <w:b/>
                <w:sz w:val="19"/>
                <w:szCs w:val="19"/>
              </w:rPr>
            </w:pPr>
            <w:r w:rsidRPr="00DB6826">
              <w:rPr>
                <w:rFonts w:cs="Arial"/>
                <w:b/>
                <w:sz w:val="19"/>
                <w:szCs w:val="19"/>
              </w:rPr>
              <w:t xml:space="preserve">Status </w:t>
            </w:r>
            <w:r w:rsidR="00613737" w:rsidRPr="00DB6826">
              <w:rPr>
                <w:rFonts w:cs="Arial"/>
                <w:b/>
                <w:sz w:val="19"/>
                <w:szCs w:val="19"/>
              </w:rPr>
              <w:t>and</w:t>
            </w:r>
            <w:r w:rsidRPr="00DB6826">
              <w:rPr>
                <w:rFonts w:cs="Arial"/>
                <w:b/>
                <w:sz w:val="19"/>
                <w:szCs w:val="19"/>
              </w:rPr>
              <w:t xml:space="preserve"> Improvements</w:t>
            </w:r>
          </w:p>
        </w:tc>
      </w:tr>
      <w:tr w:rsidR="00C13842" w:rsidRPr="00DB6826" w:rsidTr="00613737">
        <w:trPr>
          <w:cantSplit/>
          <w:jc w:val="center"/>
        </w:trPr>
        <w:tc>
          <w:tcPr>
            <w:tcW w:w="1393" w:type="dxa"/>
          </w:tcPr>
          <w:p w:rsidR="00C13842" w:rsidRPr="00DB6826" w:rsidRDefault="00C13842" w:rsidP="00DB6826">
            <w:pPr>
              <w:keepNext/>
              <w:keepLines/>
              <w:spacing w:before="80" w:after="80"/>
              <w:jc w:val="left"/>
              <w:rPr>
                <w:rFonts w:cs="Arial"/>
                <w:sz w:val="19"/>
                <w:szCs w:val="19"/>
              </w:rPr>
            </w:pPr>
            <w:r w:rsidRPr="00DB6826">
              <w:rPr>
                <w:rFonts w:cs="Arial"/>
                <w:sz w:val="19"/>
                <w:szCs w:val="19"/>
              </w:rPr>
              <w:t>Managing Performance</w:t>
            </w:r>
          </w:p>
        </w:tc>
        <w:tc>
          <w:tcPr>
            <w:tcW w:w="2163" w:type="dxa"/>
          </w:tcPr>
          <w:p w:rsidR="00C13842" w:rsidRPr="00DB6826" w:rsidRDefault="00613737" w:rsidP="00DB6826">
            <w:pPr>
              <w:keepNext/>
              <w:keepLines/>
              <w:spacing w:before="80" w:after="80"/>
              <w:jc w:val="left"/>
              <w:rPr>
                <w:rFonts w:cs="Arial"/>
                <w:sz w:val="19"/>
                <w:szCs w:val="19"/>
                <w:highlight w:val="yellow"/>
              </w:rPr>
            </w:pPr>
            <w:r w:rsidRPr="00DB6826">
              <w:rPr>
                <w:rFonts w:cs="Arial"/>
                <w:sz w:val="19"/>
                <w:szCs w:val="19"/>
              </w:rPr>
              <w:t>Customer Enquiries/ Requests/</w:t>
            </w:r>
            <w:r w:rsidR="00C13842" w:rsidRPr="00DB6826">
              <w:rPr>
                <w:rFonts w:cs="Arial"/>
                <w:sz w:val="19"/>
                <w:szCs w:val="19"/>
              </w:rPr>
              <w:t xml:space="preserve">Complaints </w:t>
            </w:r>
          </w:p>
        </w:tc>
        <w:tc>
          <w:tcPr>
            <w:tcW w:w="2940" w:type="dxa"/>
          </w:tcPr>
          <w:p w:rsidR="00C13842" w:rsidRPr="00DB6826" w:rsidRDefault="00B255CE" w:rsidP="00DB6826">
            <w:pPr>
              <w:keepNext/>
              <w:keepLines/>
              <w:spacing w:before="80" w:after="80"/>
              <w:jc w:val="left"/>
              <w:rPr>
                <w:rFonts w:cs="Arial"/>
                <w:sz w:val="19"/>
                <w:szCs w:val="19"/>
                <w:highlight w:val="yellow"/>
              </w:rPr>
            </w:pPr>
            <w:r w:rsidRPr="00DB6826">
              <w:rPr>
                <w:rFonts w:cs="Arial"/>
                <w:sz w:val="19"/>
                <w:szCs w:val="19"/>
              </w:rPr>
              <w:t>Merit,</w:t>
            </w:r>
            <w:r w:rsidR="00F20879" w:rsidRPr="00DB6826">
              <w:rPr>
                <w:rFonts w:cs="Arial"/>
                <w:sz w:val="19"/>
                <w:szCs w:val="19"/>
              </w:rPr>
              <w:t xml:space="preserve"> </w:t>
            </w:r>
            <w:r w:rsidR="007C62B3">
              <w:rPr>
                <w:rFonts w:cs="Arial"/>
                <w:sz w:val="19"/>
                <w:szCs w:val="19"/>
              </w:rPr>
              <w:t>TechnologyOne</w:t>
            </w:r>
            <w:r w:rsidRPr="00DB6826">
              <w:rPr>
                <w:rFonts w:cs="Arial"/>
                <w:sz w:val="19"/>
                <w:szCs w:val="19"/>
              </w:rPr>
              <w:t>, TRIM</w:t>
            </w:r>
          </w:p>
        </w:tc>
        <w:tc>
          <w:tcPr>
            <w:tcW w:w="2598" w:type="dxa"/>
          </w:tcPr>
          <w:p w:rsidR="00C13842" w:rsidRPr="00DB6826" w:rsidRDefault="007C62B3" w:rsidP="00DB6826">
            <w:pPr>
              <w:keepNext/>
              <w:keepLines/>
              <w:spacing w:before="80" w:after="80"/>
              <w:jc w:val="left"/>
              <w:rPr>
                <w:rFonts w:cs="Arial"/>
                <w:sz w:val="19"/>
                <w:szCs w:val="19"/>
                <w:highlight w:val="yellow"/>
              </w:rPr>
            </w:pPr>
            <w:r>
              <w:rPr>
                <w:rFonts w:cs="Arial"/>
                <w:sz w:val="19"/>
                <w:szCs w:val="19"/>
              </w:rPr>
              <w:t>TechnologyOne</w:t>
            </w:r>
            <w:r w:rsidR="00B255CE" w:rsidRPr="00DB6826">
              <w:rPr>
                <w:rFonts w:cs="Arial"/>
                <w:sz w:val="19"/>
                <w:szCs w:val="19"/>
              </w:rPr>
              <w:t>,</w:t>
            </w:r>
            <w:r w:rsidR="008C4D19">
              <w:rPr>
                <w:rFonts w:cs="Arial"/>
                <w:sz w:val="19"/>
                <w:szCs w:val="19"/>
              </w:rPr>
              <w:t xml:space="preserve"> </w:t>
            </w:r>
            <w:r w:rsidR="00B255CE" w:rsidRPr="00DB6826">
              <w:rPr>
                <w:rFonts w:cs="Arial"/>
                <w:sz w:val="19"/>
                <w:szCs w:val="19"/>
              </w:rPr>
              <w:t>needs to be fully integrated with Merit and TRIM and GIS enabling handling of customer enquiries in the field.</w:t>
            </w:r>
          </w:p>
        </w:tc>
      </w:tr>
      <w:tr w:rsidR="00C13842" w:rsidRPr="00DB6826" w:rsidTr="00613737">
        <w:trPr>
          <w:cantSplit/>
          <w:jc w:val="center"/>
        </w:trPr>
        <w:tc>
          <w:tcPr>
            <w:tcW w:w="1393" w:type="dxa"/>
          </w:tcPr>
          <w:p w:rsidR="00C13842" w:rsidRPr="00DB6826" w:rsidRDefault="00613737" w:rsidP="00DB6826">
            <w:pPr>
              <w:keepNext/>
              <w:keepLines/>
              <w:spacing w:before="80" w:after="80"/>
              <w:jc w:val="left"/>
              <w:rPr>
                <w:rFonts w:cs="Arial"/>
                <w:sz w:val="19"/>
                <w:szCs w:val="19"/>
              </w:rPr>
            </w:pPr>
            <w:r w:rsidRPr="00DB6826">
              <w:rPr>
                <w:rFonts w:cs="Arial"/>
                <w:sz w:val="19"/>
                <w:szCs w:val="19"/>
              </w:rPr>
              <w:t>Managing Growth and</w:t>
            </w:r>
            <w:r w:rsidR="00C13842" w:rsidRPr="00DB6826">
              <w:rPr>
                <w:rFonts w:cs="Arial"/>
                <w:sz w:val="19"/>
                <w:szCs w:val="19"/>
              </w:rPr>
              <w:t xml:space="preserve"> Demand</w:t>
            </w:r>
          </w:p>
        </w:tc>
        <w:tc>
          <w:tcPr>
            <w:tcW w:w="2163" w:type="dxa"/>
          </w:tcPr>
          <w:p w:rsidR="00C13842" w:rsidRPr="00DB6826" w:rsidRDefault="00613737" w:rsidP="00DB6826">
            <w:pPr>
              <w:keepNext/>
              <w:keepLines/>
              <w:spacing w:before="80" w:after="80"/>
              <w:jc w:val="left"/>
              <w:rPr>
                <w:rFonts w:cs="Arial"/>
                <w:sz w:val="19"/>
                <w:szCs w:val="19"/>
              </w:rPr>
            </w:pPr>
            <w:r w:rsidRPr="00DB6826">
              <w:rPr>
                <w:rFonts w:cs="Arial"/>
                <w:sz w:val="19"/>
                <w:szCs w:val="19"/>
              </w:rPr>
              <w:t>Asset Utilisation</w:t>
            </w:r>
            <w:r w:rsidR="00C13842" w:rsidRPr="00DB6826">
              <w:rPr>
                <w:rFonts w:cs="Arial"/>
                <w:sz w:val="19"/>
                <w:szCs w:val="19"/>
              </w:rPr>
              <w:t>/ Demand Modelling</w:t>
            </w:r>
          </w:p>
        </w:tc>
        <w:tc>
          <w:tcPr>
            <w:tcW w:w="2940" w:type="dxa"/>
          </w:tcPr>
          <w:p w:rsidR="00C13842" w:rsidRPr="00DB6826" w:rsidRDefault="00C13842" w:rsidP="00DB6826">
            <w:pPr>
              <w:keepNext/>
              <w:keepLines/>
              <w:spacing w:before="80" w:after="80"/>
              <w:jc w:val="left"/>
              <w:rPr>
                <w:rFonts w:cs="Arial"/>
                <w:sz w:val="19"/>
                <w:szCs w:val="19"/>
              </w:rPr>
            </w:pPr>
            <w:r w:rsidRPr="00DB6826">
              <w:rPr>
                <w:rFonts w:cs="Arial"/>
                <w:sz w:val="19"/>
                <w:szCs w:val="19"/>
              </w:rPr>
              <w:t>F</w:t>
            </w:r>
            <w:r w:rsidR="00B255CE" w:rsidRPr="00DB6826">
              <w:rPr>
                <w:rFonts w:cs="Arial"/>
                <w:sz w:val="19"/>
                <w:szCs w:val="19"/>
              </w:rPr>
              <w:t xml:space="preserve">itness for purpose and demand data </w:t>
            </w:r>
            <w:r w:rsidRPr="00DB6826">
              <w:rPr>
                <w:rFonts w:cs="Arial"/>
                <w:sz w:val="19"/>
                <w:szCs w:val="19"/>
              </w:rPr>
              <w:t xml:space="preserve">information </w:t>
            </w:r>
            <w:r w:rsidR="00B255CE" w:rsidRPr="00DB6826">
              <w:rPr>
                <w:rFonts w:cs="Arial"/>
                <w:sz w:val="19"/>
                <w:szCs w:val="19"/>
              </w:rPr>
              <w:t>is captured and recorded in a database.</w:t>
            </w:r>
          </w:p>
        </w:tc>
        <w:tc>
          <w:tcPr>
            <w:tcW w:w="2598" w:type="dxa"/>
          </w:tcPr>
          <w:p w:rsidR="00C13842" w:rsidRPr="00DB6826" w:rsidRDefault="00B255CE" w:rsidP="00DB6826">
            <w:pPr>
              <w:keepNext/>
              <w:keepLines/>
              <w:spacing w:before="80" w:after="80"/>
              <w:jc w:val="left"/>
              <w:rPr>
                <w:rFonts w:cs="Arial"/>
                <w:sz w:val="19"/>
                <w:szCs w:val="19"/>
              </w:rPr>
            </w:pPr>
            <w:r w:rsidRPr="00DB6826">
              <w:rPr>
                <w:rFonts w:cs="Arial"/>
                <w:sz w:val="19"/>
                <w:szCs w:val="19"/>
              </w:rPr>
              <w:t xml:space="preserve">Incorporate database into </w:t>
            </w:r>
            <w:r w:rsidR="007C62B3">
              <w:rPr>
                <w:rFonts w:cs="Arial"/>
                <w:sz w:val="19"/>
                <w:szCs w:val="19"/>
              </w:rPr>
              <w:t>TechnologyOne</w:t>
            </w:r>
            <w:r w:rsidRPr="00DB6826">
              <w:rPr>
                <w:rFonts w:cs="Arial"/>
                <w:sz w:val="19"/>
                <w:szCs w:val="19"/>
              </w:rPr>
              <w:t>.</w:t>
            </w:r>
          </w:p>
        </w:tc>
      </w:tr>
      <w:tr w:rsidR="00C13842" w:rsidRPr="00DB6826" w:rsidTr="00613737">
        <w:trPr>
          <w:cantSplit/>
          <w:jc w:val="center"/>
        </w:trPr>
        <w:tc>
          <w:tcPr>
            <w:tcW w:w="1393" w:type="dxa"/>
            <w:vMerge w:val="restart"/>
          </w:tcPr>
          <w:p w:rsidR="00C13842" w:rsidRPr="00DB6826" w:rsidRDefault="00B255CE" w:rsidP="00DB6826">
            <w:pPr>
              <w:keepNext/>
              <w:keepLines/>
              <w:spacing w:before="80" w:after="80"/>
              <w:jc w:val="left"/>
              <w:rPr>
                <w:rFonts w:cs="Arial"/>
                <w:sz w:val="19"/>
                <w:szCs w:val="19"/>
              </w:rPr>
            </w:pPr>
            <w:r w:rsidRPr="00DB6826">
              <w:rPr>
                <w:rFonts w:cs="Arial"/>
                <w:sz w:val="19"/>
                <w:szCs w:val="19"/>
              </w:rPr>
              <w:t>Asset Lifecycle Management</w:t>
            </w:r>
          </w:p>
        </w:tc>
        <w:tc>
          <w:tcPr>
            <w:tcW w:w="2163" w:type="dxa"/>
            <w:vMerge w:val="restart"/>
          </w:tcPr>
          <w:p w:rsidR="00C13842" w:rsidRPr="00DB6826" w:rsidRDefault="00B255CE" w:rsidP="00DB6826">
            <w:pPr>
              <w:keepNext/>
              <w:keepLines/>
              <w:spacing w:before="80" w:after="80"/>
              <w:jc w:val="left"/>
              <w:rPr>
                <w:rFonts w:cs="Arial"/>
                <w:sz w:val="19"/>
                <w:szCs w:val="19"/>
              </w:rPr>
            </w:pPr>
            <w:r w:rsidRPr="00DB6826">
              <w:rPr>
                <w:rFonts w:cs="Arial"/>
                <w:sz w:val="19"/>
                <w:szCs w:val="19"/>
              </w:rPr>
              <w:t>Asset Register</w:t>
            </w:r>
          </w:p>
        </w:tc>
        <w:tc>
          <w:tcPr>
            <w:tcW w:w="2940" w:type="dxa"/>
          </w:tcPr>
          <w:p w:rsidR="00C13842" w:rsidRPr="00DB6826" w:rsidRDefault="00B255CE" w:rsidP="00DB6826">
            <w:pPr>
              <w:keepNext/>
              <w:keepLines/>
              <w:spacing w:before="80" w:after="80"/>
              <w:jc w:val="left"/>
              <w:rPr>
                <w:rFonts w:cs="Arial"/>
                <w:sz w:val="19"/>
                <w:szCs w:val="19"/>
              </w:rPr>
            </w:pPr>
            <w:r w:rsidRPr="00DB6826">
              <w:rPr>
                <w:rFonts w:cs="Arial"/>
                <w:sz w:val="19"/>
                <w:szCs w:val="19"/>
              </w:rPr>
              <w:t>Existing asset register is</w:t>
            </w:r>
            <w:r w:rsidR="00C13842" w:rsidRPr="00DB6826">
              <w:rPr>
                <w:rFonts w:cs="Arial"/>
                <w:sz w:val="19"/>
                <w:szCs w:val="19"/>
              </w:rPr>
              <w:t xml:space="preserve"> not linked </w:t>
            </w:r>
            <w:r w:rsidR="00C52F07" w:rsidRPr="00DB6826">
              <w:rPr>
                <w:rFonts w:cs="Arial"/>
                <w:sz w:val="19"/>
                <w:szCs w:val="19"/>
              </w:rPr>
              <w:t xml:space="preserve">with corporate finance system </w:t>
            </w:r>
          </w:p>
        </w:tc>
        <w:tc>
          <w:tcPr>
            <w:tcW w:w="2598" w:type="dxa"/>
          </w:tcPr>
          <w:p w:rsidR="00C13842" w:rsidRPr="00DB6826" w:rsidRDefault="00C13842" w:rsidP="00DB6826">
            <w:pPr>
              <w:keepNext/>
              <w:keepLines/>
              <w:spacing w:before="80" w:after="80"/>
              <w:jc w:val="left"/>
              <w:rPr>
                <w:rFonts w:cs="Arial"/>
                <w:sz w:val="19"/>
                <w:szCs w:val="19"/>
              </w:rPr>
            </w:pPr>
            <w:r w:rsidRPr="00DB6826">
              <w:rPr>
                <w:rFonts w:cs="Arial"/>
                <w:sz w:val="19"/>
                <w:szCs w:val="19"/>
              </w:rPr>
              <w:t>Asset registers integrated with corporate financial information systems</w:t>
            </w:r>
          </w:p>
        </w:tc>
      </w:tr>
      <w:tr w:rsidR="00C13842" w:rsidRPr="00DB6826" w:rsidTr="00613737">
        <w:trPr>
          <w:cantSplit/>
          <w:jc w:val="center"/>
        </w:trPr>
        <w:tc>
          <w:tcPr>
            <w:tcW w:w="1393" w:type="dxa"/>
            <w:vMerge/>
          </w:tcPr>
          <w:p w:rsidR="00C13842" w:rsidRPr="00DB6826" w:rsidRDefault="00C13842" w:rsidP="002046E8">
            <w:pPr>
              <w:keepNext/>
              <w:keepLines/>
              <w:spacing w:before="80" w:after="80"/>
              <w:jc w:val="left"/>
              <w:rPr>
                <w:rFonts w:cs="Arial"/>
                <w:sz w:val="19"/>
                <w:szCs w:val="19"/>
              </w:rPr>
            </w:pPr>
          </w:p>
        </w:tc>
        <w:tc>
          <w:tcPr>
            <w:tcW w:w="2163" w:type="dxa"/>
            <w:vMerge/>
          </w:tcPr>
          <w:p w:rsidR="00C13842" w:rsidRPr="00DB6826" w:rsidRDefault="00C13842" w:rsidP="002046E8">
            <w:pPr>
              <w:keepNext/>
              <w:keepLines/>
              <w:spacing w:before="80" w:after="80"/>
              <w:jc w:val="left"/>
              <w:rPr>
                <w:rFonts w:cs="Arial"/>
                <w:sz w:val="19"/>
                <w:szCs w:val="19"/>
              </w:rPr>
            </w:pPr>
          </w:p>
        </w:tc>
        <w:tc>
          <w:tcPr>
            <w:tcW w:w="2940" w:type="dxa"/>
          </w:tcPr>
          <w:p w:rsidR="00C13842" w:rsidRPr="00DB6826" w:rsidRDefault="00B255CE" w:rsidP="002046E8">
            <w:pPr>
              <w:keepNext/>
              <w:keepLines/>
              <w:spacing w:before="80" w:after="80"/>
              <w:jc w:val="left"/>
              <w:rPr>
                <w:rFonts w:cs="Arial"/>
                <w:sz w:val="19"/>
                <w:szCs w:val="19"/>
              </w:rPr>
            </w:pPr>
            <w:r w:rsidRPr="00DB6826">
              <w:rPr>
                <w:rFonts w:cs="Arial"/>
                <w:sz w:val="19"/>
                <w:szCs w:val="19"/>
              </w:rPr>
              <w:t>A</w:t>
            </w:r>
            <w:r w:rsidR="00C13842" w:rsidRPr="00DB6826">
              <w:rPr>
                <w:rFonts w:cs="Arial"/>
                <w:sz w:val="19"/>
                <w:szCs w:val="19"/>
              </w:rPr>
              <w:t>ssets are recorded in Council</w:t>
            </w:r>
            <w:r w:rsidRPr="00DB6826">
              <w:rPr>
                <w:rFonts w:cs="Arial"/>
                <w:sz w:val="19"/>
                <w:szCs w:val="19"/>
              </w:rPr>
              <w:t>`s</w:t>
            </w:r>
            <w:r w:rsidR="00C13842" w:rsidRPr="00DB6826">
              <w:rPr>
                <w:rFonts w:cs="Arial"/>
                <w:sz w:val="19"/>
                <w:szCs w:val="19"/>
              </w:rPr>
              <w:t xml:space="preserve"> GIS </w:t>
            </w:r>
            <w:r w:rsidRPr="00DB6826">
              <w:rPr>
                <w:rFonts w:cs="Arial"/>
                <w:sz w:val="19"/>
                <w:szCs w:val="19"/>
              </w:rPr>
              <w:t>although n</w:t>
            </w:r>
            <w:r w:rsidR="00C13842" w:rsidRPr="00DB6826">
              <w:rPr>
                <w:rFonts w:cs="Arial"/>
                <w:sz w:val="19"/>
                <w:szCs w:val="19"/>
              </w:rPr>
              <w:t>ot all assets</w:t>
            </w:r>
            <w:r w:rsidRPr="00DB6826">
              <w:rPr>
                <w:rFonts w:cs="Arial"/>
                <w:sz w:val="19"/>
                <w:szCs w:val="19"/>
              </w:rPr>
              <w:t xml:space="preserve"> are recorded</w:t>
            </w:r>
            <w:r w:rsidR="00C13842" w:rsidRPr="00DB6826">
              <w:rPr>
                <w:rFonts w:cs="Arial"/>
                <w:sz w:val="19"/>
                <w:szCs w:val="19"/>
              </w:rPr>
              <w:t xml:space="preserve"> by each asset class </w:t>
            </w:r>
          </w:p>
        </w:tc>
        <w:tc>
          <w:tcPr>
            <w:tcW w:w="2598" w:type="dxa"/>
          </w:tcPr>
          <w:p w:rsidR="00C13842" w:rsidRPr="00DB6826" w:rsidRDefault="00C13842" w:rsidP="000B68CF">
            <w:pPr>
              <w:keepNext/>
              <w:keepLines/>
              <w:spacing w:before="80" w:after="80"/>
              <w:jc w:val="left"/>
              <w:rPr>
                <w:rFonts w:cs="Arial"/>
                <w:sz w:val="19"/>
                <w:szCs w:val="19"/>
              </w:rPr>
            </w:pPr>
            <w:r w:rsidRPr="00DB6826">
              <w:rPr>
                <w:rFonts w:cs="Arial"/>
                <w:sz w:val="19"/>
                <w:szCs w:val="19"/>
              </w:rPr>
              <w:t>High level functionality GIS allowing full integration with corporate A</w:t>
            </w:r>
            <w:r w:rsidR="000B68CF">
              <w:rPr>
                <w:rFonts w:cs="Arial"/>
                <w:sz w:val="19"/>
                <w:szCs w:val="19"/>
              </w:rPr>
              <w:t>sset Management</w:t>
            </w:r>
          </w:p>
        </w:tc>
      </w:tr>
      <w:tr w:rsidR="00C13842" w:rsidRPr="00DB6826" w:rsidTr="00613737">
        <w:trPr>
          <w:cantSplit/>
          <w:jc w:val="center"/>
        </w:trPr>
        <w:tc>
          <w:tcPr>
            <w:tcW w:w="1393" w:type="dxa"/>
            <w:vMerge/>
          </w:tcPr>
          <w:p w:rsidR="00C13842" w:rsidRPr="00DB6826" w:rsidRDefault="00C13842" w:rsidP="002046E8">
            <w:pPr>
              <w:keepNext/>
              <w:keepLines/>
              <w:spacing w:before="80" w:after="80"/>
              <w:jc w:val="left"/>
              <w:rPr>
                <w:rFonts w:cs="Arial"/>
                <w:sz w:val="19"/>
                <w:szCs w:val="19"/>
              </w:rPr>
            </w:pPr>
          </w:p>
        </w:tc>
        <w:tc>
          <w:tcPr>
            <w:tcW w:w="2163" w:type="dxa"/>
            <w:vMerge/>
          </w:tcPr>
          <w:p w:rsidR="00C13842" w:rsidRPr="00DB6826" w:rsidRDefault="00C13842" w:rsidP="002046E8">
            <w:pPr>
              <w:keepNext/>
              <w:keepLines/>
              <w:spacing w:before="80" w:after="80"/>
              <w:jc w:val="left"/>
              <w:rPr>
                <w:rFonts w:cs="Arial"/>
                <w:sz w:val="19"/>
                <w:szCs w:val="19"/>
              </w:rPr>
            </w:pPr>
          </w:p>
        </w:tc>
        <w:tc>
          <w:tcPr>
            <w:tcW w:w="2940" w:type="dxa"/>
          </w:tcPr>
          <w:p w:rsidR="00C13842" w:rsidRPr="00DB6826" w:rsidRDefault="00C13842" w:rsidP="002046E8">
            <w:pPr>
              <w:keepNext/>
              <w:keepLines/>
              <w:spacing w:before="80" w:after="80"/>
              <w:jc w:val="left"/>
              <w:rPr>
                <w:rFonts w:cs="Arial"/>
                <w:sz w:val="19"/>
                <w:szCs w:val="19"/>
              </w:rPr>
            </w:pPr>
            <w:r w:rsidRPr="00DB6826">
              <w:rPr>
                <w:rFonts w:cs="Arial"/>
                <w:sz w:val="19"/>
                <w:szCs w:val="19"/>
              </w:rPr>
              <w:t xml:space="preserve">As built plans are recorded </w:t>
            </w:r>
            <w:r w:rsidR="00B255CE" w:rsidRPr="00DB6826">
              <w:rPr>
                <w:rFonts w:cs="Arial"/>
                <w:sz w:val="19"/>
                <w:szCs w:val="19"/>
              </w:rPr>
              <w:t>in TRIM.</w:t>
            </w:r>
          </w:p>
        </w:tc>
        <w:tc>
          <w:tcPr>
            <w:tcW w:w="2598" w:type="dxa"/>
          </w:tcPr>
          <w:p w:rsidR="00C13842" w:rsidRPr="00DB6826" w:rsidRDefault="00B255CE" w:rsidP="002046E8">
            <w:pPr>
              <w:keepNext/>
              <w:keepLines/>
              <w:spacing w:before="80" w:after="80"/>
              <w:jc w:val="left"/>
              <w:rPr>
                <w:rFonts w:cs="Arial"/>
                <w:sz w:val="19"/>
                <w:szCs w:val="19"/>
              </w:rPr>
            </w:pPr>
            <w:r w:rsidRPr="00DB6826">
              <w:rPr>
                <w:rFonts w:cs="Arial"/>
                <w:sz w:val="19"/>
                <w:szCs w:val="19"/>
              </w:rPr>
              <w:t xml:space="preserve">TRIM not linked to </w:t>
            </w:r>
            <w:r w:rsidR="007C62B3">
              <w:rPr>
                <w:rFonts w:cs="Arial"/>
                <w:sz w:val="19"/>
                <w:szCs w:val="19"/>
              </w:rPr>
              <w:t>TechnologyOne</w:t>
            </w:r>
            <w:r w:rsidRPr="00DB6826">
              <w:rPr>
                <w:rFonts w:cs="Arial"/>
                <w:sz w:val="19"/>
                <w:szCs w:val="19"/>
              </w:rPr>
              <w:t xml:space="preserve"> </w:t>
            </w:r>
            <w:r w:rsidR="00C13842" w:rsidRPr="00DB6826">
              <w:rPr>
                <w:rFonts w:cs="Arial"/>
                <w:sz w:val="19"/>
                <w:szCs w:val="19"/>
              </w:rPr>
              <w:t>.</w:t>
            </w:r>
          </w:p>
        </w:tc>
      </w:tr>
      <w:tr w:rsidR="00C13842" w:rsidRPr="00DB6826" w:rsidTr="00613737">
        <w:trPr>
          <w:cantSplit/>
          <w:jc w:val="center"/>
        </w:trPr>
        <w:tc>
          <w:tcPr>
            <w:tcW w:w="1393" w:type="dxa"/>
            <w:vMerge/>
          </w:tcPr>
          <w:p w:rsidR="00C13842" w:rsidRPr="00DB6826" w:rsidRDefault="00C13842" w:rsidP="002046E8">
            <w:pPr>
              <w:keepNext/>
              <w:keepLines/>
              <w:spacing w:before="80" w:after="80"/>
              <w:jc w:val="left"/>
              <w:rPr>
                <w:rFonts w:cs="Arial"/>
                <w:sz w:val="19"/>
                <w:szCs w:val="19"/>
              </w:rPr>
            </w:pPr>
          </w:p>
        </w:tc>
        <w:tc>
          <w:tcPr>
            <w:tcW w:w="2163" w:type="dxa"/>
          </w:tcPr>
          <w:p w:rsidR="00C13842" w:rsidRPr="00DB6826" w:rsidRDefault="00C13842" w:rsidP="002046E8">
            <w:pPr>
              <w:keepNext/>
              <w:keepLines/>
              <w:spacing w:before="80" w:after="80"/>
              <w:jc w:val="left"/>
              <w:rPr>
                <w:rFonts w:cs="Arial"/>
                <w:sz w:val="19"/>
                <w:szCs w:val="19"/>
              </w:rPr>
            </w:pPr>
            <w:r w:rsidRPr="00DB6826">
              <w:rPr>
                <w:rFonts w:cs="Arial"/>
                <w:sz w:val="19"/>
                <w:szCs w:val="19"/>
              </w:rPr>
              <w:t>Condition Assessment</w:t>
            </w:r>
          </w:p>
        </w:tc>
        <w:tc>
          <w:tcPr>
            <w:tcW w:w="2940" w:type="dxa"/>
          </w:tcPr>
          <w:p w:rsidR="00C13842" w:rsidRPr="00DB6826" w:rsidRDefault="00B255CE" w:rsidP="007762DC">
            <w:pPr>
              <w:keepNext/>
              <w:keepLines/>
              <w:spacing w:before="80" w:after="80"/>
              <w:jc w:val="left"/>
              <w:rPr>
                <w:rFonts w:cs="Arial"/>
                <w:sz w:val="19"/>
                <w:szCs w:val="19"/>
              </w:rPr>
            </w:pPr>
            <w:r w:rsidRPr="00DB6826">
              <w:rPr>
                <w:rFonts w:cs="Arial"/>
                <w:sz w:val="19"/>
                <w:szCs w:val="19"/>
              </w:rPr>
              <w:t>Condition Assessment data held in separate database</w:t>
            </w:r>
            <w:r w:rsidR="00C13842" w:rsidRPr="00DB6826">
              <w:rPr>
                <w:rFonts w:cs="Arial"/>
                <w:sz w:val="19"/>
                <w:szCs w:val="19"/>
              </w:rPr>
              <w:t>.</w:t>
            </w:r>
          </w:p>
        </w:tc>
        <w:tc>
          <w:tcPr>
            <w:tcW w:w="2598" w:type="dxa"/>
          </w:tcPr>
          <w:p w:rsidR="00C13842" w:rsidRPr="00DB6826" w:rsidRDefault="00B255CE" w:rsidP="002046E8">
            <w:pPr>
              <w:keepNext/>
              <w:keepLines/>
              <w:spacing w:before="80" w:after="80"/>
              <w:jc w:val="left"/>
              <w:rPr>
                <w:rFonts w:cs="Arial"/>
                <w:sz w:val="19"/>
                <w:szCs w:val="19"/>
              </w:rPr>
            </w:pPr>
            <w:r w:rsidRPr="00DB6826">
              <w:rPr>
                <w:rFonts w:cs="Arial"/>
                <w:sz w:val="19"/>
                <w:szCs w:val="19"/>
              </w:rPr>
              <w:t xml:space="preserve">Incorporate database into </w:t>
            </w:r>
            <w:r w:rsidR="007C62B3">
              <w:rPr>
                <w:rFonts w:cs="Arial"/>
                <w:sz w:val="19"/>
                <w:szCs w:val="19"/>
              </w:rPr>
              <w:t>TechnologyOne</w:t>
            </w:r>
            <w:r w:rsidR="00C13842" w:rsidRPr="00DB6826">
              <w:rPr>
                <w:rFonts w:cs="Arial"/>
                <w:sz w:val="19"/>
                <w:szCs w:val="19"/>
              </w:rPr>
              <w:t>.</w:t>
            </w:r>
          </w:p>
        </w:tc>
      </w:tr>
      <w:tr w:rsidR="00C13842" w:rsidRPr="00DB6826" w:rsidTr="00613737">
        <w:trPr>
          <w:cantSplit/>
          <w:jc w:val="center"/>
        </w:trPr>
        <w:tc>
          <w:tcPr>
            <w:tcW w:w="1393" w:type="dxa"/>
            <w:vMerge/>
          </w:tcPr>
          <w:p w:rsidR="00C13842" w:rsidRPr="00DB6826" w:rsidRDefault="00C13842" w:rsidP="002046E8">
            <w:pPr>
              <w:keepNext/>
              <w:keepLines/>
              <w:spacing w:before="80" w:after="80"/>
              <w:jc w:val="left"/>
              <w:rPr>
                <w:rFonts w:cs="Arial"/>
                <w:sz w:val="19"/>
                <w:szCs w:val="19"/>
              </w:rPr>
            </w:pPr>
          </w:p>
        </w:tc>
        <w:tc>
          <w:tcPr>
            <w:tcW w:w="2163" w:type="dxa"/>
          </w:tcPr>
          <w:p w:rsidR="00C13842" w:rsidRPr="00DB6826" w:rsidRDefault="00C13842" w:rsidP="002046E8">
            <w:pPr>
              <w:keepNext/>
              <w:keepLines/>
              <w:spacing w:before="80" w:after="80"/>
              <w:jc w:val="left"/>
              <w:rPr>
                <w:rFonts w:cs="Arial"/>
                <w:sz w:val="19"/>
                <w:szCs w:val="19"/>
              </w:rPr>
            </w:pPr>
            <w:r w:rsidRPr="00DB6826">
              <w:rPr>
                <w:rFonts w:cs="Arial"/>
                <w:sz w:val="19"/>
                <w:szCs w:val="19"/>
              </w:rPr>
              <w:t>Maintenance Management</w:t>
            </w:r>
          </w:p>
        </w:tc>
        <w:tc>
          <w:tcPr>
            <w:tcW w:w="2940" w:type="dxa"/>
          </w:tcPr>
          <w:p w:rsidR="00C13842" w:rsidRPr="00DB6826" w:rsidRDefault="00B255CE" w:rsidP="002046E8">
            <w:pPr>
              <w:keepNext/>
              <w:keepLines/>
              <w:spacing w:before="80" w:after="80"/>
              <w:jc w:val="left"/>
              <w:rPr>
                <w:rFonts w:cs="Arial"/>
                <w:sz w:val="19"/>
                <w:szCs w:val="19"/>
              </w:rPr>
            </w:pPr>
            <w:r w:rsidRPr="00DB6826">
              <w:rPr>
                <w:rFonts w:cs="Arial"/>
                <w:sz w:val="19"/>
                <w:szCs w:val="19"/>
              </w:rPr>
              <w:t xml:space="preserve">Managed through </w:t>
            </w:r>
            <w:r w:rsidR="007C62B3">
              <w:rPr>
                <w:rFonts w:cs="Arial"/>
                <w:sz w:val="19"/>
                <w:szCs w:val="19"/>
              </w:rPr>
              <w:t>TechnologyOne</w:t>
            </w:r>
            <w:r w:rsidRPr="00DB6826">
              <w:rPr>
                <w:rFonts w:cs="Arial"/>
                <w:sz w:val="19"/>
                <w:szCs w:val="19"/>
              </w:rPr>
              <w:t xml:space="preserve"> </w:t>
            </w:r>
          </w:p>
        </w:tc>
        <w:tc>
          <w:tcPr>
            <w:tcW w:w="2598" w:type="dxa"/>
          </w:tcPr>
          <w:p w:rsidR="00C13842" w:rsidRPr="00DB6826" w:rsidRDefault="00B255CE" w:rsidP="002046E8">
            <w:pPr>
              <w:keepNext/>
              <w:keepLines/>
              <w:spacing w:before="80" w:after="80"/>
              <w:jc w:val="left"/>
              <w:rPr>
                <w:rFonts w:cs="Arial"/>
                <w:sz w:val="19"/>
                <w:szCs w:val="19"/>
              </w:rPr>
            </w:pPr>
            <w:r w:rsidRPr="00DB6826">
              <w:rPr>
                <w:rFonts w:cs="Arial"/>
                <w:sz w:val="19"/>
                <w:szCs w:val="19"/>
              </w:rPr>
              <w:t>Management of p</w:t>
            </w:r>
            <w:r w:rsidR="00C13842" w:rsidRPr="00DB6826">
              <w:rPr>
                <w:rFonts w:cs="Arial"/>
                <w:sz w:val="19"/>
                <w:szCs w:val="19"/>
              </w:rPr>
              <w:t>la</w:t>
            </w:r>
            <w:r w:rsidRPr="00DB6826">
              <w:rPr>
                <w:rFonts w:cs="Arial"/>
                <w:sz w:val="19"/>
                <w:szCs w:val="19"/>
              </w:rPr>
              <w:t>nned and unplanned maintenance tasks r</w:t>
            </w:r>
            <w:r w:rsidR="00C13842" w:rsidRPr="00DB6826">
              <w:rPr>
                <w:rFonts w:cs="Arial"/>
                <w:sz w:val="19"/>
                <w:szCs w:val="19"/>
              </w:rPr>
              <w:t>ecorded</w:t>
            </w:r>
            <w:r w:rsidRPr="00DB6826">
              <w:rPr>
                <w:rFonts w:cs="Arial"/>
                <w:sz w:val="19"/>
                <w:szCs w:val="19"/>
              </w:rPr>
              <w:t xml:space="preserve"> in </w:t>
            </w:r>
            <w:r w:rsidR="007C62B3">
              <w:rPr>
                <w:rFonts w:cs="Arial"/>
                <w:sz w:val="19"/>
                <w:szCs w:val="19"/>
              </w:rPr>
              <w:t>TechnologyOne</w:t>
            </w:r>
            <w:r w:rsidRPr="00DB6826">
              <w:rPr>
                <w:rFonts w:cs="Arial"/>
                <w:sz w:val="19"/>
                <w:szCs w:val="19"/>
              </w:rPr>
              <w:t xml:space="preserve"> will improve with the introduction of tablets for field use.</w:t>
            </w:r>
          </w:p>
        </w:tc>
      </w:tr>
      <w:tr w:rsidR="00C13842" w:rsidRPr="00DB6826" w:rsidTr="00613737">
        <w:trPr>
          <w:cantSplit/>
          <w:jc w:val="center"/>
        </w:trPr>
        <w:tc>
          <w:tcPr>
            <w:tcW w:w="1393" w:type="dxa"/>
            <w:vMerge/>
          </w:tcPr>
          <w:p w:rsidR="00C13842" w:rsidRPr="00DB6826" w:rsidRDefault="00C13842" w:rsidP="002046E8">
            <w:pPr>
              <w:keepNext/>
              <w:keepLines/>
              <w:spacing w:before="80" w:after="80"/>
              <w:jc w:val="left"/>
              <w:rPr>
                <w:rFonts w:cs="Arial"/>
                <w:sz w:val="19"/>
                <w:szCs w:val="19"/>
              </w:rPr>
            </w:pPr>
          </w:p>
        </w:tc>
        <w:tc>
          <w:tcPr>
            <w:tcW w:w="2163" w:type="dxa"/>
          </w:tcPr>
          <w:p w:rsidR="00C13842" w:rsidRPr="00DB6826" w:rsidRDefault="00C13842" w:rsidP="002046E8">
            <w:pPr>
              <w:keepNext/>
              <w:keepLines/>
              <w:spacing w:before="80" w:after="80"/>
              <w:jc w:val="left"/>
              <w:rPr>
                <w:rFonts w:cs="Arial"/>
                <w:sz w:val="19"/>
                <w:szCs w:val="19"/>
              </w:rPr>
            </w:pPr>
            <w:r w:rsidRPr="00DB6826">
              <w:rPr>
                <w:rFonts w:cs="Arial"/>
                <w:sz w:val="19"/>
                <w:szCs w:val="19"/>
              </w:rPr>
              <w:t xml:space="preserve">Forward Works Programme </w:t>
            </w:r>
            <w:r w:rsidR="00F20879" w:rsidRPr="00DB6826">
              <w:rPr>
                <w:rFonts w:cs="Arial"/>
                <w:sz w:val="19"/>
                <w:szCs w:val="19"/>
              </w:rPr>
              <w:t>Forecaster</w:t>
            </w:r>
          </w:p>
        </w:tc>
        <w:tc>
          <w:tcPr>
            <w:tcW w:w="2940" w:type="dxa"/>
          </w:tcPr>
          <w:p w:rsidR="00C13842" w:rsidRPr="00DB6826" w:rsidRDefault="00C13842" w:rsidP="002046E8">
            <w:pPr>
              <w:keepNext/>
              <w:keepLines/>
              <w:spacing w:before="80" w:after="80"/>
              <w:jc w:val="left"/>
              <w:rPr>
                <w:rFonts w:cs="Arial"/>
                <w:sz w:val="19"/>
                <w:szCs w:val="19"/>
              </w:rPr>
            </w:pPr>
            <w:r w:rsidRPr="00DB6826">
              <w:rPr>
                <w:rFonts w:cs="Arial"/>
                <w:sz w:val="19"/>
                <w:szCs w:val="19"/>
              </w:rPr>
              <w:t>Asset data held in</w:t>
            </w:r>
            <w:r w:rsidR="00F20879" w:rsidRPr="00DB6826">
              <w:rPr>
                <w:rFonts w:cs="Arial"/>
                <w:sz w:val="19"/>
                <w:szCs w:val="19"/>
              </w:rPr>
              <w:t xml:space="preserve"> separate database (Forecaster)</w:t>
            </w:r>
            <w:r w:rsidRPr="00DB6826">
              <w:rPr>
                <w:rFonts w:cs="Arial"/>
                <w:sz w:val="19"/>
                <w:szCs w:val="19"/>
              </w:rPr>
              <w:t xml:space="preserve">. </w:t>
            </w:r>
          </w:p>
          <w:p w:rsidR="00C13842" w:rsidRPr="00DB6826" w:rsidRDefault="00F20879" w:rsidP="002046E8">
            <w:pPr>
              <w:keepNext/>
              <w:keepLines/>
              <w:spacing w:before="80" w:after="80"/>
              <w:jc w:val="left"/>
              <w:rPr>
                <w:rFonts w:cs="Arial"/>
                <w:sz w:val="19"/>
                <w:szCs w:val="19"/>
              </w:rPr>
            </w:pPr>
            <w:r w:rsidRPr="00DB6826">
              <w:rPr>
                <w:rFonts w:cs="Arial"/>
                <w:sz w:val="19"/>
                <w:szCs w:val="19"/>
              </w:rPr>
              <w:t>Forecaster</w:t>
            </w:r>
            <w:r w:rsidR="00C13842" w:rsidRPr="00DB6826">
              <w:rPr>
                <w:rFonts w:cs="Arial"/>
                <w:sz w:val="19"/>
                <w:szCs w:val="19"/>
              </w:rPr>
              <w:t xml:space="preserve"> holds the capital works programme, though not all projects are managed in detail. </w:t>
            </w:r>
          </w:p>
          <w:p w:rsidR="00C13842" w:rsidRPr="00DB6826" w:rsidRDefault="00C13842" w:rsidP="002046E8">
            <w:pPr>
              <w:keepNext/>
              <w:keepLines/>
              <w:spacing w:before="80" w:after="80"/>
              <w:jc w:val="left"/>
              <w:rPr>
                <w:rFonts w:cs="Arial"/>
                <w:sz w:val="19"/>
                <w:szCs w:val="19"/>
              </w:rPr>
            </w:pPr>
            <w:r w:rsidRPr="00DB6826">
              <w:rPr>
                <w:rFonts w:cs="Arial"/>
                <w:sz w:val="19"/>
                <w:szCs w:val="19"/>
              </w:rPr>
              <w:t>Assets cannot be modelled against any scenario or budget availability.</w:t>
            </w:r>
          </w:p>
        </w:tc>
        <w:tc>
          <w:tcPr>
            <w:tcW w:w="2598" w:type="dxa"/>
          </w:tcPr>
          <w:p w:rsidR="00C13842" w:rsidRPr="00DB6826" w:rsidRDefault="00C13842" w:rsidP="002046E8">
            <w:pPr>
              <w:keepNext/>
              <w:keepLines/>
              <w:spacing w:before="80" w:after="80"/>
              <w:jc w:val="left"/>
              <w:rPr>
                <w:rFonts w:cs="Arial"/>
                <w:sz w:val="19"/>
                <w:szCs w:val="19"/>
              </w:rPr>
            </w:pPr>
            <w:r w:rsidRPr="00DB6826">
              <w:rPr>
                <w:rFonts w:cs="Arial"/>
                <w:sz w:val="19"/>
                <w:szCs w:val="19"/>
              </w:rPr>
              <w:t>O</w:t>
            </w:r>
            <w:r w:rsidR="00F20879" w:rsidRPr="00DB6826">
              <w:rPr>
                <w:rFonts w:cs="Arial"/>
                <w:sz w:val="19"/>
                <w:szCs w:val="19"/>
              </w:rPr>
              <w:t xml:space="preserve">ptimised </w:t>
            </w:r>
            <w:r w:rsidRPr="00DB6826">
              <w:rPr>
                <w:rFonts w:cs="Arial"/>
                <w:sz w:val="19"/>
                <w:szCs w:val="19"/>
              </w:rPr>
              <w:t>D</w:t>
            </w:r>
            <w:r w:rsidR="0067277B">
              <w:rPr>
                <w:rFonts w:cs="Arial"/>
                <w:sz w:val="19"/>
                <w:szCs w:val="19"/>
              </w:rPr>
              <w:t>ecision-</w:t>
            </w:r>
            <w:r w:rsidR="00F20879" w:rsidRPr="00DB6826">
              <w:rPr>
                <w:rFonts w:cs="Arial"/>
                <w:sz w:val="19"/>
                <w:szCs w:val="19"/>
              </w:rPr>
              <w:t>Making to</w:t>
            </w:r>
            <w:r w:rsidRPr="00DB6826">
              <w:rPr>
                <w:rFonts w:cs="Arial"/>
                <w:sz w:val="19"/>
                <w:szCs w:val="19"/>
              </w:rPr>
              <w:t xml:space="preserve">ol is available </w:t>
            </w:r>
            <w:r w:rsidR="00F20879" w:rsidRPr="00DB6826">
              <w:rPr>
                <w:rFonts w:cs="Arial"/>
                <w:sz w:val="19"/>
                <w:szCs w:val="19"/>
              </w:rPr>
              <w:t xml:space="preserve">in </w:t>
            </w:r>
            <w:r w:rsidR="007C62B3">
              <w:rPr>
                <w:rFonts w:cs="Arial"/>
                <w:sz w:val="19"/>
                <w:szCs w:val="19"/>
              </w:rPr>
              <w:t>TechnologyOne</w:t>
            </w:r>
            <w:r w:rsidR="00F20879" w:rsidRPr="00DB6826">
              <w:rPr>
                <w:rFonts w:cs="Arial"/>
                <w:sz w:val="19"/>
                <w:szCs w:val="19"/>
              </w:rPr>
              <w:t xml:space="preserve"> </w:t>
            </w:r>
            <w:r w:rsidRPr="00DB6826">
              <w:rPr>
                <w:rFonts w:cs="Arial"/>
                <w:sz w:val="19"/>
                <w:szCs w:val="19"/>
              </w:rPr>
              <w:t>to develop a variety of scenarios which can be modelled via varying L</w:t>
            </w:r>
            <w:r w:rsidR="00F20879" w:rsidRPr="00DB6826">
              <w:rPr>
                <w:rFonts w:cs="Arial"/>
                <w:sz w:val="19"/>
                <w:szCs w:val="19"/>
              </w:rPr>
              <w:t>evels of Service</w:t>
            </w:r>
            <w:r w:rsidRPr="00DB6826">
              <w:rPr>
                <w:rFonts w:cs="Arial"/>
                <w:sz w:val="19"/>
                <w:szCs w:val="19"/>
              </w:rPr>
              <w:t xml:space="preserve"> or budget availability</w:t>
            </w:r>
            <w:r w:rsidR="00F20879" w:rsidRPr="00DB6826">
              <w:rPr>
                <w:rFonts w:cs="Arial"/>
                <w:sz w:val="19"/>
                <w:szCs w:val="19"/>
              </w:rPr>
              <w:t>.</w:t>
            </w:r>
          </w:p>
          <w:p w:rsidR="00F20879" w:rsidRPr="00DB6826" w:rsidRDefault="00F20879" w:rsidP="002046E8">
            <w:pPr>
              <w:keepNext/>
              <w:keepLines/>
              <w:spacing w:before="80" w:after="80"/>
              <w:jc w:val="left"/>
              <w:rPr>
                <w:rFonts w:cs="Arial"/>
                <w:sz w:val="19"/>
                <w:szCs w:val="19"/>
              </w:rPr>
            </w:pPr>
            <w:r w:rsidRPr="00DB6826">
              <w:rPr>
                <w:rFonts w:cs="Arial"/>
                <w:sz w:val="19"/>
                <w:szCs w:val="19"/>
              </w:rPr>
              <w:t xml:space="preserve">Explore option for integrated planning in </w:t>
            </w:r>
            <w:r w:rsidR="007C62B3">
              <w:rPr>
                <w:rFonts w:cs="Arial"/>
                <w:sz w:val="19"/>
                <w:szCs w:val="19"/>
              </w:rPr>
              <w:t>TechnologyOne</w:t>
            </w:r>
          </w:p>
        </w:tc>
      </w:tr>
      <w:tr w:rsidR="00C13842" w:rsidRPr="00DB6826" w:rsidTr="00613737">
        <w:trPr>
          <w:cantSplit/>
          <w:jc w:val="center"/>
        </w:trPr>
        <w:tc>
          <w:tcPr>
            <w:tcW w:w="1393" w:type="dxa"/>
            <w:vMerge w:val="restart"/>
          </w:tcPr>
          <w:p w:rsidR="00C13842" w:rsidRPr="00DB6826" w:rsidRDefault="00C13842" w:rsidP="002046E8">
            <w:pPr>
              <w:spacing w:before="80" w:after="80"/>
              <w:jc w:val="left"/>
              <w:rPr>
                <w:rFonts w:cs="Arial"/>
                <w:sz w:val="19"/>
                <w:szCs w:val="19"/>
              </w:rPr>
            </w:pPr>
            <w:r w:rsidRPr="00DB6826">
              <w:rPr>
                <w:rFonts w:cs="Arial"/>
                <w:sz w:val="19"/>
                <w:szCs w:val="19"/>
              </w:rPr>
              <w:t>Corporate Systems</w:t>
            </w:r>
          </w:p>
        </w:tc>
        <w:tc>
          <w:tcPr>
            <w:tcW w:w="2163" w:type="dxa"/>
          </w:tcPr>
          <w:p w:rsidR="00C13842" w:rsidRPr="00DB6826" w:rsidRDefault="00C13842" w:rsidP="002046E8">
            <w:pPr>
              <w:spacing w:before="80" w:after="80"/>
              <w:jc w:val="left"/>
              <w:rPr>
                <w:rFonts w:cs="Arial"/>
                <w:sz w:val="19"/>
                <w:szCs w:val="19"/>
              </w:rPr>
            </w:pPr>
            <w:r w:rsidRPr="00DB6826">
              <w:rPr>
                <w:rFonts w:cs="Arial"/>
                <w:sz w:val="19"/>
                <w:szCs w:val="19"/>
              </w:rPr>
              <w:t>Financial System</w:t>
            </w:r>
          </w:p>
        </w:tc>
        <w:tc>
          <w:tcPr>
            <w:tcW w:w="2940" w:type="dxa"/>
          </w:tcPr>
          <w:p w:rsidR="00C13842" w:rsidRPr="00DB6826" w:rsidRDefault="00F20879" w:rsidP="00622DC3">
            <w:pPr>
              <w:spacing w:before="80" w:after="80"/>
              <w:jc w:val="left"/>
              <w:rPr>
                <w:rFonts w:cs="Arial"/>
                <w:sz w:val="19"/>
                <w:szCs w:val="19"/>
              </w:rPr>
            </w:pPr>
            <w:r w:rsidRPr="00DB6826">
              <w:rPr>
                <w:rFonts w:cs="Arial"/>
                <w:sz w:val="19"/>
                <w:szCs w:val="19"/>
              </w:rPr>
              <w:t>Computron</w:t>
            </w:r>
            <w:r w:rsidR="00C13842" w:rsidRPr="00DB6826">
              <w:rPr>
                <w:rFonts w:cs="Arial"/>
                <w:sz w:val="19"/>
                <w:szCs w:val="19"/>
              </w:rPr>
              <w:t xml:space="preserve"> holds the financial </w:t>
            </w:r>
            <w:r w:rsidRPr="00DB6826">
              <w:rPr>
                <w:rFonts w:cs="Arial"/>
                <w:sz w:val="19"/>
                <w:szCs w:val="19"/>
              </w:rPr>
              <w:t>information</w:t>
            </w:r>
            <w:r w:rsidR="00622DC3">
              <w:rPr>
                <w:rFonts w:cs="Arial"/>
                <w:sz w:val="19"/>
                <w:szCs w:val="19"/>
              </w:rPr>
              <w:t>. This is</w:t>
            </w:r>
            <w:r w:rsidR="00C13842" w:rsidRPr="00DB6826">
              <w:rPr>
                <w:rFonts w:cs="Arial"/>
                <w:sz w:val="19"/>
                <w:szCs w:val="19"/>
              </w:rPr>
              <w:t xml:space="preserve"> Yarra</w:t>
            </w:r>
            <w:r w:rsidR="00622DC3">
              <w:rPr>
                <w:rFonts w:cs="Arial"/>
                <w:sz w:val="19"/>
                <w:szCs w:val="19"/>
              </w:rPr>
              <w:t xml:space="preserve"> City Council</w:t>
            </w:r>
            <w:r w:rsidR="00C13842" w:rsidRPr="00DB6826">
              <w:rPr>
                <w:rFonts w:cs="Arial"/>
                <w:sz w:val="19"/>
                <w:szCs w:val="19"/>
              </w:rPr>
              <w:t>’s main fi</w:t>
            </w:r>
            <w:r w:rsidRPr="00DB6826">
              <w:rPr>
                <w:rFonts w:cs="Arial"/>
                <w:sz w:val="19"/>
                <w:szCs w:val="19"/>
              </w:rPr>
              <w:t>nancial and accounting system. It</w:t>
            </w:r>
            <w:r w:rsidR="00C13842" w:rsidRPr="00DB6826">
              <w:rPr>
                <w:rFonts w:cs="Arial"/>
                <w:sz w:val="19"/>
                <w:szCs w:val="19"/>
              </w:rPr>
              <w:t xml:space="preserve"> records all financial transactions relating to Council assets including capital and operational expenditure</w:t>
            </w:r>
            <w:r w:rsidR="00613737" w:rsidRPr="00DB6826">
              <w:rPr>
                <w:rFonts w:cs="Arial"/>
                <w:sz w:val="19"/>
                <w:szCs w:val="19"/>
              </w:rPr>
              <w:t>.</w:t>
            </w:r>
          </w:p>
        </w:tc>
        <w:tc>
          <w:tcPr>
            <w:tcW w:w="2598" w:type="dxa"/>
          </w:tcPr>
          <w:p w:rsidR="00C13842" w:rsidRPr="00DB6826" w:rsidRDefault="00F20879" w:rsidP="002046E8">
            <w:pPr>
              <w:spacing w:before="80" w:after="80"/>
              <w:jc w:val="left"/>
              <w:rPr>
                <w:rFonts w:cs="Arial"/>
                <w:sz w:val="19"/>
                <w:szCs w:val="19"/>
              </w:rPr>
            </w:pPr>
            <w:r w:rsidRPr="00DB6826">
              <w:rPr>
                <w:rFonts w:cs="Arial"/>
                <w:sz w:val="19"/>
                <w:szCs w:val="19"/>
              </w:rPr>
              <w:t>Integration of f</w:t>
            </w:r>
            <w:r w:rsidR="00C13842" w:rsidRPr="00DB6826">
              <w:rPr>
                <w:rFonts w:cs="Arial"/>
                <w:sz w:val="19"/>
                <w:szCs w:val="19"/>
              </w:rPr>
              <w:t xml:space="preserve">inancial </w:t>
            </w:r>
            <w:r w:rsidRPr="00DB6826">
              <w:rPr>
                <w:rFonts w:cs="Arial"/>
                <w:sz w:val="19"/>
                <w:szCs w:val="19"/>
              </w:rPr>
              <w:t>and asset information available in one system f</w:t>
            </w:r>
            <w:r w:rsidR="00C13842" w:rsidRPr="00DB6826">
              <w:rPr>
                <w:rFonts w:cs="Arial"/>
                <w:sz w:val="19"/>
                <w:szCs w:val="19"/>
              </w:rPr>
              <w:t>or prudent management of assets including cost benefit analysis.</w:t>
            </w:r>
          </w:p>
        </w:tc>
      </w:tr>
      <w:tr w:rsidR="00C13842" w:rsidRPr="00DB6826" w:rsidTr="00613737">
        <w:trPr>
          <w:cantSplit/>
          <w:jc w:val="center"/>
        </w:trPr>
        <w:tc>
          <w:tcPr>
            <w:tcW w:w="1393" w:type="dxa"/>
            <w:vMerge/>
          </w:tcPr>
          <w:p w:rsidR="00C13842" w:rsidRPr="00DB6826" w:rsidRDefault="00C13842" w:rsidP="002046E8">
            <w:pPr>
              <w:spacing w:before="80" w:after="80"/>
              <w:jc w:val="left"/>
              <w:rPr>
                <w:rFonts w:cs="Arial"/>
                <w:sz w:val="19"/>
                <w:szCs w:val="19"/>
              </w:rPr>
            </w:pPr>
          </w:p>
        </w:tc>
        <w:tc>
          <w:tcPr>
            <w:tcW w:w="2163" w:type="dxa"/>
          </w:tcPr>
          <w:p w:rsidR="00C13842" w:rsidRPr="00DB6826" w:rsidRDefault="00C13842" w:rsidP="002046E8">
            <w:pPr>
              <w:spacing w:before="80" w:after="80"/>
              <w:jc w:val="left"/>
              <w:rPr>
                <w:rFonts w:cs="Arial"/>
                <w:sz w:val="19"/>
                <w:szCs w:val="19"/>
              </w:rPr>
            </w:pPr>
            <w:r w:rsidRPr="00DB6826">
              <w:rPr>
                <w:rFonts w:cs="Arial"/>
                <w:sz w:val="19"/>
                <w:szCs w:val="19"/>
              </w:rPr>
              <w:t>Risk Registers</w:t>
            </w:r>
          </w:p>
        </w:tc>
        <w:tc>
          <w:tcPr>
            <w:tcW w:w="2940" w:type="dxa"/>
          </w:tcPr>
          <w:p w:rsidR="00C13842" w:rsidRPr="00DB6826" w:rsidRDefault="00F20879" w:rsidP="002046E8">
            <w:pPr>
              <w:spacing w:before="80" w:after="80"/>
              <w:jc w:val="left"/>
              <w:rPr>
                <w:rFonts w:cs="Arial"/>
                <w:sz w:val="19"/>
                <w:szCs w:val="19"/>
              </w:rPr>
            </w:pPr>
            <w:r w:rsidRPr="00DB6826">
              <w:rPr>
                <w:rFonts w:cs="Arial"/>
                <w:sz w:val="19"/>
                <w:szCs w:val="19"/>
              </w:rPr>
              <w:t>Corporate Risk Register is in Interplan.</w:t>
            </w:r>
          </w:p>
        </w:tc>
        <w:tc>
          <w:tcPr>
            <w:tcW w:w="2598" w:type="dxa"/>
          </w:tcPr>
          <w:p w:rsidR="00C13842" w:rsidRPr="00DB6826" w:rsidRDefault="00C13842" w:rsidP="002046E8">
            <w:pPr>
              <w:spacing w:before="80" w:after="80"/>
              <w:jc w:val="left"/>
              <w:rPr>
                <w:rFonts w:cs="Arial"/>
                <w:sz w:val="19"/>
                <w:szCs w:val="19"/>
              </w:rPr>
            </w:pPr>
            <w:r w:rsidRPr="00DB6826">
              <w:rPr>
                <w:rFonts w:cs="Arial"/>
                <w:sz w:val="19"/>
                <w:szCs w:val="19"/>
              </w:rPr>
              <w:t>Risk rating recorded against all assets is captured and easily accessible for asset planning.</w:t>
            </w:r>
            <w:r w:rsidR="00F20879" w:rsidRPr="00DB6826">
              <w:rPr>
                <w:rFonts w:cs="Arial"/>
                <w:sz w:val="19"/>
                <w:szCs w:val="19"/>
              </w:rPr>
              <w:t xml:space="preserve"> Integration with </w:t>
            </w:r>
            <w:r w:rsidR="007C62B3">
              <w:rPr>
                <w:rFonts w:cs="Arial"/>
                <w:sz w:val="19"/>
                <w:szCs w:val="19"/>
              </w:rPr>
              <w:t>TechnologyOne</w:t>
            </w:r>
            <w:r w:rsidR="00F20879" w:rsidRPr="00DB6826">
              <w:rPr>
                <w:rFonts w:cs="Arial"/>
                <w:sz w:val="19"/>
                <w:szCs w:val="19"/>
              </w:rPr>
              <w:t xml:space="preserve"> needed.</w:t>
            </w:r>
          </w:p>
        </w:tc>
      </w:tr>
    </w:tbl>
    <w:p w:rsidR="00C13842" w:rsidRPr="0024611A" w:rsidRDefault="00C13842" w:rsidP="00A249BF">
      <w:pPr>
        <w:pStyle w:val="Caption"/>
        <w:spacing w:before="240" w:after="240"/>
        <w:ind w:left="720"/>
        <w:jc w:val="center"/>
        <w:rPr>
          <w:rFonts w:ascii="Arial" w:hAnsi="Arial"/>
          <w:i w:val="0"/>
          <w:iCs w:val="0"/>
          <w:sz w:val="20"/>
          <w:lang w:val="en-AU"/>
        </w:rPr>
      </w:pPr>
      <w:bookmarkStart w:id="807" w:name="_Toc364945461"/>
      <w:r w:rsidRPr="0024611A">
        <w:rPr>
          <w:rFonts w:ascii="Arial" w:hAnsi="Arial"/>
          <w:i w:val="0"/>
          <w:iCs w:val="0"/>
          <w:sz w:val="20"/>
          <w:lang w:val="en-AU"/>
        </w:rPr>
        <w:t xml:space="preserve">Table </w:t>
      </w:r>
      <w:r w:rsidR="0090414C" w:rsidRPr="0024611A">
        <w:rPr>
          <w:rFonts w:ascii="Arial" w:hAnsi="Arial"/>
          <w:i w:val="0"/>
          <w:iCs w:val="0"/>
          <w:sz w:val="20"/>
          <w:lang w:val="en-AU"/>
        </w:rPr>
        <w:fldChar w:fldCharType="begin"/>
      </w:r>
      <w:r w:rsidR="0012012A" w:rsidRPr="0024611A">
        <w:rPr>
          <w:rFonts w:ascii="Arial" w:hAnsi="Arial"/>
          <w:i w:val="0"/>
          <w:iCs w:val="0"/>
          <w:sz w:val="20"/>
          <w:lang w:val="en-AU"/>
        </w:rPr>
        <w:instrText xml:space="preserve"> SEQ Table \* ARABIC </w:instrText>
      </w:r>
      <w:r w:rsidR="0090414C" w:rsidRPr="0024611A">
        <w:rPr>
          <w:rFonts w:ascii="Arial" w:hAnsi="Arial"/>
          <w:i w:val="0"/>
          <w:iCs w:val="0"/>
          <w:sz w:val="20"/>
          <w:lang w:val="en-AU"/>
        </w:rPr>
        <w:fldChar w:fldCharType="separate"/>
      </w:r>
      <w:r w:rsidR="00751CEC">
        <w:rPr>
          <w:rFonts w:ascii="Arial" w:hAnsi="Arial"/>
          <w:i w:val="0"/>
          <w:iCs w:val="0"/>
          <w:noProof/>
          <w:sz w:val="20"/>
          <w:lang w:val="en-AU"/>
        </w:rPr>
        <w:t>57</w:t>
      </w:r>
      <w:r w:rsidR="0090414C" w:rsidRPr="0024611A">
        <w:rPr>
          <w:rFonts w:ascii="Arial" w:hAnsi="Arial"/>
          <w:i w:val="0"/>
          <w:iCs w:val="0"/>
          <w:sz w:val="20"/>
          <w:lang w:val="en-AU"/>
        </w:rPr>
        <w:fldChar w:fldCharType="end"/>
      </w:r>
      <w:r w:rsidRPr="0024611A">
        <w:rPr>
          <w:rFonts w:ascii="Arial" w:hAnsi="Arial"/>
          <w:i w:val="0"/>
          <w:iCs w:val="0"/>
          <w:sz w:val="20"/>
          <w:lang w:val="en-AU"/>
        </w:rPr>
        <w:t>:</w:t>
      </w:r>
      <w:r w:rsidR="00613737" w:rsidRPr="0024611A">
        <w:rPr>
          <w:rFonts w:ascii="Arial" w:hAnsi="Arial"/>
          <w:i w:val="0"/>
          <w:iCs w:val="0"/>
          <w:sz w:val="20"/>
          <w:lang w:val="en-AU"/>
        </w:rPr>
        <w:t xml:space="preserve"> </w:t>
      </w:r>
      <w:r w:rsidRPr="0024611A">
        <w:rPr>
          <w:rFonts w:ascii="Arial" w:hAnsi="Arial"/>
          <w:i w:val="0"/>
          <w:iCs w:val="0"/>
          <w:sz w:val="20"/>
          <w:lang w:val="en-AU"/>
        </w:rPr>
        <w:t xml:space="preserve"> Current Status of Asset Management </w:t>
      </w:r>
      <w:r w:rsidR="008B7EDF" w:rsidRPr="0024611A">
        <w:rPr>
          <w:rFonts w:ascii="Arial" w:hAnsi="Arial"/>
          <w:i w:val="0"/>
          <w:iCs w:val="0"/>
          <w:sz w:val="20"/>
          <w:lang w:val="en-AU"/>
        </w:rPr>
        <w:t>R</w:t>
      </w:r>
      <w:r w:rsidR="00F20879" w:rsidRPr="0024611A">
        <w:rPr>
          <w:rFonts w:ascii="Arial" w:hAnsi="Arial"/>
          <w:i w:val="0"/>
          <w:iCs w:val="0"/>
          <w:sz w:val="20"/>
          <w:lang w:val="en-AU"/>
        </w:rPr>
        <w:t xml:space="preserve">elated </w:t>
      </w:r>
      <w:r w:rsidRPr="0024611A">
        <w:rPr>
          <w:rFonts w:ascii="Arial" w:hAnsi="Arial"/>
          <w:i w:val="0"/>
          <w:iCs w:val="0"/>
          <w:sz w:val="20"/>
          <w:lang w:val="en-AU"/>
        </w:rPr>
        <w:t>Systems</w:t>
      </w:r>
      <w:bookmarkEnd w:id="807"/>
    </w:p>
    <w:p w:rsidR="00C13842" w:rsidRPr="00613737" w:rsidRDefault="00C13842" w:rsidP="00613737">
      <w:pPr>
        <w:rPr>
          <w:u w:val="single"/>
        </w:rPr>
      </w:pPr>
      <w:r w:rsidRPr="00613737">
        <w:rPr>
          <w:u w:val="single"/>
        </w:rPr>
        <w:t>Confidence Levels</w:t>
      </w:r>
    </w:p>
    <w:p w:rsidR="00613737" w:rsidRDefault="00613737" w:rsidP="00613737"/>
    <w:p w:rsidR="00613737" w:rsidRDefault="00C13842" w:rsidP="00613737">
      <w:r w:rsidRPr="00CD7D4F">
        <w:t>The main assumption made i</w:t>
      </w:r>
      <w:r w:rsidR="00F20879">
        <w:t xml:space="preserve">n this section is that the systems and data </w:t>
      </w:r>
      <w:r w:rsidRPr="00CD7D4F">
        <w:t>that are in place</w:t>
      </w:r>
      <w:r w:rsidR="00F20879">
        <w:t xml:space="preserve"> could be improved by integrating several databases into one consolidated and fully integrated asset management system.</w:t>
      </w:r>
    </w:p>
    <w:p w:rsidR="00F20879" w:rsidRDefault="00F20879" w:rsidP="00613737">
      <w:pPr>
        <w:rPr>
          <w:lang w:eastAsia="en-NZ"/>
        </w:rPr>
      </w:pPr>
    </w:p>
    <w:p w:rsidR="00C13842" w:rsidRDefault="00C13842" w:rsidP="00613737">
      <w:pPr>
        <w:rPr>
          <w:lang w:eastAsia="en-NZ"/>
        </w:rPr>
      </w:pPr>
      <w:r w:rsidRPr="00CD7D4F">
        <w:rPr>
          <w:lang w:eastAsia="en-NZ"/>
        </w:rPr>
        <w:t xml:space="preserve">The following grading system described in the IIMM has been used to describe asset data accuracy (degree of confidence). </w:t>
      </w:r>
    </w:p>
    <w:p w:rsidR="00613737" w:rsidRPr="00CD7D4F" w:rsidRDefault="00613737" w:rsidP="00613737">
      <w:pPr>
        <w:rPr>
          <w:lang w:eastAsia="en-NZ"/>
        </w:rPr>
      </w:pPr>
    </w:p>
    <w:tbl>
      <w:tblPr>
        <w:tblW w:w="0" w:type="auto"/>
        <w:tblInd w:w="14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5"/>
        <w:gridCol w:w="2507"/>
        <w:gridCol w:w="2963"/>
      </w:tblGrid>
      <w:tr w:rsidR="00C13842" w:rsidRPr="00613737" w:rsidTr="00FC370B">
        <w:trPr>
          <w:cantSplit/>
          <w:tblHeader/>
        </w:trPr>
        <w:tc>
          <w:tcPr>
            <w:tcW w:w="0" w:type="auto"/>
            <w:shd w:val="clear" w:color="auto" w:fill="95B3D7" w:themeFill="accent1" w:themeFillTint="99"/>
          </w:tcPr>
          <w:p w:rsidR="00C13842" w:rsidRPr="00613737" w:rsidRDefault="00C13842" w:rsidP="00613737">
            <w:pPr>
              <w:spacing w:before="120" w:after="120"/>
              <w:jc w:val="center"/>
              <w:rPr>
                <w:b/>
              </w:rPr>
            </w:pPr>
            <w:r w:rsidRPr="00613737">
              <w:rPr>
                <w:b/>
              </w:rPr>
              <w:t>Grade</w:t>
            </w:r>
          </w:p>
        </w:tc>
        <w:tc>
          <w:tcPr>
            <w:tcW w:w="0" w:type="auto"/>
            <w:shd w:val="clear" w:color="auto" w:fill="95B3D7" w:themeFill="accent1" w:themeFillTint="99"/>
          </w:tcPr>
          <w:p w:rsidR="00C13842" w:rsidRPr="00613737" w:rsidRDefault="00C13842" w:rsidP="00613737">
            <w:pPr>
              <w:spacing w:before="120" w:after="120"/>
              <w:rPr>
                <w:b/>
              </w:rPr>
            </w:pPr>
            <w:r w:rsidRPr="00613737">
              <w:rPr>
                <w:b/>
              </w:rPr>
              <w:t>Description</w:t>
            </w:r>
          </w:p>
        </w:tc>
        <w:tc>
          <w:tcPr>
            <w:tcW w:w="0" w:type="auto"/>
            <w:shd w:val="clear" w:color="auto" w:fill="95B3D7" w:themeFill="accent1" w:themeFillTint="99"/>
          </w:tcPr>
          <w:p w:rsidR="00C13842" w:rsidRPr="00613737" w:rsidRDefault="00C13842" w:rsidP="00613737">
            <w:pPr>
              <w:spacing w:before="120" w:after="120"/>
              <w:rPr>
                <w:b/>
              </w:rPr>
            </w:pPr>
            <w:r w:rsidRPr="00613737">
              <w:rPr>
                <w:b/>
              </w:rPr>
              <w:t>Accuracy</w:t>
            </w:r>
          </w:p>
        </w:tc>
      </w:tr>
      <w:tr w:rsidR="00C13842" w:rsidRPr="007762DC" w:rsidTr="00FC370B">
        <w:trPr>
          <w:cantSplit/>
        </w:trPr>
        <w:tc>
          <w:tcPr>
            <w:tcW w:w="0" w:type="auto"/>
            <w:shd w:val="clear" w:color="auto" w:fill="auto"/>
          </w:tcPr>
          <w:p w:rsidR="00C13842" w:rsidRPr="007762DC" w:rsidRDefault="00C13842" w:rsidP="00613737">
            <w:pPr>
              <w:spacing w:before="120" w:after="120"/>
              <w:jc w:val="center"/>
            </w:pPr>
            <w:r w:rsidRPr="007762DC">
              <w:t>1</w:t>
            </w:r>
          </w:p>
        </w:tc>
        <w:tc>
          <w:tcPr>
            <w:tcW w:w="0" w:type="auto"/>
            <w:shd w:val="clear" w:color="auto" w:fill="auto"/>
          </w:tcPr>
          <w:p w:rsidR="00C13842" w:rsidRPr="007762DC" w:rsidRDefault="00C13842" w:rsidP="00613737">
            <w:pPr>
              <w:spacing w:before="120" w:after="120"/>
            </w:pPr>
            <w:r w:rsidRPr="007762DC">
              <w:t>Accurate</w:t>
            </w:r>
          </w:p>
        </w:tc>
        <w:tc>
          <w:tcPr>
            <w:tcW w:w="0" w:type="auto"/>
            <w:shd w:val="clear" w:color="auto" w:fill="auto"/>
          </w:tcPr>
          <w:p w:rsidR="00C13842" w:rsidRPr="007762DC" w:rsidRDefault="00C13842" w:rsidP="00613737">
            <w:pPr>
              <w:spacing w:before="120" w:after="120"/>
            </w:pPr>
            <w:r w:rsidRPr="007762DC">
              <w:t>100%</w:t>
            </w:r>
          </w:p>
        </w:tc>
      </w:tr>
      <w:tr w:rsidR="00C13842" w:rsidRPr="007762DC" w:rsidTr="00FC370B">
        <w:trPr>
          <w:cantSplit/>
        </w:trPr>
        <w:tc>
          <w:tcPr>
            <w:tcW w:w="0" w:type="auto"/>
            <w:shd w:val="clear" w:color="auto" w:fill="auto"/>
          </w:tcPr>
          <w:p w:rsidR="00C13842" w:rsidRPr="007762DC" w:rsidRDefault="00C13842" w:rsidP="00613737">
            <w:pPr>
              <w:spacing w:before="120" w:after="120"/>
              <w:jc w:val="center"/>
            </w:pPr>
            <w:r w:rsidRPr="007762DC">
              <w:t>2</w:t>
            </w:r>
          </w:p>
        </w:tc>
        <w:tc>
          <w:tcPr>
            <w:tcW w:w="0" w:type="auto"/>
            <w:shd w:val="clear" w:color="auto" w:fill="auto"/>
          </w:tcPr>
          <w:p w:rsidR="00C13842" w:rsidRPr="007762DC" w:rsidRDefault="00C13842" w:rsidP="00613737">
            <w:pPr>
              <w:spacing w:before="120" w:after="120"/>
            </w:pPr>
            <w:r w:rsidRPr="007762DC">
              <w:t>Minor inaccuracies</w:t>
            </w:r>
          </w:p>
        </w:tc>
        <w:tc>
          <w:tcPr>
            <w:tcW w:w="0" w:type="auto"/>
            <w:shd w:val="clear" w:color="auto" w:fill="auto"/>
          </w:tcPr>
          <w:p w:rsidR="00C13842" w:rsidRPr="007762DC" w:rsidRDefault="00C13842" w:rsidP="00613737">
            <w:pPr>
              <w:spacing w:before="120" w:after="120"/>
            </w:pPr>
            <w:r w:rsidRPr="007762DC">
              <w:t>Less than or greater than 5%</w:t>
            </w:r>
          </w:p>
        </w:tc>
      </w:tr>
      <w:tr w:rsidR="00C13842" w:rsidRPr="007762DC" w:rsidTr="00FC370B">
        <w:trPr>
          <w:cantSplit/>
        </w:trPr>
        <w:tc>
          <w:tcPr>
            <w:tcW w:w="0" w:type="auto"/>
            <w:shd w:val="clear" w:color="auto" w:fill="auto"/>
          </w:tcPr>
          <w:p w:rsidR="00C13842" w:rsidRPr="007762DC" w:rsidRDefault="00C13842" w:rsidP="00613737">
            <w:pPr>
              <w:spacing w:before="120" w:after="120"/>
              <w:jc w:val="center"/>
            </w:pPr>
            <w:r w:rsidRPr="007762DC">
              <w:t>3</w:t>
            </w:r>
          </w:p>
        </w:tc>
        <w:tc>
          <w:tcPr>
            <w:tcW w:w="0" w:type="auto"/>
            <w:shd w:val="clear" w:color="auto" w:fill="auto"/>
          </w:tcPr>
          <w:p w:rsidR="00C13842" w:rsidRPr="007762DC" w:rsidRDefault="00C13842" w:rsidP="00613737">
            <w:pPr>
              <w:spacing w:before="120" w:after="120"/>
            </w:pPr>
            <w:r w:rsidRPr="007762DC">
              <w:t>50% estimated</w:t>
            </w:r>
          </w:p>
        </w:tc>
        <w:tc>
          <w:tcPr>
            <w:tcW w:w="0" w:type="auto"/>
            <w:shd w:val="clear" w:color="auto" w:fill="auto"/>
          </w:tcPr>
          <w:p w:rsidR="00C13842" w:rsidRPr="007762DC" w:rsidRDefault="00C13842" w:rsidP="00613737">
            <w:pPr>
              <w:spacing w:before="120" w:after="120"/>
            </w:pPr>
            <w:r w:rsidRPr="007762DC">
              <w:t>Less than or greater than  20%</w:t>
            </w:r>
          </w:p>
        </w:tc>
      </w:tr>
      <w:tr w:rsidR="00C13842" w:rsidRPr="007762DC" w:rsidTr="00FC370B">
        <w:trPr>
          <w:cantSplit/>
        </w:trPr>
        <w:tc>
          <w:tcPr>
            <w:tcW w:w="0" w:type="auto"/>
            <w:shd w:val="clear" w:color="auto" w:fill="auto"/>
          </w:tcPr>
          <w:p w:rsidR="00C13842" w:rsidRPr="007762DC" w:rsidRDefault="00C13842" w:rsidP="00613737">
            <w:pPr>
              <w:spacing w:before="120" w:after="120"/>
              <w:jc w:val="center"/>
            </w:pPr>
            <w:r w:rsidRPr="007762DC">
              <w:t>4</w:t>
            </w:r>
          </w:p>
        </w:tc>
        <w:tc>
          <w:tcPr>
            <w:tcW w:w="0" w:type="auto"/>
            <w:shd w:val="clear" w:color="auto" w:fill="auto"/>
          </w:tcPr>
          <w:p w:rsidR="00C13842" w:rsidRPr="007762DC" w:rsidRDefault="00C13842" w:rsidP="00613737">
            <w:pPr>
              <w:spacing w:before="120" w:after="120"/>
            </w:pPr>
            <w:r w:rsidRPr="007762DC">
              <w:t>Significant data estimated</w:t>
            </w:r>
          </w:p>
        </w:tc>
        <w:tc>
          <w:tcPr>
            <w:tcW w:w="0" w:type="auto"/>
            <w:shd w:val="clear" w:color="auto" w:fill="auto"/>
          </w:tcPr>
          <w:p w:rsidR="00C13842" w:rsidRPr="007762DC" w:rsidRDefault="00C13842" w:rsidP="00613737">
            <w:pPr>
              <w:spacing w:before="120" w:after="120"/>
            </w:pPr>
            <w:r w:rsidRPr="007762DC">
              <w:t>Less than or greater than 30%</w:t>
            </w:r>
          </w:p>
        </w:tc>
      </w:tr>
      <w:tr w:rsidR="00C13842" w:rsidRPr="00613737" w:rsidTr="00FC370B">
        <w:trPr>
          <w:cantSplit/>
        </w:trPr>
        <w:tc>
          <w:tcPr>
            <w:tcW w:w="0" w:type="auto"/>
            <w:shd w:val="clear" w:color="auto" w:fill="auto"/>
          </w:tcPr>
          <w:p w:rsidR="00C13842" w:rsidRPr="007762DC" w:rsidRDefault="00C13842" w:rsidP="00613737">
            <w:pPr>
              <w:spacing w:before="120" w:after="120"/>
              <w:jc w:val="center"/>
            </w:pPr>
            <w:r w:rsidRPr="007762DC">
              <w:t>5</w:t>
            </w:r>
          </w:p>
        </w:tc>
        <w:tc>
          <w:tcPr>
            <w:tcW w:w="0" w:type="auto"/>
            <w:shd w:val="clear" w:color="auto" w:fill="auto"/>
          </w:tcPr>
          <w:p w:rsidR="00C13842" w:rsidRPr="007762DC" w:rsidRDefault="00C13842" w:rsidP="00613737">
            <w:pPr>
              <w:spacing w:before="120" w:after="120"/>
            </w:pPr>
            <w:r w:rsidRPr="007762DC">
              <w:t>All data estimated</w:t>
            </w:r>
          </w:p>
        </w:tc>
        <w:tc>
          <w:tcPr>
            <w:tcW w:w="0" w:type="auto"/>
            <w:shd w:val="clear" w:color="auto" w:fill="auto"/>
          </w:tcPr>
          <w:p w:rsidR="00C13842" w:rsidRPr="00613737" w:rsidRDefault="00C13842" w:rsidP="00613737">
            <w:pPr>
              <w:spacing w:before="120" w:after="120"/>
            </w:pPr>
            <w:r w:rsidRPr="007762DC">
              <w:t>Less than or greater than 40%</w:t>
            </w:r>
          </w:p>
        </w:tc>
      </w:tr>
    </w:tbl>
    <w:p w:rsidR="00C13842" w:rsidRPr="0024611A" w:rsidRDefault="00C13842" w:rsidP="00FC370B">
      <w:pPr>
        <w:pStyle w:val="Caption"/>
        <w:spacing w:before="240" w:after="240"/>
        <w:ind w:left="0"/>
        <w:jc w:val="center"/>
        <w:rPr>
          <w:rFonts w:ascii="Arial" w:hAnsi="Arial"/>
          <w:i w:val="0"/>
          <w:iCs w:val="0"/>
          <w:sz w:val="20"/>
          <w:lang w:val="en-AU"/>
        </w:rPr>
      </w:pPr>
      <w:bookmarkStart w:id="808" w:name="_Toc364945462"/>
      <w:r w:rsidRPr="0024611A">
        <w:rPr>
          <w:rFonts w:ascii="Arial" w:hAnsi="Arial"/>
          <w:i w:val="0"/>
          <w:iCs w:val="0"/>
          <w:sz w:val="20"/>
          <w:lang w:val="en-AU"/>
        </w:rPr>
        <w:t xml:space="preserve">Table </w:t>
      </w:r>
      <w:r w:rsidR="0090414C" w:rsidRPr="0024611A">
        <w:rPr>
          <w:rFonts w:ascii="Arial" w:hAnsi="Arial"/>
          <w:i w:val="0"/>
          <w:iCs w:val="0"/>
          <w:sz w:val="20"/>
          <w:lang w:val="en-AU"/>
        </w:rPr>
        <w:fldChar w:fldCharType="begin"/>
      </w:r>
      <w:r w:rsidR="0012012A" w:rsidRPr="0024611A">
        <w:rPr>
          <w:rFonts w:ascii="Arial" w:hAnsi="Arial"/>
          <w:i w:val="0"/>
          <w:iCs w:val="0"/>
          <w:sz w:val="20"/>
          <w:lang w:val="en-AU"/>
        </w:rPr>
        <w:instrText xml:space="preserve"> SEQ Table \* ARABIC </w:instrText>
      </w:r>
      <w:r w:rsidR="0090414C" w:rsidRPr="0024611A">
        <w:rPr>
          <w:rFonts w:ascii="Arial" w:hAnsi="Arial"/>
          <w:i w:val="0"/>
          <w:iCs w:val="0"/>
          <w:sz w:val="20"/>
          <w:lang w:val="en-AU"/>
        </w:rPr>
        <w:fldChar w:fldCharType="separate"/>
      </w:r>
      <w:r w:rsidR="00751CEC">
        <w:rPr>
          <w:rFonts w:ascii="Arial" w:hAnsi="Arial"/>
          <w:i w:val="0"/>
          <w:iCs w:val="0"/>
          <w:noProof/>
          <w:sz w:val="20"/>
          <w:lang w:val="en-AU"/>
        </w:rPr>
        <w:t>58</w:t>
      </w:r>
      <w:r w:rsidR="0090414C" w:rsidRPr="0024611A">
        <w:rPr>
          <w:rFonts w:ascii="Arial" w:hAnsi="Arial"/>
          <w:i w:val="0"/>
          <w:iCs w:val="0"/>
          <w:sz w:val="20"/>
          <w:lang w:val="en-AU"/>
        </w:rPr>
        <w:fldChar w:fldCharType="end"/>
      </w:r>
      <w:r w:rsidRPr="0024611A">
        <w:rPr>
          <w:rFonts w:ascii="Arial" w:hAnsi="Arial"/>
          <w:i w:val="0"/>
          <w:iCs w:val="0"/>
          <w:sz w:val="20"/>
          <w:lang w:val="en-AU"/>
        </w:rPr>
        <w:t xml:space="preserve">: </w:t>
      </w:r>
      <w:r w:rsidR="0012012A" w:rsidRPr="0024611A">
        <w:rPr>
          <w:rFonts w:ascii="Arial" w:hAnsi="Arial"/>
          <w:i w:val="0"/>
          <w:iCs w:val="0"/>
          <w:sz w:val="20"/>
          <w:lang w:val="en-AU"/>
        </w:rPr>
        <w:t xml:space="preserve"> </w:t>
      </w:r>
      <w:r w:rsidRPr="0024611A">
        <w:rPr>
          <w:rFonts w:ascii="Arial" w:hAnsi="Arial"/>
          <w:i w:val="0"/>
          <w:iCs w:val="0"/>
          <w:sz w:val="20"/>
          <w:lang w:val="en-AU"/>
        </w:rPr>
        <w:t>Data Accuracy Grading</w:t>
      </w:r>
      <w:bookmarkEnd w:id="808"/>
    </w:p>
    <w:p w:rsidR="00C13842" w:rsidRDefault="00C13842" w:rsidP="002F775C">
      <w:pPr>
        <w:rPr>
          <w:lang w:eastAsia="en-NZ"/>
        </w:rPr>
      </w:pPr>
      <w:r w:rsidRPr="00CD7D4F">
        <w:rPr>
          <w:lang w:eastAsia="en-NZ"/>
        </w:rPr>
        <w:t>It is uncertain which assets are contained in the transitional asset management system therefore it is only possible to understand data confidence based on the high level understanding of legacy data quality.</w:t>
      </w:r>
    </w:p>
    <w:p w:rsidR="00613737" w:rsidRPr="00CD7D4F" w:rsidRDefault="00613737" w:rsidP="002F775C">
      <w:pPr>
        <w:rPr>
          <w:lang w:eastAsia="en-N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9"/>
        <w:gridCol w:w="1584"/>
        <w:gridCol w:w="4196"/>
        <w:gridCol w:w="1500"/>
      </w:tblGrid>
      <w:tr w:rsidR="00C13842" w:rsidRPr="00613737" w:rsidTr="00AB0298">
        <w:trPr>
          <w:cantSplit/>
          <w:tblHeader/>
          <w:jc w:val="center"/>
        </w:trPr>
        <w:tc>
          <w:tcPr>
            <w:tcW w:w="0" w:type="auto"/>
            <w:shd w:val="clear" w:color="auto" w:fill="95B3D7" w:themeFill="accent1" w:themeFillTint="99"/>
            <w:vAlign w:val="center"/>
          </w:tcPr>
          <w:p w:rsidR="00C13842" w:rsidRPr="00613737" w:rsidRDefault="00C13842" w:rsidP="00613737">
            <w:pPr>
              <w:spacing w:before="120" w:after="120"/>
              <w:jc w:val="center"/>
              <w:rPr>
                <w:b/>
              </w:rPr>
            </w:pPr>
            <w:r w:rsidRPr="00613737">
              <w:rPr>
                <w:b/>
              </w:rPr>
              <w:t>System</w:t>
            </w:r>
          </w:p>
        </w:tc>
        <w:tc>
          <w:tcPr>
            <w:tcW w:w="0" w:type="auto"/>
            <w:shd w:val="clear" w:color="auto" w:fill="95B3D7" w:themeFill="accent1" w:themeFillTint="99"/>
            <w:vAlign w:val="center"/>
          </w:tcPr>
          <w:p w:rsidR="00C13842" w:rsidRPr="00613737" w:rsidRDefault="00C13842" w:rsidP="00613737">
            <w:pPr>
              <w:spacing w:before="120" w:after="120"/>
              <w:jc w:val="left"/>
              <w:rPr>
                <w:b/>
              </w:rPr>
            </w:pPr>
            <w:r w:rsidRPr="00613737">
              <w:rPr>
                <w:b/>
              </w:rPr>
              <w:t>Completeness</w:t>
            </w:r>
          </w:p>
        </w:tc>
        <w:tc>
          <w:tcPr>
            <w:tcW w:w="0" w:type="auto"/>
            <w:shd w:val="clear" w:color="auto" w:fill="95B3D7" w:themeFill="accent1" w:themeFillTint="99"/>
            <w:vAlign w:val="center"/>
          </w:tcPr>
          <w:p w:rsidR="00C13842" w:rsidRPr="00613737" w:rsidRDefault="00C13842" w:rsidP="00613737">
            <w:pPr>
              <w:spacing w:before="120" w:after="120"/>
              <w:jc w:val="left"/>
              <w:rPr>
                <w:b/>
              </w:rPr>
            </w:pPr>
            <w:r w:rsidRPr="00613737">
              <w:rPr>
                <w:b/>
              </w:rPr>
              <w:t>Data Status</w:t>
            </w:r>
          </w:p>
        </w:tc>
        <w:tc>
          <w:tcPr>
            <w:tcW w:w="0" w:type="auto"/>
            <w:shd w:val="clear" w:color="auto" w:fill="95B3D7" w:themeFill="accent1" w:themeFillTint="99"/>
            <w:vAlign w:val="center"/>
          </w:tcPr>
          <w:p w:rsidR="00C13842" w:rsidRPr="00613737" w:rsidRDefault="00C13842" w:rsidP="00613737">
            <w:pPr>
              <w:spacing w:before="120" w:after="120"/>
              <w:jc w:val="center"/>
              <w:rPr>
                <w:b/>
              </w:rPr>
            </w:pPr>
            <w:r w:rsidRPr="00613737">
              <w:rPr>
                <w:b/>
              </w:rPr>
              <w:t>Confidence Level Rating</w:t>
            </w:r>
          </w:p>
        </w:tc>
      </w:tr>
      <w:tr w:rsidR="00C13842" w:rsidRPr="00613737" w:rsidTr="007762DC">
        <w:trPr>
          <w:cantSplit/>
          <w:jc w:val="center"/>
        </w:trPr>
        <w:tc>
          <w:tcPr>
            <w:tcW w:w="0" w:type="auto"/>
            <w:shd w:val="clear" w:color="auto" w:fill="auto"/>
          </w:tcPr>
          <w:p w:rsidR="00C13842" w:rsidRPr="00613737" w:rsidRDefault="007C62B3" w:rsidP="00F20879">
            <w:pPr>
              <w:spacing w:before="120" w:after="120"/>
              <w:jc w:val="center"/>
            </w:pPr>
            <w:r>
              <w:t>TechnologyOne</w:t>
            </w:r>
          </w:p>
        </w:tc>
        <w:tc>
          <w:tcPr>
            <w:tcW w:w="0" w:type="auto"/>
            <w:shd w:val="clear" w:color="auto" w:fill="auto"/>
          </w:tcPr>
          <w:p w:rsidR="00C13842" w:rsidRPr="00613737" w:rsidRDefault="00F20879" w:rsidP="00F20879">
            <w:pPr>
              <w:spacing w:before="120" w:after="120"/>
              <w:jc w:val="left"/>
            </w:pPr>
            <w:r>
              <w:t>Incomplete</w:t>
            </w:r>
          </w:p>
        </w:tc>
        <w:tc>
          <w:tcPr>
            <w:tcW w:w="0" w:type="auto"/>
            <w:shd w:val="clear" w:color="auto" w:fill="auto"/>
          </w:tcPr>
          <w:p w:rsidR="00C13842" w:rsidRPr="00613737" w:rsidRDefault="00F20879" w:rsidP="00613737">
            <w:pPr>
              <w:spacing w:before="120" w:after="120"/>
              <w:jc w:val="left"/>
            </w:pPr>
            <w:r>
              <w:t>Full integration required</w:t>
            </w:r>
          </w:p>
        </w:tc>
        <w:tc>
          <w:tcPr>
            <w:tcW w:w="1500" w:type="dxa"/>
            <w:shd w:val="clear" w:color="auto" w:fill="auto"/>
          </w:tcPr>
          <w:p w:rsidR="00C13842" w:rsidRPr="00613737" w:rsidRDefault="00C13842" w:rsidP="00613737">
            <w:pPr>
              <w:spacing w:before="120" w:after="120"/>
              <w:jc w:val="center"/>
            </w:pPr>
            <w:r w:rsidRPr="00613737">
              <w:t>3</w:t>
            </w:r>
          </w:p>
        </w:tc>
      </w:tr>
      <w:tr w:rsidR="00C13842" w:rsidRPr="00613737" w:rsidTr="007762DC">
        <w:trPr>
          <w:cantSplit/>
          <w:jc w:val="center"/>
        </w:trPr>
        <w:tc>
          <w:tcPr>
            <w:tcW w:w="0" w:type="auto"/>
            <w:shd w:val="clear" w:color="auto" w:fill="auto"/>
          </w:tcPr>
          <w:p w:rsidR="00C13842" w:rsidRPr="00613737" w:rsidRDefault="00F20879" w:rsidP="00613737">
            <w:pPr>
              <w:spacing w:before="120" w:after="120"/>
              <w:jc w:val="center"/>
            </w:pPr>
            <w:r>
              <w:t>Merit</w:t>
            </w:r>
          </w:p>
        </w:tc>
        <w:tc>
          <w:tcPr>
            <w:tcW w:w="0" w:type="auto"/>
            <w:shd w:val="clear" w:color="auto" w:fill="auto"/>
          </w:tcPr>
          <w:p w:rsidR="00C13842" w:rsidRPr="00613737" w:rsidRDefault="00F20879" w:rsidP="00613737">
            <w:pPr>
              <w:spacing w:before="120" w:after="120"/>
              <w:jc w:val="left"/>
            </w:pPr>
            <w:r>
              <w:t>Complete</w:t>
            </w:r>
          </w:p>
        </w:tc>
        <w:tc>
          <w:tcPr>
            <w:tcW w:w="0" w:type="auto"/>
            <w:shd w:val="clear" w:color="auto" w:fill="auto"/>
          </w:tcPr>
          <w:p w:rsidR="00C13842" w:rsidRPr="00613737" w:rsidRDefault="00F20879" w:rsidP="00613737">
            <w:pPr>
              <w:spacing w:before="120" w:after="120"/>
              <w:jc w:val="left"/>
            </w:pPr>
            <w:r>
              <w:t xml:space="preserve">Integrated with </w:t>
            </w:r>
            <w:r w:rsidR="007C62B3">
              <w:t>TechnologyOne</w:t>
            </w:r>
          </w:p>
        </w:tc>
        <w:tc>
          <w:tcPr>
            <w:tcW w:w="1500" w:type="dxa"/>
            <w:shd w:val="clear" w:color="auto" w:fill="auto"/>
          </w:tcPr>
          <w:p w:rsidR="00C13842" w:rsidRPr="00613737" w:rsidRDefault="00F20879" w:rsidP="00613737">
            <w:pPr>
              <w:spacing w:before="120" w:after="120"/>
              <w:jc w:val="center"/>
            </w:pPr>
            <w:r>
              <w:t>2</w:t>
            </w:r>
          </w:p>
        </w:tc>
      </w:tr>
      <w:tr w:rsidR="00C13842" w:rsidRPr="00613737" w:rsidTr="007762DC">
        <w:trPr>
          <w:cantSplit/>
          <w:jc w:val="center"/>
        </w:trPr>
        <w:tc>
          <w:tcPr>
            <w:tcW w:w="0" w:type="auto"/>
            <w:shd w:val="clear" w:color="auto" w:fill="auto"/>
          </w:tcPr>
          <w:p w:rsidR="00C13842" w:rsidRPr="00613737" w:rsidRDefault="00F20879" w:rsidP="00613737">
            <w:pPr>
              <w:spacing w:before="120" w:after="120"/>
              <w:jc w:val="center"/>
            </w:pPr>
            <w:r>
              <w:t>TRIM</w:t>
            </w:r>
          </w:p>
        </w:tc>
        <w:tc>
          <w:tcPr>
            <w:tcW w:w="0" w:type="auto"/>
            <w:shd w:val="clear" w:color="auto" w:fill="auto"/>
          </w:tcPr>
          <w:p w:rsidR="00C13842" w:rsidRPr="00613737" w:rsidRDefault="00F20879" w:rsidP="00613737">
            <w:pPr>
              <w:spacing w:before="120" w:after="120"/>
              <w:jc w:val="left"/>
            </w:pPr>
            <w:r>
              <w:t>Incomplete</w:t>
            </w:r>
          </w:p>
        </w:tc>
        <w:tc>
          <w:tcPr>
            <w:tcW w:w="0" w:type="auto"/>
            <w:shd w:val="clear" w:color="auto" w:fill="auto"/>
          </w:tcPr>
          <w:p w:rsidR="00C13842" w:rsidRPr="00613737" w:rsidRDefault="00F20879" w:rsidP="00613737">
            <w:pPr>
              <w:spacing w:before="120" w:after="120"/>
              <w:jc w:val="left"/>
            </w:pPr>
            <w:r>
              <w:t xml:space="preserve">Full integration required with </w:t>
            </w:r>
            <w:r w:rsidR="007C62B3">
              <w:t>TechnologyOne</w:t>
            </w:r>
          </w:p>
        </w:tc>
        <w:tc>
          <w:tcPr>
            <w:tcW w:w="1500" w:type="dxa"/>
            <w:shd w:val="clear" w:color="auto" w:fill="auto"/>
          </w:tcPr>
          <w:p w:rsidR="00C13842" w:rsidRPr="00613737" w:rsidRDefault="00C13842" w:rsidP="00613737">
            <w:pPr>
              <w:spacing w:before="120" w:after="120"/>
              <w:jc w:val="center"/>
            </w:pPr>
            <w:r w:rsidRPr="00613737">
              <w:t>3</w:t>
            </w:r>
          </w:p>
        </w:tc>
      </w:tr>
      <w:tr w:rsidR="00C13842" w:rsidRPr="00613737" w:rsidTr="007762DC">
        <w:trPr>
          <w:cantSplit/>
          <w:jc w:val="center"/>
        </w:trPr>
        <w:tc>
          <w:tcPr>
            <w:tcW w:w="0" w:type="auto"/>
            <w:shd w:val="clear" w:color="auto" w:fill="auto"/>
          </w:tcPr>
          <w:p w:rsidR="00C13842" w:rsidRPr="00613737" w:rsidRDefault="00F20879" w:rsidP="00613737">
            <w:pPr>
              <w:spacing w:before="120" w:after="120"/>
              <w:jc w:val="center"/>
            </w:pPr>
            <w:r>
              <w:t>Forecaster</w:t>
            </w:r>
          </w:p>
        </w:tc>
        <w:tc>
          <w:tcPr>
            <w:tcW w:w="0" w:type="auto"/>
            <w:shd w:val="clear" w:color="auto" w:fill="auto"/>
          </w:tcPr>
          <w:p w:rsidR="00C13842" w:rsidRPr="00613737" w:rsidRDefault="00F20879" w:rsidP="00613737">
            <w:pPr>
              <w:spacing w:before="120" w:after="120"/>
              <w:jc w:val="left"/>
            </w:pPr>
            <w:r>
              <w:t>Complete</w:t>
            </w:r>
          </w:p>
        </w:tc>
        <w:tc>
          <w:tcPr>
            <w:tcW w:w="0" w:type="auto"/>
            <w:shd w:val="clear" w:color="auto" w:fill="auto"/>
          </w:tcPr>
          <w:p w:rsidR="00C13842" w:rsidRPr="00613737" w:rsidRDefault="00F20879" w:rsidP="00613737">
            <w:pPr>
              <w:spacing w:before="120" w:after="120"/>
              <w:jc w:val="left"/>
            </w:pPr>
            <w:r>
              <w:t xml:space="preserve">Full integration required with </w:t>
            </w:r>
            <w:r w:rsidR="007C62B3">
              <w:t>TechnologyOne</w:t>
            </w:r>
          </w:p>
        </w:tc>
        <w:tc>
          <w:tcPr>
            <w:tcW w:w="1500" w:type="dxa"/>
            <w:shd w:val="clear" w:color="auto" w:fill="auto"/>
          </w:tcPr>
          <w:p w:rsidR="00C13842" w:rsidRPr="00613737" w:rsidRDefault="00F20879" w:rsidP="00F20879">
            <w:pPr>
              <w:spacing w:before="120" w:after="120"/>
              <w:jc w:val="center"/>
            </w:pPr>
            <w:r>
              <w:t>2</w:t>
            </w:r>
          </w:p>
        </w:tc>
      </w:tr>
      <w:tr w:rsidR="00C13842" w:rsidRPr="00613737" w:rsidTr="007762DC">
        <w:trPr>
          <w:cantSplit/>
          <w:jc w:val="center"/>
        </w:trPr>
        <w:tc>
          <w:tcPr>
            <w:tcW w:w="0" w:type="auto"/>
            <w:shd w:val="clear" w:color="auto" w:fill="auto"/>
          </w:tcPr>
          <w:p w:rsidR="00C13842" w:rsidRPr="00613737" w:rsidRDefault="00C13842" w:rsidP="00613737">
            <w:pPr>
              <w:spacing w:before="120" w:after="120"/>
              <w:jc w:val="center"/>
            </w:pPr>
            <w:r w:rsidRPr="00613737">
              <w:t>GIS</w:t>
            </w:r>
          </w:p>
        </w:tc>
        <w:tc>
          <w:tcPr>
            <w:tcW w:w="0" w:type="auto"/>
            <w:shd w:val="clear" w:color="auto" w:fill="auto"/>
          </w:tcPr>
          <w:p w:rsidR="00C13842" w:rsidRPr="00613737" w:rsidRDefault="00C13842" w:rsidP="00613737">
            <w:pPr>
              <w:spacing w:before="120" w:after="120"/>
              <w:jc w:val="left"/>
            </w:pPr>
            <w:r w:rsidRPr="00613737">
              <w:t>Limited</w:t>
            </w:r>
          </w:p>
        </w:tc>
        <w:tc>
          <w:tcPr>
            <w:tcW w:w="0" w:type="auto"/>
            <w:shd w:val="clear" w:color="auto" w:fill="auto"/>
          </w:tcPr>
          <w:p w:rsidR="00C13842" w:rsidRPr="00613737" w:rsidRDefault="00C13842" w:rsidP="00F20879">
            <w:pPr>
              <w:spacing w:before="120" w:after="120"/>
              <w:jc w:val="left"/>
            </w:pPr>
            <w:r w:rsidRPr="00613737">
              <w:t xml:space="preserve">Not all asset data available </w:t>
            </w:r>
          </w:p>
        </w:tc>
        <w:tc>
          <w:tcPr>
            <w:tcW w:w="1500" w:type="dxa"/>
            <w:shd w:val="clear" w:color="auto" w:fill="auto"/>
          </w:tcPr>
          <w:p w:rsidR="00C13842" w:rsidRPr="00613737" w:rsidRDefault="00C13842" w:rsidP="00613737">
            <w:pPr>
              <w:spacing w:before="120" w:after="120"/>
              <w:jc w:val="center"/>
            </w:pPr>
            <w:r w:rsidRPr="00613737">
              <w:t>3</w:t>
            </w:r>
          </w:p>
        </w:tc>
      </w:tr>
      <w:tr w:rsidR="00C13842" w:rsidRPr="00613737" w:rsidTr="007762DC">
        <w:trPr>
          <w:cantSplit/>
          <w:jc w:val="center"/>
        </w:trPr>
        <w:tc>
          <w:tcPr>
            <w:tcW w:w="0" w:type="auto"/>
            <w:shd w:val="clear" w:color="auto" w:fill="auto"/>
          </w:tcPr>
          <w:p w:rsidR="00C13842" w:rsidRPr="00613737" w:rsidRDefault="00F20879" w:rsidP="00613737">
            <w:pPr>
              <w:spacing w:before="120" w:after="120"/>
              <w:jc w:val="center"/>
            </w:pPr>
            <w:r>
              <w:t>Interplan</w:t>
            </w:r>
          </w:p>
        </w:tc>
        <w:tc>
          <w:tcPr>
            <w:tcW w:w="0" w:type="auto"/>
            <w:shd w:val="clear" w:color="auto" w:fill="auto"/>
          </w:tcPr>
          <w:p w:rsidR="00C13842" w:rsidRPr="00613737" w:rsidRDefault="00F20879" w:rsidP="00613737">
            <w:pPr>
              <w:spacing w:before="120" w:after="120"/>
              <w:jc w:val="left"/>
            </w:pPr>
            <w:r>
              <w:t>Complete</w:t>
            </w:r>
          </w:p>
        </w:tc>
        <w:tc>
          <w:tcPr>
            <w:tcW w:w="0" w:type="auto"/>
            <w:shd w:val="clear" w:color="auto" w:fill="auto"/>
          </w:tcPr>
          <w:p w:rsidR="00C13842" w:rsidRPr="00613737" w:rsidRDefault="002046E8" w:rsidP="002046E8">
            <w:pPr>
              <w:spacing w:before="120" w:after="120"/>
              <w:jc w:val="left"/>
            </w:pPr>
            <w:r>
              <w:t>Currentl</w:t>
            </w:r>
            <w:r w:rsidR="00F20879">
              <w:t>y a Standalone system.</w:t>
            </w:r>
          </w:p>
        </w:tc>
        <w:tc>
          <w:tcPr>
            <w:tcW w:w="1500" w:type="dxa"/>
            <w:shd w:val="clear" w:color="auto" w:fill="auto"/>
          </w:tcPr>
          <w:p w:rsidR="00C13842" w:rsidRPr="00613737" w:rsidRDefault="00F20879" w:rsidP="00613737">
            <w:pPr>
              <w:spacing w:before="120" w:after="120"/>
              <w:jc w:val="center"/>
            </w:pPr>
            <w:r>
              <w:t>1</w:t>
            </w:r>
          </w:p>
        </w:tc>
      </w:tr>
      <w:tr w:rsidR="00C13842" w:rsidRPr="00613737" w:rsidTr="007762DC">
        <w:trPr>
          <w:cantSplit/>
          <w:jc w:val="center"/>
        </w:trPr>
        <w:tc>
          <w:tcPr>
            <w:tcW w:w="0" w:type="auto"/>
            <w:shd w:val="clear" w:color="auto" w:fill="auto"/>
          </w:tcPr>
          <w:p w:rsidR="00C13842" w:rsidRPr="00613737" w:rsidRDefault="00F20879" w:rsidP="00613737">
            <w:pPr>
              <w:spacing w:before="120" w:after="120"/>
              <w:jc w:val="center"/>
            </w:pPr>
            <w:r>
              <w:t>Computron</w:t>
            </w:r>
          </w:p>
        </w:tc>
        <w:tc>
          <w:tcPr>
            <w:tcW w:w="0" w:type="auto"/>
            <w:shd w:val="clear" w:color="auto" w:fill="auto"/>
          </w:tcPr>
          <w:p w:rsidR="00C13842" w:rsidRPr="00613737" w:rsidRDefault="00F20879" w:rsidP="00613737">
            <w:pPr>
              <w:spacing w:before="120" w:after="120"/>
              <w:jc w:val="left"/>
            </w:pPr>
            <w:r>
              <w:t>Complete</w:t>
            </w:r>
          </w:p>
        </w:tc>
        <w:tc>
          <w:tcPr>
            <w:tcW w:w="0" w:type="auto"/>
            <w:shd w:val="clear" w:color="auto" w:fill="auto"/>
          </w:tcPr>
          <w:p w:rsidR="00C13842" w:rsidRPr="00613737" w:rsidRDefault="00F20879" w:rsidP="00613737">
            <w:pPr>
              <w:spacing w:before="120" w:after="120"/>
              <w:jc w:val="left"/>
            </w:pPr>
            <w:r>
              <w:t xml:space="preserve">Full integration required with </w:t>
            </w:r>
            <w:r w:rsidR="007C62B3">
              <w:t>TechnologyOne</w:t>
            </w:r>
          </w:p>
        </w:tc>
        <w:tc>
          <w:tcPr>
            <w:tcW w:w="1500" w:type="dxa"/>
            <w:shd w:val="clear" w:color="auto" w:fill="auto"/>
          </w:tcPr>
          <w:p w:rsidR="00C13842" w:rsidRPr="00613737" w:rsidRDefault="00F20879" w:rsidP="00613737">
            <w:pPr>
              <w:spacing w:before="120" w:after="120"/>
              <w:jc w:val="center"/>
            </w:pPr>
            <w:r>
              <w:t>1</w:t>
            </w:r>
          </w:p>
        </w:tc>
      </w:tr>
    </w:tbl>
    <w:p w:rsidR="00966DD0" w:rsidRPr="0024611A" w:rsidRDefault="0045016F" w:rsidP="00F20879">
      <w:pPr>
        <w:pStyle w:val="Caption"/>
        <w:spacing w:before="240" w:after="240"/>
        <w:ind w:left="720"/>
        <w:jc w:val="center"/>
        <w:rPr>
          <w:rFonts w:ascii="Arial" w:hAnsi="Arial"/>
          <w:i w:val="0"/>
          <w:iCs w:val="0"/>
          <w:sz w:val="20"/>
          <w:lang w:val="en-AU"/>
        </w:rPr>
      </w:pPr>
      <w:bookmarkStart w:id="809" w:name="_Toc364945463"/>
      <w:r w:rsidRPr="0024611A">
        <w:rPr>
          <w:rFonts w:ascii="Arial" w:hAnsi="Arial"/>
          <w:i w:val="0"/>
          <w:iCs w:val="0"/>
          <w:sz w:val="20"/>
          <w:lang w:val="en-AU"/>
        </w:rPr>
        <w:t xml:space="preserve">Table </w:t>
      </w:r>
      <w:r w:rsidR="0090414C" w:rsidRPr="0024611A">
        <w:rPr>
          <w:rFonts w:ascii="Arial" w:hAnsi="Arial"/>
          <w:i w:val="0"/>
          <w:iCs w:val="0"/>
          <w:sz w:val="20"/>
          <w:lang w:val="en-AU"/>
        </w:rPr>
        <w:fldChar w:fldCharType="begin"/>
      </w:r>
      <w:r w:rsidRPr="0024611A">
        <w:rPr>
          <w:rFonts w:ascii="Arial" w:hAnsi="Arial"/>
          <w:i w:val="0"/>
          <w:iCs w:val="0"/>
          <w:sz w:val="20"/>
          <w:lang w:val="en-AU"/>
        </w:rPr>
        <w:instrText xml:space="preserve"> SEQ Table \* ARABIC </w:instrText>
      </w:r>
      <w:r w:rsidR="0090414C" w:rsidRPr="0024611A">
        <w:rPr>
          <w:rFonts w:ascii="Arial" w:hAnsi="Arial"/>
          <w:i w:val="0"/>
          <w:iCs w:val="0"/>
          <w:sz w:val="20"/>
          <w:lang w:val="en-AU"/>
        </w:rPr>
        <w:fldChar w:fldCharType="separate"/>
      </w:r>
      <w:r w:rsidR="00751CEC">
        <w:rPr>
          <w:rFonts w:ascii="Arial" w:hAnsi="Arial"/>
          <w:i w:val="0"/>
          <w:iCs w:val="0"/>
          <w:noProof/>
          <w:sz w:val="20"/>
          <w:lang w:val="en-AU"/>
        </w:rPr>
        <w:t>59</w:t>
      </w:r>
      <w:r w:rsidR="0090414C" w:rsidRPr="0024611A">
        <w:rPr>
          <w:rFonts w:ascii="Arial" w:hAnsi="Arial"/>
          <w:i w:val="0"/>
          <w:iCs w:val="0"/>
          <w:sz w:val="20"/>
          <w:lang w:val="en-AU"/>
        </w:rPr>
        <w:fldChar w:fldCharType="end"/>
      </w:r>
      <w:r w:rsidRPr="0024611A">
        <w:rPr>
          <w:rFonts w:ascii="Arial" w:hAnsi="Arial"/>
          <w:i w:val="0"/>
          <w:iCs w:val="0"/>
          <w:sz w:val="20"/>
          <w:lang w:val="en-AU"/>
        </w:rPr>
        <w:t>: Confidence Level Ratin</w:t>
      </w:r>
      <w:r w:rsidR="00F20879" w:rsidRPr="0024611A">
        <w:rPr>
          <w:rFonts w:ascii="Arial" w:hAnsi="Arial"/>
          <w:i w:val="0"/>
          <w:iCs w:val="0"/>
          <w:sz w:val="20"/>
          <w:lang w:val="en-AU"/>
        </w:rPr>
        <w:t>g</w:t>
      </w:r>
      <w:bookmarkEnd w:id="809"/>
    </w:p>
    <w:p w:rsidR="002046E8" w:rsidRPr="002046E8" w:rsidRDefault="002046E8" w:rsidP="002046E8">
      <w:pPr>
        <w:pStyle w:val="BodyText"/>
        <w:rPr>
          <w:lang w:val="en-AU"/>
        </w:rPr>
      </w:pPr>
    </w:p>
    <w:p w:rsidR="00966DD0" w:rsidRDefault="00966DD0" w:rsidP="00966DD0">
      <w:pPr>
        <w:rPr>
          <w:lang w:val="en-NZ" w:eastAsia="en-GB"/>
        </w:rPr>
        <w:sectPr w:rsidR="00966DD0" w:rsidSect="002046E8">
          <w:type w:val="oddPage"/>
          <w:pgSz w:w="11906" w:h="16838" w:code="9"/>
          <w:pgMar w:top="1418" w:right="1418" w:bottom="851" w:left="1418" w:header="284" w:footer="312" w:gutter="0"/>
          <w:cols w:space="720"/>
          <w:docGrid w:linePitch="360"/>
        </w:sectPr>
      </w:pPr>
    </w:p>
    <w:p w:rsidR="00E96F28" w:rsidRPr="00E062A4" w:rsidRDefault="00E96F28" w:rsidP="002F775C">
      <w:pPr>
        <w:pStyle w:val="Heading1"/>
      </w:pPr>
      <w:bookmarkStart w:id="810" w:name="_Toc364945356"/>
      <w:r w:rsidRPr="00E062A4">
        <w:t>I</w:t>
      </w:r>
      <w:r w:rsidR="00A340BD">
        <w:t>mprovement Plan and Monitoring</w:t>
      </w:r>
      <w:bookmarkEnd w:id="810"/>
    </w:p>
    <w:p w:rsidR="00643860" w:rsidRDefault="00643860" w:rsidP="00643860">
      <w:bookmarkStart w:id="811" w:name="OLE_LINK1"/>
      <w:bookmarkStart w:id="812" w:name="OLE_LINK2"/>
    </w:p>
    <w:p w:rsidR="00643860" w:rsidRPr="00CD7D4F" w:rsidRDefault="00643860" w:rsidP="00643860">
      <w:r w:rsidRPr="00CD7D4F">
        <w:t xml:space="preserve">This section will present the </w:t>
      </w:r>
      <w:r>
        <w:t>four</w:t>
      </w:r>
      <w:r w:rsidRPr="00CD7D4F">
        <w:t xml:space="preserve"> year improvement programme for this AMP. It will also describe the approach to implementing this programme, including the implementation of monitoring and review processes to improve the level of confidence in the AMP over time. </w:t>
      </w:r>
    </w:p>
    <w:p w:rsidR="00643860" w:rsidRPr="00CD7D4F" w:rsidRDefault="00643860" w:rsidP="00643860">
      <w:pPr>
        <w:pStyle w:val="Heading2"/>
      </w:pPr>
      <w:bookmarkStart w:id="813" w:name="_Toc360630249"/>
      <w:bookmarkStart w:id="814" w:name="_Toc364945357"/>
      <w:r w:rsidRPr="00CF2212">
        <w:t>Overview</w:t>
      </w:r>
      <w:bookmarkEnd w:id="813"/>
      <w:bookmarkEnd w:id="814"/>
    </w:p>
    <w:p w:rsidR="00643860" w:rsidRPr="0031289E" w:rsidRDefault="00643860" w:rsidP="00643860">
      <w:r w:rsidRPr="0031289E">
        <w:t>Identifying areas of improvement has been a key focus of the 2012</w:t>
      </w:r>
      <w:r>
        <w:t>/13</w:t>
      </w:r>
      <w:r w:rsidRPr="0031289E">
        <w:t xml:space="preserve"> asset planning processes. The </w:t>
      </w:r>
      <w:r>
        <w:t>Sustainable Asset Management Branch with the support from an independent asset management specialist</w:t>
      </w:r>
      <w:r w:rsidRPr="0031289E">
        <w:t xml:space="preserve"> recently undertook </w:t>
      </w:r>
      <w:r>
        <w:t>a ‘</w:t>
      </w:r>
      <w:r w:rsidRPr="0031289E">
        <w:t>maturity gap assessment</w:t>
      </w:r>
      <w:r>
        <w:t>’</w:t>
      </w:r>
      <w:r w:rsidRPr="0031289E">
        <w:t xml:space="preserve"> of its asset ma</w:t>
      </w:r>
      <w:r>
        <w:t>nagement function that covered:</w:t>
      </w:r>
    </w:p>
    <w:p w:rsidR="00643860" w:rsidRPr="0031289E" w:rsidRDefault="00643860" w:rsidP="00643860"/>
    <w:p w:rsidR="00643860" w:rsidRPr="00A340BD" w:rsidRDefault="007747FC" w:rsidP="00643860">
      <w:pPr>
        <w:pStyle w:val="ListParagraph"/>
        <w:numPr>
          <w:ilvl w:val="0"/>
          <w:numId w:val="110"/>
        </w:numPr>
        <w:rPr>
          <w:rFonts w:ascii="Arial" w:hAnsi="Arial" w:cs="Arial"/>
          <w:sz w:val="20"/>
        </w:rPr>
      </w:pPr>
      <w:r>
        <w:rPr>
          <w:rFonts w:ascii="Arial" w:hAnsi="Arial" w:cs="Arial"/>
          <w:sz w:val="20"/>
        </w:rPr>
        <w:t>Asset management processes;</w:t>
      </w:r>
    </w:p>
    <w:p w:rsidR="00643860" w:rsidRPr="00A340BD" w:rsidRDefault="00643860" w:rsidP="00643860">
      <w:pPr>
        <w:pStyle w:val="ListParagraph"/>
        <w:numPr>
          <w:ilvl w:val="0"/>
          <w:numId w:val="110"/>
        </w:numPr>
        <w:rPr>
          <w:rFonts w:ascii="Arial" w:hAnsi="Arial" w:cs="Arial"/>
          <w:sz w:val="20"/>
        </w:rPr>
      </w:pPr>
      <w:r w:rsidRPr="00A340BD">
        <w:rPr>
          <w:rFonts w:ascii="Arial" w:hAnsi="Arial" w:cs="Arial"/>
          <w:sz w:val="20"/>
        </w:rPr>
        <w:t>Asset management data;</w:t>
      </w:r>
    </w:p>
    <w:p w:rsidR="00643860" w:rsidRDefault="00643860" w:rsidP="00643860">
      <w:pPr>
        <w:pStyle w:val="ListParagraph"/>
        <w:numPr>
          <w:ilvl w:val="0"/>
          <w:numId w:val="110"/>
        </w:numPr>
        <w:rPr>
          <w:rFonts w:ascii="Arial" w:hAnsi="Arial" w:cs="Arial"/>
          <w:sz w:val="20"/>
        </w:rPr>
      </w:pPr>
      <w:r w:rsidRPr="00A340BD">
        <w:rPr>
          <w:rFonts w:ascii="Arial" w:hAnsi="Arial" w:cs="Arial"/>
          <w:sz w:val="20"/>
        </w:rPr>
        <w:t>Supporting technology and IT systems</w:t>
      </w:r>
      <w:r w:rsidR="007747FC">
        <w:rPr>
          <w:rFonts w:ascii="Arial" w:hAnsi="Arial" w:cs="Arial"/>
          <w:sz w:val="20"/>
        </w:rPr>
        <w:t>;</w:t>
      </w:r>
    </w:p>
    <w:p w:rsidR="00643860" w:rsidRPr="00A340BD" w:rsidRDefault="007747FC" w:rsidP="00643860">
      <w:pPr>
        <w:pStyle w:val="ListParagraph"/>
        <w:numPr>
          <w:ilvl w:val="0"/>
          <w:numId w:val="110"/>
        </w:numPr>
        <w:rPr>
          <w:rFonts w:ascii="Arial" w:hAnsi="Arial" w:cs="Arial"/>
          <w:sz w:val="20"/>
        </w:rPr>
      </w:pPr>
      <w:r>
        <w:rPr>
          <w:rFonts w:ascii="Arial" w:hAnsi="Arial" w:cs="Arial"/>
          <w:sz w:val="20"/>
        </w:rPr>
        <w:t>Organisational capability;</w:t>
      </w:r>
    </w:p>
    <w:p w:rsidR="00643860" w:rsidRDefault="00643860" w:rsidP="00643860">
      <w:pPr>
        <w:pStyle w:val="ListParagraph"/>
        <w:numPr>
          <w:ilvl w:val="0"/>
          <w:numId w:val="110"/>
        </w:numPr>
        <w:rPr>
          <w:rFonts w:ascii="Arial" w:hAnsi="Arial" w:cs="Arial"/>
          <w:sz w:val="20"/>
        </w:rPr>
      </w:pPr>
      <w:r>
        <w:rPr>
          <w:rFonts w:ascii="Arial" w:hAnsi="Arial" w:cs="Arial"/>
          <w:sz w:val="20"/>
        </w:rPr>
        <w:t>People skills;</w:t>
      </w:r>
      <w:r w:rsidR="007747FC">
        <w:rPr>
          <w:rFonts w:ascii="Arial" w:hAnsi="Arial" w:cs="Arial"/>
          <w:sz w:val="20"/>
        </w:rPr>
        <w:t xml:space="preserve"> and</w:t>
      </w:r>
    </w:p>
    <w:p w:rsidR="00643860" w:rsidRPr="00A340BD" w:rsidRDefault="00643860" w:rsidP="00643860">
      <w:pPr>
        <w:pStyle w:val="ListParagraph"/>
        <w:numPr>
          <w:ilvl w:val="0"/>
          <w:numId w:val="110"/>
        </w:numPr>
        <w:rPr>
          <w:rFonts w:ascii="Arial" w:hAnsi="Arial" w:cs="Arial"/>
          <w:sz w:val="20"/>
        </w:rPr>
      </w:pPr>
      <w:r>
        <w:rPr>
          <w:rFonts w:ascii="Arial" w:hAnsi="Arial" w:cs="Arial"/>
          <w:sz w:val="20"/>
        </w:rPr>
        <w:t>AMP production capability</w:t>
      </w:r>
      <w:r w:rsidR="007747FC">
        <w:rPr>
          <w:rFonts w:ascii="Arial" w:hAnsi="Arial" w:cs="Arial"/>
          <w:sz w:val="20"/>
        </w:rPr>
        <w:t>.</w:t>
      </w:r>
    </w:p>
    <w:p w:rsidR="00643860" w:rsidRPr="0031289E" w:rsidRDefault="00643860" w:rsidP="00643860"/>
    <w:p w:rsidR="00643860" w:rsidRPr="0031289E" w:rsidRDefault="00643860" w:rsidP="00643860">
      <w:r w:rsidRPr="0031289E">
        <w:t xml:space="preserve">This assessment identifies </w:t>
      </w:r>
      <w:r>
        <w:t xml:space="preserve">the </w:t>
      </w:r>
      <w:r w:rsidRPr="0031289E">
        <w:t>cur</w:t>
      </w:r>
      <w:r w:rsidR="007747FC">
        <w:t>rent asset management maturity/</w:t>
      </w:r>
      <w:r w:rsidRPr="0031289E">
        <w:t xml:space="preserve">confidence levels and proposes a </w:t>
      </w:r>
      <w:r>
        <w:t>four</w:t>
      </w:r>
      <w:r w:rsidR="007747FC">
        <w:t xml:space="preserve"> year maturity/</w:t>
      </w:r>
      <w:r w:rsidRPr="0031289E">
        <w:t xml:space="preserve">confidence level targets. Within this improvement plan, the </w:t>
      </w:r>
      <w:r>
        <w:t>B</w:t>
      </w:r>
      <w:r w:rsidRPr="0031289E">
        <w:t>AMP presents</w:t>
      </w:r>
      <w:r w:rsidR="007747FC">
        <w:t xml:space="preserve"> an</w:t>
      </w:r>
      <w:r w:rsidRPr="0031289E">
        <w:t xml:space="preserve"> overarching improvement plan that aims</w:t>
      </w:r>
      <w:r w:rsidR="007747FC">
        <w:t>,</w:t>
      </w:r>
      <w:r w:rsidRPr="0031289E">
        <w:t xml:space="preserve"> not only</w:t>
      </w:r>
      <w:r w:rsidR="007747FC">
        <w:t>,</w:t>
      </w:r>
      <w:r w:rsidRPr="0031289E">
        <w:t xml:space="preserve"> </w:t>
      </w:r>
      <w:r w:rsidR="007747FC">
        <w:t xml:space="preserve">to </w:t>
      </w:r>
      <w:r w:rsidRPr="0031289E">
        <w:t>close the maturity gaps identified</w:t>
      </w:r>
      <w:r w:rsidR="007747FC">
        <w:t>, but also to:</w:t>
      </w:r>
    </w:p>
    <w:p w:rsidR="00643860" w:rsidRPr="0031289E" w:rsidRDefault="00643860" w:rsidP="00643860"/>
    <w:p w:rsidR="00643860" w:rsidRPr="00A340BD" w:rsidRDefault="007747FC" w:rsidP="00643860">
      <w:pPr>
        <w:pStyle w:val="ListParagraph"/>
        <w:numPr>
          <w:ilvl w:val="0"/>
          <w:numId w:val="111"/>
        </w:numPr>
        <w:rPr>
          <w:rFonts w:ascii="Arial" w:hAnsi="Arial" w:cs="Arial"/>
          <w:sz w:val="20"/>
        </w:rPr>
      </w:pPr>
      <w:r>
        <w:rPr>
          <w:rFonts w:ascii="Arial" w:hAnsi="Arial" w:cs="Arial"/>
          <w:sz w:val="20"/>
        </w:rPr>
        <w:t>Improve systems and data;</w:t>
      </w:r>
    </w:p>
    <w:p w:rsidR="00643860" w:rsidRPr="00A340BD" w:rsidRDefault="00643860" w:rsidP="00643860">
      <w:pPr>
        <w:pStyle w:val="ListParagraph"/>
        <w:numPr>
          <w:ilvl w:val="0"/>
          <w:numId w:val="111"/>
        </w:numPr>
        <w:rPr>
          <w:rFonts w:ascii="Arial" w:hAnsi="Arial" w:cs="Arial"/>
          <w:sz w:val="20"/>
        </w:rPr>
      </w:pPr>
      <w:r w:rsidRPr="00A340BD">
        <w:rPr>
          <w:rFonts w:ascii="Arial" w:hAnsi="Arial" w:cs="Arial"/>
          <w:sz w:val="20"/>
        </w:rPr>
        <w:t xml:space="preserve">Apply best judgement as to where improvement efforts should be focused, especially in the area </w:t>
      </w:r>
      <w:r>
        <w:rPr>
          <w:rFonts w:ascii="Arial" w:hAnsi="Arial" w:cs="Arial"/>
          <w:sz w:val="20"/>
        </w:rPr>
        <w:t>of organisational capabilities; and</w:t>
      </w:r>
    </w:p>
    <w:p w:rsidR="00643860" w:rsidRPr="00A340BD" w:rsidRDefault="00643860" w:rsidP="00643860">
      <w:pPr>
        <w:pStyle w:val="ListParagraph"/>
        <w:numPr>
          <w:ilvl w:val="0"/>
          <w:numId w:val="111"/>
        </w:numPr>
        <w:rPr>
          <w:rFonts w:ascii="Arial" w:hAnsi="Arial" w:cs="Arial"/>
          <w:sz w:val="20"/>
        </w:rPr>
      </w:pPr>
      <w:r w:rsidRPr="00A340BD">
        <w:rPr>
          <w:rFonts w:ascii="Arial" w:hAnsi="Arial" w:cs="Arial"/>
          <w:sz w:val="20"/>
        </w:rPr>
        <w:t xml:space="preserve">Close the gaps identified in </w:t>
      </w:r>
      <w:r>
        <w:rPr>
          <w:rFonts w:ascii="Arial" w:hAnsi="Arial" w:cs="Arial"/>
          <w:sz w:val="20"/>
        </w:rPr>
        <w:t>asset management processes and advanced AMP production capability.</w:t>
      </w:r>
    </w:p>
    <w:p w:rsidR="00643860" w:rsidRPr="0031289E" w:rsidRDefault="00643860" w:rsidP="00643860"/>
    <w:p w:rsidR="00643860" w:rsidRPr="0031289E" w:rsidRDefault="00643860" w:rsidP="00643860">
      <w:r w:rsidRPr="0031289E">
        <w:t>Continuous improvement is an essential part of an effective asset management and i</w:t>
      </w:r>
      <w:r w:rsidR="007747FC">
        <w:t>s incorporated into this Plan.</w:t>
      </w:r>
    </w:p>
    <w:p w:rsidR="00643860" w:rsidRPr="0031289E" w:rsidRDefault="00643860" w:rsidP="00643860"/>
    <w:p w:rsidR="00643860" w:rsidRPr="0031289E" w:rsidRDefault="00643860" w:rsidP="00643860">
      <w:r w:rsidRPr="0031289E">
        <w:t>This Asset Management improvement plan aligns with the broa</w:t>
      </w:r>
      <w:r w:rsidR="003B7425">
        <w:t>der strategic direction of the C</w:t>
      </w:r>
      <w:r w:rsidRPr="0031289E">
        <w:t xml:space="preserve">ouncil. </w:t>
      </w:r>
    </w:p>
    <w:p w:rsidR="00643860" w:rsidRPr="0031289E" w:rsidRDefault="00643860" w:rsidP="00643860">
      <w:pPr>
        <w:rPr>
          <w:rFonts w:cs="Arial"/>
        </w:rPr>
      </w:pPr>
    </w:p>
    <w:p w:rsidR="00643860" w:rsidRPr="0031289E" w:rsidRDefault="00643860" w:rsidP="00643860">
      <w:r w:rsidRPr="0031289E">
        <w:t xml:space="preserve">The objective of this improvement plan is to outline a structured set of actions to facilitate the improvement of asset management practices and capabilities. </w:t>
      </w:r>
    </w:p>
    <w:p w:rsidR="00643860" w:rsidRPr="0031289E" w:rsidRDefault="00643860" w:rsidP="00643860"/>
    <w:p w:rsidR="00643860" w:rsidRPr="0031289E" w:rsidRDefault="00643860" w:rsidP="00643860">
      <w:r w:rsidRPr="0031289E">
        <w:t>The following sections outline a structured approach to facilitate the improvement of asset man</w:t>
      </w:r>
      <w:r w:rsidR="00FC35C8">
        <w:t>agement practices based on key asset management attributes.</w:t>
      </w:r>
    </w:p>
    <w:p w:rsidR="00643860" w:rsidRPr="00CF2212" w:rsidRDefault="00643860" w:rsidP="00643860">
      <w:pPr>
        <w:pStyle w:val="Heading2"/>
      </w:pPr>
      <w:bookmarkStart w:id="815" w:name="_Toc360630250"/>
      <w:bookmarkStart w:id="816" w:name="_Toc364945358"/>
      <w:r w:rsidRPr="00CF2212">
        <w:t>Improvement Plan</w:t>
      </w:r>
      <w:bookmarkEnd w:id="815"/>
      <w:bookmarkEnd w:id="816"/>
    </w:p>
    <w:p w:rsidR="00643860" w:rsidRDefault="00643860" w:rsidP="00643860">
      <w:pPr>
        <w:rPr>
          <w:lang w:val="en-NZ" w:eastAsia="en-GB"/>
        </w:rPr>
      </w:pPr>
      <w:r w:rsidRPr="00CD7D4F">
        <w:rPr>
          <w:lang w:val="en-NZ" w:eastAsia="en-GB"/>
        </w:rPr>
        <w:t>The improvement plan covers the following:</w:t>
      </w:r>
    </w:p>
    <w:p w:rsidR="00643860" w:rsidRPr="00CD7D4F" w:rsidRDefault="00643860" w:rsidP="00643860">
      <w:pPr>
        <w:rPr>
          <w:lang w:val="en-NZ" w:eastAsia="en-GB"/>
        </w:rPr>
      </w:pPr>
    </w:p>
    <w:p w:rsidR="00643860" w:rsidRPr="00427161" w:rsidRDefault="00643860" w:rsidP="00643860">
      <w:pPr>
        <w:pStyle w:val="ListParagraph"/>
        <w:numPr>
          <w:ilvl w:val="0"/>
          <w:numId w:val="112"/>
        </w:numPr>
        <w:rPr>
          <w:rFonts w:ascii="Arial" w:hAnsi="Arial" w:cs="Arial"/>
          <w:sz w:val="20"/>
          <w:lang w:val="en-NZ" w:eastAsia="en-GB"/>
        </w:rPr>
      </w:pPr>
      <w:r w:rsidRPr="00427161">
        <w:rPr>
          <w:rFonts w:ascii="Arial" w:hAnsi="Arial" w:cs="Arial"/>
          <w:sz w:val="20"/>
          <w:lang w:val="en-NZ" w:eastAsia="en-GB"/>
        </w:rPr>
        <w:t>Processes</w:t>
      </w:r>
      <w:r>
        <w:rPr>
          <w:rFonts w:ascii="Arial" w:hAnsi="Arial" w:cs="Arial"/>
          <w:sz w:val="20"/>
          <w:lang w:val="en-NZ" w:eastAsia="en-GB"/>
        </w:rPr>
        <w:t>;</w:t>
      </w:r>
    </w:p>
    <w:p w:rsidR="00643860" w:rsidRPr="00427161" w:rsidRDefault="00643860" w:rsidP="00643860">
      <w:pPr>
        <w:pStyle w:val="ListParagraph"/>
        <w:numPr>
          <w:ilvl w:val="0"/>
          <w:numId w:val="112"/>
        </w:numPr>
        <w:rPr>
          <w:rFonts w:ascii="Arial" w:hAnsi="Arial" w:cs="Arial"/>
          <w:sz w:val="20"/>
          <w:lang w:val="en-NZ" w:eastAsia="en-GB"/>
        </w:rPr>
      </w:pPr>
      <w:r w:rsidRPr="00427161">
        <w:rPr>
          <w:rFonts w:ascii="Arial" w:hAnsi="Arial" w:cs="Arial"/>
          <w:sz w:val="20"/>
          <w:lang w:val="en-NZ" w:eastAsia="en-GB"/>
        </w:rPr>
        <w:t>Systems</w:t>
      </w:r>
      <w:r>
        <w:rPr>
          <w:rFonts w:ascii="Arial" w:hAnsi="Arial" w:cs="Arial"/>
          <w:sz w:val="20"/>
          <w:lang w:val="en-NZ" w:eastAsia="en-GB"/>
        </w:rPr>
        <w:t>;</w:t>
      </w:r>
    </w:p>
    <w:p w:rsidR="00643860" w:rsidRPr="00427161" w:rsidRDefault="00643860" w:rsidP="00643860">
      <w:pPr>
        <w:pStyle w:val="ListParagraph"/>
        <w:numPr>
          <w:ilvl w:val="0"/>
          <w:numId w:val="112"/>
        </w:numPr>
        <w:rPr>
          <w:rFonts w:ascii="Arial" w:hAnsi="Arial" w:cs="Arial"/>
          <w:sz w:val="20"/>
          <w:lang w:val="en-NZ" w:eastAsia="en-GB"/>
        </w:rPr>
      </w:pPr>
      <w:r w:rsidRPr="00427161">
        <w:rPr>
          <w:rFonts w:ascii="Arial" w:hAnsi="Arial" w:cs="Arial"/>
          <w:sz w:val="20"/>
          <w:lang w:val="en-NZ" w:eastAsia="en-GB"/>
        </w:rPr>
        <w:t>Data</w:t>
      </w:r>
      <w:r>
        <w:rPr>
          <w:rFonts w:ascii="Arial" w:hAnsi="Arial" w:cs="Arial"/>
          <w:sz w:val="20"/>
          <w:lang w:val="en-NZ" w:eastAsia="en-GB"/>
        </w:rPr>
        <w:t>;</w:t>
      </w:r>
    </w:p>
    <w:p w:rsidR="00643860" w:rsidRPr="00427161" w:rsidRDefault="00643860" w:rsidP="00643860">
      <w:pPr>
        <w:pStyle w:val="ListParagraph"/>
        <w:numPr>
          <w:ilvl w:val="0"/>
          <w:numId w:val="112"/>
        </w:numPr>
        <w:rPr>
          <w:rFonts w:ascii="Arial" w:hAnsi="Arial" w:cs="Arial"/>
          <w:sz w:val="20"/>
          <w:lang w:val="en-NZ" w:eastAsia="en-GB"/>
        </w:rPr>
      </w:pPr>
      <w:r w:rsidRPr="00427161">
        <w:rPr>
          <w:rFonts w:ascii="Arial" w:hAnsi="Arial" w:cs="Arial"/>
          <w:sz w:val="20"/>
          <w:lang w:val="en-NZ" w:eastAsia="en-GB"/>
        </w:rPr>
        <w:t>Organisation (including relationships with external contractors)</w:t>
      </w:r>
      <w:r>
        <w:rPr>
          <w:rFonts w:ascii="Arial" w:hAnsi="Arial" w:cs="Arial"/>
          <w:sz w:val="20"/>
          <w:lang w:val="en-NZ" w:eastAsia="en-GB"/>
        </w:rPr>
        <w:t>; and</w:t>
      </w:r>
    </w:p>
    <w:p w:rsidR="00643860" w:rsidRDefault="00643860" w:rsidP="00643860">
      <w:pPr>
        <w:pStyle w:val="ListParagraph"/>
        <w:numPr>
          <w:ilvl w:val="0"/>
          <w:numId w:val="112"/>
        </w:numPr>
        <w:rPr>
          <w:rFonts w:ascii="Arial" w:hAnsi="Arial" w:cs="Arial"/>
          <w:sz w:val="20"/>
          <w:lang w:val="en-NZ" w:eastAsia="en-GB"/>
        </w:rPr>
      </w:pPr>
      <w:r>
        <w:rPr>
          <w:rFonts w:ascii="Arial" w:hAnsi="Arial" w:cs="Arial"/>
          <w:sz w:val="20"/>
          <w:lang w:val="en-NZ" w:eastAsia="en-GB"/>
        </w:rPr>
        <w:t xml:space="preserve">AMP </w:t>
      </w:r>
      <w:r w:rsidRPr="00427161">
        <w:rPr>
          <w:rFonts w:ascii="Arial" w:hAnsi="Arial" w:cs="Arial"/>
          <w:sz w:val="20"/>
          <w:lang w:val="en-NZ" w:eastAsia="en-GB"/>
        </w:rPr>
        <w:t>Capability</w:t>
      </w:r>
      <w:r>
        <w:rPr>
          <w:rFonts w:ascii="Arial" w:hAnsi="Arial" w:cs="Arial"/>
          <w:sz w:val="20"/>
          <w:lang w:val="en-NZ" w:eastAsia="en-GB"/>
        </w:rPr>
        <w:t>.</w:t>
      </w:r>
    </w:p>
    <w:p w:rsidR="00643860" w:rsidRDefault="00643860" w:rsidP="00643860">
      <w:pPr>
        <w:rPr>
          <w:rFonts w:cs="Arial"/>
          <w:lang w:val="en-NZ" w:eastAsia="en-GB"/>
        </w:rPr>
      </w:pPr>
    </w:p>
    <w:p w:rsidR="00643860" w:rsidRPr="00A91F76" w:rsidRDefault="00643860" w:rsidP="00643860">
      <w:r w:rsidRPr="00A91F76">
        <w:t xml:space="preserve">As part of the commitment to ongoing improvement an Asset Management Practices Status Review was carried out for </w:t>
      </w:r>
      <w:r>
        <w:t>Building Asset Management Plan (BAMP)</w:t>
      </w:r>
      <w:r w:rsidRPr="00A91F76">
        <w:t xml:space="preserve"> by ANA </w:t>
      </w:r>
      <w:r>
        <w:t>iNFRASTRUCTURE Pty</w:t>
      </w:r>
      <w:r w:rsidRPr="00A91F76">
        <w:t xml:space="preserve"> Limited </w:t>
      </w:r>
      <w:r>
        <w:t xml:space="preserve">(ANA) </w:t>
      </w:r>
      <w:r w:rsidRPr="00A91F76">
        <w:t>in 20</w:t>
      </w:r>
      <w:r>
        <w:t>12/13</w:t>
      </w:r>
      <w:r w:rsidRPr="00A91F76">
        <w:t>.</w:t>
      </w:r>
    </w:p>
    <w:p w:rsidR="00643860" w:rsidRDefault="00643860" w:rsidP="00643860"/>
    <w:p w:rsidR="00811374" w:rsidRDefault="00811374" w:rsidP="00643860">
      <w:r>
        <w:t xml:space="preserve">The draft BAMP 2013 is well written and has good structure, it fully complies with the core criteria of the National Asset Management Framework and has a number of elements that demonstrate its transition to the advanced AMP criteria. </w:t>
      </w:r>
      <w:r w:rsidR="007762DC">
        <w:t xml:space="preserve"> </w:t>
      </w:r>
      <w:r>
        <w:t xml:space="preserve">The current status of the BAMP practices at Yarra City Council </w:t>
      </w:r>
      <w:r w:rsidR="00113665">
        <w:t>is</w:t>
      </w:r>
      <w:r>
        <w:t xml:space="preserve"> rated as 64% against industry best practice. This indicates that the buildings asset management practices are currently at an intermediate level and represents a sound base for producing and advanced level asset management plan</w:t>
      </w:r>
      <w:r w:rsidR="007762DC">
        <w:t>.</w:t>
      </w:r>
    </w:p>
    <w:p w:rsidR="00811374" w:rsidRPr="00A91F76" w:rsidRDefault="00811374" w:rsidP="00643860"/>
    <w:p w:rsidR="00643860" w:rsidRDefault="00643860" w:rsidP="00643860">
      <w:r w:rsidRPr="00A91F76">
        <w:t xml:space="preserve">The review found that good progress has been made since </w:t>
      </w:r>
      <w:r w:rsidR="00811374">
        <w:t xml:space="preserve">the </w:t>
      </w:r>
      <w:r>
        <w:t>previous</w:t>
      </w:r>
      <w:r w:rsidRPr="00A91F76">
        <w:t xml:space="preserve"> </w:t>
      </w:r>
      <w:r>
        <w:t xml:space="preserve">Asset Management Strategy </w:t>
      </w:r>
      <w:r w:rsidRPr="00A91F76">
        <w:t>review, parti</w:t>
      </w:r>
      <w:r>
        <w:t>cularly in defining levels of service, asset management practices and lifecycle management plan</w:t>
      </w:r>
      <w:r w:rsidR="00811374">
        <w:t>.</w:t>
      </w:r>
    </w:p>
    <w:p w:rsidR="00643860" w:rsidRDefault="00643860" w:rsidP="00643860"/>
    <w:p w:rsidR="00643860" w:rsidRPr="00A91F76" w:rsidRDefault="00643860" w:rsidP="00643860">
      <w:r w:rsidRPr="00A91F76">
        <w:t xml:space="preserve">An overall summary of the current status of </w:t>
      </w:r>
      <w:r>
        <w:t>the BAMP</w:t>
      </w:r>
      <w:r w:rsidRPr="00A91F76">
        <w:t xml:space="preserve"> compared with the </w:t>
      </w:r>
      <w:r>
        <w:t xml:space="preserve">industry </w:t>
      </w:r>
      <w:r w:rsidRPr="00A91F76">
        <w:t xml:space="preserve">best </w:t>
      </w:r>
      <w:r>
        <w:t xml:space="preserve">appropriate </w:t>
      </w:r>
      <w:r w:rsidRPr="00A91F76">
        <w:t>practice is shown in the Figure</w:t>
      </w:r>
      <w:r>
        <w:t>s</w:t>
      </w:r>
      <w:r w:rsidRPr="00A91F76">
        <w:t xml:space="preserve"> </w:t>
      </w:r>
      <w:r>
        <w:t>9.1 to 9.4</w:t>
      </w:r>
      <w:r w:rsidRPr="00A91F76">
        <w:t xml:space="preserve"> below. The following diagrams from the ANA review summarise </w:t>
      </w:r>
      <w:r>
        <w:t>Buildings</w:t>
      </w:r>
      <w:r w:rsidRPr="00A91F76">
        <w:t xml:space="preserve"> asset management practices at that time. The table </w:t>
      </w:r>
      <w:r>
        <w:t>40</w:t>
      </w:r>
      <w:r w:rsidRPr="00A91F76">
        <w:t xml:space="preserve"> below illustrates the priority of key elements of A</w:t>
      </w:r>
      <w:r w:rsidR="000B68CF">
        <w:t>sset Management</w:t>
      </w:r>
      <w:r w:rsidRPr="00A91F76">
        <w:t xml:space="preserve"> practices and </w:t>
      </w:r>
      <w:r>
        <w:t>four</w:t>
      </w:r>
      <w:r w:rsidRPr="00A91F76">
        <w:t xml:space="preserve"> year improvement target as an output of the review.</w:t>
      </w:r>
    </w:p>
    <w:p w:rsidR="00643860" w:rsidRPr="00CF2212" w:rsidRDefault="00643860" w:rsidP="00643860">
      <w:pPr>
        <w:pStyle w:val="StyleHeading3Heading3Char10ptBefore6pt"/>
        <w:tabs>
          <w:tab w:val="clear" w:pos="709"/>
        </w:tabs>
        <w:ind w:left="720" w:hanging="720"/>
      </w:pPr>
      <w:bookmarkStart w:id="817" w:name="_Toc360630251"/>
      <w:bookmarkStart w:id="818" w:name="_Toc364945359"/>
      <w:r w:rsidRPr="00CF2212">
        <w:t>Asset Management Processes</w:t>
      </w:r>
      <w:bookmarkEnd w:id="817"/>
      <w:bookmarkEnd w:id="818"/>
    </w:p>
    <w:p w:rsidR="00643860" w:rsidRDefault="00643860" w:rsidP="00643860">
      <w:pPr>
        <w:ind w:left="720"/>
      </w:pPr>
      <w:r w:rsidRPr="00CD7D4F">
        <w:t xml:space="preserve">The following graph presents the initial results from </w:t>
      </w:r>
      <w:r>
        <w:t xml:space="preserve">independent review of lifecycle asset management (LCAM) processes </w:t>
      </w:r>
      <w:r w:rsidRPr="00CD7D4F">
        <w:t xml:space="preserve">maturity gap assessment. </w:t>
      </w:r>
    </w:p>
    <w:p w:rsidR="00643860" w:rsidRDefault="00643860" w:rsidP="00643860">
      <w:pPr>
        <w:ind w:left="720"/>
      </w:pPr>
    </w:p>
    <w:p w:rsidR="00643860" w:rsidRDefault="00D82652" w:rsidP="00D82652">
      <w:pPr>
        <w:jc w:val="right"/>
      </w:pPr>
      <w:r>
        <w:rPr>
          <w:noProof/>
        </w:rPr>
        <w:drawing>
          <wp:inline distT="0" distB="0" distL="0" distR="0" wp14:anchorId="1609FC8B" wp14:editId="182A22CF">
            <wp:extent cx="5273446" cy="33813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5273446" cy="3381375"/>
                    </a:xfrm>
                    <a:prstGeom prst="rect">
                      <a:avLst/>
                    </a:prstGeom>
                    <a:noFill/>
                    <a:ln>
                      <a:noFill/>
                    </a:ln>
                    <a:effectLst/>
                  </pic:spPr>
                </pic:pic>
              </a:graphicData>
            </a:graphic>
          </wp:inline>
        </w:drawing>
      </w:r>
    </w:p>
    <w:p w:rsidR="00D85F05" w:rsidRPr="0091425F" w:rsidRDefault="00D85F05" w:rsidP="00D85F05">
      <w:pPr>
        <w:pStyle w:val="Caption"/>
        <w:spacing w:before="240" w:after="240"/>
        <w:ind w:left="709"/>
        <w:jc w:val="center"/>
        <w:rPr>
          <w:rFonts w:ascii="Arial" w:hAnsi="Arial"/>
          <w:i w:val="0"/>
          <w:iCs w:val="0"/>
          <w:sz w:val="20"/>
          <w:lang w:val="en-AU"/>
        </w:rPr>
      </w:pPr>
      <w:bookmarkStart w:id="819" w:name="_Toc364945401"/>
      <w:r w:rsidRPr="0091425F">
        <w:rPr>
          <w:rFonts w:ascii="Arial" w:hAnsi="Arial"/>
          <w:i w:val="0"/>
          <w:iCs w:val="0"/>
          <w:sz w:val="20"/>
          <w:lang w:val="en-AU"/>
        </w:rPr>
        <w:t xml:space="preserve">Figure </w:t>
      </w:r>
      <w:r w:rsidRPr="0091425F">
        <w:rPr>
          <w:rFonts w:ascii="Arial" w:hAnsi="Arial"/>
          <w:i w:val="0"/>
          <w:iCs w:val="0"/>
          <w:sz w:val="20"/>
          <w:lang w:val="en-AU"/>
        </w:rPr>
        <w:fldChar w:fldCharType="begin"/>
      </w:r>
      <w:r w:rsidRPr="0091425F">
        <w:rPr>
          <w:rFonts w:ascii="Arial" w:hAnsi="Arial"/>
          <w:i w:val="0"/>
          <w:iCs w:val="0"/>
          <w:sz w:val="20"/>
          <w:lang w:val="en-AU"/>
        </w:rPr>
        <w:instrText xml:space="preserve"> SEQ Figure \* ARABIC </w:instrText>
      </w:r>
      <w:r w:rsidRPr="0091425F">
        <w:rPr>
          <w:rFonts w:ascii="Arial" w:hAnsi="Arial"/>
          <w:i w:val="0"/>
          <w:iCs w:val="0"/>
          <w:sz w:val="20"/>
          <w:lang w:val="en-AU"/>
        </w:rPr>
        <w:fldChar w:fldCharType="separate"/>
      </w:r>
      <w:r w:rsidR="00751CEC">
        <w:rPr>
          <w:rFonts w:ascii="Arial" w:hAnsi="Arial"/>
          <w:i w:val="0"/>
          <w:iCs w:val="0"/>
          <w:noProof/>
          <w:sz w:val="20"/>
          <w:lang w:val="en-AU"/>
        </w:rPr>
        <w:t>37</w:t>
      </w:r>
      <w:r w:rsidRPr="0091425F">
        <w:rPr>
          <w:rFonts w:ascii="Arial" w:hAnsi="Arial"/>
          <w:i w:val="0"/>
          <w:iCs w:val="0"/>
          <w:sz w:val="20"/>
          <w:lang w:val="en-AU"/>
        </w:rPr>
        <w:fldChar w:fldCharType="end"/>
      </w:r>
      <w:r w:rsidRPr="0091425F">
        <w:rPr>
          <w:rFonts w:ascii="Arial" w:hAnsi="Arial"/>
          <w:i w:val="0"/>
          <w:iCs w:val="0"/>
          <w:sz w:val="20"/>
          <w:lang w:val="en-AU"/>
        </w:rPr>
        <w:t xml:space="preserve">:  </w:t>
      </w:r>
      <w:r>
        <w:rPr>
          <w:rFonts w:ascii="Arial" w:hAnsi="Arial"/>
          <w:i w:val="0"/>
          <w:iCs w:val="0"/>
          <w:sz w:val="20"/>
          <w:lang w:val="en-AU"/>
        </w:rPr>
        <w:t>Assessment of Maturity Level of Asset Management Processes</w:t>
      </w:r>
      <w:bookmarkEnd w:id="819"/>
    </w:p>
    <w:p w:rsidR="00643860" w:rsidRPr="00CF2212" w:rsidRDefault="00643860" w:rsidP="00D82652">
      <w:pPr>
        <w:pStyle w:val="StyleHeading3Heading3Char10ptBefore6pt"/>
        <w:keepLines/>
        <w:tabs>
          <w:tab w:val="clear" w:pos="709"/>
        </w:tabs>
        <w:ind w:left="720" w:hanging="720"/>
      </w:pPr>
      <w:bookmarkStart w:id="820" w:name="_Toc360630252"/>
      <w:bookmarkStart w:id="821" w:name="_Toc364945360"/>
      <w:r w:rsidRPr="00CF2212">
        <w:t>Asset Management Systems</w:t>
      </w:r>
      <w:bookmarkEnd w:id="820"/>
      <w:bookmarkEnd w:id="821"/>
    </w:p>
    <w:p w:rsidR="00643860" w:rsidRDefault="00643860" w:rsidP="00D82652">
      <w:pPr>
        <w:keepNext/>
        <w:keepLines/>
        <w:ind w:left="720"/>
      </w:pPr>
      <w:r w:rsidRPr="00CD7D4F">
        <w:t>The following graph presents the initial results f</w:t>
      </w:r>
      <w:r>
        <w:t>rom independent review of A</w:t>
      </w:r>
      <w:r w:rsidR="005419D7">
        <w:t>sset Management</w:t>
      </w:r>
      <w:r>
        <w:t xml:space="preserve"> system </w:t>
      </w:r>
      <w:r w:rsidRPr="00CD7D4F">
        <w:t>maturity gap assessment.</w:t>
      </w:r>
    </w:p>
    <w:p w:rsidR="00643860" w:rsidRDefault="00643860" w:rsidP="00D82652">
      <w:pPr>
        <w:keepNext/>
        <w:keepLines/>
        <w:ind w:left="720"/>
      </w:pPr>
    </w:p>
    <w:p w:rsidR="00643860" w:rsidRDefault="00643860" w:rsidP="00D82652">
      <w:pPr>
        <w:keepNext/>
        <w:keepLines/>
        <w:jc w:val="right"/>
      </w:pPr>
      <w:r w:rsidRPr="00A644DB">
        <w:rPr>
          <w:noProof/>
        </w:rPr>
        <w:drawing>
          <wp:inline distT="0" distB="0" distL="0" distR="0" wp14:anchorId="23862F86" wp14:editId="6DD9F6BA">
            <wp:extent cx="5036400" cy="35568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5036400" cy="3556800"/>
                    </a:xfrm>
                    <a:prstGeom prst="rect">
                      <a:avLst/>
                    </a:prstGeom>
                    <a:noFill/>
                    <a:ln>
                      <a:noFill/>
                    </a:ln>
                  </pic:spPr>
                </pic:pic>
              </a:graphicData>
            </a:graphic>
          </wp:inline>
        </w:drawing>
      </w:r>
    </w:p>
    <w:p w:rsidR="00D85F05" w:rsidRPr="0091425F" w:rsidRDefault="00D85F05" w:rsidP="00D85F05">
      <w:pPr>
        <w:pStyle w:val="Caption"/>
        <w:spacing w:before="240" w:after="240"/>
        <w:ind w:left="709"/>
        <w:jc w:val="center"/>
        <w:rPr>
          <w:rFonts w:ascii="Arial" w:hAnsi="Arial"/>
          <w:i w:val="0"/>
          <w:iCs w:val="0"/>
          <w:sz w:val="20"/>
          <w:lang w:val="en-AU"/>
        </w:rPr>
      </w:pPr>
      <w:bookmarkStart w:id="822" w:name="_Toc364945402"/>
      <w:r w:rsidRPr="0091425F">
        <w:rPr>
          <w:rFonts w:ascii="Arial" w:hAnsi="Arial"/>
          <w:i w:val="0"/>
          <w:iCs w:val="0"/>
          <w:sz w:val="20"/>
          <w:lang w:val="en-AU"/>
        </w:rPr>
        <w:t xml:space="preserve">Figure </w:t>
      </w:r>
      <w:r w:rsidRPr="0091425F">
        <w:rPr>
          <w:rFonts w:ascii="Arial" w:hAnsi="Arial"/>
          <w:i w:val="0"/>
          <w:iCs w:val="0"/>
          <w:sz w:val="20"/>
          <w:lang w:val="en-AU"/>
        </w:rPr>
        <w:fldChar w:fldCharType="begin"/>
      </w:r>
      <w:r w:rsidRPr="0091425F">
        <w:rPr>
          <w:rFonts w:ascii="Arial" w:hAnsi="Arial"/>
          <w:i w:val="0"/>
          <w:iCs w:val="0"/>
          <w:sz w:val="20"/>
          <w:lang w:val="en-AU"/>
        </w:rPr>
        <w:instrText xml:space="preserve"> SEQ Figure \* ARABIC </w:instrText>
      </w:r>
      <w:r w:rsidRPr="0091425F">
        <w:rPr>
          <w:rFonts w:ascii="Arial" w:hAnsi="Arial"/>
          <w:i w:val="0"/>
          <w:iCs w:val="0"/>
          <w:sz w:val="20"/>
          <w:lang w:val="en-AU"/>
        </w:rPr>
        <w:fldChar w:fldCharType="separate"/>
      </w:r>
      <w:r w:rsidR="00751CEC">
        <w:rPr>
          <w:rFonts w:ascii="Arial" w:hAnsi="Arial"/>
          <w:i w:val="0"/>
          <w:iCs w:val="0"/>
          <w:noProof/>
          <w:sz w:val="20"/>
          <w:lang w:val="en-AU"/>
        </w:rPr>
        <w:t>38</w:t>
      </w:r>
      <w:r w:rsidRPr="0091425F">
        <w:rPr>
          <w:rFonts w:ascii="Arial" w:hAnsi="Arial"/>
          <w:i w:val="0"/>
          <w:iCs w:val="0"/>
          <w:sz w:val="20"/>
          <w:lang w:val="en-AU"/>
        </w:rPr>
        <w:fldChar w:fldCharType="end"/>
      </w:r>
      <w:r w:rsidRPr="0091425F">
        <w:rPr>
          <w:rFonts w:ascii="Arial" w:hAnsi="Arial"/>
          <w:i w:val="0"/>
          <w:iCs w:val="0"/>
          <w:sz w:val="20"/>
          <w:lang w:val="en-AU"/>
        </w:rPr>
        <w:t xml:space="preserve">:  </w:t>
      </w:r>
      <w:r>
        <w:rPr>
          <w:rFonts w:ascii="Arial" w:hAnsi="Arial"/>
          <w:i w:val="0"/>
          <w:iCs w:val="0"/>
          <w:sz w:val="20"/>
          <w:lang w:val="en-AU"/>
        </w:rPr>
        <w:t>Assessment of Maturity Level of Asset Management Systems</w:t>
      </w:r>
      <w:bookmarkEnd w:id="822"/>
    </w:p>
    <w:p w:rsidR="00643860" w:rsidRPr="00CF2212" w:rsidRDefault="00643860" w:rsidP="00643860">
      <w:pPr>
        <w:pStyle w:val="StyleHeading3Heading3Char10ptBefore6pt"/>
        <w:tabs>
          <w:tab w:val="clear" w:pos="709"/>
        </w:tabs>
        <w:ind w:left="720" w:hanging="720"/>
      </w:pPr>
      <w:bookmarkStart w:id="823" w:name="_Toc360630253"/>
      <w:bookmarkStart w:id="824" w:name="_Toc364945361"/>
      <w:r w:rsidRPr="00CF2212">
        <w:t>Asset Management Data</w:t>
      </w:r>
      <w:bookmarkEnd w:id="823"/>
      <w:bookmarkEnd w:id="824"/>
    </w:p>
    <w:p w:rsidR="00643860" w:rsidRDefault="00643860" w:rsidP="00643860">
      <w:pPr>
        <w:ind w:left="720"/>
      </w:pPr>
      <w:r w:rsidRPr="00CD7D4F">
        <w:t xml:space="preserve">The following graph presents the initial results from </w:t>
      </w:r>
      <w:r>
        <w:t xml:space="preserve">independent review of asset management data </w:t>
      </w:r>
      <w:r w:rsidRPr="00CD7D4F">
        <w:t>maturity gap assessment.</w:t>
      </w:r>
    </w:p>
    <w:p w:rsidR="00643860" w:rsidRDefault="00643860" w:rsidP="00643860">
      <w:pPr>
        <w:ind w:left="720"/>
      </w:pPr>
    </w:p>
    <w:p w:rsidR="00643860" w:rsidRDefault="00643860" w:rsidP="00D82652">
      <w:pPr>
        <w:jc w:val="right"/>
      </w:pPr>
      <w:r w:rsidRPr="00A644DB">
        <w:rPr>
          <w:noProof/>
        </w:rPr>
        <w:drawing>
          <wp:inline distT="0" distB="0" distL="0" distR="0" wp14:anchorId="5DDB2F9C" wp14:editId="3CBE5F0B">
            <wp:extent cx="5040000" cy="35568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5040000" cy="3556800"/>
                    </a:xfrm>
                    <a:prstGeom prst="rect">
                      <a:avLst/>
                    </a:prstGeom>
                    <a:noFill/>
                    <a:ln>
                      <a:noFill/>
                    </a:ln>
                  </pic:spPr>
                </pic:pic>
              </a:graphicData>
            </a:graphic>
          </wp:inline>
        </w:drawing>
      </w:r>
    </w:p>
    <w:p w:rsidR="00D85F05" w:rsidRPr="0091425F" w:rsidRDefault="00D85F05" w:rsidP="00FC370B">
      <w:pPr>
        <w:pStyle w:val="Caption"/>
        <w:spacing w:before="240" w:after="240"/>
        <w:ind w:left="709"/>
        <w:jc w:val="center"/>
        <w:rPr>
          <w:rFonts w:ascii="Arial" w:hAnsi="Arial"/>
          <w:i w:val="0"/>
          <w:iCs w:val="0"/>
          <w:sz w:val="20"/>
          <w:lang w:val="en-AU"/>
        </w:rPr>
      </w:pPr>
      <w:bookmarkStart w:id="825" w:name="_Toc364945403"/>
      <w:r w:rsidRPr="0091425F">
        <w:rPr>
          <w:rFonts w:ascii="Arial" w:hAnsi="Arial"/>
          <w:i w:val="0"/>
          <w:iCs w:val="0"/>
          <w:sz w:val="20"/>
          <w:lang w:val="en-AU"/>
        </w:rPr>
        <w:t xml:space="preserve">Figure </w:t>
      </w:r>
      <w:r w:rsidRPr="0091425F">
        <w:rPr>
          <w:rFonts w:ascii="Arial" w:hAnsi="Arial"/>
          <w:i w:val="0"/>
          <w:iCs w:val="0"/>
          <w:sz w:val="20"/>
          <w:lang w:val="en-AU"/>
        </w:rPr>
        <w:fldChar w:fldCharType="begin"/>
      </w:r>
      <w:r w:rsidRPr="0091425F">
        <w:rPr>
          <w:rFonts w:ascii="Arial" w:hAnsi="Arial"/>
          <w:i w:val="0"/>
          <w:iCs w:val="0"/>
          <w:sz w:val="20"/>
          <w:lang w:val="en-AU"/>
        </w:rPr>
        <w:instrText xml:space="preserve"> SEQ Figure \* ARABIC </w:instrText>
      </w:r>
      <w:r w:rsidRPr="0091425F">
        <w:rPr>
          <w:rFonts w:ascii="Arial" w:hAnsi="Arial"/>
          <w:i w:val="0"/>
          <w:iCs w:val="0"/>
          <w:sz w:val="20"/>
          <w:lang w:val="en-AU"/>
        </w:rPr>
        <w:fldChar w:fldCharType="separate"/>
      </w:r>
      <w:r w:rsidR="00751CEC">
        <w:rPr>
          <w:rFonts w:ascii="Arial" w:hAnsi="Arial"/>
          <w:i w:val="0"/>
          <w:iCs w:val="0"/>
          <w:noProof/>
          <w:sz w:val="20"/>
          <w:lang w:val="en-AU"/>
        </w:rPr>
        <w:t>39</w:t>
      </w:r>
      <w:r w:rsidRPr="0091425F">
        <w:rPr>
          <w:rFonts w:ascii="Arial" w:hAnsi="Arial"/>
          <w:i w:val="0"/>
          <w:iCs w:val="0"/>
          <w:sz w:val="20"/>
          <w:lang w:val="en-AU"/>
        </w:rPr>
        <w:fldChar w:fldCharType="end"/>
      </w:r>
      <w:r w:rsidRPr="0091425F">
        <w:rPr>
          <w:rFonts w:ascii="Arial" w:hAnsi="Arial"/>
          <w:i w:val="0"/>
          <w:iCs w:val="0"/>
          <w:sz w:val="20"/>
          <w:lang w:val="en-AU"/>
        </w:rPr>
        <w:t xml:space="preserve">:  </w:t>
      </w:r>
      <w:r>
        <w:rPr>
          <w:rFonts w:ascii="Arial" w:hAnsi="Arial"/>
          <w:i w:val="0"/>
          <w:iCs w:val="0"/>
          <w:sz w:val="20"/>
          <w:lang w:val="en-AU"/>
        </w:rPr>
        <w:t>Assessment of Maturity Level of Asset Management Data</w:t>
      </w:r>
      <w:bookmarkEnd w:id="825"/>
    </w:p>
    <w:p w:rsidR="00643860" w:rsidRPr="00CF2212" w:rsidRDefault="00643860" w:rsidP="00643860">
      <w:pPr>
        <w:pStyle w:val="StyleHeading3Heading3Char10ptBefore6pt"/>
        <w:tabs>
          <w:tab w:val="clear" w:pos="709"/>
        </w:tabs>
        <w:ind w:left="720" w:hanging="720"/>
      </w:pPr>
      <w:bookmarkStart w:id="826" w:name="_Toc360630254"/>
      <w:bookmarkStart w:id="827" w:name="_Toc364945362"/>
      <w:r w:rsidRPr="00CF2212">
        <w:t>Organisational Capability</w:t>
      </w:r>
      <w:bookmarkEnd w:id="826"/>
      <w:bookmarkEnd w:id="827"/>
    </w:p>
    <w:p w:rsidR="00643860" w:rsidRDefault="00643860" w:rsidP="00643860">
      <w:pPr>
        <w:ind w:left="720"/>
      </w:pPr>
      <w:r w:rsidRPr="00CD7D4F">
        <w:t xml:space="preserve">The following graph presents the initial results from </w:t>
      </w:r>
      <w:r>
        <w:t xml:space="preserve">independent review of organisational capability </w:t>
      </w:r>
      <w:r w:rsidRPr="00CD7D4F">
        <w:t>maturity gap assessment</w:t>
      </w:r>
      <w:r>
        <w:t>:</w:t>
      </w:r>
    </w:p>
    <w:p w:rsidR="00643860" w:rsidRDefault="00643860" w:rsidP="00643860">
      <w:pPr>
        <w:ind w:left="720"/>
      </w:pPr>
    </w:p>
    <w:p w:rsidR="00643860" w:rsidRDefault="00643860" w:rsidP="00D85F05">
      <w:pPr>
        <w:ind w:left="142"/>
        <w:jc w:val="right"/>
      </w:pPr>
      <w:r w:rsidRPr="00E32828">
        <w:rPr>
          <w:noProof/>
        </w:rPr>
        <w:drawing>
          <wp:inline distT="0" distB="0" distL="0" distR="0" wp14:anchorId="6E510DFF" wp14:editId="3692EA25">
            <wp:extent cx="5058000" cy="3556800"/>
            <wp:effectExtent l="0" t="0" r="0" b="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5058000" cy="3556800"/>
                    </a:xfrm>
                    <a:prstGeom prst="rect">
                      <a:avLst/>
                    </a:prstGeom>
                    <a:noFill/>
                    <a:ln>
                      <a:noFill/>
                    </a:ln>
                  </pic:spPr>
                </pic:pic>
              </a:graphicData>
            </a:graphic>
          </wp:inline>
        </w:drawing>
      </w:r>
    </w:p>
    <w:p w:rsidR="00D85F05" w:rsidRPr="0091425F" w:rsidRDefault="00D85F05" w:rsidP="00FC370B">
      <w:pPr>
        <w:pStyle w:val="Caption"/>
        <w:spacing w:before="240" w:after="240"/>
        <w:ind w:left="709"/>
        <w:jc w:val="center"/>
        <w:rPr>
          <w:rFonts w:ascii="Arial" w:hAnsi="Arial"/>
          <w:i w:val="0"/>
          <w:iCs w:val="0"/>
          <w:sz w:val="20"/>
          <w:lang w:val="en-AU"/>
        </w:rPr>
      </w:pPr>
      <w:bookmarkStart w:id="828" w:name="_Toc364945404"/>
      <w:r w:rsidRPr="0091425F">
        <w:rPr>
          <w:rFonts w:ascii="Arial" w:hAnsi="Arial"/>
          <w:i w:val="0"/>
          <w:iCs w:val="0"/>
          <w:sz w:val="20"/>
          <w:lang w:val="en-AU"/>
        </w:rPr>
        <w:t xml:space="preserve">Figure </w:t>
      </w:r>
      <w:r w:rsidRPr="0091425F">
        <w:rPr>
          <w:rFonts w:ascii="Arial" w:hAnsi="Arial"/>
          <w:i w:val="0"/>
          <w:iCs w:val="0"/>
          <w:sz w:val="20"/>
          <w:lang w:val="en-AU"/>
        </w:rPr>
        <w:fldChar w:fldCharType="begin"/>
      </w:r>
      <w:r w:rsidRPr="0091425F">
        <w:rPr>
          <w:rFonts w:ascii="Arial" w:hAnsi="Arial"/>
          <w:i w:val="0"/>
          <w:iCs w:val="0"/>
          <w:sz w:val="20"/>
          <w:lang w:val="en-AU"/>
        </w:rPr>
        <w:instrText xml:space="preserve"> SEQ Figure \* ARABIC </w:instrText>
      </w:r>
      <w:r w:rsidRPr="0091425F">
        <w:rPr>
          <w:rFonts w:ascii="Arial" w:hAnsi="Arial"/>
          <w:i w:val="0"/>
          <w:iCs w:val="0"/>
          <w:sz w:val="20"/>
          <w:lang w:val="en-AU"/>
        </w:rPr>
        <w:fldChar w:fldCharType="separate"/>
      </w:r>
      <w:r w:rsidR="00751CEC">
        <w:rPr>
          <w:rFonts w:ascii="Arial" w:hAnsi="Arial"/>
          <w:i w:val="0"/>
          <w:iCs w:val="0"/>
          <w:noProof/>
          <w:sz w:val="20"/>
          <w:lang w:val="en-AU"/>
        </w:rPr>
        <w:t>40</w:t>
      </w:r>
      <w:r w:rsidRPr="0091425F">
        <w:rPr>
          <w:rFonts w:ascii="Arial" w:hAnsi="Arial"/>
          <w:i w:val="0"/>
          <w:iCs w:val="0"/>
          <w:sz w:val="20"/>
          <w:lang w:val="en-AU"/>
        </w:rPr>
        <w:fldChar w:fldCharType="end"/>
      </w:r>
      <w:r w:rsidRPr="0091425F">
        <w:rPr>
          <w:rFonts w:ascii="Arial" w:hAnsi="Arial"/>
          <w:i w:val="0"/>
          <w:iCs w:val="0"/>
          <w:sz w:val="20"/>
          <w:lang w:val="en-AU"/>
        </w:rPr>
        <w:t xml:space="preserve">:  </w:t>
      </w:r>
      <w:r>
        <w:rPr>
          <w:rFonts w:ascii="Arial" w:hAnsi="Arial"/>
          <w:i w:val="0"/>
          <w:iCs w:val="0"/>
          <w:sz w:val="20"/>
          <w:lang w:val="en-AU"/>
        </w:rPr>
        <w:t>Assessment of Maturity Level of Organisational Capability</w:t>
      </w:r>
      <w:bookmarkEnd w:id="828"/>
    </w:p>
    <w:p w:rsidR="00643860" w:rsidRPr="00CF2212" w:rsidRDefault="00643860" w:rsidP="00643860">
      <w:pPr>
        <w:pStyle w:val="Heading2"/>
      </w:pPr>
      <w:bookmarkStart w:id="829" w:name="_Toc360630255"/>
      <w:bookmarkStart w:id="830" w:name="_Toc364945363"/>
      <w:r w:rsidRPr="00CF2212">
        <w:t>Asset Management Improvement Plan</w:t>
      </w:r>
      <w:bookmarkEnd w:id="829"/>
      <w:bookmarkEnd w:id="830"/>
    </w:p>
    <w:p w:rsidR="00643860" w:rsidRDefault="00643860" w:rsidP="00643860">
      <w:r w:rsidRPr="00CD7D4F">
        <w:t xml:space="preserve">The following key improvements have been identified through existing asset planning efforts to date. These improvements, along with those identified in the Section </w:t>
      </w:r>
      <w:r>
        <w:t>7</w:t>
      </w:r>
      <w:r w:rsidRPr="00CD7D4F">
        <w:t xml:space="preserve">, will add to the robustness of future </w:t>
      </w:r>
      <w:r>
        <w:t xml:space="preserve">Building </w:t>
      </w:r>
      <w:r w:rsidRPr="00CD7D4F">
        <w:t>Asset Management Plan.</w:t>
      </w:r>
    </w:p>
    <w:p w:rsidR="00643860" w:rsidRDefault="00643860" w:rsidP="00643860"/>
    <w:tbl>
      <w:tblPr>
        <w:tblStyle w:val="TableGrid"/>
        <w:tblW w:w="0" w:type="auto"/>
        <w:tblInd w:w="108" w:type="dxa"/>
        <w:tblLayout w:type="fixed"/>
        <w:tblLook w:val="04A0" w:firstRow="1" w:lastRow="0" w:firstColumn="1" w:lastColumn="0" w:noHBand="0" w:noVBand="1"/>
      </w:tblPr>
      <w:tblGrid>
        <w:gridCol w:w="4253"/>
        <w:gridCol w:w="992"/>
        <w:gridCol w:w="22"/>
        <w:gridCol w:w="2813"/>
        <w:gridCol w:w="992"/>
      </w:tblGrid>
      <w:tr w:rsidR="00643860" w:rsidRPr="00693594" w:rsidTr="00D85F05">
        <w:trPr>
          <w:cantSplit/>
          <w:trHeight w:val="145"/>
          <w:tblHeader/>
        </w:trPr>
        <w:tc>
          <w:tcPr>
            <w:tcW w:w="4253" w:type="dxa"/>
            <w:tcBorders>
              <w:bottom w:val="single" w:sz="4" w:space="0" w:color="auto"/>
            </w:tcBorders>
            <w:shd w:val="clear" w:color="auto" w:fill="95B3D7" w:themeFill="accent1" w:themeFillTint="99"/>
          </w:tcPr>
          <w:p w:rsidR="00643860" w:rsidRPr="00693594" w:rsidRDefault="00643860" w:rsidP="00D85F05">
            <w:pPr>
              <w:spacing w:before="80" w:after="80"/>
              <w:jc w:val="left"/>
              <w:rPr>
                <w:rFonts w:cs="Arial"/>
                <w:b/>
                <w:sz w:val="20"/>
              </w:rPr>
            </w:pPr>
            <w:r w:rsidRPr="00693594">
              <w:rPr>
                <w:rFonts w:cs="Arial"/>
                <w:b/>
                <w:sz w:val="20"/>
              </w:rPr>
              <w:t>Improvement Task</w:t>
            </w:r>
          </w:p>
        </w:tc>
        <w:tc>
          <w:tcPr>
            <w:tcW w:w="992" w:type="dxa"/>
            <w:tcBorders>
              <w:bottom w:val="single" w:sz="4" w:space="0" w:color="auto"/>
            </w:tcBorders>
            <w:shd w:val="clear" w:color="auto" w:fill="95B3D7" w:themeFill="accent1" w:themeFillTint="99"/>
          </w:tcPr>
          <w:p w:rsidR="00643860" w:rsidRPr="00693594" w:rsidRDefault="00643860" w:rsidP="00D85F05">
            <w:pPr>
              <w:spacing w:before="80" w:after="80"/>
              <w:jc w:val="center"/>
              <w:rPr>
                <w:rFonts w:cs="Arial"/>
                <w:b/>
                <w:sz w:val="20"/>
              </w:rPr>
            </w:pPr>
            <w:r w:rsidRPr="00693594">
              <w:rPr>
                <w:rFonts w:cs="Arial"/>
                <w:b/>
                <w:sz w:val="20"/>
              </w:rPr>
              <w:t>Priority</w:t>
            </w:r>
          </w:p>
        </w:tc>
        <w:tc>
          <w:tcPr>
            <w:tcW w:w="2835" w:type="dxa"/>
            <w:gridSpan w:val="2"/>
            <w:tcBorders>
              <w:bottom w:val="single" w:sz="4" w:space="0" w:color="auto"/>
            </w:tcBorders>
            <w:shd w:val="clear" w:color="auto" w:fill="95B3D7" w:themeFill="accent1" w:themeFillTint="99"/>
          </w:tcPr>
          <w:p w:rsidR="00643860" w:rsidRPr="00693594" w:rsidRDefault="00643860" w:rsidP="00D85F05">
            <w:pPr>
              <w:spacing w:before="80" w:after="80"/>
              <w:jc w:val="left"/>
              <w:rPr>
                <w:rFonts w:cs="Arial"/>
                <w:b/>
                <w:sz w:val="20"/>
              </w:rPr>
            </w:pPr>
            <w:r w:rsidRPr="00693594">
              <w:rPr>
                <w:rFonts w:cs="Arial"/>
                <w:b/>
                <w:sz w:val="20"/>
              </w:rPr>
              <w:t>Resources</w:t>
            </w:r>
          </w:p>
        </w:tc>
        <w:tc>
          <w:tcPr>
            <w:tcW w:w="992" w:type="dxa"/>
            <w:tcBorders>
              <w:bottom w:val="single" w:sz="4" w:space="0" w:color="auto"/>
            </w:tcBorders>
            <w:shd w:val="clear" w:color="auto" w:fill="95B3D7" w:themeFill="accent1" w:themeFillTint="99"/>
          </w:tcPr>
          <w:p w:rsidR="00643860" w:rsidRPr="00693594" w:rsidRDefault="00643860" w:rsidP="00D85F05">
            <w:pPr>
              <w:spacing w:before="80" w:after="80"/>
              <w:jc w:val="center"/>
              <w:rPr>
                <w:rFonts w:cs="Arial"/>
                <w:b/>
                <w:sz w:val="20"/>
              </w:rPr>
            </w:pPr>
            <w:r w:rsidRPr="00693594">
              <w:rPr>
                <w:rFonts w:cs="Arial"/>
                <w:b/>
                <w:sz w:val="20"/>
              </w:rPr>
              <w:t>T</w:t>
            </w:r>
            <w:r w:rsidR="00811374">
              <w:rPr>
                <w:rFonts w:cs="Arial"/>
                <w:b/>
                <w:sz w:val="20"/>
              </w:rPr>
              <w:t>arget</w:t>
            </w:r>
          </w:p>
        </w:tc>
      </w:tr>
      <w:tr w:rsidR="00643860" w:rsidRPr="00693594" w:rsidTr="00B3591D">
        <w:trPr>
          <w:cantSplit/>
          <w:trHeight w:val="145"/>
        </w:trPr>
        <w:tc>
          <w:tcPr>
            <w:tcW w:w="9072" w:type="dxa"/>
            <w:gridSpan w:val="5"/>
            <w:shd w:val="clear" w:color="auto" w:fill="D9D9D9" w:themeFill="background1" w:themeFillShade="D9"/>
          </w:tcPr>
          <w:p w:rsidR="00643860" w:rsidRPr="000F58D9" w:rsidRDefault="00643860" w:rsidP="00D85F05">
            <w:pPr>
              <w:spacing w:before="80" w:after="80"/>
              <w:jc w:val="center"/>
              <w:rPr>
                <w:rFonts w:cs="Arial"/>
                <w:b/>
                <w:sz w:val="20"/>
              </w:rPr>
            </w:pPr>
            <w:r w:rsidRPr="000F58D9">
              <w:rPr>
                <w:rFonts w:cs="Arial"/>
                <w:b/>
                <w:sz w:val="20"/>
              </w:rPr>
              <w:t>Lifecycle Management Processes</w:t>
            </w:r>
          </w:p>
        </w:tc>
      </w:tr>
      <w:tr w:rsidR="00643860" w:rsidRPr="00693594" w:rsidTr="00D85F05">
        <w:trPr>
          <w:cantSplit/>
          <w:trHeight w:val="145"/>
        </w:trPr>
        <w:tc>
          <w:tcPr>
            <w:tcW w:w="4253" w:type="dxa"/>
          </w:tcPr>
          <w:p w:rsidR="00643860" w:rsidRPr="00AD50B2" w:rsidRDefault="00643860" w:rsidP="00B3591D">
            <w:pPr>
              <w:jc w:val="left"/>
              <w:rPr>
                <w:rFonts w:cs="Arial"/>
                <w:sz w:val="20"/>
              </w:rPr>
            </w:pPr>
            <w:r w:rsidRPr="00AD50B2">
              <w:rPr>
                <w:rFonts w:cs="Arial"/>
                <w:sz w:val="20"/>
              </w:rPr>
              <w:t>Complete fit for purpose</w:t>
            </w:r>
            <w:r>
              <w:rPr>
                <w:rFonts w:cs="Arial"/>
                <w:sz w:val="20"/>
              </w:rPr>
              <w:t xml:space="preserve"> requirements for each building or facility to identify the investment requirements and impact on current levels of service</w:t>
            </w:r>
          </w:p>
        </w:tc>
        <w:tc>
          <w:tcPr>
            <w:tcW w:w="992" w:type="dxa"/>
          </w:tcPr>
          <w:p w:rsidR="00643860" w:rsidRPr="00693594" w:rsidRDefault="00643860" w:rsidP="00B3591D">
            <w:pPr>
              <w:jc w:val="center"/>
              <w:rPr>
                <w:rFonts w:cs="Arial"/>
                <w:sz w:val="20"/>
              </w:rPr>
            </w:pPr>
            <w:r>
              <w:rPr>
                <w:rFonts w:cs="Arial"/>
                <w:sz w:val="20"/>
              </w:rPr>
              <w:t>Very High</w:t>
            </w:r>
          </w:p>
        </w:tc>
        <w:tc>
          <w:tcPr>
            <w:tcW w:w="2835" w:type="dxa"/>
            <w:gridSpan w:val="2"/>
          </w:tcPr>
          <w:p w:rsidR="00643860" w:rsidRPr="00693594" w:rsidRDefault="00643860" w:rsidP="00B3591D">
            <w:pPr>
              <w:jc w:val="left"/>
              <w:rPr>
                <w:rFonts w:cs="Arial"/>
                <w:sz w:val="20"/>
              </w:rPr>
            </w:pPr>
            <w:r>
              <w:rPr>
                <w:rFonts w:cs="Arial"/>
                <w:sz w:val="20"/>
              </w:rPr>
              <w:t xml:space="preserve">Sustainable Asset Management and </w:t>
            </w:r>
            <w:r w:rsidR="00811374">
              <w:rPr>
                <w:rFonts w:cs="Arial"/>
                <w:sz w:val="20"/>
              </w:rPr>
              <w:t>Buildings and Property Branch</w:t>
            </w:r>
          </w:p>
        </w:tc>
        <w:tc>
          <w:tcPr>
            <w:tcW w:w="992" w:type="dxa"/>
          </w:tcPr>
          <w:p w:rsidR="00643860" w:rsidRPr="00693594" w:rsidRDefault="00643860" w:rsidP="00B3591D">
            <w:pPr>
              <w:jc w:val="center"/>
              <w:rPr>
                <w:rFonts w:cs="Arial"/>
                <w:sz w:val="20"/>
              </w:rPr>
            </w:pPr>
            <w:r>
              <w:rPr>
                <w:rFonts w:cs="Arial"/>
                <w:sz w:val="20"/>
              </w:rPr>
              <w:t>2013/14</w:t>
            </w:r>
          </w:p>
        </w:tc>
      </w:tr>
      <w:tr w:rsidR="00811374" w:rsidRPr="00693594" w:rsidTr="00D85F05">
        <w:trPr>
          <w:cantSplit/>
          <w:trHeight w:val="145"/>
        </w:trPr>
        <w:tc>
          <w:tcPr>
            <w:tcW w:w="4253" w:type="dxa"/>
          </w:tcPr>
          <w:p w:rsidR="00811374" w:rsidRPr="00693594" w:rsidRDefault="00811374" w:rsidP="00B3591D">
            <w:pPr>
              <w:jc w:val="left"/>
              <w:rPr>
                <w:rFonts w:cs="Arial"/>
                <w:sz w:val="20"/>
              </w:rPr>
            </w:pPr>
            <w:r>
              <w:rPr>
                <w:rFonts w:cs="Arial"/>
                <w:sz w:val="20"/>
              </w:rPr>
              <w:t>Develop a robust methodology to determine growth, future demands and capacity to integrate with fitness for purpose and legislative and compliance requirements for capital investment planning</w:t>
            </w:r>
          </w:p>
        </w:tc>
        <w:tc>
          <w:tcPr>
            <w:tcW w:w="992" w:type="dxa"/>
          </w:tcPr>
          <w:p w:rsidR="00811374" w:rsidRPr="00693594" w:rsidRDefault="00811374" w:rsidP="00B3591D">
            <w:pPr>
              <w:jc w:val="center"/>
              <w:rPr>
                <w:rFonts w:cs="Arial"/>
                <w:sz w:val="20"/>
              </w:rPr>
            </w:pPr>
            <w:r>
              <w:rPr>
                <w:rFonts w:cs="Arial"/>
                <w:sz w:val="20"/>
              </w:rPr>
              <w:t>Very High</w:t>
            </w:r>
          </w:p>
        </w:tc>
        <w:tc>
          <w:tcPr>
            <w:tcW w:w="2835" w:type="dxa"/>
            <w:gridSpan w:val="2"/>
          </w:tcPr>
          <w:p w:rsidR="00811374" w:rsidRPr="00693594" w:rsidRDefault="00811374" w:rsidP="00B3591D">
            <w:pPr>
              <w:jc w:val="left"/>
              <w:rPr>
                <w:rFonts w:cs="Arial"/>
                <w:sz w:val="20"/>
              </w:rPr>
            </w:pPr>
            <w:r>
              <w:rPr>
                <w:rFonts w:cs="Arial"/>
                <w:sz w:val="20"/>
              </w:rPr>
              <w:t>Sustainable Asset Management and Buildings and Property Branch</w:t>
            </w:r>
          </w:p>
        </w:tc>
        <w:tc>
          <w:tcPr>
            <w:tcW w:w="992" w:type="dxa"/>
          </w:tcPr>
          <w:p w:rsidR="00811374" w:rsidRPr="00693594" w:rsidRDefault="00811374" w:rsidP="00B3591D">
            <w:pPr>
              <w:jc w:val="center"/>
              <w:rPr>
                <w:rFonts w:cs="Arial"/>
                <w:sz w:val="20"/>
              </w:rPr>
            </w:pPr>
            <w:r>
              <w:rPr>
                <w:rFonts w:cs="Arial"/>
                <w:sz w:val="20"/>
              </w:rPr>
              <w:t>2013/14</w:t>
            </w:r>
          </w:p>
        </w:tc>
      </w:tr>
      <w:tr w:rsidR="00811374" w:rsidRPr="00693594" w:rsidTr="00D85F05">
        <w:trPr>
          <w:cantSplit/>
          <w:trHeight w:val="145"/>
        </w:trPr>
        <w:tc>
          <w:tcPr>
            <w:tcW w:w="4253" w:type="dxa"/>
          </w:tcPr>
          <w:p w:rsidR="00811374" w:rsidRPr="00693594" w:rsidRDefault="00811374" w:rsidP="00B3591D">
            <w:pPr>
              <w:jc w:val="left"/>
              <w:rPr>
                <w:rFonts w:cs="Arial"/>
                <w:sz w:val="20"/>
              </w:rPr>
            </w:pPr>
            <w:r>
              <w:rPr>
                <w:rFonts w:cs="Arial"/>
                <w:sz w:val="20"/>
              </w:rPr>
              <w:t xml:space="preserve">Review target levels of service, performance indicators and monitoring processes linking with fitness for purpose requirements and to meet the DDA compliance to improve accessibility. </w:t>
            </w:r>
          </w:p>
        </w:tc>
        <w:tc>
          <w:tcPr>
            <w:tcW w:w="992" w:type="dxa"/>
          </w:tcPr>
          <w:p w:rsidR="00811374" w:rsidRPr="00693594" w:rsidRDefault="00811374" w:rsidP="00B3591D">
            <w:pPr>
              <w:jc w:val="center"/>
              <w:rPr>
                <w:rFonts w:cs="Arial"/>
                <w:sz w:val="20"/>
              </w:rPr>
            </w:pPr>
            <w:r>
              <w:rPr>
                <w:rFonts w:cs="Arial"/>
                <w:sz w:val="20"/>
              </w:rPr>
              <w:t>Very High</w:t>
            </w:r>
          </w:p>
        </w:tc>
        <w:tc>
          <w:tcPr>
            <w:tcW w:w="2835" w:type="dxa"/>
            <w:gridSpan w:val="2"/>
          </w:tcPr>
          <w:p w:rsidR="00811374" w:rsidRPr="00693594" w:rsidRDefault="00811374" w:rsidP="00B3591D">
            <w:pPr>
              <w:jc w:val="left"/>
              <w:rPr>
                <w:rFonts w:cs="Arial"/>
                <w:sz w:val="20"/>
              </w:rPr>
            </w:pPr>
            <w:r>
              <w:rPr>
                <w:rFonts w:cs="Arial"/>
                <w:sz w:val="20"/>
              </w:rPr>
              <w:t>Sustainable Asset Management and Buildings and Property Branch</w:t>
            </w:r>
          </w:p>
        </w:tc>
        <w:tc>
          <w:tcPr>
            <w:tcW w:w="992" w:type="dxa"/>
          </w:tcPr>
          <w:p w:rsidR="00811374" w:rsidRPr="00693594" w:rsidRDefault="00811374" w:rsidP="00B3591D">
            <w:pPr>
              <w:jc w:val="center"/>
              <w:rPr>
                <w:rFonts w:cs="Arial"/>
                <w:sz w:val="20"/>
              </w:rPr>
            </w:pPr>
            <w:r>
              <w:rPr>
                <w:rFonts w:cs="Arial"/>
                <w:sz w:val="20"/>
              </w:rPr>
              <w:t>2014/15</w:t>
            </w:r>
          </w:p>
        </w:tc>
      </w:tr>
      <w:tr w:rsidR="00811374" w:rsidRPr="00693594" w:rsidTr="00D85F05">
        <w:trPr>
          <w:cantSplit/>
          <w:trHeight w:val="145"/>
        </w:trPr>
        <w:tc>
          <w:tcPr>
            <w:tcW w:w="4253" w:type="dxa"/>
          </w:tcPr>
          <w:p w:rsidR="00811374" w:rsidRPr="00957600" w:rsidRDefault="00811374" w:rsidP="00B3591D">
            <w:pPr>
              <w:jc w:val="left"/>
              <w:rPr>
                <w:rFonts w:cs="Arial"/>
              </w:rPr>
            </w:pPr>
            <w:r>
              <w:rPr>
                <w:rFonts w:cs="Arial"/>
                <w:sz w:val="20"/>
              </w:rPr>
              <w:t>Review and develop levels of service options and costing with inputs from fitness for purpose requirements taking into consideration of affordability and value for money</w:t>
            </w:r>
          </w:p>
        </w:tc>
        <w:tc>
          <w:tcPr>
            <w:tcW w:w="992" w:type="dxa"/>
          </w:tcPr>
          <w:p w:rsidR="00811374" w:rsidRPr="00693594" w:rsidRDefault="00811374" w:rsidP="00B3591D">
            <w:pPr>
              <w:jc w:val="center"/>
              <w:rPr>
                <w:rFonts w:cs="Arial"/>
                <w:sz w:val="20"/>
              </w:rPr>
            </w:pPr>
            <w:r>
              <w:rPr>
                <w:rFonts w:cs="Arial"/>
                <w:sz w:val="20"/>
              </w:rPr>
              <w:t>Very High</w:t>
            </w:r>
          </w:p>
        </w:tc>
        <w:tc>
          <w:tcPr>
            <w:tcW w:w="2835" w:type="dxa"/>
            <w:gridSpan w:val="2"/>
          </w:tcPr>
          <w:p w:rsidR="00811374" w:rsidRPr="00693594" w:rsidRDefault="00811374" w:rsidP="00B3591D">
            <w:pPr>
              <w:jc w:val="left"/>
              <w:rPr>
                <w:rFonts w:cs="Arial"/>
                <w:sz w:val="20"/>
              </w:rPr>
            </w:pPr>
            <w:r>
              <w:rPr>
                <w:rFonts w:cs="Arial"/>
                <w:sz w:val="20"/>
              </w:rPr>
              <w:t>Sustainable Asset Management and Buildings and Property Branch</w:t>
            </w:r>
          </w:p>
        </w:tc>
        <w:tc>
          <w:tcPr>
            <w:tcW w:w="992" w:type="dxa"/>
          </w:tcPr>
          <w:p w:rsidR="00811374" w:rsidRPr="00693594" w:rsidRDefault="00811374" w:rsidP="00B3591D">
            <w:pPr>
              <w:jc w:val="center"/>
              <w:rPr>
                <w:rFonts w:cs="Arial"/>
                <w:sz w:val="20"/>
              </w:rPr>
            </w:pPr>
            <w:r>
              <w:rPr>
                <w:rFonts w:cs="Arial"/>
                <w:sz w:val="20"/>
              </w:rPr>
              <w:t>2014/15</w:t>
            </w:r>
          </w:p>
        </w:tc>
      </w:tr>
      <w:tr w:rsidR="00811374" w:rsidRPr="00693594" w:rsidTr="00D85F05">
        <w:trPr>
          <w:cantSplit/>
          <w:trHeight w:val="145"/>
        </w:trPr>
        <w:tc>
          <w:tcPr>
            <w:tcW w:w="4253" w:type="dxa"/>
          </w:tcPr>
          <w:p w:rsidR="00811374" w:rsidRPr="00957600" w:rsidRDefault="00811374" w:rsidP="00B3591D">
            <w:pPr>
              <w:jc w:val="left"/>
              <w:rPr>
                <w:rFonts w:cs="Arial"/>
                <w:sz w:val="20"/>
              </w:rPr>
            </w:pPr>
            <w:r w:rsidRPr="00957600">
              <w:rPr>
                <w:rFonts w:cs="Arial"/>
                <w:sz w:val="20"/>
              </w:rPr>
              <w:t>Review risk process and develop risk register and mitigation measures for whole of building portfolio</w:t>
            </w:r>
          </w:p>
        </w:tc>
        <w:tc>
          <w:tcPr>
            <w:tcW w:w="992" w:type="dxa"/>
          </w:tcPr>
          <w:p w:rsidR="00811374" w:rsidRPr="00693594" w:rsidRDefault="00811374" w:rsidP="00B3591D">
            <w:pPr>
              <w:jc w:val="center"/>
              <w:rPr>
                <w:rFonts w:cs="Arial"/>
                <w:sz w:val="20"/>
              </w:rPr>
            </w:pPr>
            <w:r>
              <w:rPr>
                <w:rFonts w:cs="Arial"/>
                <w:sz w:val="20"/>
              </w:rPr>
              <w:t>Very High</w:t>
            </w:r>
          </w:p>
        </w:tc>
        <w:tc>
          <w:tcPr>
            <w:tcW w:w="2835" w:type="dxa"/>
            <w:gridSpan w:val="2"/>
          </w:tcPr>
          <w:p w:rsidR="00811374" w:rsidRPr="00693594" w:rsidRDefault="00811374" w:rsidP="00B3591D">
            <w:pPr>
              <w:jc w:val="left"/>
              <w:rPr>
                <w:rFonts w:cs="Arial"/>
                <w:sz w:val="20"/>
              </w:rPr>
            </w:pPr>
            <w:r>
              <w:rPr>
                <w:rFonts w:cs="Arial"/>
                <w:sz w:val="20"/>
              </w:rPr>
              <w:t>Buildings and Property Branch</w:t>
            </w:r>
          </w:p>
        </w:tc>
        <w:tc>
          <w:tcPr>
            <w:tcW w:w="992" w:type="dxa"/>
          </w:tcPr>
          <w:p w:rsidR="00811374" w:rsidRPr="00693594" w:rsidRDefault="00811374" w:rsidP="00B3591D">
            <w:pPr>
              <w:jc w:val="center"/>
              <w:rPr>
                <w:rFonts w:cs="Arial"/>
                <w:sz w:val="20"/>
              </w:rPr>
            </w:pPr>
            <w:r>
              <w:rPr>
                <w:rFonts w:cs="Arial"/>
                <w:sz w:val="20"/>
              </w:rPr>
              <w:t>2014/15</w:t>
            </w:r>
          </w:p>
        </w:tc>
      </w:tr>
      <w:tr w:rsidR="00811374" w:rsidRPr="00693594" w:rsidTr="00D85F05">
        <w:trPr>
          <w:cantSplit/>
          <w:trHeight w:val="145"/>
        </w:trPr>
        <w:tc>
          <w:tcPr>
            <w:tcW w:w="4253" w:type="dxa"/>
          </w:tcPr>
          <w:p w:rsidR="00811374" w:rsidRPr="00716A52" w:rsidRDefault="00811374" w:rsidP="00B3591D">
            <w:pPr>
              <w:jc w:val="left"/>
              <w:rPr>
                <w:rFonts w:cs="Arial"/>
                <w:sz w:val="20"/>
              </w:rPr>
            </w:pPr>
            <w:r w:rsidRPr="00716A52">
              <w:rPr>
                <w:rFonts w:cs="Arial"/>
                <w:sz w:val="20"/>
              </w:rPr>
              <w:t xml:space="preserve">Review and </w:t>
            </w:r>
            <w:r>
              <w:rPr>
                <w:rFonts w:cs="Arial"/>
                <w:sz w:val="20"/>
              </w:rPr>
              <w:t>develop</w:t>
            </w:r>
            <w:r w:rsidRPr="00716A52">
              <w:rPr>
                <w:rFonts w:cs="Arial"/>
                <w:sz w:val="20"/>
              </w:rPr>
              <w:t xml:space="preserve"> asset handover</w:t>
            </w:r>
            <w:r>
              <w:rPr>
                <w:rFonts w:cs="Arial"/>
                <w:sz w:val="20"/>
              </w:rPr>
              <w:t xml:space="preserve"> policy manual to define asset data specification and as built plan requirements for capital and maintenance projects</w:t>
            </w:r>
          </w:p>
        </w:tc>
        <w:tc>
          <w:tcPr>
            <w:tcW w:w="992" w:type="dxa"/>
          </w:tcPr>
          <w:p w:rsidR="00811374" w:rsidRPr="00693594" w:rsidRDefault="00811374" w:rsidP="00B3591D">
            <w:pPr>
              <w:jc w:val="center"/>
              <w:rPr>
                <w:rFonts w:cs="Arial"/>
                <w:sz w:val="20"/>
              </w:rPr>
            </w:pPr>
            <w:r>
              <w:rPr>
                <w:rFonts w:cs="Arial"/>
                <w:sz w:val="20"/>
              </w:rPr>
              <w:t>Very High</w:t>
            </w:r>
          </w:p>
        </w:tc>
        <w:tc>
          <w:tcPr>
            <w:tcW w:w="2835" w:type="dxa"/>
            <w:gridSpan w:val="2"/>
          </w:tcPr>
          <w:p w:rsidR="00811374" w:rsidRPr="00693594" w:rsidRDefault="00811374" w:rsidP="00B3591D">
            <w:pPr>
              <w:jc w:val="left"/>
              <w:rPr>
                <w:rFonts w:cs="Arial"/>
                <w:sz w:val="20"/>
              </w:rPr>
            </w:pPr>
            <w:r>
              <w:rPr>
                <w:rFonts w:cs="Arial"/>
                <w:sz w:val="20"/>
              </w:rPr>
              <w:t>Sustainable Asset Management and external consultant</w:t>
            </w:r>
          </w:p>
        </w:tc>
        <w:tc>
          <w:tcPr>
            <w:tcW w:w="992" w:type="dxa"/>
          </w:tcPr>
          <w:p w:rsidR="00811374" w:rsidRPr="00693594" w:rsidRDefault="00811374" w:rsidP="00B3591D">
            <w:pPr>
              <w:jc w:val="center"/>
              <w:rPr>
                <w:rFonts w:cs="Arial"/>
                <w:sz w:val="20"/>
              </w:rPr>
            </w:pPr>
            <w:r>
              <w:rPr>
                <w:rFonts w:cs="Arial"/>
                <w:sz w:val="20"/>
              </w:rPr>
              <w:t>2013/14</w:t>
            </w:r>
          </w:p>
        </w:tc>
      </w:tr>
      <w:tr w:rsidR="00811374" w:rsidRPr="00693594" w:rsidTr="00D85F05">
        <w:trPr>
          <w:cantSplit/>
          <w:trHeight w:val="145"/>
        </w:trPr>
        <w:tc>
          <w:tcPr>
            <w:tcW w:w="4253" w:type="dxa"/>
            <w:tcBorders>
              <w:bottom w:val="single" w:sz="4" w:space="0" w:color="auto"/>
            </w:tcBorders>
          </w:tcPr>
          <w:p w:rsidR="00811374" w:rsidRPr="00957600" w:rsidRDefault="00811374" w:rsidP="00B3591D">
            <w:pPr>
              <w:jc w:val="left"/>
              <w:rPr>
                <w:rFonts w:cs="Arial"/>
                <w:sz w:val="20"/>
              </w:rPr>
            </w:pPr>
            <w:r>
              <w:rPr>
                <w:rFonts w:cs="Arial"/>
                <w:sz w:val="20"/>
              </w:rPr>
              <w:t>Review lifecycle cost analysis process including CAPEX evaluation policies and link with fitness for purpose and DDA compliance requirements</w:t>
            </w:r>
          </w:p>
        </w:tc>
        <w:tc>
          <w:tcPr>
            <w:tcW w:w="992" w:type="dxa"/>
            <w:tcBorders>
              <w:bottom w:val="single" w:sz="4" w:space="0" w:color="auto"/>
            </w:tcBorders>
          </w:tcPr>
          <w:p w:rsidR="00811374" w:rsidRPr="00693594" w:rsidRDefault="00811374" w:rsidP="00B3591D">
            <w:pPr>
              <w:jc w:val="center"/>
              <w:rPr>
                <w:rFonts w:cs="Arial"/>
                <w:sz w:val="20"/>
              </w:rPr>
            </w:pPr>
            <w:r>
              <w:rPr>
                <w:rFonts w:cs="Arial"/>
                <w:sz w:val="20"/>
              </w:rPr>
              <w:t>High</w:t>
            </w:r>
          </w:p>
        </w:tc>
        <w:tc>
          <w:tcPr>
            <w:tcW w:w="2835" w:type="dxa"/>
            <w:gridSpan w:val="2"/>
            <w:tcBorders>
              <w:bottom w:val="single" w:sz="4" w:space="0" w:color="auto"/>
            </w:tcBorders>
          </w:tcPr>
          <w:p w:rsidR="00811374" w:rsidRPr="00693594" w:rsidRDefault="00811374" w:rsidP="00B3591D">
            <w:pPr>
              <w:jc w:val="left"/>
              <w:rPr>
                <w:rFonts w:cs="Arial"/>
                <w:sz w:val="20"/>
              </w:rPr>
            </w:pPr>
            <w:r>
              <w:rPr>
                <w:rFonts w:cs="Arial"/>
                <w:sz w:val="20"/>
              </w:rPr>
              <w:t>Sustainable Asset Management and Buildings and Property Branch</w:t>
            </w:r>
          </w:p>
        </w:tc>
        <w:tc>
          <w:tcPr>
            <w:tcW w:w="992" w:type="dxa"/>
            <w:tcBorders>
              <w:bottom w:val="single" w:sz="4" w:space="0" w:color="auto"/>
            </w:tcBorders>
          </w:tcPr>
          <w:p w:rsidR="00811374" w:rsidRPr="00693594" w:rsidRDefault="00811374" w:rsidP="00B3591D">
            <w:pPr>
              <w:jc w:val="center"/>
              <w:rPr>
                <w:rFonts w:cs="Arial"/>
                <w:sz w:val="20"/>
              </w:rPr>
            </w:pPr>
            <w:r>
              <w:rPr>
                <w:rFonts w:cs="Arial"/>
                <w:sz w:val="20"/>
              </w:rPr>
              <w:t>2014/15</w:t>
            </w:r>
          </w:p>
        </w:tc>
      </w:tr>
      <w:tr w:rsidR="00811374" w:rsidRPr="00693594" w:rsidTr="00D85F05">
        <w:trPr>
          <w:cantSplit/>
          <w:trHeight w:val="145"/>
        </w:trPr>
        <w:tc>
          <w:tcPr>
            <w:tcW w:w="4253" w:type="dxa"/>
            <w:tcBorders>
              <w:bottom w:val="single" w:sz="4" w:space="0" w:color="auto"/>
            </w:tcBorders>
          </w:tcPr>
          <w:p w:rsidR="00811374" w:rsidRPr="00693594" w:rsidRDefault="00811374" w:rsidP="00B3591D">
            <w:pPr>
              <w:jc w:val="left"/>
              <w:rPr>
                <w:rFonts w:cs="Arial"/>
                <w:sz w:val="20"/>
              </w:rPr>
            </w:pPr>
            <w:r w:rsidRPr="00866E9D">
              <w:rPr>
                <w:rFonts w:cs="Arial"/>
                <w:sz w:val="20"/>
              </w:rPr>
              <w:t>Implement risk based project prioritisation</w:t>
            </w:r>
            <w:r>
              <w:rPr>
                <w:rFonts w:cs="Arial"/>
                <w:sz w:val="20"/>
              </w:rPr>
              <w:t xml:space="preserve"> process Optimised Decision-Making process</w:t>
            </w:r>
            <w:r w:rsidRPr="00866E9D">
              <w:rPr>
                <w:rFonts w:cs="Arial"/>
                <w:sz w:val="20"/>
              </w:rPr>
              <w:t xml:space="preserve"> (ODM approach)</w:t>
            </w:r>
          </w:p>
        </w:tc>
        <w:tc>
          <w:tcPr>
            <w:tcW w:w="992" w:type="dxa"/>
            <w:tcBorders>
              <w:bottom w:val="single" w:sz="4" w:space="0" w:color="auto"/>
            </w:tcBorders>
          </w:tcPr>
          <w:p w:rsidR="00811374" w:rsidRPr="00693594" w:rsidRDefault="00811374" w:rsidP="00B3591D">
            <w:pPr>
              <w:jc w:val="center"/>
              <w:rPr>
                <w:rFonts w:cs="Arial"/>
                <w:sz w:val="20"/>
              </w:rPr>
            </w:pPr>
            <w:r>
              <w:rPr>
                <w:rFonts w:cs="Arial"/>
                <w:sz w:val="20"/>
              </w:rPr>
              <w:t>High</w:t>
            </w:r>
          </w:p>
        </w:tc>
        <w:tc>
          <w:tcPr>
            <w:tcW w:w="2835" w:type="dxa"/>
            <w:gridSpan w:val="2"/>
            <w:tcBorders>
              <w:bottom w:val="single" w:sz="4" w:space="0" w:color="auto"/>
            </w:tcBorders>
          </w:tcPr>
          <w:p w:rsidR="00811374" w:rsidRPr="00693594" w:rsidRDefault="00811374" w:rsidP="00B3591D">
            <w:pPr>
              <w:jc w:val="left"/>
              <w:rPr>
                <w:rFonts w:cs="Arial"/>
                <w:sz w:val="20"/>
              </w:rPr>
            </w:pPr>
            <w:r>
              <w:rPr>
                <w:rFonts w:cs="Arial"/>
                <w:sz w:val="20"/>
              </w:rPr>
              <w:t>Sustainable Asset Management and Buildings and Property Branch</w:t>
            </w:r>
          </w:p>
        </w:tc>
        <w:tc>
          <w:tcPr>
            <w:tcW w:w="992" w:type="dxa"/>
            <w:tcBorders>
              <w:bottom w:val="single" w:sz="4" w:space="0" w:color="auto"/>
            </w:tcBorders>
          </w:tcPr>
          <w:p w:rsidR="00811374" w:rsidRPr="00693594" w:rsidRDefault="00811374" w:rsidP="00B3591D">
            <w:pPr>
              <w:jc w:val="center"/>
              <w:rPr>
                <w:rFonts w:cs="Arial"/>
                <w:sz w:val="20"/>
              </w:rPr>
            </w:pPr>
            <w:r>
              <w:rPr>
                <w:rFonts w:cs="Arial"/>
                <w:sz w:val="20"/>
              </w:rPr>
              <w:t>2015/16</w:t>
            </w:r>
          </w:p>
        </w:tc>
      </w:tr>
      <w:tr w:rsidR="00811374" w:rsidRPr="00693594" w:rsidTr="00D85F05">
        <w:trPr>
          <w:cantSplit/>
          <w:trHeight w:val="145"/>
        </w:trPr>
        <w:tc>
          <w:tcPr>
            <w:tcW w:w="4253" w:type="dxa"/>
            <w:tcBorders>
              <w:bottom w:val="single" w:sz="4" w:space="0" w:color="auto"/>
            </w:tcBorders>
          </w:tcPr>
          <w:p w:rsidR="00811374" w:rsidRPr="009F6C99" w:rsidRDefault="00811374" w:rsidP="00B3591D">
            <w:pPr>
              <w:jc w:val="left"/>
              <w:rPr>
                <w:rFonts w:cs="Arial"/>
                <w:sz w:val="20"/>
              </w:rPr>
            </w:pPr>
            <w:r w:rsidRPr="009F6C99">
              <w:rPr>
                <w:rFonts w:cs="Arial"/>
                <w:sz w:val="20"/>
              </w:rPr>
              <w:t>Review and rationalise</w:t>
            </w:r>
            <w:r>
              <w:rPr>
                <w:rFonts w:cs="Arial"/>
                <w:sz w:val="20"/>
              </w:rPr>
              <w:t xml:space="preserve"> BAMP financial model and disposal processes to integrate with 10 year financial plan and Council Plan</w:t>
            </w:r>
          </w:p>
        </w:tc>
        <w:tc>
          <w:tcPr>
            <w:tcW w:w="992" w:type="dxa"/>
            <w:tcBorders>
              <w:bottom w:val="single" w:sz="4" w:space="0" w:color="auto"/>
            </w:tcBorders>
          </w:tcPr>
          <w:p w:rsidR="00811374" w:rsidRPr="00693594" w:rsidRDefault="00811374" w:rsidP="00B3591D">
            <w:pPr>
              <w:jc w:val="center"/>
              <w:rPr>
                <w:rFonts w:cs="Arial"/>
                <w:sz w:val="20"/>
              </w:rPr>
            </w:pPr>
            <w:r>
              <w:rPr>
                <w:rFonts w:cs="Arial"/>
                <w:sz w:val="20"/>
              </w:rPr>
              <w:t>High</w:t>
            </w:r>
          </w:p>
        </w:tc>
        <w:tc>
          <w:tcPr>
            <w:tcW w:w="2835" w:type="dxa"/>
            <w:gridSpan w:val="2"/>
            <w:tcBorders>
              <w:bottom w:val="single" w:sz="4" w:space="0" w:color="auto"/>
            </w:tcBorders>
          </w:tcPr>
          <w:p w:rsidR="00811374" w:rsidRPr="00693594" w:rsidRDefault="00811374" w:rsidP="00B3591D">
            <w:pPr>
              <w:jc w:val="left"/>
              <w:rPr>
                <w:rFonts w:cs="Arial"/>
                <w:sz w:val="20"/>
              </w:rPr>
            </w:pPr>
            <w:r>
              <w:rPr>
                <w:rFonts w:cs="Arial"/>
                <w:sz w:val="20"/>
              </w:rPr>
              <w:t>Sustainable Asset Management and Buildings and Property Branch</w:t>
            </w:r>
          </w:p>
        </w:tc>
        <w:tc>
          <w:tcPr>
            <w:tcW w:w="992" w:type="dxa"/>
            <w:tcBorders>
              <w:bottom w:val="single" w:sz="4" w:space="0" w:color="auto"/>
            </w:tcBorders>
          </w:tcPr>
          <w:p w:rsidR="00811374" w:rsidRPr="00693594" w:rsidRDefault="00811374" w:rsidP="00B3591D">
            <w:pPr>
              <w:jc w:val="center"/>
              <w:rPr>
                <w:rFonts w:cs="Arial"/>
                <w:sz w:val="20"/>
              </w:rPr>
            </w:pPr>
            <w:r>
              <w:rPr>
                <w:rFonts w:cs="Arial"/>
                <w:sz w:val="20"/>
              </w:rPr>
              <w:t>2015/16</w:t>
            </w:r>
          </w:p>
        </w:tc>
      </w:tr>
      <w:tr w:rsidR="00811374" w:rsidRPr="00693594" w:rsidTr="00B3591D">
        <w:trPr>
          <w:cantSplit/>
          <w:trHeight w:val="145"/>
        </w:trPr>
        <w:tc>
          <w:tcPr>
            <w:tcW w:w="9072" w:type="dxa"/>
            <w:gridSpan w:val="5"/>
            <w:shd w:val="clear" w:color="auto" w:fill="D9D9D9" w:themeFill="background1" w:themeFillShade="D9"/>
          </w:tcPr>
          <w:p w:rsidR="00811374" w:rsidRPr="000F58D9" w:rsidRDefault="00811374" w:rsidP="00D85F05">
            <w:pPr>
              <w:spacing w:before="80" w:after="80"/>
              <w:jc w:val="center"/>
              <w:rPr>
                <w:rFonts w:cs="Arial"/>
                <w:b/>
                <w:sz w:val="20"/>
              </w:rPr>
            </w:pPr>
            <w:r>
              <w:rPr>
                <w:rFonts w:cs="Arial"/>
                <w:b/>
                <w:sz w:val="20"/>
              </w:rPr>
              <w:t>Asset Management and Information Systems</w:t>
            </w:r>
          </w:p>
        </w:tc>
      </w:tr>
      <w:tr w:rsidR="00811374" w:rsidRPr="00693594" w:rsidTr="00D85F05">
        <w:trPr>
          <w:cantSplit/>
          <w:trHeight w:val="145"/>
        </w:trPr>
        <w:tc>
          <w:tcPr>
            <w:tcW w:w="4253" w:type="dxa"/>
            <w:tcBorders>
              <w:bottom w:val="single" w:sz="4" w:space="0" w:color="auto"/>
            </w:tcBorders>
          </w:tcPr>
          <w:p w:rsidR="00811374" w:rsidRPr="003309E3" w:rsidRDefault="00811374" w:rsidP="00B3591D">
            <w:pPr>
              <w:jc w:val="left"/>
              <w:rPr>
                <w:rFonts w:cs="Arial"/>
                <w:sz w:val="20"/>
              </w:rPr>
            </w:pPr>
            <w:r>
              <w:rPr>
                <w:rFonts w:cs="Arial"/>
                <w:sz w:val="20"/>
              </w:rPr>
              <w:t>Review existing asset register requirements including integration with Corporate Finance (Computron) to meet business needs</w:t>
            </w:r>
          </w:p>
        </w:tc>
        <w:tc>
          <w:tcPr>
            <w:tcW w:w="992" w:type="dxa"/>
            <w:tcBorders>
              <w:bottom w:val="single" w:sz="4" w:space="0" w:color="auto"/>
            </w:tcBorders>
          </w:tcPr>
          <w:p w:rsidR="00811374" w:rsidRPr="00693594" w:rsidRDefault="00811374" w:rsidP="00B3591D">
            <w:pPr>
              <w:jc w:val="center"/>
              <w:rPr>
                <w:rFonts w:cs="Arial"/>
                <w:sz w:val="20"/>
              </w:rPr>
            </w:pPr>
            <w:r>
              <w:rPr>
                <w:rFonts w:cs="Arial"/>
                <w:sz w:val="20"/>
              </w:rPr>
              <w:t>Very High</w:t>
            </w:r>
          </w:p>
        </w:tc>
        <w:tc>
          <w:tcPr>
            <w:tcW w:w="2835" w:type="dxa"/>
            <w:gridSpan w:val="2"/>
            <w:tcBorders>
              <w:bottom w:val="single" w:sz="4" w:space="0" w:color="auto"/>
            </w:tcBorders>
          </w:tcPr>
          <w:p w:rsidR="00811374" w:rsidRPr="00693594" w:rsidRDefault="00811374" w:rsidP="00B3591D">
            <w:pPr>
              <w:jc w:val="left"/>
              <w:rPr>
                <w:rFonts w:cs="Arial"/>
                <w:sz w:val="20"/>
              </w:rPr>
            </w:pPr>
            <w:r>
              <w:rPr>
                <w:rFonts w:cs="Arial"/>
                <w:sz w:val="20"/>
              </w:rPr>
              <w:t>Sustainable Asset Management and Buildings and Property Branch</w:t>
            </w:r>
          </w:p>
        </w:tc>
        <w:tc>
          <w:tcPr>
            <w:tcW w:w="992" w:type="dxa"/>
            <w:tcBorders>
              <w:bottom w:val="single" w:sz="4" w:space="0" w:color="auto"/>
            </w:tcBorders>
          </w:tcPr>
          <w:p w:rsidR="00811374" w:rsidRPr="00693594" w:rsidRDefault="00811374" w:rsidP="00B3591D">
            <w:pPr>
              <w:jc w:val="center"/>
              <w:rPr>
                <w:rFonts w:cs="Arial"/>
                <w:sz w:val="20"/>
              </w:rPr>
            </w:pPr>
            <w:r>
              <w:rPr>
                <w:rFonts w:cs="Arial"/>
                <w:sz w:val="20"/>
              </w:rPr>
              <w:t>2014/15</w:t>
            </w:r>
          </w:p>
        </w:tc>
      </w:tr>
      <w:tr w:rsidR="00811374" w:rsidRPr="00693594" w:rsidTr="00D85F05">
        <w:trPr>
          <w:cantSplit/>
          <w:trHeight w:val="145"/>
        </w:trPr>
        <w:tc>
          <w:tcPr>
            <w:tcW w:w="4253" w:type="dxa"/>
            <w:tcBorders>
              <w:bottom w:val="single" w:sz="4" w:space="0" w:color="auto"/>
            </w:tcBorders>
          </w:tcPr>
          <w:p w:rsidR="00811374" w:rsidRPr="003309E3" w:rsidRDefault="00811374" w:rsidP="00B3591D">
            <w:pPr>
              <w:jc w:val="left"/>
              <w:rPr>
                <w:rFonts w:cs="Arial"/>
                <w:sz w:val="20"/>
              </w:rPr>
            </w:pPr>
            <w:r>
              <w:rPr>
                <w:rFonts w:cs="Arial"/>
                <w:sz w:val="20"/>
              </w:rPr>
              <w:t>Review and reconcile condition rating criteria and populate or integrate condition database with asset register (</w:t>
            </w:r>
            <w:r w:rsidR="00897C2D">
              <w:rPr>
                <w:rFonts w:cs="Arial"/>
                <w:sz w:val="20"/>
              </w:rPr>
              <w:t>TechnologyOne</w:t>
            </w:r>
            <w:r>
              <w:rPr>
                <w:rFonts w:cs="Arial"/>
                <w:sz w:val="20"/>
              </w:rPr>
              <w:t>) to develop robust renewal programme</w:t>
            </w:r>
          </w:p>
        </w:tc>
        <w:tc>
          <w:tcPr>
            <w:tcW w:w="992" w:type="dxa"/>
            <w:tcBorders>
              <w:bottom w:val="single" w:sz="4" w:space="0" w:color="auto"/>
            </w:tcBorders>
          </w:tcPr>
          <w:p w:rsidR="00811374" w:rsidRPr="00693594" w:rsidRDefault="00811374" w:rsidP="00B3591D">
            <w:pPr>
              <w:jc w:val="center"/>
              <w:rPr>
                <w:rFonts w:cs="Arial"/>
                <w:sz w:val="20"/>
              </w:rPr>
            </w:pPr>
            <w:r>
              <w:rPr>
                <w:rFonts w:cs="Arial"/>
                <w:sz w:val="20"/>
              </w:rPr>
              <w:t>Very High</w:t>
            </w:r>
          </w:p>
        </w:tc>
        <w:tc>
          <w:tcPr>
            <w:tcW w:w="2835" w:type="dxa"/>
            <w:gridSpan w:val="2"/>
            <w:tcBorders>
              <w:bottom w:val="single" w:sz="4" w:space="0" w:color="auto"/>
            </w:tcBorders>
          </w:tcPr>
          <w:p w:rsidR="00811374" w:rsidRPr="00693594" w:rsidRDefault="00811374" w:rsidP="00B3591D">
            <w:pPr>
              <w:jc w:val="left"/>
              <w:rPr>
                <w:rFonts w:cs="Arial"/>
                <w:sz w:val="20"/>
              </w:rPr>
            </w:pPr>
            <w:r>
              <w:rPr>
                <w:rFonts w:cs="Arial"/>
                <w:sz w:val="20"/>
              </w:rPr>
              <w:t>Sustainable Asset Management and Buildings and Property Branch</w:t>
            </w:r>
          </w:p>
        </w:tc>
        <w:tc>
          <w:tcPr>
            <w:tcW w:w="992" w:type="dxa"/>
            <w:tcBorders>
              <w:bottom w:val="single" w:sz="4" w:space="0" w:color="auto"/>
            </w:tcBorders>
          </w:tcPr>
          <w:p w:rsidR="00811374" w:rsidRPr="00693594" w:rsidRDefault="00811374" w:rsidP="00B3591D">
            <w:pPr>
              <w:jc w:val="center"/>
              <w:rPr>
                <w:rFonts w:cs="Arial"/>
                <w:sz w:val="20"/>
              </w:rPr>
            </w:pPr>
            <w:r>
              <w:rPr>
                <w:rFonts w:cs="Arial"/>
                <w:sz w:val="20"/>
              </w:rPr>
              <w:t>2014/15</w:t>
            </w:r>
          </w:p>
        </w:tc>
      </w:tr>
      <w:tr w:rsidR="00811374" w:rsidRPr="00693594" w:rsidTr="00D85F05">
        <w:trPr>
          <w:cantSplit/>
          <w:trHeight w:val="145"/>
        </w:trPr>
        <w:tc>
          <w:tcPr>
            <w:tcW w:w="4253" w:type="dxa"/>
            <w:tcBorders>
              <w:bottom w:val="single" w:sz="4" w:space="0" w:color="auto"/>
            </w:tcBorders>
          </w:tcPr>
          <w:p w:rsidR="00811374" w:rsidRPr="003309E3" w:rsidRDefault="00811374" w:rsidP="00B3591D">
            <w:pPr>
              <w:jc w:val="left"/>
              <w:rPr>
                <w:rFonts w:cs="Arial"/>
                <w:sz w:val="20"/>
              </w:rPr>
            </w:pPr>
            <w:r>
              <w:rPr>
                <w:rFonts w:cs="Arial"/>
                <w:sz w:val="20"/>
              </w:rPr>
              <w:t xml:space="preserve">Review and implement integration of customer service request or customer relationship management (Merit/TRIM) systems with </w:t>
            </w:r>
            <w:r w:rsidR="00897C2D">
              <w:rPr>
                <w:rFonts w:cs="Arial"/>
                <w:sz w:val="20"/>
              </w:rPr>
              <w:t>TechnologyOne</w:t>
            </w:r>
            <w:r>
              <w:rPr>
                <w:rFonts w:cs="Arial"/>
                <w:sz w:val="20"/>
              </w:rPr>
              <w:t xml:space="preserve"> and GIS systems to manage all enquiries and effective and efficient maintenance management functionality</w:t>
            </w:r>
          </w:p>
        </w:tc>
        <w:tc>
          <w:tcPr>
            <w:tcW w:w="992" w:type="dxa"/>
            <w:tcBorders>
              <w:bottom w:val="single" w:sz="4" w:space="0" w:color="auto"/>
            </w:tcBorders>
          </w:tcPr>
          <w:p w:rsidR="00811374" w:rsidRPr="00693594" w:rsidRDefault="00811374" w:rsidP="00B3591D">
            <w:pPr>
              <w:jc w:val="center"/>
              <w:rPr>
                <w:rFonts w:cs="Arial"/>
                <w:sz w:val="20"/>
              </w:rPr>
            </w:pPr>
            <w:r>
              <w:rPr>
                <w:rFonts w:cs="Arial"/>
                <w:sz w:val="20"/>
              </w:rPr>
              <w:t>Very High</w:t>
            </w:r>
          </w:p>
        </w:tc>
        <w:tc>
          <w:tcPr>
            <w:tcW w:w="2835" w:type="dxa"/>
            <w:gridSpan w:val="2"/>
            <w:tcBorders>
              <w:bottom w:val="single" w:sz="4" w:space="0" w:color="auto"/>
            </w:tcBorders>
          </w:tcPr>
          <w:p w:rsidR="00811374" w:rsidRPr="00693594" w:rsidRDefault="00811374" w:rsidP="00B3591D">
            <w:pPr>
              <w:jc w:val="left"/>
              <w:rPr>
                <w:rFonts w:cs="Arial"/>
                <w:sz w:val="20"/>
              </w:rPr>
            </w:pPr>
            <w:r>
              <w:rPr>
                <w:rFonts w:cs="Arial"/>
                <w:sz w:val="20"/>
              </w:rPr>
              <w:t>Buildings and Property Branch</w:t>
            </w:r>
          </w:p>
        </w:tc>
        <w:tc>
          <w:tcPr>
            <w:tcW w:w="992" w:type="dxa"/>
            <w:tcBorders>
              <w:bottom w:val="single" w:sz="4" w:space="0" w:color="auto"/>
            </w:tcBorders>
          </w:tcPr>
          <w:p w:rsidR="00811374" w:rsidRPr="00693594" w:rsidRDefault="00811374" w:rsidP="00B3591D">
            <w:pPr>
              <w:jc w:val="center"/>
              <w:rPr>
                <w:rFonts w:cs="Arial"/>
                <w:sz w:val="20"/>
              </w:rPr>
            </w:pPr>
            <w:r>
              <w:rPr>
                <w:rFonts w:cs="Arial"/>
                <w:sz w:val="20"/>
              </w:rPr>
              <w:t>2013/14</w:t>
            </w:r>
          </w:p>
        </w:tc>
      </w:tr>
      <w:tr w:rsidR="00811374" w:rsidRPr="00693594" w:rsidTr="00D85F05">
        <w:trPr>
          <w:cantSplit/>
          <w:trHeight w:val="145"/>
        </w:trPr>
        <w:tc>
          <w:tcPr>
            <w:tcW w:w="4253" w:type="dxa"/>
            <w:tcBorders>
              <w:bottom w:val="single" w:sz="4" w:space="0" w:color="auto"/>
            </w:tcBorders>
          </w:tcPr>
          <w:p w:rsidR="00811374" w:rsidRPr="00693594" w:rsidRDefault="00811374" w:rsidP="00B3591D">
            <w:pPr>
              <w:jc w:val="left"/>
              <w:rPr>
                <w:rFonts w:cs="Arial"/>
                <w:sz w:val="20"/>
              </w:rPr>
            </w:pPr>
            <w:r>
              <w:rPr>
                <w:rFonts w:cs="Arial"/>
                <w:sz w:val="20"/>
              </w:rPr>
              <w:t xml:space="preserve">Review forward works programming system requirements to record and manage all capital projects in one system and developing optimal budget scenarios based on affordability/available budgets. </w:t>
            </w:r>
          </w:p>
        </w:tc>
        <w:tc>
          <w:tcPr>
            <w:tcW w:w="992" w:type="dxa"/>
            <w:tcBorders>
              <w:bottom w:val="single" w:sz="4" w:space="0" w:color="auto"/>
            </w:tcBorders>
          </w:tcPr>
          <w:p w:rsidR="00811374" w:rsidRPr="00693594" w:rsidRDefault="00811374" w:rsidP="00B3591D">
            <w:pPr>
              <w:jc w:val="center"/>
              <w:rPr>
                <w:rFonts w:cs="Arial"/>
                <w:sz w:val="20"/>
              </w:rPr>
            </w:pPr>
            <w:r>
              <w:rPr>
                <w:rFonts w:cs="Arial"/>
                <w:sz w:val="20"/>
              </w:rPr>
              <w:t>Very High</w:t>
            </w:r>
          </w:p>
        </w:tc>
        <w:tc>
          <w:tcPr>
            <w:tcW w:w="2835" w:type="dxa"/>
            <w:gridSpan w:val="2"/>
            <w:tcBorders>
              <w:bottom w:val="single" w:sz="4" w:space="0" w:color="auto"/>
            </w:tcBorders>
          </w:tcPr>
          <w:p w:rsidR="00811374" w:rsidRPr="00693594" w:rsidRDefault="00811374" w:rsidP="00B3591D">
            <w:pPr>
              <w:jc w:val="left"/>
              <w:rPr>
                <w:rFonts w:cs="Arial"/>
                <w:sz w:val="20"/>
              </w:rPr>
            </w:pPr>
            <w:r>
              <w:rPr>
                <w:rFonts w:cs="Arial"/>
                <w:sz w:val="20"/>
              </w:rPr>
              <w:t>Sustainable Asset Management</w:t>
            </w:r>
          </w:p>
        </w:tc>
        <w:tc>
          <w:tcPr>
            <w:tcW w:w="992" w:type="dxa"/>
            <w:tcBorders>
              <w:bottom w:val="single" w:sz="4" w:space="0" w:color="auto"/>
            </w:tcBorders>
          </w:tcPr>
          <w:p w:rsidR="00811374" w:rsidRPr="00693594" w:rsidRDefault="00811374" w:rsidP="00B3591D">
            <w:pPr>
              <w:jc w:val="center"/>
              <w:rPr>
                <w:rFonts w:cs="Arial"/>
                <w:sz w:val="20"/>
              </w:rPr>
            </w:pPr>
            <w:r>
              <w:rPr>
                <w:rFonts w:cs="Arial"/>
                <w:sz w:val="20"/>
              </w:rPr>
              <w:t>2014/15</w:t>
            </w:r>
          </w:p>
        </w:tc>
      </w:tr>
      <w:tr w:rsidR="00811374" w:rsidRPr="00693594" w:rsidTr="00D85F05">
        <w:trPr>
          <w:cantSplit/>
          <w:trHeight w:val="145"/>
        </w:trPr>
        <w:tc>
          <w:tcPr>
            <w:tcW w:w="4253" w:type="dxa"/>
            <w:tcBorders>
              <w:bottom w:val="single" w:sz="4" w:space="0" w:color="auto"/>
            </w:tcBorders>
          </w:tcPr>
          <w:p w:rsidR="00811374" w:rsidRPr="0053081C" w:rsidRDefault="00811374" w:rsidP="005C38DE">
            <w:pPr>
              <w:jc w:val="left"/>
              <w:rPr>
                <w:rFonts w:cs="Arial"/>
                <w:sz w:val="20"/>
              </w:rPr>
            </w:pPr>
            <w:r w:rsidRPr="0053081C">
              <w:rPr>
                <w:rFonts w:cs="Arial"/>
                <w:sz w:val="20"/>
              </w:rPr>
              <w:t xml:space="preserve">Review and reconcile </w:t>
            </w:r>
            <w:r>
              <w:rPr>
                <w:rFonts w:cs="Arial"/>
                <w:sz w:val="20"/>
              </w:rPr>
              <w:t xml:space="preserve">corporate </w:t>
            </w:r>
            <w:r w:rsidRPr="0053081C">
              <w:rPr>
                <w:rFonts w:cs="Arial"/>
                <w:sz w:val="20"/>
              </w:rPr>
              <w:t>risk</w:t>
            </w:r>
            <w:r>
              <w:rPr>
                <w:rFonts w:cs="Arial"/>
                <w:sz w:val="20"/>
              </w:rPr>
              <w:t xml:space="preserve"> management system (Interplan) and develop risk register for all building asse</w:t>
            </w:r>
            <w:r w:rsidR="005C38DE">
              <w:rPr>
                <w:rFonts w:cs="Arial"/>
                <w:sz w:val="20"/>
              </w:rPr>
              <w:t>t</w:t>
            </w:r>
            <w:r>
              <w:rPr>
                <w:rFonts w:cs="Arial"/>
                <w:sz w:val="20"/>
              </w:rPr>
              <w:t xml:space="preserve">s and populate criticality in </w:t>
            </w:r>
            <w:r w:rsidR="00897C2D">
              <w:rPr>
                <w:rFonts w:cs="Arial"/>
                <w:sz w:val="20"/>
              </w:rPr>
              <w:t>TechnologyOne</w:t>
            </w:r>
            <w:r w:rsidR="005C38DE">
              <w:rPr>
                <w:rFonts w:cs="Arial"/>
                <w:sz w:val="20"/>
              </w:rPr>
              <w:t>.</w:t>
            </w:r>
          </w:p>
        </w:tc>
        <w:tc>
          <w:tcPr>
            <w:tcW w:w="992" w:type="dxa"/>
            <w:tcBorders>
              <w:bottom w:val="single" w:sz="4" w:space="0" w:color="auto"/>
            </w:tcBorders>
          </w:tcPr>
          <w:p w:rsidR="00811374" w:rsidRPr="00693594" w:rsidRDefault="00811374" w:rsidP="00B3591D">
            <w:pPr>
              <w:jc w:val="center"/>
              <w:rPr>
                <w:rFonts w:cs="Arial"/>
                <w:sz w:val="20"/>
              </w:rPr>
            </w:pPr>
            <w:r>
              <w:rPr>
                <w:rFonts w:cs="Arial"/>
                <w:sz w:val="20"/>
              </w:rPr>
              <w:t>Very High</w:t>
            </w:r>
          </w:p>
        </w:tc>
        <w:tc>
          <w:tcPr>
            <w:tcW w:w="2835" w:type="dxa"/>
            <w:gridSpan w:val="2"/>
            <w:tcBorders>
              <w:bottom w:val="single" w:sz="4" w:space="0" w:color="auto"/>
            </w:tcBorders>
          </w:tcPr>
          <w:p w:rsidR="00811374" w:rsidRPr="00693594" w:rsidRDefault="00811374" w:rsidP="00B3591D">
            <w:pPr>
              <w:jc w:val="left"/>
              <w:rPr>
                <w:rFonts w:cs="Arial"/>
                <w:sz w:val="20"/>
              </w:rPr>
            </w:pPr>
            <w:r>
              <w:rPr>
                <w:rFonts w:cs="Arial"/>
                <w:sz w:val="20"/>
              </w:rPr>
              <w:t>Buildings and Property Branch</w:t>
            </w:r>
          </w:p>
        </w:tc>
        <w:tc>
          <w:tcPr>
            <w:tcW w:w="992" w:type="dxa"/>
            <w:tcBorders>
              <w:bottom w:val="single" w:sz="4" w:space="0" w:color="auto"/>
            </w:tcBorders>
          </w:tcPr>
          <w:p w:rsidR="00811374" w:rsidRPr="00693594" w:rsidRDefault="00811374" w:rsidP="00B3591D">
            <w:pPr>
              <w:jc w:val="center"/>
              <w:rPr>
                <w:rFonts w:cs="Arial"/>
                <w:sz w:val="20"/>
              </w:rPr>
            </w:pPr>
            <w:r>
              <w:rPr>
                <w:rFonts w:cs="Arial"/>
                <w:sz w:val="20"/>
              </w:rPr>
              <w:t>2015/16</w:t>
            </w:r>
          </w:p>
        </w:tc>
      </w:tr>
      <w:tr w:rsidR="00811374" w:rsidRPr="00693594" w:rsidTr="00B3591D">
        <w:trPr>
          <w:cantSplit/>
          <w:trHeight w:val="145"/>
        </w:trPr>
        <w:tc>
          <w:tcPr>
            <w:tcW w:w="9072" w:type="dxa"/>
            <w:gridSpan w:val="5"/>
            <w:shd w:val="clear" w:color="auto" w:fill="D9D9D9" w:themeFill="background1" w:themeFillShade="D9"/>
          </w:tcPr>
          <w:p w:rsidR="00811374" w:rsidRPr="000F58D9" w:rsidRDefault="00811374" w:rsidP="00B3591D">
            <w:pPr>
              <w:keepNext/>
              <w:keepLines/>
              <w:spacing w:before="80" w:after="80"/>
              <w:jc w:val="center"/>
              <w:rPr>
                <w:rFonts w:cs="Arial"/>
                <w:b/>
                <w:sz w:val="20"/>
              </w:rPr>
            </w:pPr>
            <w:r w:rsidRPr="000F58D9">
              <w:rPr>
                <w:rFonts w:cs="Arial"/>
                <w:b/>
                <w:sz w:val="20"/>
              </w:rPr>
              <w:t>Information and Data</w:t>
            </w:r>
          </w:p>
        </w:tc>
      </w:tr>
      <w:tr w:rsidR="00244094" w:rsidRPr="00693594" w:rsidTr="00D85F05">
        <w:trPr>
          <w:cantSplit/>
          <w:trHeight w:val="145"/>
        </w:trPr>
        <w:tc>
          <w:tcPr>
            <w:tcW w:w="4253" w:type="dxa"/>
          </w:tcPr>
          <w:p w:rsidR="00244094" w:rsidRPr="00693594" w:rsidRDefault="00244094" w:rsidP="00B3591D">
            <w:pPr>
              <w:keepNext/>
              <w:keepLines/>
              <w:jc w:val="left"/>
              <w:rPr>
                <w:rFonts w:cs="Arial"/>
                <w:sz w:val="20"/>
              </w:rPr>
            </w:pPr>
            <w:r>
              <w:rPr>
                <w:rFonts w:cs="Arial"/>
                <w:sz w:val="20"/>
              </w:rPr>
              <w:t>Review quality and completeness of asset data and information including condition, performance and utilisation/capacity of each facility/building</w:t>
            </w:r>
          </w:p>
        </w:tc>
        <w:tc>
          <w:tcPr>
            <w:tcW w:w="992" w:type="dxa"/>
          </w:tcPr>
          <w:p w:rsidR="00244094" w:rsidRPr="00693594" w:rsidRDefault="00244094" w:rsidP="00B3591D">
            <w:pPr>
              <w:keepNext/>
              <w:keepLines/>
              <w:jc w:val="center"/>
              <w:rPr>
                <w:rFonts w:cs="Arial"/>
                <w:sz w:val="20"/>
              </w:rPr>
            </w:pPr>
            <w:r>
              <w:rPr>
                <w:rFonts w:cs="Arial"/>
                <w:sz w:val="20"/>
              </w:rPr>
              <w:t>Very High</w:t>
            </w:r>
          </w:p>
        </w:tc>
        <w:tc>
          <w:tcPr>
            <w:tcW w:w="2835" w:type="dxa"/>
            <w:gridSpan w:val="2"/>
          </w:tcPr>
          <w:p w:rsidR="00244094" w:rsidRPr="00693594" w:rsidRDefault="00244094" w:rsidP="00B3591D">
            <w:pPr>
              <w:keepNext/>
              <w:keepLines/>
              <w:jc w:val="left"/>
              <w:rPr>
                <w:rFonts w:cs="Arial"/>
                <w:sz w:val="20"/>
              </w:rPr>
            </w:pPr>
            <w:r>
              <w:rPr>
                <w:rFonts w:cs="Arial"/>
                <w:sz w:val="20"/>
              </w:rPr>
              <w:t>Sustainable Asset Management and Buildings and Property Branch</w:t>
            </w:r>
          </w:p>
        </w:tc>
        <w:tc>
          <w:tcPr>
            <w:tcW w:w="992" w:type="dxa"/>
          </w:tcPr>
          <w:p w:rsidR="00244094" w:rsidRPr="00693594" w:rsidRDefault="00244094" w:rsidP="00B3591D">
            <w:pPr>
              <w:keepNext/>
              <w:keepLines/>
              <w:jc w:val="center"/>
              <w:rPr>
                <w:rFonts w:cs="Arial"/>
                <w:sz w:val="20"/>
              </w:rPr>
            </w:pPr>
            <w:r>
              <w:rPr>
                <w:rFonts w:cs="Arial"/>
                <w:sz w:val="20"/>
              </w:rPr>
              <w:t>2014/15</w:t>
            </w:r>
          </w:p>
        </w:tc>
      </w:tr>
      <w:tr w:rsidR="00244094" w:rsidRPr="00693594" w:rsidTr="00D85F05">
        <w:trPr>
          <w:cantSplit/>
          <w:trHeight w:val="145"/>
        </w:trPr>
        <w:tc>
          <w:tcPr>
            <w:tcW w:w="4253" w:type="dxa"/>
          </w:tcPr>
          <w:p w:rsidR="00244094" w:rsidRPr="00693594" w:rsidRDefault="00244094" w:rsidP="00B3591D">
            <w:pPr>
              <w:keepNext/>
              <w:keepLines/>
              <w:jc w:val="left"/>
              <w:rPr>
                <w:rFonts w:cs="Arial"/>
                <w:sz w:val="20"/>
              </w:rPr>
            </w:pPr>
            <w:r>
              <w:rPr>
                <w:rFonts w:cs="Arial"/>
                <w:sz w:val="20"/>
              </w:rPr>
              <w:t>Conduct CAPEX and OPEX analysis including consequential OPEX due to CAPEX</w:t>
            </w:r>
          </w:p>
        </w:tc>
        <w:tc>
          <w:tcPr>
            <w:tcW w:w="992" w:type="dxa"/>
          </w:tcPr>
          <w:p w:rsidR="00244094" w:rsidRPr="00693594" w:rsidRDefault="00244094" w:rsidP="00B3591D">
            <w:pPr>
              <w:keepNext/>
              <w:keepLines/>
              <w:jc w:val="center"/>
              <w:rPr>
                <w:rFonts w:cs="Arial"/>
                <w:sz w:val="20"/>
              </w:rPr>
            </w:pPr>
            <w:r>
              <w:rPr>
                <w:rFonts w:cs="Arial"/>
                <w:sz w:val="20"/>
              </w:rPr>
              <w:t>Very High</w:t>
            </w:r>
          </w:p>
        </w:tc>
        <w:tc>
          <w:tcPr>
            <w:tcW w:w="2835" w:type="dxa"/>
            <w:gridSpan w:val="2"/>
          </w:tcPr>
          <w:p w:rsidR="00244094" w:rsidRPr="00693594" w:rsidRDefault="00244094" w:rsidP="00B3591D">
            <w:pPr>
              <w:keepNext/>
              <w:keepLines/>
              <w:jc w:val="left"/>
              <w:rPr>
                <w:rFonts w:cs="Arial"/>
                <w:sz w:val="20"/>
              </w:rPr>
            </w:pPr>
            <w:r>
              <w:rPr>
                <w:rFonts w:cs="Arial"/>
                <w:sz w:val="20"/>
              </w:rPr>
              <w:t>Sustainable Asset Management and external consultant</w:t>
            </w:r>
          </w:p>
        </w:tc>
        <w:tc>
          <w:tcPr>
            <w:tcW w:w="992" w:type="dxa"/>
          </w:tcPr>
          <w:p w:rsidR="00244094" w:rsidRPr="00693594" w:rsidRDefault="00244094" w:rsidP="00B3591D">
            <w:pPr>
              <w:keepNext/>
              <w:keepLines/>
              <w:jc w:val="center"/>
              <w:rPr>
                <w:rFonts w:cs="Arial"/>
                <w:sz w:val="20"/>
              </w:rPr>
            </w:pPr>
            <w:r>
              <w:rPr>
                <w:rFonts w:cs="Arial"/>
                <w:sz w:val="20"/>
              </w:rPr>
              <w:t>201</w:t>
            </w:r>
            <w:r w:rsidR="00BB3887">
              <w:rPr>
                <w:rFonts w:cs="Arial"/>
                <w:sz w:val="20"/>
              </w:rPr>
              <w:t>6</w:t>
            </w:r>
            <w:r>
              <w:rPr>
                <w:rFonts w:cs="Arial"/>
                <w:sz w:val="20"/>
              </w:rPr>
              <w:t>/1</w:t>
            </w:r>
            <w:r w:rsidR="00BB3887">
              <w:rPr>
                <w:rFonts w:cs="Arial"/>
                <w:sz w:val="20"/>
              </w:rPr>
              <w:t>7</w:t>
            </w:r>
          </w:p>
        </w:tc>
      </w:tr>
      <w:tr w:rsidR="00BB3887" w:rsidRPr="00693594" w:rsidTr="00D85F05">
        <w:trPr>
          <w:cantSplit/>
          <w:trHeight w:val="145"/>
        </w:trPr>
        <w:tc>
          <w:tcPr>
            <w:tcW w:w="4253" w:type="dxa"/>
            <w:tcBorders>
              <w:bottom w:val="single" w:sz="4" w:space="0" w:color="auto"/>
            </w:tcBorders>
          </w:tcPr>
          <w:p w:rsidR="00BB3887" w:rsidRPr="00693594" w:rsidRDefault="00BB3887" w:rsidP="00B3591D">
            <w:pPr>
              <w:keepNext/>
              <w:keepLines/>
              <w:jc w:val="left"/>
              <w:rPr>
                <w:rFonts w:cs="Arial"/>
                <w:sz w:val="20"/>
              </w:rPr>
            </w:pPr>
            <w:r>
              <w:rPr>
                <w:rFonts w:cs="Arial"/>
                <w:sz w:val="20"/>
              </w:rPr>
              <w:t xml:space="preserve">Review condition assessment and rating criteria consistent with industry practice and populate condition data in </w:t>
            </w:r>
            <w:r w:rsidR="00897C2D">
              <w:rPr>
                <w:rFonts w:cs="Arial"/>
                <w:sz w:val="20"/>
              </w:rPr>
              <w:t>TechnologyOne</w:t>
            </w:r>
          </w:p>
        </w:tc>
        <w:tc>
          <w:tcPr>
            <w:tcW w:w="992" w:type="dxa"/>
            <w:tcBorders>
              <w:bottom w:val="single" w:sz="4" w:space="0" w:color="auto"/>
            </w:tcBorders>
          </w:tcPr>
          <w:p w:rsidR="00BB3887" w:rsidRPr="00693594" w:rsidRDefault="00BB3887" w:rsidP="00B3591D">
            <w:pPr>
              <w:keepNext/>
              <w:keepLines/>
              <w:jc w:val="center"/>
              <w:rPr>
                <w:rFonts w:cs="Arial"/>
                <w:sz w:val="20"/>
              </w:rPr>
            </w:pPr>
            <w:r>
              <w:rPr>
                <w:rFonts w:cs="Arial"/>
                <w:sz w:val="20"/>
              </w:rPr>
              <w:t>Very High</w:t>
            </w:r>
          </w:p>
        </w:tc>
        <w:tc>
          <w:tcPr>
            <w:tcW w:w="2835" w:type="dxa"/>
            <w:gridSpan w:val="2"/>
            <w:tcBorders>
              <w:bottom w:val="single" w:sz="4" w:space="0" w:color="auto"/>
            </w:tcBorders>
          </w:tcPr>
          <w:p w:rsidR="00BB3887" w:rsidRPr="00693594" w:rsidRDefault="00BB3887" w:rsidP="00B3591D">
            <w:pPr>
              <w:keepNext/>
              <w:keepLines/>
              <w:jc w:val="left"/>
              <w:rPr>
                <w:rFonts w:cs="Arial"/>
                <w:sz w:val="20"/>
              </w:rPr>
            </w:pPr>
            <w:r>
              <w:rPr>
                <w:rFonts w:cs="Arial"/>
                <w:sz w:val="20"/>
              </w:rPr>
              <w:t>Sustainable Asset Management, Buildings and Property Branch and external consultant</w:t>
            </w:r>
          </w:p>
        </w:tc>
        <w:tc>
          <w:tcPr>
            <w:tcW w:w="992" w:type="dxa"/>
            <w:tcBorders>
              <w:bottom w:val="single" w:sz="4" w:space="0" w:color="auto"/>
            </w:tcBorders>
          </w:tcPr>
          <w:p w:rsidR="00BB3887" w:rsidRPr="00693594" w:rsidRDefault="00BB3887" w:rsidP="00B3591D">
            <w:pPr>
              <w:keepNext/>
              <w:keepLines/>
              <w:jc w:val="center"/>
              <w:rPr>
                <w:rFonts w:cs="Arial"/>
                <w:sz w:val="20"/>
              </w:rPr>
            </w:pPr>
            <w:r>
              <w:rPr>
                <w:rFonts w:cs="Arial"/>
                <w:sz w:val="20"/>
              </w:rPr>
              <w:t>2015/16</w:t>
            </w:r>
          </w:p>
        </w:tc>
      </w:tr>
      <w:tr w:rsidR="00BB3887" w:rsidRPr="00693594" w:rsidTr="00D85F05">
        <w:trPr>
          <w:cantSplit/>
          <w:trHeight w:val="145"/>
        </w:trPr>
        <w:tc>
          <w:tcPr>
            <w:tcW w:w="4253" w:type="dxa"/>
            <w:tcBorders>
              <w:bottom w:val="single" w:sz="4" w:space="0" w:color="auto"/>
            </w:tcBorders>
          </w:tcPr>
          <w:p w:rsidR="00BB3887" w:rsidRPr="00840C46" w:rsidRDefault="00BB3887" w:rsidP="00B3591D">
            <w:pPr>
              <w:jc w:val="left"/>
              <w:rPr>
                <w:rFonts w:cs="Arial"/>
                <w:sz w:val="20"/>
              </w:rPr>
            </w:pPr>
            <w:r w:rsidRPr="00840C46">
              <w:rPr>
                <w:rFonts w:cs="Arial"/>
                <w:sz w:val="20"/>
              </w:rPr>
              <w:t xml:space="preserve">Record </w:t>
            </w:r>
            <w:r>
              <w:rPr>
                <w:rFonts w:cs="Arial"/>
                <w:sz w:val="20"/>
              </w:rPr>
              <w:t>risk or criticality rating for each asset to link with renewal requirements</w:t>
            </w:r>
          </w:p>
        </w:tc>
        <w:tc>
          <w:tcPr>
            <w:tcW w:w="992" w:type="dxa"/>
            <w:tcBorders>
              <w:bottom w:val="single" w:sz="4" w:space="0" w:color="auto"/>
            </w:tcBorders>
          </w:tcPr>
          <w:p w:rsidR="00BB3887" w:rsidRPr="00693594" w:rsidRDefault="00BB3887" w:rsidP="00B3591D">
            <w:pPr>
              <w:jc w:val="center"/>
              <w:rPr>
                <w:rFonts w:cs="Arial"/>
                <w:sz w:val="20"/>
              </w:rPr>
            </w:pPr>
            <w:r>
              <w:rPr>
                <w:rFonts w:cs="Arial"/>
                <w:sz w:val="20"/>
              </w:rPr>
              <w:t>Very High</w:t>
            </w:r>
          </w:p>
        </w:tc>
        <w:tc>
          <w:tcPr>
            <w:tcW w:w="2835" w:type="dxa"/>
            <w:gridSpan w:val="2"/>
            <w:tcBorders>
              <w:bottom w:val="single" w:sz="4" w:space="0" w:color="auto"/>
            </w:tcBorders>
          </w:tcPr>
          <w:p w:rsidR="00BB3887" w:rsidRPr="00693594" w:rsidRDefault="00BB3887" w:rsidP="00B3591D">
            <w:pPr>
              <w:jc w:val="left"/>
              <w:rPr>
                <w:rFonts w:cs="Arial"/>
                <w:sz w:val="20"/>
              </w:rPr>
            </w:pPr>
            <w:r>
              <w:rPr>
                <w:rFonts w:cs="Arial"/>
                <w:sz w:val="20"/>
              </w:rPr>
              <w:t>Sustainable Asset Management and Buildings and Property Branch</w:t>
            </w:r>
          </w:p>
        </w:tc>
        <w:tc>
          <w:tcPr>
            <w:tcW w:w="992" w:type="dxa"/>
            <w:tcBorders>
              <w:bottom w:val="single" w:sz="4" w:space="0" w:color="auto"/>
            </w:tcBorders>
          </w:tcPr>
          <w:p w:rsidR="00BB3887" w:rsidRPr="00693594" w:rsidRDefault="00BB3887" w:rsidP="00B3591D">
            <w:pPr>
              <w:jc w:val="center"/>
              <w:rPr>
                <w:rFonts w:cs="Arial"/>
                <w:sz w:val="20"/>
              </w:rPr>
            </w:pPr>
            <w:r>
              <w:rPr>
                <w:rFonts w:cs="Arial"/>
                <w:sz w:val="20"/>
              </w:rPr>
              <w:t>2015/16</w:t>
            </w:r>
          </w:p>
        </w:tc>
      </w:tr>
      <w:tr w:rsidR="00BB3887" w:rsidRPr="00693594" w:rsidTr="00B3591D">
        <w:trPr>
          <w:cantSplit/>
          <w:trHeight w:val="145"/>
        </w:trPr>
        <w:tc>
          <w:tcPr>
            <w:tcW w:w="9072" w:type="dxa"/>
            <w:gridSpan w:val="5"/>
            <w:shd w:val="clear" w:color="auto" w:fill="D9D9D9" w:themeFill="background1" w:themeFillShade="D9"/>
          </w:tcPr>
          <w:p w:rsidR="00BB3887" w:rsidRPr="000F58D9" w:rsidRDefault="00BB3887" w:rsidP="00B3591D">
            <w:pPr>
              <w:spacing w:before="80" w:after="80"/>
              <w:jc w:val="center"/>
              <w:rPr>
                <w:rFonts w:cs="Arial"/>
                <w:b/>
                <w:sz w:val="20"/>
              </w:rPr>
            </w:pPr>
            <w:r>
              <w:rPr>
                <w:rFonts w:cs="Arial"/>
                <w:b/>
                <w:sz w:val="20"/>
              </w:rPr>
              <w:t>Organisational Capacity</w:t>
            </w:r>
          </w:p>
        </w:tc>
      </w:tr>
      <w:tr w:rsidR="00BB3887" w:rsidRPr="00693594" w:rsidTr="00EB65F3">
        <w:trPr>
          <w:cantSplit/>
          <w:trHeight w:val="145"/>
        </w:trPr>
        <w:tc>
          <w:tcPr>
            <w:tcW w:w="4253" w:type="dxa"/>
          </w:tcPr>
          <w:p w:rsidR="00BB3887" w:rsidRPr="00840C46" w:rsidRDefault="00BB3887" w:rsidP="00B3591D">
            <w:pPr>
              <w:jc w:val="left"/>
              <w:rPr>
                <w:rFonts w:cs="Arial"/>
                <w:sz w:val="20"/>
              </w:rPr>
            </w:pPr>
            <w:r w:rsidRPr="00840C46">
              <w:rPr>
                <w:rFonts w:cs="Arial"/>
                <w:sz w:val="20"/>
              </w:rPr>
              <w:t>Develop</w:t>
            </w:r>
            <w:r>
              <w:rPr>
                <w:rFonts w:cs="Arial"/>
                <w:sz w:val="20"/>
              </w:rPr>
              <w:t xml:space="preserve"> training programme and conduct skills transfer training workshops involving senior management te</w:t>
            </w:r>
            <w:r w:rsidR="00672A30">
              <w:rPr>
                <w:rFonts w:cs="Arial"/>
                <w:sz w:val="20"/>
              </w:rPr>
              <w:t>am, asset  management, project and</w:t>
            </w:r>
            <w:r>
              <w:rPr>
                <w:rFonts w:cs="Arial"/>
                <w:sz w:val="20"/>
              </w:rPr>
              <w:t xml:space="preserve"> service delivery teams</w:t>
            </w:r>
          </w:p>
        </w:tc>
        <w:tc>
          <w:tcPr>
            <w:tcW w:w="1014" w:type="dxa"/>
            <w:gridSpan w:val="2"/>
          </w:tcPr>
          <w:p w:rsidR="00BB3887" w:rsidRPr="00693594" w:rsidRDefault="00BB3887" w:rsidP="00B3591D">
            <w:pPr>
              <w:jc w:val="center"/>
              <w:rPr>
                <w:rFonts w:cs="Arial"/>
                <w:sz w:val="20"/>
              </w:rPr>
            </w:pPr>
            <w:r>
              <w:rPr>
                <w:rFonts w:cs="Arial"/>
                <w:sz w:val="20"/>
              </w:rPr>
              <w:t>Very High</w:t>
            </w:r>
          </w:p>
        </w:tc>
        <w:tc>
          <w:tcPr>
            <w:tcW w:w="2813" w:type="dxa"/>
          </w:tcPr>
          <w:p w:rsidR="00BB3887" w:rsidRPr="00693594" w:rsidRDefault="00BB3887" w:rsidP="00B3591D">
            <w:pPr>
              <w:jc w:val="left"/>
              <w:rPr>
                <w:rFonts w:cs="Arial"/>
                <w:sz w:val="20"/>
              </w:rPr>
            </w:pPr>
            <w:r>
              <w:rPr>
                <w:rFonts w:cs="Arial"/>
                <w:sz w:val="20"/>
              </w:rPr>
              <w:t>Sustainable Asset Management and external consultant</w:t>
            </w:r>
          </w:p>
        </w:tc>
        <w:tc>
          <w:tcPr>
            <w:tcW w:w="992" w:type="dxa"/>
          </w:tcPr>
          <w:p w:rsidR="00BB3887" w:rsidRPr="00693594" w:rsidRDefault="00672A30" w:rsidP="00B3591D">
            <w:pPr>
              <w:jc w:val="center"/>
              <w:rPr>
                <w:rFonts w:cs="Arial"/>
                <w:sz w:val="20"/>
              </w:rPr>
            </w:pPr>
            <w:r>
              <w:rPr>
                <w:rFonts w:cs="Arial"/>
                <w:sz w:val="20"/>
              </w:rPr>
              <w:t>Ongoing</w:t>
            </w:r>
          </w:p>
        </w:tc>
      </w:tr>
      <w:tr w:rsidR="00672A30" w:rsidRPr="00693594" w:rsidTr="00EB65F3">
        <w:trPr>
          <w:cantSplit/>
          <w:trHeight w:val="145"/>
        </w:trPr>
        <w:tc>
          <w:tcPr>
            <w:tcW w:w="4253" w:type="dxa"/>
          </w:tcPr>
          <w:p w:rsidR="00672A30" w:rsidRPr="00693594" w:rsidRDefault="00672A30" w:rsidP="00B3591D">
            <w:pPr>
              <w:jc w:val="left"/>
              <w:rPr>
                <w:rFonts w:cs="Arial"/>
                <w:sz w:val="20"/>
              </w:rPr>
            </w:pPr>
            <w:r>
              <w:rPr>
                <w:rFonts w:cs="Arial"/>
                <w:sz w:val="20"/>
              </w:rPr>
              <w:t>Review and update asset management plan production requirements and budgets over the next 4 years</w:t>
            </w:r>
          </w:p>
        </w:tc>
        <w:tc>
          <w:tcPr>
            <w:tcW w:w="1014" w:type="dxa"/>
            <w:gridSpan w:val="2"/>
          </w:tcPr>
          <w:p w:rsidR="00672A30" w:rsidRPr="00693594" w:rsidRDefault="00672A30" w:rsidP="00B3591D">
            <w:pPr>
              <w:jc w:val="center"/>
              <w:rPr>
                <w:rFonts w:cs="Arial"/>
                <w:sz w:val="20"/>
              </w:rPr>
            </w:pPr>
            <w:r>
              <w:rPr>
                <w:rFonts w:cs="Arial"/>
                <w:sz w:val="20"/>
              </w:rPr>
              <w:t>High</w:t>
            </w:r>
          </w:p>
        </w:tc>
        <w:tc>
          <w:tcPr>
            <w:tcW w:w="2813" w:type="dxa"/>
          </w:tcPr>
          <w:p w:rsidR="00672A30" w:rsidRPr="00693594" w:rsidRDefault="00672A30" w:rsidP="00B3591D">
            <w:pPr>
              <w:jc w:val="left"/>
              <w:rPr>
                <w:rFonts w:cs="Arial"/>
                <w:sz w:val="20"/>
              </w:rPr>
            </w:pPr>
            <w:r>
              <w:rPr>
                <w:rFonts w:cs="Arial"/>
                <w:sz w:val="20"/>
              </w:rPr>
              <w:t>Buildings and Property Branch</w:t>
            </w:r>
          </w:p>
        </w:tc>
        <w:tc>
          <w:tcPr>
            <w:tcW w:w="992" w:type="dxa"/>
          </w:tcPr>
          <w:p w:rsidR="00672A30" w:rsidRPr="00693594" w:rsidRDefault="00672A30" w:rsidP="00B3591D">
            <w:pPr>
              <w:jc w:val="center"/>
              <w:rPr>
                <w:rFonts w:cs="Arial"/>
                <w:sz w:val="20"/>
              </w:rPr>
            </w:pPr>
            <w:r>
              <w:rPr>
                <w:rFonts w:cs="Arial"/>
                <w:sz w:val="20"/>
              </w:rPr>
              <w:t>Ongoing</w:t>
            </w:r>
          </w:p>
        </w:tc>
      </w:tr>
      <w:tr w:rsidR="00672A30" w:rsidRPr="00693594" w:rsidTr="00EB65F3">
        <w:trPr>
          <w:cantSplit/>
          <w:trHeight w:val="145"/>
        </w:trPr>
        <w:tc>
          <w:tcPr>
            <w:tcW w:w="4253" w:type="dxa"/>
          </w:tcPr>
          <w:p w:rsidR="00672A30" w:rsidRPr="00693594" w:rsidRDefault="00672A30" w:rsidP="00B3591D">
            <w:pPr>
              <w:jc w:val="left"/>
              <w:rPr>
                <w:rFonts w:cs="Arial"/>
                <w:sz w:val="20"/>
              </w:rPr>
            </w:pPr>
            <w:r>
              <w:rPr>
                <w:rFonts w:cs="Arial"/>
                <w:sz w:val="20"/>
              </w:rPr>
              <w:t>Review and update contract performance assessment and KPIs monitoring process</w:t>
            </w:r>
          </w:p>
        </w:tc>
        <w:tc>
          <w:tcPr>
            <w:tcW w:w="1014" w:type="dxa"/>
            <w:gridSpan w:val="2"/>
          </w:tcPr>
          <w:p w:rsidR="00672A30" w:rsidRPr="00693594" w:rsidRDefault="00672A30" w:rsidP="00B3591D">
            <w:pPr>
              <w:jc w:val="center"/>
              <w:rPr>
                <w:rFonts w:cs="Arial"/>
                <w:sz w:val="20"/>
              </w:rPr>
            </w:pPr>
            <w:r>
              <w:rPr>
                <w:rFonts w:cs="Arial"/>
                <w:sz w:val="20"/>
              </w:rPr>
              <w:t>High</w:t>
            </w:r>
          </w:p>
        </w:tc>
        <w:tc>
          <w:tcPr>
            <w:tcW w:w="2813" w:type="dxa"/>
          </w:tcPr>
          <w:p w:rsidR="00672A30" w:rsidRPr="00693594" w:rsidRDefault="00672A30" w:rsidP="00B3591D">
            <w:pPr>
              <w:jc w:val="left"/>
              <w:rPr>
                <w:rFonts w:cs="Arial"/>
                <w:sz w:val="20"/>
              </w:rPr>
            </w:pPr>
            <w:r>
              <w:rPr>
                <w:rFonts w:cs="Arial"/>
                <w:sz w:val="20"/>
              </w:rPr>
              <w:t>Buildings and Property Branch</w:t>
            </w:r>
          </w:p>
        </w:tc>
        <w:tc>
          <w:tcPr>
            <w:tcW w:w="992" w:type="dxa"/>
          </w:tcPr>
          <w:p w:rsidR="00672A30" w:rsidRPr="00693594" w:rsidRDefault="00672A30" w:rsidP="00B3591D">
            <w:pPr>
              <w:jc w:val="center"/>
              <w:rPr>
                <w:rFonts w:cs="Arial"/>
                <w:sz w:val="20"/>
              </w:rPr>
            </w:pPr>
            <w:r>
              <w:rPr>
                <w:rFonts w:cs="Arial"/>
                <w:sz w:val="20"/>
              </w:rPr>
              <w:t>Ongoing</w:t>
            </w:r>
          </w:p>
        </w:tc>
      </w:tr>
      <w:tr w:rsidR="00BB3887" w:rsidRPr="00693594" w:rsidTr="00EB65F3">
        <w:trPr>
          <w:cantSplit/>
          <w:trHeight w:val="145"/>
        </w:trPr>
        <w:tc>
          <w:tcPr>
            <w:tcW w:w="4253" w:type="dxa"/>
          </w:tcPr>
          <w:p w:rsidR="00BB3887" w:rsidRPr="00413618" w:rsidRDefault="00BB3887" w:rsidP="00B3591D">
            <w:pPr>
              <w:jc w:val="left"/>
              <w:rPr>
                <w:rFonts w:cs="Arial"/>
                <w:sz w:val="20"/>
              </w:rPr>
            </w:pPr>
            <w:r w:rsidRPr="00413618">
              <w:rPr>
                <w:rFonts w:cs="Arial"/>
                <w:sz w:val="20"/>
              </w:rPr>
              <w:t>Develop capacity</w:t>
            </w:r>
            <w:r>
              <w:rPr>
                <w:rFonts w:cs="Arial"/>
                <w:sz w:val="20"/>
              </w:rPr>
              <w:t xml:space="preserve"> or process to monitor the progress of improvement plan</w:t>
            </w:r>
          </w:p>
        </w:tc>
        <w:tc>
          <w:tcPr>
            <w:tcW w:w="1014" w:type="dxa"/>
            <w:gridSpan w:val="2"/>
          </w:tcPr>
          <w:p w:rsidR="00BB3887" w:rsidRPr="00693594" w:rsidRDefault="00BB3887" w:rsidP="00B3591D">
            <w:pPr>
              <w:jc w:val="center"/>
              <w:rPr>
                <w:rFonts w:cs="Arial"/>
                <w:sz w:val="20"/>
              </w:rPr>
            </w:pPr>
            <w:r>
              <w:rPr>
                <w:rFonts w:cs="Arial"/>
                <w:sz w:val="20"/>
              </w:rPr>
              <w:t>High</w:t>
            </w:r>
          </w:p>
        </w:tc>
        <w:tc>
          <w:tcPr>
            <w:tcW w:w="2813" w:type="dxa"/>
          </w:tcPr>
          <w:p w:rsidR="00BB3887" w:rsidRPr="00693594" w:rsidRDefault="00BB3887" w:rsidP="00B3591D">
            <w:pPr>
              <w:jc w:val="left"/>
              <w:rPr>
                <w:rFonts w:cs="Arial"/>
                <w:sz w:val="20"/>
              </w:rPr>
            </w:pPr>
            <w:r>
              <w:rPr>
                <w:rFonts w:cs="Arial"/>
                <w:sz w:val="20"/>
              </w:rPr>
              <w:t>Sustainable Asset Management team</w:t>
            </w:r>
          </w:p>
        </w:tc>
        <w:tc>
          <w:tcPr>
            <w:tcW w:w="992" w:type="dxa"/>
          </w:tcPr>
          <w:p w:rsidR="00BB3887" w:rsidRPr="00693594" w:rsidRDefault="00BB3887" w:rsidP="00B3591D">
            <w:pPr>
              <w:jc w:val="center"/>
              <w:rPr>
                <w:rFonts w:cs="Arial"/>
                <w:sz w:val="20"/>
              </w:rPr>
            </w:pPr>
            <w:r>
              <w:rPr>
                <w:rFonts w:cs="Arial"/>
                <w:sz w:val="20"/>
              </w:rPr>
              <w:t>Ongoing</w:t>
            </w:r>
          </w:p>
        </w:tc>
      </w:tr>
    </w:tbl>
    <w:p w:rsidR="00643860" w:rsidRDefault="00643860" w:rsidP="00643860">
      <w:pPr>
        <w:pStyle w:val="Caption"/>
        <w:spacing w:before="240" w:after="240"/>
        <w:ind w:left="720"/>
        <w:jc w:val="center"/>
        <w:rPr>
          <w:rFonts w:ascii="Arial" w:hAnsi="Arial"/>
          <w:i w:val="0"/>
          <w:iCs w:val="0"/>
          <w:sz w:val="18"/>
          <w:szCs w:val="18"/>
          <w:lang w:val="en-AU"/>
        </w:rPr>
      </w:pPr>
      <w:bookmarkStart w:id="831" w:name="_Toc359507574"/>
      <w:bookmarkStart w:id="832" w:name="_Toc364945464"/>
      <w:r w:rsidRPr="00A249BF">
        <w:rPr>
          <w:rFonts w:ascii="Arial" w:hAnsi="Arial"/>
          <w:i w:val="0"/>
          <w:iCs w:val="0"/>
          <w:sz w:val="18"/>
          <w:szCs w:val="18"/>
          <w:lang w:val="en-AU"/>
        </w:rPr>
        <w:t xml:space="preserve">Table </w:t>
      </w:r>
      <w:r w:rsidR="0090414C" w:rsidRPr="00A249BF">
        <w:rPr>
          <w:rFonts w:ascii="Arial" w:hAnsi="Arial"/>
          <w:i w:val="0"/>
          <w:iCs w:val="0"/>
          <w:sz w:val="18"/>
          <w:szCs w:val="18"/>
          <w:lang w:val="en-AU"/>
        </w:rPr>
        <w:fldChar w:fldCharType="begin"/>
      </w:r>
      <w:r w:rsidRPr="00A249BF">
        <w:rPr>
          <w:rFonts w:ascii="Arial" w:hAnsi="Arial"/>
          <w:i w:val="0"/>
          <w:iCs w:val="0"/>
          <w:sz w:val="18"/>
          <w:szCs w:val="18"/>
          <w:lang w:val="en-AU"/>
        </w:rPr>
        <w:instrText xml:space="preserve"> SEQ Table \* ARABIC </w:instrText>
      </w:r>
      <w:r w:rsidR="0090414C" w:rsidRPr="00A249BF">
        <w:rPr>
          <w:rFonts w:ascii="Arial" w:hAnsi="Arial"/>
          <w:i w:val="0"/>
          <w:iCs w:val="0"/>
          <w:sz w:val="18"/>
          <w:szCs w:val="18"/>
          <w:lang w:val="en-AU"/>
        </w:rPr>
        <w:fldChar w:fldCharType="separate"/>
      </w:r>
      <w:r w:rsidR="00751CEC">
        <w:rPr>
          <w:rFonts w:ascii="Arial" w:hAnsi="Arial"/>
          <w:i w:val="0"/>
          <w:iCs w:val="0"/>
          <w:noProof/>
          <w:sz w:val="18"/>
          <w:szCs w:val="18"/>
          <w:lang w:val="en-AU"/>
        </w:rPr>
        <w:t>60</w:t>
      </w:r>
      <w:r w:rsidR="0090414C" w:rsidRPr="00A249BF">
        <w:rPr>
          <w:rFonts w:ascii="Arial" w:hAnsi="Arial"/>
          <w:i w:val="0"/>
          <w:iCs w:val="0"/>
          <w:sz w:val="18"/>
          <w:szCs w:val="18"/>
          <w:lang w:val="en-AU"/>
        </w:rPr>
        <w:fldChar w:fldCharType="end"/>
      </w:r>
      <w:r w:rsidRPr="00A249BF">
        <w:rPr>
          <w:rFonts w:ascii="Arial" w:hAnsi="Arial"/>
          <w:i w:val="0"/>
          <w:iCs w:val="0"/>
          <w:sz w:val="18"/>
          <w:szCs w:val="18"/>
          <w:lang w:val="en-AU"/>
        </w:rPr>
        <w:t>:</w:t>
      </w:r>
      <w:r>
        <w:rPr>
          <w:rFonts w:ascii="Arial" w:hAnsi="Arial"/>
          <w:i w:val="0"/>
          <w:iCs w:val="0"/>
          <w:sz w:val="18"/>
          <w:szCs w:val="18"/>
          <w:lang w:val="en-AU"/>
        </w:rPr>
        <w:t xml:space="preserve"> </w:t>
      </w:r>
      <w:r w:rsidR="005419D7">
        <w:rPr>
          <w:rFonts w:ascii="Arial" w:hAnsi="Arial"/>
          <w:i w:val="0"/>
          <w:iCs w:val="0"/>
          <w:sz w:val="18"/>
          <w:szCs w:val="18"/>
          <w:lang w:val="en-AU"/>
        </w:rPr>
        <w:t xml:space="preserve"> 4 </w:t>
      </w:r>
      <w:r w:rsidRPr="00A249BF">
        <w:rPr>
          <w:rFonts w:ascii="Arial" w:hAnsi="Arial"/>
          <w:i w:val="0"/>
          <w:iCs w:val="0"/>
          <w:sz w:val="18"/>
          <w:szCs w:val="18"/>
          <w:lang w:val="en-AU"/>
        </w:rPr>
        <w:t>Year Improvement Plan</w:t>
      </w:r>
      <w:bookmarkEnd w:id="831"/>
      <w:bookmarkEnd w:id="832"/>
    </w:p>
    <w:p w:rsidR="00643860" w:rsidRPr="00CF2212" w:rsidRDefault="00643860" w:rsidP="00643860">
      <w:pPr>
        <w:pStyle w:val="Heading2"/>
      </w:pPr>
      <w:bookmarkStart w:id="833" w:name="_Toc360630256"/>
      <w:bookmarkStart w:id="834" w:name="_Toc364945364"/>
      <w:r w:rsidRPr="00CF2212">
        <w:t>Improvement Monitoring</w:t>
      </w:r>
      <w:bookmarkEnd w:id="833"/>
      <w:bookmarkEnd w:id="834"/>
    </w:p>
    <w:p w:rsidR="00643860" w:rsidRPr="00CD7D4F" w:rsidRDefault="00643860" w:rsidP="00643860">
      <w:r w:rsidRPr="00CD7D4F">
        <w:t>Regular monitoring of asset management activities and of the asset management plan itself will need t</w:t>
      </w:r>
      <w:r>
        <w:t>o be carried out to ensure that Yarra</w:t>
      </w:r>
      <w:r w:rsidRPr="00CD7D4F">
        <w:t xml:space="preserve"> </w:t>
      </w:r>
      <w:r>
        <w:t xml:space="preserve">City Council </w:t>
      </w:r>
      <w:r w:rsidRPr="00CD7D4F">
        <w:t>meets its legislative requirements and strategic priorities. The following table presents the monitoring activities currently planned in relation to this asset management plan.</w:t>
      </w:r>
    </w:p>
    <w:p w:rsidR="00643860" w:rsidRDefault="00643860" w:rsidP="00643860"/>
    <w:tbl>
      <w:tblPr>
        <w:tblW w:w="9072" w:type="dxa"/>
        <w:tblInd w:w="108" w:type="dxa"/>
        <w:tblBorders>
          <w:top w:val="single" w:sz="4" w:space="0" w:color="FFFFFF"/>
          <w:left w:val="single" w:sz="4" w:space="0" w:color="FFFFFF"/>
          <w:bottom w:val="single" w:sz="4" w:space="0" w:color="FFFFFF"/>
          <w:right w:val="single" w:sz="4" w:space="0" w:color="FFFFFF"/>
          <w:insideV w:val="single" w:sz="4" w:space="0" w:color="FFFFFF"/>
        </w:tblBorders>
        <w:shd w:val="clear" w:color="auto" w:fill="F2F2F2"/>
        <w:tblLayout w:type="fixed"/>
        <w:tblLook w:val="0000" w:firstRow="0" w:lastRow="0" w:firstColumn="0" w:lastColumn="0" w:noHBand="0" w:noVBand="0"/>
      </w:tblPr>
      <w:tblGrid>
        <w:gridCol w:w="1276"/>
        <w:gridCol w:w="5387"/>
        <w:gridCol w:w="2409"/>
      </w:tblGrid>
      <w:tr w:rsidR="000A75D1" w:rsidRPr="00377A71" w:rsidTr="00B3591D">
        <w:trPr>
          <w:cantSplit/>
          <w:tblHeader/>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5B3D7" w:themeFill="accent1" w:themeFillTint="99"/>
          </w:tcPr>
          <w:p w:rsidR="000A75D1" w:rsidRPr="00377A71" w:rsidRDefault="000A75D1" w:rsidP="004247DA">
            <w:pPr>
              <w:spacing w:before="120" w:after="120"/>
              <w:rPr>
                <w:b/>
              </w:rPr>
            </w:pPr>
            <w:r w:rsidRPr="00377A71">
              <w:rPr>
                <w:b/>
              </w:rPr>
              <w:t>Frequency</w:t>
            </w:r>
          </w:p>
        </w:tc>
        <w:tc>
          <w:tcPr>
            <w:tcW w:w="53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5B3D7" w:themeFill="accent1" w:themeFillTint="99"/>
          </w:tcPr>
          <w:p w:rsidR="000A75D1" w:rsidRPr="00377A71" w:rsidRDefault="000A75D1" w:rsidP="008473C2">
            <w:pPr>
              <w:spacing w:before="120" w:after="120"/>
              <w:rPr>
                <w:b/>
              </w:rPr>
            </w:pPr>
            <w:r w:rsidRPr="00377A71">
              <w:rPr>
                <w:b/>
              </w:rPr>
              <w:t>Monitoring/Review Task</w:t>
            </w: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5B3D7" w:themeFill="accent1" w:themeFillTint="99"/>
          </w:tcPr>
          <w:p w:rsidR="000A75D1" w:rsidRPr="00377A71" w:rsidRDefault="000A75D1" w:rsidP="004247DA">
            <w:pPr>
              <w:spacing w:before="120" w:after="120"/>
              <w:rPr>
                <w:b/>
              </w:rPr>
            </w:pPr>
            <w:r w:rsidRPr="00377A71">
              <w:rPr>
                <w:b/>
              </w:rPr>
              <w:t>Report</w:t>
            </w:r>
          </w:p>
        </w:tc>
      </w:tr>
      <w:tr w:rsidR="000A75D1" w:rsidRPr="00377A71" w:rsidTr="00B3591D">
        <w:trPr>
          <w:cantSplit/>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0A75D1" w:rsidRPr="00377A71" w:rsidRDefault="000A75D1" w:rsidP="004247DA">
            <w:pPr>
              <w:spacing w:before="120" w:after="120"/>
            </w:pPr>
            <w:r w:rsidRPr="00377A71">
              <w:t>Quarterly</w:t>
            </w:r>
          </w:p>
        </w:tc>
        <w:tc>
          <w:tcPr>
            <w:tcW w:w="53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0A75D1" w:rsidRPr="00377A71" w:rsidRDefault="000A75D1" w:rsidP="004247DA">
            <w:pPr>
              <w:spacing w:before="120" w:after="120"/>
              <w:jc w:val="left"/>
            </w:pPr>
            <w:r w:rsidRPr="00377A71">
              <w:t>To keep the improvement plan on the senior management team agenda in order to ensure performance measures are being implemented and improvements are being made.</w:t>
            </w: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0A75D1" w:rsidRPr="00377A71" w:rsidRDefault="000A75D1" w:rsidP="00AC5FD2">
            <w:pPr>
              <w:spacing w:before="120" w:after="120"/>
              <w:jc w:val="left"/>
            </w:pPr>
            <w:r w:rsidRPr="00377A71">
              <w:t xml:space="preserve">Executive Group </w:t>
            </w:r>
            <w:r>
              <w:t>and</w:t>
            </w:r>
            <w:r w:rsidRPr="00377A71">
              <w:t xml:space="preserve"> </w:t>
            </w:r>
            <w:r w:rsidR="00AC5FD2">
              <w:t>Asset Management Steering Group</w:t>
            </w:r>
            <w:r w:rsidR="00AC5FD2" w:rsidRPr="00377A71">
              <w:t xml:space="preserve"> </w:t>
            </w:r>
          </w:p>
        </w:tc>
      </w:tr>
      <w:tr w:rsidR="000A75D1" w:rsidRPr="00377A71" w:rsidTr="00B3591D">
        <w:trPr>
          <w:cantSplit/>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0A75D1" w:rsidRPr="00377A71" w:rsidRDefault="000A75D1" w:rsidP="004247DA">
            <w:pPr>
              <w:spacing w:before="120" w:after="120"/>
            </w:pPr>
            <w:r>
              <w:t>Annually</w:t>
            </w:r>
            <w:r>
              <w:br/>
            </w:r>
            <w:r w:rsidRPr="00377A71">
              <w:t>(yearly)</w:t>
            </w:r>
          </w:p>
        </w:tc>
        <w:tc>
          <w:tcPr>
            <w:tcW w:w="53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0A75D1" w:rsidRPr="00377A71" w:rsidRDefault="000A75D1" w:rsidP="004247DA">
            <w:pPr>
              <w:spacing w:before="120" w:after="120"/>
              <w:jc w:val="left"/>
            </w:pPr>
            <w:r w:rsidRPr="00377A71">
              <w:t xml:space="preserve">Annual monitoring of service levels. </w:t>
            </w:r>
          </w:p>
          <w:p w:rsidR="000A75D1" w:rsidRPr="00377A71" w:rsidRDefault="000A75D1" w:rsidP="004247DA">
            <w:pPr>
              <w:spacing w:before="120" w:after="120"/>
              <w:jc w:val="left"/>
            </w:pPr>
            <w:r w:rsidRPr="00377A71">
              <w:t xml:space="preserve">Internal review of the Asset Management Plan </w:t>
            </w:r>
          </w:p>
          <w:p w:rsidR="000A75D1" w:rsidRPr="00377A71" w:rsidRDefault="000A75D1" w:rsidP="004247DA">
            <w:pPr>
              <w:spacing w:before="120" w:after="120"/>
              <w:jc w:val="left"/>
            </w:pPr>
            <w:r w:rsidRPr="00377A71">
              <w:t xml:space="preserve">Monitor the annual expenditure of capital and maintenance works against the forecast. </w:t>
            </w:r>
          </w:p>
          <w:p w:rsidR="000A75D1" w:rsidRPr="00377A71" w:rsidRDefault="000A75D1" w:rsidP="004247DA">
            <w:pPr>
              <w:spacing w:before="120" w:after="120"/>
              <w:jc w:val="left"/>
            </w:pPr>
            <w:r w:rsidRPr="00377A71">
              <w:t xml:space="preserve">Monitor the actual renewal requirement against work completed. </w:t>
            </w:r>
          </w:p>
          <w:p w:rsidR="000A75D1" w:rsidRPr="00377A71" w:rsidRDefault="000A75D1" w:rsidP="000B68CF">
            <w:pPr>
              <w:spacing w:before="120" w:after="120"/>
              <w:jc w:val="left"/>
            </w:pPr>
            <w:r w:rsidRPr="00377A71">
              <w:t>Any noticeable change in A</w:t>
            </w:r>
            <w:r w:rsidR="000B68CF">
              <w:t>sset Management</w:t>
            </w:r>
            <w:r w:rsidRPr="00377A71">
              <w:t xml:space="preserve"> practices introduced through the annual plan.</w:t>
            </w: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AC5FD2" w:rsidRDefault="000A75D1" w:rsidP="004247DA">
            <w:pPr>
              <w:spacing w:before="120" w:after="120"/>
              <w:jc w:val="left"/>
            </w:pPr>
            <w:r>
              <w:t>Executive Group and</w:t>
            </w:r>
            <w:r w:rsidRPr="00377A71">
              <w:t xml:space="preserve"> </w:t>
            </w:r>
            <w:r w:rsidR="00AC5FD2">
              <w:t>Asset Management Steering Group</w:t>
            </w:r>
            <w:r w:rsidR="00AC5FD2" w:rsidRPr="00377A71">
              <w:t xml:space="preserve"> </w:t>
            </w:r>
          </w:p>
          <w:p w:rsidR="000A75D1" w:rsidRPr="00377A71" w:rsidRDefault="000A75D1" w:rsidP="004247DA">
            <w:pPr>
              <w:spacing w:before="120" w:after="120"/>
              <w:jc w:val="left"/>
            </w:pPr>
            <w:r w:rsidRPr="00377A71">
              <w:t>Budget and Service Plan Review.</w:t>
            </w:r>
          </w:p>
          <w:p w:rsidR="000A75D1" w:rsidRPr="00377A71" w:rsidRDefault="000A75D1" w:rsidP="004247DA">
            <w:pPr>
              <w:spacing w:before="120" w:after="120"/>
              <w:jc w:val="left"/>
            </w:pPr>
            <w:r w:rsidRPr="00377A71">
              <w:t>Annual BAMP update.</w:t>
            </w:r>
          </w:p>
        </w:tc>
      </w:tr>
      <w:tr w:rsidR="000A75D1" w:rsidRPr="00377A71" w:rsidTr="00B3591D">
        <w:trPr>
          <w:cantSplit/>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0A75D1" w:rsidRPr="00377A71" w:rsidRDefault="000A75D1" w:rsidP="004247DA">
            <w:pPr>
              <w:spacing w:before="120" w:after="120"/>
            </w:pPr>
            <w:r w:rsidRPr="00377A71">
              <w:t>Four yearly</w:t>
            </w:r>
          </w:p>
        </w:tc>
        <w:tc>
          <w:tcPr>
            <w:tcW w:w="53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0A75D1" w:rsidRPr="00377A71" w:rsidRDefault="000A75D1" w:rsidP="004247DA">
            <w:pPr>
              <w:spacing w:before="120" w:after="120"/>
              <w:jc w:val="left"/>
            </w:pPr>
            <w:r w:rsidRPr="00377A71">
              <w:t>Four yearly review and update of Asset Management Plan (both internally and externally)</w:t>
            </w: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0A75D1" w:rsidRPr="00377A71" w:rsidRDefault="000A75D1" w:rsidP="004247DA">
            <w:pPr>
              <w:spacing w:before="120" w:after="120"/>
              <w:jc w:val="left"/>
            </w:pPr>
            <w:r w:rsidRPr="00377A71">
              <w:t>To Council following review and update.</w:t>
            </w:r>
          </w:p>
        </w:tc>
      </w:tr>
      <w:tr w:rsidR="000A75D1" w:rsidRPr="00377A71" w:rsidTr="00B3591D">
        <w:trPr>
          <w:cantSplit/>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0A75D1" w:rsidRPr="00377A71" w:rsidRDefault="000A75D1" w:rsidP="004247DA">
            <w:pPr>
              <w:spacing w:before="120" w:after="120"/>
            </w:pPr>
            <w:r w:rsidRPr="00377A71">
              <w:t>Ongoing</w:t>
            </w:r>
          </w:p>
        </w:tc>
        <w:tc>
          <w:tcPr>
            <w:tcW w:w="53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0A75D1" w:rsidRPr="00377A71" w:rsidRDefault="000A75D1" w:rsidP="004247DA">
            <w:pPr>
              <w:spacing w:before="120" w:after="120"/>
              <w:jc w:val="left"/>
            </w:pPr>
            <w:r w:rsidRPr="00377A71">
              <w:t>Quality Assurance (QA) audits of asset information to ensure the integrity and cost effectiveness of data collected.</w:t>
            </w:r>
          </w:p>
          <w:p w:rsidR="000A75D1" w:rsidRPr="00377A71" w:rsidRDefault="000A75D1" w:rsidP="004247DA">
            <w:pPr>
              <w:spacing w:before="120" w:after="120"/>
              <w:jc w:val="left"/>
            </w:pPr>
            <w:r w:rsidRPr="00377A71">
              <w:t xml:space="preserve">Periodic internal audits should be undertaken to assess the adequacy of asset management processes, systems and data as they are implemented. </w:t>
            </w: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0A75D1" w:rsidRPr="00377A71" w:rsidRDefault="000A75D1" w:rsidP="00AC5FD2">
            <w:pPr>
              <w:spacing w:before="120" w:after="120"/>
              <w:jc w:val="left"/>
            </w:pPr>
            <w:r>
              <w:t>Executive Group and</w:t>
            </w:r>
            <w:r w:rsidRPr="00377A71">
              <w:t xml:space="preserve"> </w:t>
            </w:r>
            <w:r w:rsidR="00AC5FD2">
              <w:t>Asset Management Steering Group</w:t>
            </w:r>
            <w:r w:rsidR="00AC5FD2" w:rsidRPr="00377A71">
              <w:t xml:space="preserve"> </w:t>
            </w:r>
          </w:p>
        </w:tc>
      </w:tr>
    </w:tbl>
    <w:p w:rsidR="00643860" w:rsidRPr="0002409D" w:rsidRDefault="00643860" w:rsidP="00FC370B">
      <w:pPr>
        <w:pStyle w:val="Caption"/>
        <w:spacing w:before="240" w:after="240"/>
        <w:ind w:left="0"/>
        <w:jc w:val="center"/>
        <w:rPr>
          <w:rFonts w:ascii="Arial" w:hAnsi="Arial"/>
          <w:i w:val="0"/>
          <w:iCs w:val="0"/>
          <w:sz w:val="18"/>
          <w:szCs w:val="18"/>
          <w:lang w:val="en-AU"/>
        </w:rPr>
      </w:pPr>
      <w:bookmarkStart w:id="835" w:name="_Toc359507575"/>
      <w:bookmarkStart w:id="836" w:name="_Toc364945465"/>
      <w:r w:rsidRPr="0002409D">
        <w:rPr>
          <w:rFonts w:ascii="Arial" w:hAnsi="Arial"/>
          <w:i w:val="0"/>
          <w:iCs w:val="0"/>
          <w:sz w:val="18"/>
          <w:szCs w:val="18"/>
          <w:lang w:val="en-AU"/>
        </w:rPr>
        <w:t>Table</w:t>
      </w:r>
      <w:r>
        <w:rPr>
          <w:rFonts w:ascii="Arial" w:hAnsi="Arial"/>
          <w:i w:val="0"/>
          <w:iCs w:val="0"/>
          <w:sz w:val="18"/>
          <w:szCs w:val="18"/>
          <w:lang w:val="en-AU"/>
        </w:rPr>
        <w:t xml:space="preserve"> </w:t>
      </w:r>
      <w:r w:rsidR="0090414C" w:rsidRPr="0002409D">
        <w:rPr>
          <w:rFonts w:ascii="Arial" w:hAnsi="Arial"/>
          <w:i w:val="0"/>
          <w:iCs w:val="0"/>
          <w:sz w:val="18"/>
          <w:szCs w:val="18"/>
          <w:lang w:val="en-AU"/>
        </w:rPr>
        <w:fldChar w:fldCharType="begin"/>
      </w:r>
      <w:r w:rsidRPr="0002409D">
        <w:rPr>
          <w:rFonts w:ascii="Arial" w:hAnsi="Arial"/>
          <w:i w:val="0"/>
          <w:iCs w:val="0"/>
          <w:sz w:val="18"/>
          <w:szCs w:val="18"/>
          <w:lang w:val="en-AU"/>
        </w:rPr>
        <w:instrText xml:space="preserve"> SEQ Table \* ARABIC </w:instrText>
      </w:r>
      <w:r w:rsidR="0090414C" w:rsidRPr="0002409D">
        <w:rPr>
          <w:rFonts w:ascii="Arial" w:hAnsi="Arial"/>
          <w:i w:val="0"/>
          <w:iCs w:val="0"/>
          <w:sz w:val="18"/>
          <w:szCs w:val="18"/>
          <w:lang w:val="en-AU"/>
        </w:rPr>
        <w:fldChar w:fldCharType="separate"/>
      </w:r>
      <w:r w:rsidR="00751CEC">
        <w:rPr>
          <w:rFonts w:ascii="Arial" w:hAnsi="Arial"/>
          <w:i w:val="0"/>
          <w:iCs w:val="0"/>
          <w:noProof/>
          <w:sz w:val="18"/>
          <w:szCs w:val="18"/>
          <w:lang w:val="en-AU"/>
        </w:rPr>
        <w:t>61</w:t>
      </w:r>
      <w:r w:rsidR="0090414C" w:rsidRPr="0002409D">
        <w:rPr>
          <w:rFonts w:ascii="Arial" w:hAnsi="Arial"/>
          <w:i w:val="0"/>
          <w:iCs w:val="0"/>
          <w:sz w:val="18"/>
          <w:szCs w:val="18"/>
          <w:lang w:val="en-AU"/>
        </w:rPr>
        <w:fldChar w:fldCharType="end"/>
      </w:r>
      <w:r w:rsidRPr="0002409D">
        <w:rPr>
          <w:rFonts w:ascii="Arial" w:hAnsi="Arial"/>
          <w:i w:val="0"/>
          <w:iCs w:val="0"/>
          <w:sz w:val="18"/>
          <w:szCs w:val="18"/>
          <w:lang w:val="en-AU"/>
        </w:rPr>
        <w:t>:</w:t>
      </w:r>
      <w:r>
        <w:rPr>
          <w:rFonts w:ascii="Arial" w:hAnsi="Arial"/>
          <w:i w:val="0"/>
          <w:iCs w:val="0"/>
          <w:sz w:val="18"/>
          <w:szCs w:val="18"/>
          <w:lang w:val="en-AU"/>
        </w:rPr>
        <w:t xml:space="preserve"> </w:t>
      </w:r>
      <w:r w:rsidRPr="0002409D">
        <w:rPr>
          <w:rFonts w:ascii="Arial" w:hAnsi="Arial"/>
          <w:i w:val="0"/>
          <w:iCs w:val="0"/>
          <w:sz w:val="18"/>
          <w:szCs w:val="18"/>
          <w:lang w:val="en-AU"/>
        </w:rPr>
        <w:t xml:space="preserve"> Performance Monitoring</w:t>
      </w:r>
      <w:bookmarkEnd w:id="835"/>
      <w:bookmarkEnd w:id="836"/>
      <w:r w:rsidRPr="0002409D">
        <w:rPr>
          <w:rFonts w:ascii="Arial" w:hAnsi="Arial"/>
          <w:i w:val="0"/>
          <w:iCs w:val="0"/>
          <w:sz w:val="18"/>
          <w:szCs w:val="18"/>
          <w:lang w:val="en-AU"/>
        </w:rPr>
        <w:t xml:space="preserve"> </w:t>
      </w:r>
    </w:p>
    <w:p w:rsidR="00643860" w:rsidRPr="00CD7D4F" w:rsidRDefault="00643860" w:rsidP="00643860"/>
    <w:p w:rsidR="00643860" w:rsidRPr="00CD7D4F" w:rsidRDefault="00643860" w:rsidP="00643860"/>
    <w:p w:rsidR="00643860" w:rsidRDefault="00643860" w:rsidP="00643860"/>
    <w:p w:rsidR="00643860" w:rsidRDefault="00643860" w:rsidP="00643860">
      <w:pPr>
        <w:sectPr w:rsidR="00643860" w:rsidSect="00643860">
          <w:type w:val="oddPage"/>
          <w:pgSz w:w="11906" w:h="16838" w:code="9"/>
          <w:pgMar w:top="1418" w:right="1418" w:bottom="851" w:left="1418" w:header="284" w:footer="312" w:gutter="0"/>
          <w:cols w:space="720"/>
          <w:docGrid w:linePitch="360"/>
        </w:sectPr>
      </w:pPr>
    </w:p>
    <w:p w:rsidR="00643860" w:rsidRDefault="00643860" w:rsidP="00643860"/>
    <w:p w:rsidR="003D20CD" w:rsidRPr="00B64C8D" w:rsidRDefault="00643860" w:rsidP="00B64C8D">
      <w:pPr>
        <w:pStyle w:val="Heading4"/>
      </w:pPr>
      <w:bookmarkStart w:id="837" w:name="_Attachment_A:_"/>
      <w:bookmarkStart w:id="838" w:name="_Ref361081612"/>
      <w:bookmarkEnd w:id="837"/>
      <w:r w:rsidRPr="00113665">
        <w:t>Attachment A</w:t>
      </w:r>
      <w:r w:rsidR="00327C54" w:rsidRPr="00113665">
        <w:t xml:space="preserve">:  </w:t>
      </w:r>
      <w:r w:rsidR="00E93138">
        <w:t>List of Council-</w:t>
      </w:r>
      <w:r w:rsidR="003D20CD" w:rsidRPr="00113665">
        <w:t>Owned Properties</w:t>
      </w:r>
      <w:bookmarkEnd w:id="838"/>
    </w:p>
    <w:p w:rsidR="003D20CD" w:rsidRDefault="003D20CD" w:rsidP="00643860">
      <w:pPr>
        <w:rPr>
          <w:rStyle w:val="IntenseEmphasis"/>
          <w:i w:val="0"/>
          <w:color w:val="000000" w:themeColor="text1"/>
          <w:sz w:val="28"/>
        </w:rPr>
      </w:pPr>
    </w:p>
    <w:tbl>
      <w:tblPr>
        <w:tblW w:w="15314"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8"/>
        <w:gridCol w:w="2693"/>
        <w:gridCol w:w="2268"/>
        <w:gridCol w:w="1276"/>
        <w:gridCol w:w="1134"/>
        <w:gridCol w:w="1417"/>
        <w:gridCol w:w="2410"/>
        <w:gridCol w:w="3118"/>
      </w:tblGrid>
      <w:tr w:rsidR="00226205" w:rsidRPr="00226205" w:rsidTr="00B77D83">
        <w:trPr>
          <w:cantSplit/>
          <w:trHeight w:val="576"/>
          <w:tblHeader/>
        </w:trPr>
        <w:tc>
          <w:tcPr>
            <w:tcW w:w="998" w:type="dxa"/>
            <w:shd w:val="clear" w:color="000000" w:fill="D9D9D9"/>
            <w:hideMark/>
          </w:tcPr>
          <w:p w:rsidR="00226205" w:rsidRPr="00226205" w:rsidRDefault="00226205" w:rsidP="006918D2">
            <w:pPr>
              <w:jc w:val="center"/>
              <w:rPr>
                <w:rFonts w:ascii="Calibri" w:hAnsi="Calibri" w:cs="Calibri"/>
                <w:b/>
                <w:bCs/>
                <w:color w:val="000000"/>
                <w:sz w:val="18"/>
                <w:szCs w:val="18"/>
              </w:rPr>
            </w:pPr>
            <w:r w:rsidRPr="00226205">
              <w:rPr>
                <w:rFonts w:ascii="Calibri" w:hAnsi="Calibri" w:cs="Calibri"/>
                <w:b/>
                <w:bCs/>
                <w:color w:val="000000"/>
                <w:sz w:val="18"/>
                <w:szCs w:val="18"/>
              </w:rPr>
              <w:t>Asset</w:t>
            </w:r>
            <w:r w:rsidRPr="00226205">
              <w:rPr>
                <w:rFonts w:ascii="Calibri" w:hAnsi="Calibri" w:cs="Calibri"/>
                <w:b/>
                <w:bCs/>
                <w:color w:val="000000"/>
                <w:sz w:val="18"/>
                <w:szCs w:val="18"/>
              </w:rPr>
              <w:br/>
              <w:t>Number</w:t>
            </w:r>
          </w:p>
        </w:tc>
        <w:tc>
          <w:tcPr>
            <w:tcW w:w="2693" w:type="dxa"/>
            <w:shd w:val="clear" w:color="000000" w:fill="D9D9D9"/>
            <w:hideMark/>
          </w:tcPr>
          <w:p w:rsidR="00226205" w:rsidRPr="00226205" w:rsidRDefault="00226205" w:rsidP="00226205">
            <w:pPr>
              <w:jc w:val="center"/>
              <w:rPr>
                <w:rFonts w:ascii="Calibri" w:hAnsi="Calibri" w:cs="Calibri"/>
                <w:b/>
                <w:bCs/>
                <w:color w:val="000000"/>
                <w:sz w:val="18"/>
                <w:szCs w:val="18"/>
              </w:rPr>
            </w:pPr>
            <w:r w:rsidRPr="00226205">
              <w:rPr>
                <w:rFonts w:ascii="Calibri" w:hAnsi="Calibri" w:cs="Calibri"/>
                <w:b/>
                <w:bCs/>
                <w:color w:val="000000"/>
                <w:sz w:val="18"/>
                <w:szCs w:val="18"/>
              </w:rPr>
              <w:t>Photo</w:t>
            </w:r>
          </w:p>
        </w:tc>
        <w:tc>
          <w:tcPr>
            <w:tcW w:w="2268" w:type="dxa"/>
            <w:shd w:val="clear" w:color="000000" w:fill="D9D9D9"/>
            <w:hideMark/>
          </w:tcPr>
          <w:p w:rsidR="00226205" w:rsidRPr="00226205" w:rsidRDefault="00226205" w:rsidP="00A54993">
            <w:pPr>
              <w:jc w:val="left"/>
              <w:rPr>
                <w:rFonts w:ascii="Calibri" w:hAnsi="Calibri" w:cs="Calibri"/>
                <w:b/>
                <w:bCs/>
                <w:color w:val="000000"/>
                <w:sz w:val="18"/>
                <w:szCs w:val="18"/>
              </w:rPr>
            </w:pPr>
            <w:r w:rsidRPr="00226205">
              <w:rPr>
                <w:rFonts w:ascii="Calibri" w:hAnsi="Calibri" w:cs="Calibri"/>
                <w:b/>
                <w:bCs/>
                <w:color w:val="000000"/>
                <w:sz w:val="18"/>
                <w:szCs w:val="18"/>
              </w:rPr>
              <w:t>Asset Description</w:t>
            </w:r>
          </w:p>
        </w:tc>
        <w:tc>
          <w:tcPr>
            <w:tcW w:w="1276" w:type="dxa"/>
            <w:shd w:val="clear" w:color="000000" w:fill="D9D9D9"/>
            <w:hideMark/>
          </w:tcPr>
          <w:p w:rsidR="00226205" w:rsidRPr="00226205" w:rsidRDefault="00226205" w:rsidP="00226205">
            <w:pPr>
              <w:jc w:val="center"/>
              <w:rPr>
                <w:rFonts w:ascii="Calibri" w:hAnsi="Calibri" w:cs="Calibri"/>
                <w:b/>
                <w:bCs/>
                <w:color w:val="000000"/>
                <w:sz w:val="18"/>
                <w:szCs w:val="18"/>
              </w:rPr>
            </w:pPr>
            <w:r w:rsidRPr="00226205">
              <w:rPr>
                <w:rFonts w:ascii="Calibri" w:hAnsi="Calibri" w:cs="Calibri"/>
                <w:b/>
                <w:bCs/>
                <w:color w:val="000000"/>
                <w:sz w:val="18"/>
                <w:szCs w:val="18"/>
              </w:rPr>
              <w:t>Replacement</w:t>
            </w:r>
            <w:r w:rsidRPr="00226205">
              <w:rPr>
                <w:rFonts w:ascii="Calibri" w:hAnsi="Calibri" w:cs="Calibri"/>
                <w:b/>
                <w:bCs/>
                <w:color w:val="000000"/>
                <w:sz w:val="18"/>
                <w:szCs w:val="18"/>
              </w:rPr>
              <w:br/>
              <w:t>Cost Value</w:t>
            </w:r>
          </w:p>
        </w:tc>
        <w:tc>
          <w:tcPr>
            <w:tcW w:w="1134" w:type="dxa"/>
            <w:shd w:val="clear" w:color="000000" w:fill="D9D9D9"/>
            <w:hideMark/>
          </w:tcPr>
          <w:p w:rsidR="00226205" w:rsidRPr="00226205" w:rsidRDefault="00226205" w:rsidP="00226205">
            <w:pPr>
              <w:jc w:val="center"/>
              <w:rPr>
                <w:rFonts w:ascii="Calibri" w:hAnsi="Calibri" w:cs="Calibri"/>
                <w:b/>
                <w:bCs/>
                <w:color w:val="000000"/>
                <w:sz w:val="18"/>
                <w:szCs w:val="18"/>
              </w:rPr>
            </w:pPr>
            <w:r w:rsidRPr="00226205">
              <w:rPr>
                <w:rFonts w:ascii="Calibri" w:hAnsi="Calibri" w:cs="Calibri"/>
                <w:b/>
                <w:bCs/>
                <w:color w:val="000000"/>
                <w:sz w:val="18"/>
                <w:szCs w:val="18"/>
              </w:rPr>
              <w:t>Service</w:t>
            </w:r>
            <w:r w:rsidRPr="00226205">
              <w:rPr>
                <w:rFonts w:ascii="Calibri" w:hAnsi="Calibri" w:cs="Calibri"/>
                <w:b/>
                <w:bCs/>
                <w:color w:val="000000"/>
                <w:sz w:val="18"/>
                <w:szCs w:val="18"/>
              </w:rPr>
              <w:br/>
              <w:t>Category</w:t>
            </w:r>
          </w:p>
        </w:tc>
        <w:tc>
          <w:tcPr>
            <w:tcW w:w="1417" w:type="dxa"/>
            <w:shd w:val="clear" w:color="000000" w:fill="D9D9D9"/>
            <w:hideMark/>
          </w:tcPr>
          <w:p w:rsidR="00226205" w:rsidRPr="00226205" w:rsidRDefault="00226205" w:rsidP="00226205">
            <w:pPr>
              <w:jc w:val="center"/>
              <w:rPr>
                <w:rFonts w:ascii="Calibri" w:hAnsi="Calibri" w:cs="Calibri"/>
                <w:b/>
                <w:bCs/>
                <w:color w:val="000000"/>
                <w:sz w:val="18"/>
                <w:szCs w:val="18"/>
              </w:rPr>
            </w:pPr>
            <w:r w:rsidRPr="00226205">
              <w:rPr>
                <w:rFonts w:ascii="Calibri" w:hAnsi="Calibri" w:cs="Calibri"/>
                <w:b/>
                <w:bCs/>
                <w:color w:val="000000"/>
                <w:sz w:val="18"/>
                <w:szCs w:val="18"/>
              </w:rPr>
              <w:t>Primary</w:t>
            </w:r>
            <w:r w:rsidRPr="00226205">
              <w:rPr>
                <w:rFonts w:ascii="Calibri" w:hAnsi="Calibri" w:cs="Calibri"/>
                <w:b/>
                <w:bCs/>
                <w:color w:val="000000"/>
                <w:sz w:val="18"/>
                <w:szCs w:val="18"/>
              </w:rPr>
              <w:br/>
              <w:t>Use</w:t>
            </w:r>
          </w:p>
        </w:tc>
        <w:tc>
          <w:tcPr>
            <w:tcW w:w="2410" w:type="dxa"/>
            <w:shd w:val="clear" w:color="000000" w:fill="D9D9D9"/>
            <w:hideMark/>
          </w:tcPr>
          <w:p w:rsidR="00226205" w:rsidRPr="00226205" w:rsidRDefault="00226205" w:rsidP="00226205">
            <w:pPr>
              <w:jc w:val="center"/>
              <w:rPr>
                <w:rFonts w:ascii="Calibri" w:hAnsi="Calibri" w:cs="Calibri"/>
                <w:b/>
                <w:bCs/>
                <w:color w:val="000000"/>
                <w:sz w:val="18"/>
                <w:szCs w:val="18"/>
              </w:rPr>
            </w:pPr>
            <w:r w:rsidRPr="00226205">
              <w:rPr>
                <w:rFonts w:ascii="Calibri" w:hAnsi="Calibri" w:cs="Calibri"/>
                <w:b/>
                <w:bCs/>
                <w:color w:val="000000"/>
                <w:sz w:val="18"/>
                <w:szCs w:val="18"/>
              </w:rPr>
              <w:t>Comments from Asset Managers Following Condition Assessment</w:t>
            </w:r>
          </w:p>
        </w:tc>
        <w:tc>
          <w:tcPr>
            <w:tcW w:w="3118" w:type="dxa"/>
            <w:shd w:val="clear" w:color="000000" w:fill="D9D9D9"/>
            <w:hideMark/>
          </w:tcPr>
          <w:p w:rsidR="00226205" w:rsidRPr="00226205" w:rsidRDefault="00226205" w:rsidP="00226205">
            <w:pPr>
              <w:jc w:val="center"/>
              <w:rPr>
                <w:rFonts w:ascii="Calibri" w:hAnsi="Calibri" w:cs="Calibri"/>
                <w:b/>
                <w:bCs/>
                <w:color w:val="000000"/>
                <w:sz w:val="18"/>
                <w:szCs w:val="18"/>
              </w:rPr>
            </w:pPr>
            <w:r w:rsidRPr="00226205">
              <w:rPr>
                <w:rFonts w:ascii="Calibri" w:hAnsi="Calibri" w:cs="Calibri"/>
                <w:b/>
                <w:bCs/>
                <w:color w:val="000000"/>
                <w:sz w:val="18"/>
                <w:szCs w:val="18"/>
              </w:rPr>
              <w:t>Comments from Service Managers From Fitness For Purpose Assessment</w:t>
            </w:r>
          </w:p>
        </w:tc>
      </w:tr>
      <w:tr w:rsidR="00226205" w:rsidRPr="00226205" w:rsidTr="00B77D83">
        <w:trPr>
          <w:cantSplit/>
          <w:trHeight w:val="2496"/>
        </w:trPr>
        <w:tc>
          <w:tcPr>
            <w:tcW w:w="998" w:type="dxa"/>
            <w:shd w:val="clear" w:color="auto" w:fill="auto"/>
            <w:hideMark/>
          </w:tcPr>
          <w:p w:rsidR="00226205" w:rsidRPr="00226205" w:rsidRDefault="00226205" w:rsidP="006918D2">
            <w:pPr>
              <w:jc w:val="center"/>
              <w:rPr>
                <w:rFonts w:ascii="Calibri" w:hAnsi="Calibri" w:cs="Calibri"/>
                <w:color w:val="000000"/>
                <w:sz w:val="18"/>
                <w:szCs w:val="18"/>
              </w:rPr>
            </w:pPr>
            <w:r w:rsidRPr="00226205">
              <w:rPr>
                <w:rFonts w:ascii="Calibri" w:hAnsi="Calibri" w:cs="Calibri"/>
                <w:color w:val="000000"/>
                <w:sz w:val="18"/>
                <w:szCs w:val="18"/>
              </w:rPr>
              <w:t>B000001</w:t>
            </w:r>
          </w:p>
        </w:tc>
        <w:tc>
          <w:tcPr>
            <w:tcW w:w="2693" w:type="dxa"/>
            <w:shd w:val="clear" w:color="auto" w:fill="auto"/>
            <w:hideMark/>
          </w:tcPr>
          <w:p w:rsidR="00226205" w:rsidRPr="00226205" w:rsidRDefault="00226205" w:rsidP="00226205">
            <w:pPr>
              <w:rPr>
                <w:rFonts w:ascii="Calibri" w:hAnsi="Calibri" w:cs="Calibri"/>
                <w:color w:val="000000"/>
                <w:sz w:val="18"/>
                <w:szCs w:val="18"/>
              </w:rPr>
            </w:pPr>
            <w:r w:rsidRPr="00226205">
              <w:rPr>
                <w:rFonts w:ascii="Calibri" w:hAnsi="Calibri" w:cs="Calibri"/>
                <w:noProof/>
                <w:color w:val="000000"/>
                <w:sz w:val="18"/>
                <w:szCs w:val="18"/>
              </w:rPr>
              <w:drawing>
                <wp:anchor distT="0" distB="0" distL="114300" distR="114300" simplePos="0" relativeHeight="251691520" behindDoc="0" locked="0" layoutInCell="1" allowOverlap="1" wp14:anchorId="3D2D66AE" wp14:editId="11C907DE">
                  <wp:simplePos x="0" y="0"/>
                  <wp:positionH relativeFrom="column">
                    <wp:posOffset>-20955</wp:posOffset>
                  </wp:positionH>
                  <wp:positionV relativeFrom="paragraph">
                    <wp:posOffset>45720</wp:posOffset>
                  </wp:positionV>
                  <wp:extent cx="1630680" cy="1394460"/>
                  <wp:effectExtent l="0" t="0" r="0" b="0"/>
                  <wp:wrapNone/>
                  <wp:docPr id="18" name="Picture 18"/>
                  <wp:cNvGraphicFramePr/>
                  <a:graphic xmlns:a="http://schemas.openxmlformats.org/drawingml/2006/main">
                    <a:graphicData uri="http://schemas.openxmlformats.org/drawingml/2006/picture">
                      <pic:pic xmlns:pic="http://schemas.openxmlformats.org/drawingml/2006/picture">
                        <pic:nvPicPr>
                          <pic:cNvPr id="27" name="Picture 26"/>
                          <pic:cNvPicPr>
                            <a:picLocks noChangeAspect="1"/>
                          </pic:cNvPicPr>
                        </pic:nvPicPr>
                        <pic:blipFill>
                          <a:blip r:embed="rId84">
                            <a:extLst>
                              <a:ext uri="{28A0092B-C50C-407E-A947-70E740481C1C}">
                                <a14:useLocalDpi xmlns:a14="http://schemas.microsoft.com/office/drawing/2010/main" val="0"/>
                              </a:ext>
                            </a:extLst>
                          </a:blip>
                          <a:stretch>
                            <a:fillRect/>
                          </a:stretch>
                        </pic:blipFill>
                        <pic:spPr>
                          <a:xfrm>
                            <a:off x="0" y="0"/>
                            <a:ext cx="1630680" cy="1394460"/>
                          </a:xfrm>
                          <a:prstGeom prst="rect">
                            <a:avLst/>
                          </a:prstGeom>
                        </pic:spPr>
                      </pic:pic>
                    </a:graphicData>
                  </a:graphic>
                  <wp14:sizeRelH relativeFrom="page">
                    <wp14:pctWidth>0</wp14:pctWidth>
                  </wp14:sizeRelH>
                  <wp14:sizeRelV relativeFrom="page">
                    <wp14:pctHeight>0</wp14:pctHeight>
                  </wp14:sizeRelV>
                </wp:anchor>
              </w:drawing>
            </w:r>
          </w:p>
        </w:tc>
        <w:tc>
          <w:tcPr>
            <w:tcW w:w="2268" w:type="dxa"/>
            <w:shd w:val="clear" w:color="auto" w:fill="auto"/>
            <w:hideMark/>
          </w:tcPr>
          <w:p w:rsidR="00226205" w:rsidRPr="00226205" w:rsidRDefault="00226205" w:rsidP="00A54993">
            <w:pPr>
              <w:jc w:val="left"/>
              <w:rPr>
                <w:rFonts w:ascii="Calibri" w:hAnsi="Calibri" w:cs="Calibri"/>
                <w:color w:val="000000"/>
                <w:sz w:val="18"/>
                <w:szCs w:val="18"/>
              </w:rPr>
            </w:pPr>
            <w:r w:rsidRPr="00226205">
              <w:rPr>
                <w:rFonts w:ascii="Calibri" w:hAnsi="Calibri" w:cs="Calibri"/>
                <w:color w:val="000000"/>
                <w:sz w:val="18"/>
                <w:szCs w:val="18"/>
              </w:rPr>
              <w:t>Collingwood Library- 7 – 11 Stanton St, Abbotsford</w:t>
            </w:r>
          </w:p>
        </w:tc>
        <w:tc>
          <w:tcPr>
            <w:tcW w:w="1276" w:type="dxa"/>
            <w:shd w:val="clear" w:color="auto" w:fill="auto"/>
            <w:hideMark/>
          </w:tcPr>
          <w:p w:rsidR="00226205" w:rsidRPr="00226205" w:rsidRDefault="00226205" w:rsidP="009965C5">
            <w:pPr>
              <w:tabs>
                <w:tab w:val="decimal" w:pos="884"/>
              </w:tabs>
              <w:jc w:val="left"/>
              <w:rPr>
                <w:rFonts w:ascii="Calibri" w:hAnsi="Calibri" w:cs="Calibri"/>
                <w:color w:val="000000"/>
                <w:sz w:val="18"/>
                <w:szCs w:val="18"/>
              </w:rPr>
            </w:pPr>
            <w:r w:rsidRPr="00226205">
              <w:rPr>
                <w:rFonts w:ascii="Calibri" w:hAnsi="Calibri" w:cs="Calibri"/>
                <w:color w:val="000000"/>
                <w:sz w:val="18"/>
                <w:szCs w:val="18"/>
              </w:rPr>
              <w:t>$1,832,740</w:t>
            </w:r>
          </w:p>
        </w:tc>
        <w:tc>
          <w:tcPr>
            <w:tcW w:w="1134" w:type="dxa"/>
            <w:shd w:val="clear" w:color="auto" w:fill="auto"/>
            <w:hideMark/>
          </w:tcPr>
          <w:p w:rsidR="00226205" w:rsidRPr="00226205" w:rsidRDefault="00226205" w:rsidP="00226205">
            <w:pPr>
              <w:jc w:val="center"/>
              <w:rPr>
                <w:rFonts w:ascii="Calibri" w:hAnsi="Calibri" w:cs="Calibri"/>
                <w:color w:val="000000"/>
                <w:sz w:val="18"/>
                <w:szCs w:val="18"/>
              </w:rPr>
            </w:pPr>
            <w:r w:rsidRPr="00226205">
              <w:rPr>
                <w:rFonts w:ascii="Calibri" w:hAnsi="Calibri" w:cs="Calibri"/>
                <w:color w:val="000000"/>
                <w:sz w:val="18"/>
                <w:szCs w:val="18"/>
              </w:rPr>
              <w:t>Community Services</w:t>
            </w:r>
          </w:p>
        </w:tc>
        <w:tc>
          <w:tcPr>
            <w:tcW w:w="1417" w:type="dxa"/>
            <w:shd w:val="clear" w:color="auto" w:fill="auto"/>
            <w:hideMark/>
          </w:tcPr>
          <w:p w:rsidR="00226205" w:rsidRPr="00226205" w:rsidRDefault="00226205" w:rsidP="00226205">
            <w:pPr>
              <w:jc w:val="center"/>
              <w:rPr>
                <w:rFonts w:ascii="Calibri" w:hAnsi="Calibri" w:cs="Calibri"/>
                <w:color w:val="000000"/>
                <w:sz w:val="18"/>
                <w:szCs w:val="18"/>
              </w:rPr>
            </w:pPr>
            <w:r w:rsidRPr="00226205">
              <w:rPr>
                <w:rFonts w:ascii="Calibri" w:hAnsi="Calibri" w:cs="Calibri"/>
                <w:color w:val="000000"/>
                <w:sz w:val="18"/>
                <w:szCs w:val="18"/>
              </w:rPr>
              <w:t>Libraries</w:t>
            </w:r>
          </w:p>
        </w:tc>
        <w:tc>
          <w:tcPr>
            <w:tcW w:w="2410" w:type="dxa"/>
            <w:shd w:val="clear" w:color="auto" w:fill="auto"/>
            <w:hideMark/>
          </w:tcPr>
          <w:p w:rsidR="00226205" w:rsidRPr="00226205" w:rsidRDefault="00226205" w:rsidP="00226205">
            <w:pPr>
              <w:jc w:val="left"/>
              <w:rPr>
                <w:rFonts w:ascii="Calibri" w:hAnsi="Calibri" w:cs="Calibri"/>
                <w:color w:val="000000"/>
                <w:sz w:val="18"/>
                <w:szCs w:val="18"/>
              </w:rPr>
            </w:pPr>
            <w:r w:rsidRPr="00226205">
              <w:rPr>
                <w:rFonts w:ascii="Calibri" w:hAnsi="Calibri" w:cs="Calibri"/>
                <w:color w:val="000000"/>
                <w:sz w:val="18"/>
                <w:szCs w:val="18"/>
              </w:rPr>
              <w:t>This building is in good condition, there are renewal</w:t>
            </w:r>
            <w:r>
              <w:rPr>
                <w:rFonts w:ascii="Calibri" w:hAnsi="Calibri" w:cs="Calibri"/>
                <w:color w:val="000000"/>
                <w:sz w:val="18"/>
                <w:szCs w:val="18"/>
              </w:rPr>
              <w:t xml:space="preserve"> requirements for the structure</w:t>
            </w:r>
            <w:r w:rsidRPr="00226205">
              <w:rPr>
                <w:rFonts w:ascii="Calibri" w:hAnsi="Calibri" w:cs="Calibri"/>
                <w:color w:val="000000"/>
                <w:sz w:val="18"/>
                <w:szCs w:val="18"/>
              </w:rPr>
              <w:t>, mechanical and electrical components.</w:t>
            </w:r>
          </w:p>
        </w:tc>
        <w:tc>
          <w:tcPr>
            <w:tcW w:w="3118" w:type="dxa"/>
            <w:shd w:val="clear" w:color="auto" w:fill="auto"/>
            <w:hideMark/>
          </w:tcPr>
          <w:p w:rsidR="00226205" w:rsidRPr="00226205" w:rsidRDefault="00226205" w:rsidP="00226205">
            <w:pPr>
              <w:jc w:val="left"/>
              <w:rPr>
                <w:rFonts w:ascii="Calibri" w:hAnsi="Calibri" w:cs="Calibri"/>
                <w:color w:val="000000"/>
                <w:sz w:val="18"/>
                <w:szCs w:val="18"/>
              </w:rPr>
            </w:pPr>
            <w:r w:rsidRPr="00226205">
              <w:rPr>
                <w:rFonts w:ascii="Calibri" w:hAnsi="Calibri" w:cs="Calibri"/>
                <w:color w:val="000000"/>
                <w:sz w:val="18"/>
                <w:szCs w:val="18"/>
              </w:rPr>
              <w:t>Space limited- shared parking with Town Hall, ideally Town Hall staff parking wou</w:t>
            </w:r>
            <w:r>
              <w:rPr>
                <w:rFonts w:ascii="Calibri" w:hAnsi="Calibri" w:cs="Calibri"/>
                <w:color w:val="000000"/>
                <w:sz w:val="18"/>
                <w:szCs w:val="18"/>
              </w:rPr>
              <w:t>ld be further limited by 1 hour</w:t>
            </w:r>
            <w:r w:rsidRPr="00226205">
              <w:rPr>
                <w:rFonts w:ascii="Calibri" w:hAnsi="Calibri" w:cs="Calibri"/>
                <w:color w:val="000000"/>
                <w:sz w:val="18"/>
                <w:szCs w:val="18"/>
              </w:rPr>
              <w:t xml:space="preserve">, causes problems for library staff. There are safety concerns at night due to isolation of building. Limited staff space due to configuration. The heritage configuration is not ideal for staff or public space, mezzanine level is poorly designed and has poor access, acoustics create need for sound separated spaces. Meeting room not divisible. </w:t>
            </w:r>
          </w:p>
        </w:tc>
      </w:tr>
      <w:tr w:rsidR="00226205" w:rsidRPr="00226205" w:rsidTr="00B77D83">
        <w:trPr>
          <w:cantSplit/>
          <w:trHeight w:val="3276"/>
        </w:trPr>
        <w:tc>
          <w:tcPr>
            <w:tcW w:w="998" w:type="dxa"/>
            <w:shd w:val="clear" w:color="auto" w:fill="auto"/>
            <w:hideMark/>
          </w:tcPr>
          <w:p w:rsidR="00226205" w:rsidRPr="00226205" w:rsidRDefault="00226205" w:rsidP="006918D2">
            <w:pPr>
              <w:jc w:val="center"/>
              <w:rPr>
                <w:rFonts w:ascii="Calibri" w:hAnsi="Calibri" w:cs="Calibri"/>
                <w:color w:val="000000"/>
                <w:sz w:val="18"/>
                <w:szCs w:val="18"/>
              </w:rPr>
            </w:pPr>
            <w:r w:rsidRPr="00226205">
              <w:rPr>
                <w:rFonts w:ascii="Calibri" w:hAnsi="Calibri" w:cs="Calibri"/>
                <w:color w:val="000000"/>
                <w:sz w:val="18"/>
                <w:szCs w:val="18"/>
              </w:rPr>
              <w:t>B000003</w:t>
            </w:r>
          </w:p>
        </w:tc>
        <w:tc>
          <w:tcPr>
            <w:tcW w:w="2693" w:type="dxa"/>
            <w:shd w:val="clear" w:color="auto" w:fill="auto"/>
            <w:hideMark/>
          </w:tcPr>
          <w:p w:rsidR="00226205" w:rsidRPr="00226205" w:rsidRDefault="00226205" w:rsidP="00226205">
            <w:pPr>
              <w:rPr>
                <w:rFonts w:ascii="Calibri" w:hAnsi="Calibri" w:cs="Calibri"/>
                <w:color w:val="000000"/>
                <w:sz w:val="18"/>
                <w:szCs w:val="18"/>
              </w:rPr>
            </w:pPr>
            <w:r w:rsidRPr="00226205">
              <w:rPr>
                <w:rFonts w:ascii="Calibri" w:hAnsi="Calibri" w:cs="Calibri"/>
                <w:noProof/>
                <w:color w:val="000000"/>
                <w:sz w:val="18"/>
                <w:szCs w:val="18"/>
              </w:rPr>
              <w:drawing>
                <wp:anchor distT="0" distB="0" distL="114300" distR="114300" simplePos="0" relativeHeight="251683328" behindDoc="0" locked="0" layoutInCell="1" allowOverlap="1" wp14:anchorId="683F7D47" wp14:editId="66B5FE62">
                  <wp:simplePos x="0" y="0"/>
                  <wp:positionH relativeFrom="column">
                    <wp:posOffset>-20955</wp:posOffset>
                  </wp:positionH>
                  <wp:positionV relativeFrom="paragraph">
                    <wp:posOffset>38100</wp:posOffset>
                  </wp:positionV>
                  <wp:extent cx="1630680" cy="156210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pic:cNvPicPr>
                            <a:picLocks noChangeAspect="1"/>
                          </pic:cNvPicPr>
                        </pic:nvPicPr>
                        <pic:blipFill>
                          <a:blip r:embed="rId85">
                            <a:extLst>
                              <a:ext uri="{28A0092B-C50C-407E-A947-70E740481C1C}">
                                <a14:useLocalDpi xmlns:a14="http://schemas.microsoft.com/office/drawing/2010/main" val="0"/>
                              </a:ext>
                            </a:extLst>
                          </a:blip>
                          <a:stretch>
                            <a:fillRect/>
                          </a:stretch>
                        </pic:blipFill>
                        <pic:spPr>
                          <a:xfrm>
                            <a:off x="0" y="0"/>
                            <a:ext cx="1630680" cy="1562100"/>
                          </a:xfrm>
                          <a:prstGeom prst="rect">
                            <a:avLst/>
                          </a:prstGeom>
                        </pic:spPr>
                      </pic:pic>
                    </a:graphicData>
                  </a:graphic>
                  <wp14:sizeRelH relativeFrom="page">
                    <wp14:pctWidth>0</wp14:pctWidth>
                  </wp14:sizeRelH>
                  <wp14:sizeRelV relativeFrom="page">
                    <wp14:pctHeight>0</wp14:pctHeight>
                  </wp14:sizeRelV>
                </wp:anchor>
              </w:drawing>
            </w:r>
          </w:p>
        </w:tc>
        <w:tc>
          <w:tcPr>
            <w:tcW w:w="2268" w:type="dxa"/>
            <w:shd w:val="clear" w:color="auto" w:fill="auto"/>
            <w:hideMark/>
          </w:tcPr>
          <w:p w:rsidR="00226205" w:rsidRPr="00226205" w:rsidRDefault="00226205" w:rsidP="00A54993">
            <w:pPr>
              <w:jc w:val="left"/>
              <w:rPr>
                <w:rFonts w:ascii="Calibri" w:hAnsi="Calibri" w:cs="Calibri"/>
                <w:color w:val="000000"/>
                <w:sz w:val="18"/>
                <w:szCs w:val="18"/>
              </w:rPr>
            </w:pPr>
            <w:r w:rsidRPr="00226205">
              <w:rPr>
                <w:rFonts w:ascii="Calibri" w:hAnsi="Calibri" w:cs="Calibri"/>
                <w:color w:val="000000"/>
                <w:sz w:val="18"/>
                <w:szCs w:val="18"/>
              </w:rPr>
              <w:t>Yarra Sculpture Gallery -</w:t>
            </w:r>
            <w:r w:rsidRPr="00226205">
              <w:rPr>
                <w:rFonts w:ascii="Calibri" w:hAnsi="Calibri" w:cs="Calibri"/>
                <w:color w:val="000000"/>
                <w:sz w:val="18"/>
                <w:szCs w:val="18"/>
              </w:rPr>
              <w:br/>
              <w:t xml:space="preserve"> 117 Vere Street, Abbotsford</w:t>
            </w:r>
          </w:p>
        </w:tc>
        <w:tc>
          <w:tcPr>
            <w:tcW w:w="1276" w:type="dxa"/>
            <w:shd w:val="clear" w:color="auto" w:fill="auto"/>
            <w:hideMark/>
          </w:tcPr>
          <w:p w:rsidR="00226205" w:rsidRPr="00226205" w:rsidRDefault="00226205" w:rsidP="009965C5">
            <w:pPr>
              <w:tabs>
                <w:tab w:val="decimal" w:pos="884"/>
              </w:tabs>
              <w:jc w:val="left"/>
              <w:rPr>
                <w:rFonts w:ascii="Calibri" w:hAnsi="Calibri" w:cs="Calibri"/>
                <w:color w:val="000000"/>
                <w:sz w:val="18"/>
                <w:szCs w:val="18"/>
              </w:rPr>
            </w:pPr>
            <w:r w:rsidRPr="00226205">
              <w:rPr>
                <w:rFonts w:ascii="Calibri" w:hAnsi="Calibri" w:cs="Calibri"/>
                <w:color w:val="000000"/>
                <w:sz w:val="18"/>
                <w:szCs w:val="18"/>
              </w:rPr>
              <w:t>$265,045</w:t>
            </w:r>
          </w:p>
        </w:tc>
        <w:tc>
          <w:tcPr>
            <w:tcW w:w="1134" w:type="dxa"/>
            <w:shd w:val="clear" w:color="auto" w:fill="auto"/>
            <w:hideMark/>
          </w:tcPr>
          <w:p w:rsidR="00226205" w:rsidRPr="00226205" w:rsidRDefault="00226205" w:rsidP="00226205">
            <w:pPr>
              <w:jc w:val="center"/>
              <w:rPr>
                <w:rFonts w:ascii="Calibri" w:hAnsi="Calibri" w:cs="Calibri"/>
                <w:color w:val="000000"/>
                <w:sz w:val="18"/>
                <w:szCs w:val="18"/>
              </w:rPr>
            </w:pPr>
            <w:r w:rsidRPr="00226205">
              <w:rPr>
                <w:rFonts w:ascii="Calibri" w:hAnsi="Calibri" w:cs="Calibri"/>
                <w:color w:val="000000"/>
                <w:sz w:val="18"/>
                <w:szCs w:val="18"/>
              </w:rPr>
              <w:t>Commercial</w:t>
            </w:r>
          </w:p>
        </w:tc>
        <w:tc>
          <w:tcPr>
            <w:tcW w:w="1417" w:type="dxa"/>
            <w:shd w:val="clear" w:color="auto" w:fill="auto"/>
            <w:hideMark/>
          </w:tcPr>
          <w:p w:rsidR="00226205" w:rsidRPr="00226205" w:rsidRDefault="00226205" w:rsidP="00226205">
            <w:pPr>
              <w:jc w:val="center"/>
              <w:rPr>
                <w:rFonts w:ascii="Calibri" w:hAnsi="Calibri" w:cs="Calibri"/>
                <w:color w:val="000000"/>
                <w:sz w:val="18"/>
                <w:szCs w:val="18"/>
              </w:rPr>
            </w:pPr>
            <w:r w:rsidRPr="00226205">
              <w:rPr>
                <w:rFonts w:ascii="Calibri" w:hAnsi="Calibri" w:cs="Calibri"/>
                <w:color w:val="000000"/>
                <w:sz w:val="18"/>
                <w:szCs w:val="18"/>
              </w:rPr>
              <w:t>Gallery</w:t>
            </w:r>
          </w:p>
        </w:tc>
        <w:tc>
          <w:tcPr>
            <w:tcW w:w="2410" w:type="dxa"/>
            <w:shd w:val="clear" w:color="auto" w:fill="auto"/>
            <w:hideMark/>
          </w:tcPr>
          <w:p w:rsidR="00226205" w:rsidRPr="00226205" w:rsidRDefault="00226205" w:rsidP="00226205">
            <w:pPr>
              <w:jc w:val="left"/>
              <w:rPr>
                <w:rFonts w:ascii="Calibri" w:hAnsi="Calibri" w:cs="Calibri"/>
                <w:color w:val="000000"/>
                <w:sz w:val="18"/>
                <w:szCs w:val="18"/>
              </w:rPr>
            </w:pPr>
            <w:r w:rsidRPr="00226205">
              <w:rPr>
                <w:rFonts w:ascii="Calibri" w:hAnsi="Calibri" w:cs="Calibri"/>
                <w:color w:val="000000"/>
                <w:sz w:val="18"/>
                <w:szCs w:val="18"/>
              </w:rPr>
              <w:t>The building is fair condition there are renewal requirements for the roof and fitout.</w:t>
            </w:r>
          </w:p>
        </w:tc>
        <w:tc>
          <w:tcPr>
            <w:tcW w:w="3118" w:type="dxa"/>
            <w:shd w:val="clear" w:color="auto" w:fill="auto"/>
            <w:hideMark/>
          </w:tcPr>
          <w:p w:rsidR="00226205" w:rsidRPr="00226205" w:rsidRDefault="00226205" w:rsidP="00DF0C54">
            <w:pPr>
              <w:jc w:val="left"/>
              <w:rPr>
                <w:rFonts w:ascii="Calibri" w:hAnsi="Calibri" w:cs="Calibri"/>
                <w:color w:val="000000"/>
                <w:sz w:val="18"/>
                <w:szCs w:val="18"/>
              </w:rPr>
            </w:pPr>
            <w:r w:rsidRPr="00226205">
              <w:rPr>
                <w:rFonts w:ascii="Calibri" w:hAnsi="Calibri" w:cs="Calibri"/>
                <w:color w:val="000000"/>
                <w:sz w:val="18"/>
                <w:szCs w:val="18"/>
              </w:rPr>
              <w:t xml:space="preserve">Two large spaces interconnected, but all facilities are in the rear of the building. There is limited opportunity to connect with general public, no major entrance. Building is not up to current building standards. There </w:t>
            </w:r>
            <w:r w:rsidR="00DF0C54">
              <w:rPr>
                <w:rFonts w:ascii="Calibri" w:hAnsi="Calibri" w:cs="Calibri"/>
                <w:color w:val="000000"/>
                <w:sz w:val="18"/>
                <w:szCs w:val="18"/>
              </w:rPr>
              <w:t>are</w:t>
            </w:r>
            <w:r w:rsidRPr="00226205">
              <w:rPr>
                <w:rFonts w:ascii="Calibri" w:hAnsi="Calibri" w:cs="Calibri"/>
                <w:color w:val="000000"/>
                <w:sz w:val="18"/>
                <w:szCs w:val="18"/>
              </w:rPr>
              <w:t xml:space="preserve"> limited kitchen facilities in a precinct with limited or no few food/drink venues. The roof leaks regularly. Building requires a range of minor upgrades to bring it up to standard </w:t>
            </w:r>
            <w:r w:rsidR="00B77D83">
              <w:rPr>
                <w:rFonts w:ascii="Calibri" w:hAnsi="Calibri" w:cs="Calibri"/>
                <w:color w:val="000000"/>
                <w:sz w:val="18"/>
                <w:szCs w:val="18"/>
              </w:rPr>
              <w:t>and</w:t>
            </w:r>
            <w:r w:rsidRPr="00226205">
              <w:rPr>
                <w:rFonts w:ascii="Calibri" w:hAnsi="Calibri" w:cs="Calibri"/>
                <w:color w:val="000000"/>
                <w:sz w:val="18"/>
                <w:szCs w:val="18"/>
              </w:rPr>
              <w:t xml:space="preserve"> repair. There is no climate control.  A longer term vision is required for this site. Would not recommend any major works without a medium/long term plan. To be considered with 119-123 Vere Street, Abbotsford.  Site is currently leased to the Contemporary Sculptors Association.</w:t>
            </w:r>
          </w:p>
        </w:tc>
      </w:tr>
      <w:tr w:rsidR="00226205" w:rsidRPr="00226205" w:rsidTr="00B77D83">
        <w:trPr>
          <w:cantSplit/>
          <w:trHeight w:val="2206"/>
        </w:trPr>
        <w:tc>
          <w:tcPr>
            <w:tcW w:w="998" w:type="dxa"/>
            <w:shd w:val="clear" w:color="auto" w:fill="auto"/>
            <w:hideMark/>
          </w:tcPr>
          <w:p w:rsidR="00226205" w:rsidRPr="00226205" w:rsidRDefault="00226205" w:rsidP="006918D2">
            <w:pPr>
              <w:jc w:val="center"/>
              <w:rPr>
                <w:rFonts w:ascii="Calibri" w:hAnsi="Calibri" w:cs="Calibri"/>
                <w:color w:val="000000"/>
                <w:sz w:val="18"/>
                <w:szCs w:val="18"/>
              </w:rPr>
            </w:pPr>
            <w:r w:rsidRPr="00226205">
              <w:rPr>
                <w:rFonts w:ascii="Calibri" w:hAnsi="Calibri" w:cs="Calibri"/>
                <w:color w:val="000000"/>
                <w:sz w:val="18"/>
                <w:szCs w:val="18"/>
              </w:rPr>
              <w:t>B000004</w:t>
            </w:r>
          </w:p>
        </w:tc>
        <w:tc>
          <w:tcPr>
            <w:tcW w:w="2693" w:type="dxa"/>
            <w:shd w:val="clear" w:color="auto" w:fill="auto"/>
            <w:hideMark/>
          </w:tcPr>
          <w:p w:rsidR="00226205" w:rsidRPr="00226205" w:rsidRDefault="00226205" w:rsidP="00226205">
            <w:pPr>
              <w:rPr>
                <w:rFonts w:ascii="Calibri" w:hAnsi="Calibri" w:cs="Calibri"/>
                <w:color w:val="000000"/>
                <w:sz w:val="18"/>
                <w:szCs w:val="18"/>
              </w:rPr>
            </w:pPr>
            <w:r w:rsidRPr="00226205">
              <w:rPr>
                <w:rFonts w:ascii="Calibri" w:hAnsi="Calibri" w:cs="Calibri"/>
                <w:noProof/>
                <w:color w:val="000000"/>
                <w:sz w:val="18"/>
                <w:szCs w:val="18"/>
              </w:rPr>
              <w:drawing>
                <wp:anchor distT="0" distB="0" distL="114300" distR="114300" simplePos="0" relativeHeight="251684352" behindDoc="0" locked="0" layoutInCell="1" allowOverlap="1" wp14:anchorId="6EECDD86" wp14:editId="0FFB5B6A">
                  <wp:simplePos x="0" y="0"/>
                  <wp:positionH relativeFrom="column">
                    <wp:posOffset>-20955</wp:posOffset>
                  </wp:positionH>
                  <wp:positionV relativeFrom="paragraph">
                    <wp:posOffset>29650</wp:posOffset>
                  </wp:positionV>
                  <wp:extent cx="1630680" cy="1335405"/>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pic:cNvPicPr>
                            <a:picLocks noChangeAspect="1"/>
                          </pic:cNvPicPr>
                        </pic:nvPicPr>
                        <pic:blipFill>
                          <a:blip r:embed="rId86">
                            <a:extLst>
                              <a:ext uri="{28A0092B-C50C-407E-A947-70E740481C1C}">
                                <a14:useLocalDpi xmlns:a14="http://schemas.microsoft.com/office/drawing/2010/main" val="0"/>
                              </a:ext>
                            </a:extLst>
                          </a:blip>
                          <a:stretch>
                            <a:fillRect/>
                          </a:stretch>
                        </pic:blipFill>
                        <pic:spPr>
                          <a:xfrm>
                            <a:off x="0" y="0"/>
                            <a:ext cx="1630680" cy="1335405"/>
                          </a:xfrm>
                          <a:prstGeom prst="rect">
                            <a:avLst/>
                          </a:prstGeom>
                        </pic:spPr>
                      </pic:pic>
                    </a:graphicData>
                  </a:graphic>
                  <wp14:sizeRelH relativeFrom="page">
                    <wp14:pctWidth>0</wp14:pctWidth>
                  </wp14:sizeRelH>
                  <wp14:sizeRelV relativeFrom="page">
                    <wp14:pctHeight>0</wp14:pctHeight>
                  </wp14:sizeRelV>
                </wp:anchor>
              </w:drawing>
            </w:r>
          </w:p>
        </w:tc>
        <w:tc>
          <w:tcPr>
            <w:tcW w:w="2268" w:type="dxa"/>
            <w:shd w:val="clear" w:color="auto" w:fill="auto"/>
            <w:hideMark/>
          </w:tcPr>
          <w:p w:rsidR="00226205" w:rsidRPr="00226205" w:rsidRDefault="00226205" w:rsidP="00A54993">
            <w:pPr>
              <w:jc w:val="left"/>
              <w:rPr>
                <w:rFonts w:ascii="Calibri" w:hAnsi="Calibri" w:cs="Calibri"/>
                <w:color w:val="000000"/>
                <w:sz w:val="18"/>
                <w:szCs w:val="18"/>
              </w:rPr>
            </w:pPr>
            <w:r w:rsidRPr="00226205">
              <w:rPr>
                <w:rFonts w:ascii="Calibri" w:hAnsi="Calibri" w:cs="Calibri"/>
                <w:color w:val="000000"/>
                <w:sz w:val="18"/>
                <w:szCs w:val="18"/>
              </w:rPr>
              <w:t>Factory Building- 119-123 Vere Street, Abbotsford</w:t>
            </w:r>
          </w:p>
        </w:tc>
        <w:tc>
          <w:tcPr>
            <w:tcW w:w="1276" w:type="dxa"/>
            <w:shd w:val="clear" w:color="auto" w:fill="auto"/>
            <w:hideMark/>
          </w:tcPr>
          <w:p w:rsidR="00226205" w:rsidRPr="00226205" w:rsidRDefault="00226205" w:rsidP="009965C5">
            <w:pPr>
              <w:tabs>
                <w:tab w:val="decimal" w:pos="884"/>
              </w:tabs>
              <w:jc w:val="left"/>
              <w:rPr>
                <w:rFonts w:ascii="Calibri" w:hAnsi="Calibri" w:cs="Calibri"/>
                <w:color w:val="000000"/>
                <w:sz w:val="18"/>
                <w:szCs w:val="18"/>
              </w:rPr>
            </w:pPr>
            <w:r w:rsidRPr="00226205">
              <w:rPr>
                <w:rFonts w:ascii="Calibri" w:hAnsi="Calibri" w:cs="Calibri"/>
                <w:color w:val="000000"/>
                <w:sz w:val="18"/>
                <w:szCs w:val="18"/>
              </w:rPr>
              <w:t>$832,140</w:t>
            </w:r>
          </w:p>
        </w:tc>
        <w:tc>
          <w:tcPr>
            <w:tcW w:w="1134" w:type="dxa"/>
            <w:shd w:val="clear" w:color="auto" w:fill="auto"/>
            <w:hideMark/>
          </w:tcPr>
          <w:p w:rsidR="00226205" w:rsidRPr="00226205" w:rsidRDefault="00226205" w:rsidP="00226205">
            <w:pPr>
              <w:jc w:val="center"/>
              <w:rPr>
                <w:rFonts w:ascii="Calibri" w:hAnsi="Calibri" w:cs="Calibri"/>
                <w:color w:val="000000"/>
                <w:sz w:val="18"/>
                <w:szCs w:val="18"/>
              </w:rPr>
            </w:pPr>
            <w:r w:rsidRPr="00226205">
              <w:rPr>
                <w:rFonts w:ascii="Calibri" w:hAnsi="Calibri" w:cs="Calibri"/>
                <w:color w:val="000000"/>
                <w:sz w:val="18"/>
                <w:szCs w:val="18"/>
              </w:rPr>
              <w:t>Commercial</w:t>
            </w:r>
          </w:p>
        </w:tc>
        <w:tc>
          <w:tcPr>
            <w:tcW w:w="1417" w:type="dxa"/>
            <w:shd w:val="clear" w:color="auto" w:fill="auto"/>
            <w:hideMark/>
          </w:tcPr>
          <w:p w:rsidR="00226205" w:rsidRPr="00226205" w:rsidRDefault="00226205" w:rsidP="00226205">
            <w:pPr>
              <w:jc w:val="center"/>
              <w:rPr>
                <w:rFonts w:ascii="Calibri" w:hAnsi="Calibri" w:cs="Calibri"/>
                <w:color w:val="000000"/>
                <w:sz w:val="18"/>
                <w:szCs w:val="18"/>
              </w:rPr>
            </w:pPr>
            <w:r w:rsidRPr="00226205">
              <w:rPr>
                <w:rFonts w:ascii="Calibri" w:hAnsi="Calibri" w:cs="Calibri"/>
                <w:color w:val="000000"/>
                <w:sz w:val="18"/>
                <w:szCs w:val="18"/>
              </w:rPr>
              <w:t>Factory</w:t>
            </w:r>
          </w:p>
        </w:tc>
        <w:tc>
          <w:tcPr>
            <w:tcW w:w="2410" w:type="dxa"/>
            <w:shd w:val="clear" w:color="auto" w:fill="auto"/>
            <w:hideMark/>
          </w:tcPr>
          <w:p w:rsidR="00226205" w:rsidRPr="00226205" w:rsidRDefault="00226205" w:rsidP="00226205">
            <w:pPr>
              <w:jc w:val="left"/>
              <w:rPr>
                <w:rFonts w:ascii="Calibri" w:hAnsi="Calibri" w:cs="Calibri"/>
                <w:color w:val="000000"/>
                <w:sz w:val="18"/>
                <w:szCs w:val="18"/>
              </w:rPr>
            </w:pPr>
            <w:r w:rsidRPr="00226205">
              <w:rPr>
                <w:rFonts w:ascii="Calibri" w:hAnsi="Calibri" w:cs="Calibri"/>
                <w:color w:val="000000"/>
                <w:sz w:val="18"/>
                <w:szCs w:val="18"/>
              </w:rPr>
              <w:t>This building is in poor condition there are renewal requirements for the structure, roof, and fitout.</w:t>
            </w:r>
          </w:p>
        </w:tc>
        <w:tc>
          <w:tcPr>
            <w:tcW w:w="3118" w:type="dxa"/>
            <w:shd w:val="clear" w:color="auto" w:fill="auto"/>
            <w:hideMark/>
          </w:tcPr>
          <w:p w:rsidR="00226205" w:rsidRPr="00226205" w:rsidRDefault="00226205" w:rsidP="00226205">
            <w:pPr>
              <w:jc w:val="left"/>
              <w:rPr>
                <w:rFonts w:ascii="Calibri" w:hAnsi="Calibri" w:cs="Calibri"/>
                <w:color w:val="000000"/>
                <w:sz w:val="18"/>
                <w:szCs w:val="18"/>
              </w:rPr>
            </w:pPr>
            <w:r w:rsidRPr="00226205">
              <w:rPr>
                <w:rFonts w:ascii="Calibri" w:hAnsi="Calibri" w:cs="Calibri"/>
                <w:color w:val="000000"/>
                <w:sz w:val="18"/>
                <w:szCs w:val="18"/>
              </w:rPr>
              <w:t>No services currently delivered through building - used only as storage. A longer term vision is required for this site. To be considered with 117 Vere Street, Abbotsford.</w:t>
            </w:r>
          </w:p>
        </w:tc>
      </w:tr>
      <w:tr w:rsidR="00226205" w:rsidRPr="00226205" w:rsidTr="00B77D83">
        <w:trPr>
          <w:cantSplit/>
          <w:trHeight w:val="2265"/>
        </w:trPr>
        <w:tc>
          <w:tcPr>
            <w:tcW w:w="998" w:type="dxa"/>
            <w:shd w:val="clear" w:color="auto" w:fill="auto"/>
            <w:hideMark/>
          </w:tcPr>
          <w:p w:rsidR="00226205" w:rsidRPr="00226205" w:rsidRDefault="00226205" w:rsidP="006918D2">
            <w:pPr>
              <w:jc w:val="center"/>
              <w:rPr>
                <w:rFonts w:ascii="Calibri" w:hAnsi="Calibri" w:cs="Calibri"/>
                <w:color w:val="000000"/>
                <w:sz w:val="18"/>
                <w:szCs w:val="18"/>
              </w:rPr>
            </w:pPr>
            <w:r w:rsidRPr="00226205">
              <w:rPr>
                <w:rFonts w:ascii="Calibri" w:hAnsi="Calibri" w:cs="Calibri"/>
                <w:color w:val="000000"/>
                <w:sz w:val="18"/>
                <w:szCs w:val="18"/>
              </w:rPr>
              <w:t>B000006</w:t>
            </w:r>
          </w:p>
        </w:tc>
        <w:tc>
          <w:tcPr>
            <w:tcW w:w="2693" w:type="dxa"/>
            <w:shd w:val="clear" w:color="auto" w:fill="auto"/>
            <w:hideMark/>
          </w:tcPr>
          <w:p w:rsidR="00226205" w:rsidRPr="00226205" w:rsidRDefault="00226205" w:rsidP="00226205">
            <w:pPr>
              <w:rPr>
                <w:rFonts w:ascii="Calibri" w:hAnsi="Calibri" w:cs="Calibri"/>
                <w:color w:val="000000"/>
                <w:sz w:val="18"/>
                <w:szCs w:val="18"/>
              </w:rPr>
            </w:pPr>
            <w:r w:rsidRPr="00226205">
              <w:rPr>
                <w:rFonts w:ascii="Calibri" w:hAnsi="Calibri" w:cs="Calibri"/>
                <w:noProof/>
                <w:color w:val="000000"/>
                <w:sz w:val="18"/>
                <w:szCs w:val="18"/>
              </w:rPr>
              <w:drawing>
                <wp:anchor distT="0" distB="0" distL="114300" distR="114300" simplePos="0" relativeHeight="251692544" behindDoc="0" locked="0" layoutInCell="1" allowOverlap="1" wp14:anchorId="38EE9D0B" wp14:editId="350B76EE">
                  <wp:simplePos x="0" y="0"/>
                  <wp:positionH relativeFrom="column">
                    <wp:posOffset>-20955</wp:posOffset>
                  </wp:positionH>
                  <wp:positionV relativeFrom="paragraph">
                    <wp:posOffset>28575</wp:posOffset>
                  </wp:positionV>
                  <wp:extent cx="1630680" cy="1367790"/>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7"/>
                          <pic:cNvPicPr>
                            <a:picLocks noChangeAspect="1"/>
                          </pic:cNvPicPr>
                        </pic:nvPicPr>
                        <pic:blipFill>
                          <a:blip r:embed="rId87">
                            <a:extLst>
                              <a:ext uri="{28A0092B-C50C-407E-A947-70E740481C1C}">
                                <a14:useLocalDpi xmlns:a14="http://schemas.microsoft.com/office/drawing/2010/main" val="0"/>
                              </a:ext>
                            </a:extLst>
                          </a:blip>
                          <a:stretch>
                            <a:fillRect/>
                          </a:stretch>
                        </pic:blipFill>
                        <pic:spPr>
                          <a:xfrm>
                            <a:off x="0" y="0"/>
                            <a:ext cx="1630680" cy="1367790"/>
                          </a:xfrm>
                          <a:prstGeom prst="rect">
                            <a:avLst/>
                          </a:prstGeom>
                        </pic:spPr>
                      </pic:pic>
                    </a:graphicData>
                  </a:graphic>
                  <wp14:sizeRelH relativeFrom="page">
                    <wp14:pctWidth>0</wp14:pctWidth>
                  </wp14:sizeRelH>
                  <wp14:sizeRelV relativeFrom="page">
                    <wp14:pctHeight>0</wp14:pctHeight>
                  </wp14:sizeRelV>
                </wp:anchor>
              </w:drawing>
            </w:r>
          </w:p>
        </w:tc>
        <w:tc>
          <w:tcPr>
            <w:tcW w:w="2268" w:type="dxa"/>
            <w:shd w:val="clear" w:color="auto" w:fill="auto"/>
            <w:hideMark/>
          </w:tcPr>
          <w:p w:rsidR="00226205" w:rsidRPr="00226205" w:rsidRDefault="00226205" w:rsidP="00A54993">
            <w:pPr>
              <w:jc w:val="left"/>
              <w:rPr>
                <w:rFonts w:ascii="Calibri" w:hAnsi="Calibri" w:cs="Calibri"/>
                <w:color w:val="000000"/>
                <w:sz w:val="18"/>
                <w:szCs w:val="18"/>
              </w:rPr>
            </w:pPr>
            <w:r w:rsidRPr="00226205">
              <w:rPr>
                <w:rFonts w:ascii="Calibri" w:hAnsi="Calibri" w:cs="Calibri"/>
                <w:color w:val="000000"/>
                <w:sz w:val="18"/>
                <w:szCs w:val="18"/>
              </w:rPr>
              <w:t xml:space="preserve">Collingwood Seniors Hub- Eddy Court, Abbotsford </w:t>
            </w:r>
          </w:p>
        </w:tc>
        <w:tc>
          <w:tcPr>
            <w:tcW w:w="1276" w:type="dxa"/>
            <w:shd w:val="clear" w:color="auto" w:fill="auto"/>
            <w:hideMark/>
          </w:tcPr>
          <w:p w:rsidR="00226205" w:rsidRPr="00226205" w:rsidRDefault="009965C5" w:rsidP="009965C5">
            <w:pPr>
              <w:tabs>
                <w:tab w:val="decimal" w:pos="884"/>
              </w:tabs>
              <w:jc w:val="left"/>
              <w:rPr>
                <w:rFonts w:ascii="Calibri" w:hAnsi="Calibri" w:cs="Calibri"/>
                <w:color w:val="000000"/>
                <w:sz w:val="18"/>
                <w:szCs w:val="18"/>
              </w:rPr>
            </w:pPr>
            <w:r>
              <w:rPr>
                <w:rFonts w:ascii="Calibri" w:hAnsi="Calibri" w:cs="Calibri"/>
                <w:color w:val="000000"/>
                <w:sz w:val="18"/>
                <w:szCs w:val="18"/>
              </w:rPr>
              <w:t>$</w:t>
            </w:r>
            <w:r w:rsidR="00226205" w:rsidRPr="00226205">
              <w:rPr>
                <w:rFonts w:ascii="Calibri" w:hAnsi="Calibri" w:cs="Calibri"/>
                <w:color w:val="000000"/>
                <w:sz w:val="18"/>
                <w:szCs w:val="18"/>
              </w:rPr>
              <w:t>1,790,100</w:t>
            </w:r>
          </w:p>
        </w:tc>
        <w:tc>
          <w:tcPr>
            <w:tcW w:w="1134" w:type="dxa"/>
            <w:shd w:val="clear" w:color="auto" w:fill="auto"/>
            <w:hideMark/>
          </w:tcPr>
          <w:p w:rsidR="00226205" w:rsidRPr="00226205" w:rsidRDefault="00226205" w:rsidP="00226205">
            <w:pPr>
              <w:jc w:val="center"/>
              <w:rPr>
                <w:rFonts w:ascii="Calibri" w:hAnsi="Calibri" w:cs="Calibri"/>
                <w:color w:val="000000"/>
                <w:sz w:val="18"/>
                <w:szCs w:val="18"/>
              </w:rPr>
            </w:pPr>
            <w:r w:rsidRPr="00226205">
              <w:rPr>
                <w:rFonts w:ascii="Calibri" w:hAnsi="Calibri" w:cs="Calibri"/>
                <w:color w:val="000000"/>
                <w:sz w:val="18"/>
                <w:szCs w:val="18"/>
              </w:rPr>
              <w:t>Community Services</w:t>
            </w:r>
          </w:p>
        </w:tc>
        <w:tc>
          <w:tcPr>
            <w:tcW w:w="1417" w:type="dxa"/>
            <w:shd w:val="clear" w:color="auto" w:fill="auto"/>
            <w:hideMark/>
          </w:tcPr>
          <w:p w:rsidR="00226205" w:rsidRPr="00226205" w:rsidRDefault="00226205" w:rsidP="00226205">
            <w:pPr>
              <w:jc w:val="center"/>
              <w:rPr>
                <w:rFonts w:ascii="Calibri" w:hAnsi="Calibri" w:cs="Calibri"/>
                <w:color w:val="000000"/>
                <w:sz w:val="18"/>
                <w:szCs w:val="18"/>
              </w:rPr>
            </w:pPr>
            <w:r w:rsidRPr="00226205">
              <w:rPr>
                <w:rFonts w:ascii="Calibri" w:hAnsi="Calibri" w:cs="Calibri"/>
                <w:color w:val="000000"/>
                <w:sz w:val="18"/>
                <w:szCs w:val="18"/>
              </w:rPr>
              <w:t>Seniors Centre</w:t>
            </w:r>
          </w:p>
        </w:tc>
        <w:tc>
          <w:tcPr>
            <w:tcW w:w="2410" w:type="dxa"/>
            <w:shd w:val="clear" w:color="auto" w:fill="auto"/>
            <w:hideMark/>
          </w:tcPr>
          <w:p w:rsidR="00226205" w:rsidRPr="00226205" w:rsidRDefault="00226205" w:rsidP="00226205">
            <w:pPr>
              <w:jc w:val="left"/>
              <w:rPr>
                <w:rFonts w:ascii="Calibri" w:hAnsi="Calibri" w:cs="Calibri"/>
                <w:color w:val="000000"/>
                <w:sz w:val="18"/>
                <w:szCs w:val="18"/>
              </w:rPr>
            </w:pPr>
            <w:r w:rsidRPr="00226205">
              <w:rPr>
                <w:rFonts w:ascii="Calibri" w:hAnsi="Calibri" w:cs="Calibri"/>
                <w:color w:val="000000"/>
                <w:sz w:val="18"/>
                <w:szCs w:val="18"/>
              </w:rPr>
              <w:t>This building is overall in good condition.</w:t>
            </w:r>
          </w:p>
        </w:tc>
        <w:tc>
          <w:tcPr>
            <w:tcW w:w="3118" w:type="dxa"/>
            <w:shd w:val="clear" w:color="auto" w:fill="auto"/>
            <w:hideMark/>
          </w:tcPr>
          <w:p w:rsidR="00226205" w:rsidRPr="00226205" w:rsidRDefault="00226205" w:rsidP="00DF0C54">
            <w:pPr>
              <w:jc w:val="left"/>
              <w:rPr>
                <w:rFonts w:ascii="Calibri" w:hAnsi="Calibri" w:cs="Calibri"/>
                <w:color w:val="000000"/>
                <w:sz w:val="18"/>
                <w:szCs w:val="18"/>
              </w:rPr>
            </w:pPr>
            <w:r w:rsidRPr="00226205">
              <w:rPr>
                <w:rFonts w:ascii="Calibri" w:hAnsi="Calibri" w:cs="Calibri"/>
                <w:color w:val="000000"/>
                <w:sz w:val="18"/>
                <w:szCs w:val="18"/>
              </w:rPr>
              <w:t xml:space="preserve">At peak times there is a lack of parking. There is a need for increased storage </w:t>
            </w:r>
            <w:r w:rsidR="00B77D83">
              <w:rPr>
                <w:rFonts w:ascii="Calibri" w:hAnsi="Calibri" w:cs="Calibri"/>
                <w:color w:val="000000"/>
                <w:sz w:val="18"/>
                <w:szCs w:val="18"/>
              </w:rPr>
              <w:t>and</w:t>
            </w:r>
            <w:r w:rsidR="00DF0C54">
              <w:rPr>
                <w:rFonts w:ascii="Calibri" w:hAnsi="Calibri" w:cs="Calibri"/>
                <w:color w:val="000000"/>
                <w:sz w:val="18"/>
                <w:szCs w:val="18"/>
              </w:rPr>
              <w:t xml:space="preserve"> a designated garbage/</w:t>
            </w:r>
            <w:r w:rsidRPr="00226205">
              <w:rPr>
                <w:rFonts w:ascii="Calibri" w:hAnsi="Calibri" w:cs="Calibri"/>
                <w:color w:val="000000"/>
                <w:sz w:val="18"/>
                <w:szCs w:val="18"/>
              </w:rPr>
              <w:t>recycling disposal area.  The main room cannot be divided to suit smaller groups.</w:t>
            </w:r>
          </w:p>
        </w:tc>
      </w:tr>
      <w:tr w:rsidR="00226205" w:rsidRPr="00226205" w:rsidTr="00B77D83">
        <w:trPr>
          <w:cantSplit/>
          <w:trHeight w:val="2680"/>
        </w:trPr>
        <w:tc>
          <w:tcPr>
            <w:tcW w:w="998" w:type="dxa"/>
            <w:shd w:val="clear" w:color="auto" w:fill="auto"/>
            <w:hideMark/>
          </w:tcPr>
          <w:p w:rsidR="00226205" w:rsidRPr="00226205" w:rsidRDefault="00226205" w:rsidP="006918D2">
            <w:pPr>
              <w:jc w:val="center"/>
              <w:rPr>
                <w:rFonts w:ascii="Calibri" w:hAnsi="Calibri" w:cs="Calibri"/>
                <w:color w:val="000000"/>
                <w:sz w:val="18"/>
                <w:szCs w:val="18"/>
              </w:rPr>
            </w:pPr>
            <w:r w:rsidRPr="00226205">
              <w:rPr>
                <w:rFonts w:ascii="Calibri" w:hAnsi="Calibri" w:cs="Calibri"/>
                <w:color w:val="000000"/>
                <w:sz w:val="18"/>
                <w:szCs w:val="18"/>
              </w:rPr>
              <w:t>B000008</w:t>
            </w:r>
          </w:p>
        </w:tc>
        <w:tc>
          <w:tcPr>
            <w:tcW w:w="2693" w:type="dxa"/>
            <w:shd w:val="clear" w:color="auto" w:fill="auto"/>
            <w:hideMark/>
          </w:tcPr>
          <w:p w:rsidR="00226205" w:rsidRPr="00226205" w:rsidRDefault="003D24A3" w:rsidP="00226205">
            <w:pPr>
              <w:rPr>
                <w:rFonts w:ascii="Calibri" w:hAnsi="Calibri" w:cs="Calibri"/>
                <w:color w:val="000000"/>
                <w:sz w:val="18"/>
                <w:szCs w:val="18"/>
              </w:rPr>
            </w:pPr>
            <w:r w:rsidRPr="00226205">
              <w:rPr>
                <w:rFonts w:ascii="Calibri" w:hAnsi="Calibri" w:cs="Calibri"/>
                <w:noProof/>
                <w:color w:val="000000"/>
                <w:sz w:val="18"/>
                <w:szCs w:val="18"/>
              </w:rPr>
              <w:drawing>
                <wp:anchor distT="0" distB="0" distL="114300" distR="114300" simplePos="0" relativeHeight="251817472" behindDoc="0" locked="0" layoutInCell="1" allowOverlap="1" wp14:anchorId="13DE4A53" wp14:editId="51D61F07">
                  <wp:simplePos x="0" y="0"/>
                  <wp:positionH relativeFrom="column">
                    <wp:posOffset>-22225</wp:posOffset>
                  </wp:positionH>
                  <wp:positionV relativeFrom="paragraph">
                    <wp:posOffset>34095</wp:posOffset>
                  </wp:positionV>
                  <wp:extent cx="1633855" cy="1630680"/>
                  <wp:effectExtent l="0" t="0" r="0" b="0"/>
                  <wp:wrapNone/>
                  <wp:docPr id="26" name="Pictu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88" cstate="print">
                            <a:extLst>
                              <a:ext uri="{28A0092B-C50C-407E-A947-70E740481C1C}">
                                <a14:useLocalDpi xmlns:a14="http://schemas.microsoft.com/office/drawing/2010/main" val="0"/>
                              </a:ext>
                            </a:extLst>
                          </a:blip>
                          <a:stretch>
                            <a:fillRect/>
                          </a:stretch>
                        </pic:blipFill>
                        <pic:spPr>
                          <a:xfrm rot="5400000">
                            <a:off x="0" y="0"/>
                            <a:ext cx="1633855" cy="1630680"/>
                          </a:xfrm>
                          <a:prstGeom prst="rect">
                            <a:avLst/>
                          </a:prstGeom>
                        </pic:spPr>
                      </pic:pic>
                    </a:graphicData>
                  </a:graphic>
                  <wp14:sizeRelH relativeFrom="page">
                    <wp14:pctWidth>0</wp14:pctWidth>
                  </wp14:sizeRelH>
                  <wp14:sizeRelV relativeFrom="page">
                    <wp14:pctHeight>0</wp14:pctHeight>
                  </wp14:sizeRelV>
                </wp:anchor>
              </w:drawing>
            </w:r>
          </w:p>
        </w:tc>
        <w:tc>
          <w:tcPr>
            <w:tcW w:w="2268" w:type="dxa"/>
            <w:shd w:val="clear" w:color="auto" w:fill="auto"/>
            <w:hideMark/>
          </w:tcPr>
          <w:p w:rsidR="00226205" w:rsidRPr="00226205" w:rsidRDefault="00226205" w:rsidP="00A54993">
            <w:pPr>
              <w:jc w:val="left"/>
              <w:rPr>
                <w:rFonts w:ascii="Calibri" w:hAnsi="Calibri" w:cs="Calibri"/>
                <w:color w:val="000000"/>
                <w:sz w:val="18"/>
                <w:szCs w:val="18"/>
              </w:rPr>
            </w:pPr>
            <w:r w:rsidRPr="00226205">
              <w:rPr>
                <w:rFonts w:ascii="Calibri" w:hAnsi="Calibri" w:cs="Calibri"/>
                <w:color w:val="000000"/>
                <w:sz w:val="18"/>
                <w:szCs w:val="18"/>
              </w:rPr>
              <w:t>Collingwood Town Hall- 150 Hoddle St, Abbotsford</w:t>
            </w:r>
          </w:p>
        </w:tc>
        <w:tc>
          <w:tcPr>
            <w:tcW w:w="1276" w:type="dxa"/>
            <w:shd w:val="clear" w:color="auto" w:fill="auto"/>
            <w:hideMark/>
          </w:tcPr>
          <w:p w:rsidR="00226205" w:rsidRPr="00226205" w:rsidRDefault="009965C5" w:rsidP="009965C5">
            <w:pPr>
              <w:tabs>
                <w:tab w:val="decimal" w:pos="884"/>
              </w:tabs>
              <w:jc w:val="left"/>
              <w:rPr>
                <w:rFonts w:ascii="Calibri" w:hAnsi="Calibri" w:cs="Calibri"/>
                <w:color w:val="000000"/>
                <w:sz w:val="18"/>
                <w:szCs w:val="18"/>
              </w:rPr>
            </w:pPr>
            <w:r>
              <w:rPr>
                <w:rFonts w:ascii="Calibri" w:hAnsi="Calibri" w:cs="Calibri"/>
                <w:color w:val="000000"/>
                <w:sz w:val="18"/>
                <w:szCs w:val="18"/>
              </w:rPr>
              <w:t>$</w:t>
            </w:r>
            <w:r w:rsidR="00226205" w:rsidRPr="00226205">
              <w:rPr>
                <w:rFonts w:ascii="Calibri" w:hAnsi="Calibri" w:cs="Calibri"/>
                <w:color w:val="000000"/>
                <w:sz w:val="18"/>
                <w:szCs w:val="18"/>
              </w:rPr>
              <w:t>38,735,844</w:t>
            </w:r>
          </w:p>
        </w:tc>
        <w:tc>
          <w:tcPr>
            <w:tcW w:w="1134" w:type="dxa"/>
            <w:shd w:val="clear" w:color="auto" w:fill="auto"/>
            <w:hideMark/>
          </w:tcPr>
          <w:p w:rsidR="00226205" w:rsidRPr="00226205" w:rsidRDefault="00226205" w:rsidP="00226205">
            <w:pPr>
              <w:jc w:val="center"/>
              <w:rPr>
                <w:rFonts w:ascii="Calibri" w:hAnsi="Calibri" w:cs="Calibri"/>
                <w:color w:val="000000"/>
                <w:sz w:val="18"/>
                <w:szCs w:val="18"/>
              </w:rPr>
            </w:pPr>
            <w:r w:rsidRPr="00226205">
              <w:rPr>
                <w:rFonts w:ascii="Calibri" w:hAnsi="Calibri" w:cs="Calibri"/>
                <w:color w:val="000000"/>
                <w:sz w:val="18"/>
                <w:szCs w:val="18"/>
              </w:rPr>
              <w:t>Council Operations</w:t>
            </w:r>
          </w:p>
        </w:tc>
        <w:tc>
          <w:tcPr>
            <w:tcW w:w="1417" w:type="dxa"/>
            <w:shd w:val="clear" w:color="auto" w:fill="auto"/>
            <w:hideMark/>
          </w:tcPr>
          <w:p w:rsidR="00226205" w:rsidRPr="00226205" w:rsidRDefault="00226205" w:rsidP="00226205">
            <w:pPr>
              <w:jc w:val="center"/>
              <w:rPr>
                <w:rFonts w:ascii="Calibri" w:hAnsi="Calibri" w:cs="Calibri"/>
                <w:color w:val="000000"/>
                <w:sz w:val="18"/>
                <w:szCs w:val="18"/>
              </w:rPr>
            </w:pPr>
            <w:r w:rsidRPr="00226205">
              <w:rPr>
                <w:rFonts w:ascii="Calibri" w:hAnsi="Calibri" w:cs="Calibri"/>
                <w:color w:val="000000"/>
                <w:sz w:val="18"/>
                <w:szCs w:val="18"/>
              </w:rPr>
              <w:t>Town Hall</w:t>
            </w:r>
          </w:p>
        </w:tc>
        <w:tc>
          <w:tcPr>
            <w:tcW w:w="2410" w:type="dxa"/>
            <w:shd w:val="clear" w:color="auto" w:fill="auto"/>
            <w:hideMark/>
          </w:tcPr>
          <w:p w:rsidR="00226205" w:rsidRPr="00226205" w:rsidRDefault="00226205" w:rsidP="00226205">
            <w:pPr>
              <w:jc w:val="left"/>
              <w:rPr>
                <w:rFonts w:ascii="Calibri" w:hAnsi="Calibri" w:cs="Calibri"/>
                <w:color w:val="000000"/>
                <w:sz w:val="18"/>
                <w:szCs w:val="18"/>
              </w:rPr>
            </w:pPr>
            <w:r w:rsidRPr="00226205">
              <w:rPr>
                <w:rFonts w:ascii="Calibri" w:hAnsi="Calibri" w:cs="Calibri"/>
                <w:color w:val="000000"/>
                <w:sz w:val="18"/>
                <w:szCs w:val="18"/>
              </w:rPr>
              <w:t xml:space="preserve">This building is overall in structurally in good condition, currently undergoing renewal for roof, electrical, mechanical and fit out. Outcome will ensure fitness for purpose. </w:t>
            </w:r>
          </w:p>
        </w:tc>
        <w:tc>
          <w:tcPr>
            <w:tcW w:w="3118" w:type="dxa"/>
            <w:shd w:val="clear" w:color="auto" w:fill="auto"/>
            <w:hideMark/>
          </w:tcPr>
          <w:p w:rsidR="00226205" w:rsidRPr="00226205" w:rsidRDefault="00226205" w:rsidP="00226205">
            <w:pPr>
              <w:jc w:val="left"/>
              <w:rPr>
                <w:rFonts w:ascii="Calibri" w:hAnsi="Calibri" w:cs="Calibri"/>
                <w:color w:val="000000"/>
                <w:sz w:val="18"/>
                <w:szCs w:val="18"/>
              </w:rPr>
            </w:pPr>
            <w:r w:rsidRPr="00226205">
              <w:rPr>
                <w:rFonts w:ascii="Calibri" w:hAnsi="Calibri" w:cs="Calibri"/>
                <w:color w:val="000000"/>
                <w:sz w:val="18"/>
                <w:szCs w:val="18"/>
              </w:rPr>
              <w:t xml:space="preserve">Building office space is at capacity with lack of space and change rooms this is currently being addressed through an extensive renewal and modernised work program.  The focus is on office accommodation there is occasionally conflict between Town Hall use and accommodation. All issues have been addressed as part of CTH Project. </w:t>
            </w:r>
          </w:p>
        </w:tc>
      </w:tr>
      <w:tr w:rsidR="00226205" w:rsidRPr="00226205" w:rsidTr="00B77D83">
        <w:trPr>
          <w:cantSplit/>
          <w:trHeight w:val="2206"/>
        </w:trPr>
        <w:tc>
          <w:tcPr>
            <w:tcW w:w="998" w:type="dxa"/>
            <w:shd w:val="clear" w:color="auto" w:fill="auto"/>
            <w:hideMark/>
          </w:tcPr>
          <w:p w:rsidR="00226205" w:rsidRPr="00226205" w:rsidRDefault="00226205" w:rsidP="006918D2">
            <w:pPr>
              <w:jc w:val="center"/>
              <w:rPr>
                <w:rFonts w:ascii="Calibri" w:hAnsi="Calibri" w:cs="Calibri"/>
                <w:color w:val="000000"/>
                <w:sz w:val="18"/>
                <w:szCs w:val="18"/>
              </w:rPr>
            </w:pPr>
            <w:r w:rsidRPr="00226205">
              <w:rPr>
                <w:rFonts w:ascii="Calibri" w:hAnsi="Calibri" w:cs="Calibri"/>
                <w:color w:val="000000"/>
                <w:sz w:val="18"/>
                <w:szCs w:val="18"/>
              </w:rPr>
              <w:t>B000009</w:t>
            </w:r>
          </w:p>
        </w:tc>
        <w:tc>
          <w:tcPr>
            <w:tcW w:w="2693" w:type="dxa"/>
            <w:shd w:val="clear" w:color="auto" w:fill="auto"/>
            <w:hideMark/>
          </w:tcPr>
          <w:p w:rsidR="00226205" w:rsidRPr="00226205" w:rsidRDefault="00226205" w:rsidP="00226205">
            <w:pPr>
              <w:rPr>
                <w:rFonts w:ascii="Calibri" w:hAnsi="Calibri" w:cs="Calibri"/>
                <w:color w:val="000000"/>
                <w:sz w:val="18"/>
                <w:szCs w:val="18"/>
              </w:rPr>
            </w:pPr>
            <w:r w:rsidRPr="00226205">
              <w:rPr>
                <w:rFonts w:ascii="Calibri" w:hAnsi="Calibri" w:cs="Calibri"/>
                <w:noProof/>
                <w:color w:val="000000"/>
                <w:sz w:val="18"/>
                <w:szCs w:val="18"/>
              </w:rPr>
              <w:drawing>
                <wp:anchor distT="0" distB="0" distL="114300" distR="114300" simplePos="0" relativeHeight="251733504" behindDoc="0" locked="0" layoutInCell="1" allowOverlap="1" wp14:anchorId="1E713752" wp14:editId="78640E37">
                  <wp:simplePos x="0" y="0"/>
                  <wp:positionH relativeFrom="column">
                    <wp:posOffset>-20955</wp:posOffset>
                  </wp:positionH>
                  <wp:positionV relativeFrom="paragraph">
                    <wp:posOffset>45720</wp:posOffset>
                  </wp:positionV>
                  <wp:extent cx="1630800" cy="1306800"/>
                  <wp:effectExtent l="0" t="0" r="0" b="0"/>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7"/>
                          <pic:cNvPicPr>
                            <a:picLocks noChangeAspect="1"/>
                          </pic:cNvPicPr>
                        </pic:nvPicPr>
                        <pic:blipFill>
                          <a:blip r:embed="rId89">
                            <a:extLst>
                              <a:ext uri="{28A0092B-C50C-407E-A947-70E740481C1C}">
                                <a14:useLocalDpi xmlns:a14="http://schemas.microsoft.com/office/drawing/2010/main" val="0"/>
                              </a:ext>
                            </a:extLst>
                          </a:blip>
                          <a:stretch>
                            <a:fillRect/>
                          </a:stretch>
                        </pic:blipFill>
                        <pic:spPr>
                          <a:xfrm>
                            <a:off x="0" y="0"/>
                            <a:ext cx="1630800" cy="1306800"/>
                          </a:xfrm>
                          <a:prstGeom prst="rect">
                            <a:avLst/>
                          </a:prstGeom>
                        </pic:spPr>
                      </pic:pic>
                    </a:graphicData>
                  </a:graphic>
                  <wp14:sizeRelH relativeFrom="page">
                    <wp14:pctWidth>0</wp14:pctWidth>
                  </wp14:sizeRelH>
                  <wp14:sizeRelV relativeFrom="page">
                    <wp14:pctHeight>0</wp14:pctHeight>
                  </wp14:sizeRelV>
                </wp:anchor>
              </w:drawing>
            </w:r>
          </w:p>
        </w:tc>
        <w:tc>
          <w:tcPr>
            <w:tcW w:w="2268" w:type="dxa"/>
            <w:shd w:val="clear" w:color="auto" w:fill="auto"/>
            <w:hideMark/>
          </w:tcPr>
          <w:p w:rsidR="00226205" w:rsidRPr="00226205" w:rsidRDefault="00226205" w:rsidP="00A54993">
            <w:pPr>
              <w:jc w:val="left"/>
              <w:rPr>
                <w:rFonts w:ascii="Calibri" w:hAnsi="Calibri" w:cs="Calibri"/>
                <w:color w:val="000000"/>
                <w:sz w:val="18"/>
                <w:szCs w:val="18"/>
              </w:rPr>
            </w:pPr>
            <w:r w:rsidRPr="00226205">
              <w:rPr>
                <w:rFonts w:ascii="Calibri" w:hAnsi="Calibri" w:cs="Calibri"/>
                <w:color w:val="000000"/>
                <w:sz w:val="18"/>
                <w:szCs w:val="18"/>
              </w:rPr>
              <w:t xml:space="preserve">Garage and Workshop rear of Collingwood Town Hall- Eddy Court, Abbotsford </w:t>
            </w:r>
          </w:p>
        </w:tc>
        <w:tc>
          <w:tcPr>
            <w:tcW w:w="1276" w:type="dxa"/>
            <w:shd w:val="clear" w:color="auto" w:fill="auto"/>
            <w:hideMark/>
          </w:tcPr>
          <w:p w:rsidR="00226205" w:rsidRPr="00226205" w:rsidRDefault="009965C5" w:rsidP="009965C5">
            <w:pPr>
              <w:tabs>
                <w:tab w:val="decimal" w:pos="884"/>
              </w:tabs>
              <w:jc w:val="left"/>
              <w:rPr>
                <w:rFonts w:ascii="Calibri" w:hAnsi="Calibri" w:cs="Calibri"/>
                <w:color w:val="000000"/>
                <w:sz w:val="18"/>
                <w:szCs w:val="18"/>
              </w:rPr>
            </w:pPr>
            <w:r>
              <w:rPr>
                <w:rFonts w:ascii="Calibri" w:hAnsi="Calibri" w:cs="Calibri"/>
                <w:color w:val="000000"/>
                <w:sz w:val="18"/>
                <w:szCs w:val="18"/>
              </w:rPr>
              <w:t>$</w:t>
            </w:r>
            <w:r w:rsidR="00226205" w:rsidRPr="00226205">
              <w:rPr>
                <w:rFonts w:ascii="Calibri" w:hAnsi="Calibri" w:cs="Calibri"/>
                <w:color w:val="000000"/>
                <w:sz w:val="18"/>
                <w:szCs w:val="18"/>
              </w:rPr>
              <w:t>89,298</w:t>
            </w:r>
          </w:p>
        </w:tc>
        <w:tc>
          <w:tcPr>
            <w:tcW w:w="1134" w:type="dxa"/>
            <w:shd w:val="clear" w:color="auto" w:fill="auto"/>
            <w:hideMark/>
          </w:tcPr>
          <w:p w:rsidR="00226205" w:rsidRPr="00226205" w:rsidRDefault="00226205" w:rsidP="00226205">
            <w:pPr>
              <w:jc w:val="center"/>
              <w:rPr>
                <w:rFonts w:ascii="Calibri" w:hAnsi="Calibri" w:cs="Calibri"/>
                <w:color w:val="000000"/>
                <w:sz w:val="18"/>
                <w:szCs w:val="18"/>
              </w:rPr>
            </w:pPr>
            <w:r w:rsidRPr="00226205">
              <w:rPr>
                <w:rFonts w:ascii="Calibri" w:hAnsi="Calibri" w:cs="Calibri"/>
                <w:color w:val="000000"/>
                <w:sz w:val="18"/>
                <w:szCs w:val="18"/>
              </w:rPr>
              <w:t>Council Operations</w:t>
            </w:r>
          </w:p>
        </w:tc>
        <w:tc>
          <w:tcPr>
            <w:tcW w:w="1417" w:type="dxa"/>
            <w:shd w:val="clear" w:color="auto" w:fill="auto"/>
            <w:hideMark/>
          </w:tcPr>
          <w:p w:rsidR="00226205" w:rsidRPr="00226205" w:rsidRDefault="00226205" w:rsidP="00226205">
            <w:pPr>
              <w:jc w:val="center"/>
              <w:rPr>
                <w:rFonts w:ascii="Calibri" w:hAnsi="Calibri" w:cs="Calibri"/>
                <w:color w:val="000000"/>
                <w:sz w:val="18"/>
                <w:szCs w:val="18"/>
              </w:rPr>
            </w:pPr>
            <w:r w:rsidRPr="00226205">
              <w:rPr>
                <w:rFonts w:ascii="Calibri" w:hAnsi="Calibri" w:cs="Calibri"/>
                <w:color w:val="000000"/>
                <w:sz w:val="18"/>
                <w:szCs w:val="18"/>
              </w:rPr>
              <w:t>Stores / Sheds / Garages</w:t>
            </w:r>
          </w:p>
        </w:tc>
        <w:tc>
          <w:tcPr>
            <w:tcW w:w="2410" w:type="dxa"/>
            <w:shd w:val="clear" w:color="auto" w:fill="auto"/>
            <w:hideMark/>
          </w:tcPr>
          <w:p w:rsidR="00226205" w:rsidRPr="00226205" w:rsidRDefault="00226205" w:rsidP="00226205">
            <w:pPr>
              <w:jc w:val="left"/>
              <w:rPr>
                <w:rFonts w:ascii="Calibri" w:hAnsi="Calibri" w:cs="Calibri"/>
                <w:color w:val="000000"/>
                <w:sz w:val="18"/>
                <w:szCs w:val="18"/>
              </w:rPr>
            </w:pPr>
            <w:r w:rsidRPr="00226205">
              <w:rPr>
                <w:rFonts w:ascii="Calibri" w:hAnsi="Calibri" w:cs="Calibri"/>
                <w:color w:val="000000"/>
                <w:sz w:val="18"/>
                <w:szCs w:val="18"/>
              </w:rPr>
              <w:t>The workshop is in fair structural condition.</w:t>
            </w:r>
          </w:p>
        </w:tc>
        <w:tc>
          <w:tcPr>
            <w:tcW w:w="3118" w:type="dxa"/>
            <w:shd w:val="clear" w:color="auto" w:fill="auto"/>
            <w:hideMark/>
          </w:tcPr>
          <w:p w:rsidR="00226205" w:rsidRPr="00226205" w:rsidRDefault="00226205" w:rsidP="00226205">
            <w:pPr>
              <w:jc w:val="left"/>
              <w:rPr>
                <w:rFonts w:ascii="Calibri" w:hAnsi="Calibri" w:cs="Calibri"/>
                <w:color w:val="000000"/>
                <w:sz w:val="18"/>
                <w:szCs w:val="18"/>
              </w:rPr>
            </w:pPr>
          </w:p>
        </w:tc>
      </w:tr>
      <w:tr w:rsidR="00226205" w:rsidRPr="00226205" w:rsidTr="00B77D83">
        <w:trPr>
          <w:cantSplit/>
          <w:trHeight w:val="2220"/>
        </w:trPr>
        <w:tc>
          <w:tcPr>
            <w:tcW w:w="998" w:type="dxa"/>
            <w:shd w:val="clear" w:color="auto" w:fill="auto"/>
            <w:hideMark/>
          </w:tcPr>
          <w:p w:rsidR="00226205" w:rsidRPr="00226205" w:rsidRDefault="00226205" w:rsidP="006918D2">
            <w:pPr>
              <w:jc w:val="center"/>
              <w:rPr>
                <w:rFonts w:ascii="Calibri" w:hAnsi="Calibri" w:cs="Calibri"/>
                <w:color w:val="000000"/>
                <w:sz w:val="18"/>
                <w:szCs w:val="18"/>
              </w:rPr>
            </w:pPr>
            <w:r w:rsidRPr="00226205">
              <w:rPr>
                <w:rFonts w:ascii="Calibri" w:hAnsi="Calibri" w:cs="Calibri"/>
                <w:color w:val="000000"/>
                <w:sz w:val="18"/>
                <w:szCs w:val="18"/>
              </w:rPr>
              <w:t>B000010</w:t>
            </w:r>
          </w:p>
        </w:tc>
        <w:tc>
          <w:tcPr>
            <w:tcW w:w="2693" w:type="dxa"/>
            <w:shd w:val="clear" w:color="auto" w:fill="auto"/>
            <w:hideMark/>
          </w:tcPr>
          <w:p w:rsidR="00226205" w:rsidRPr="00226205" w:rsidRDefault="00226205" w:rsidP="00226205">
            <w:pPr>
              <w:rPr>
                <w:rFonts w:ascii="Calibri" w:hAnsi="Calibri" w:cs="Calibri"/>
                <w:color w:val="000000"/>
                <w:sz w:val="18"/>
                <w:szCs w:val="18"/>
              </w:rPr>
            </w:pPr>
            <w:r w:rsidRPr="00226205">
              <w:rPr>
                <w:rFonts w:ascii="Calibri" w:hAnsi="Calibri" w:cs="Calibri"/>
                <w:noProof/>
                <w:color w:val="000000"/>
                <w:sz w:val="18"/>
                <w:szCs w:val="18"/>
              </w:rPr>
              <w:drawing>
                <wp:anchor distT="0" distB="0" distL="114300" distR="114300" simplePos="0" relativeHeight="251693568" behindDoc="0" locked="0" layoutInCell="1" allowOverlap="1" wp14:anchorId="3182547C" wp14:editId="6FEFE04D">
                  <wp:simplePos x="0" y="0"/>
                  <wp:positionH relativeFrom="column">
                    <wp:posOffset>-20955</wp:posOffset>
                  </wp:positionH>
                  <wp:positionV relativeFrom="paragraph">
                    <wp:posOffset>45720</wp:posOffset>
                  </wp:positionV>
                  <wp:extent cx="1630680" cy="1320800"/>
                  <wp:effectExtent l="0" t="0" r="0" b="0"/>
                  <wp:wrapNone/>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8"/>
                          <pic:cNvPicPr>
                            <a:picLocks noChangeAspect="1"/>
                          </pic:cNvPicPr>
                        </pic:nvPicPr>
                        <pic:blipFill>
                          <a:blip r:embed="rId90">
                            <a:extLst>
                              <a:ext uri="{28A0092B-C50C-407E-A947-70E740481C1C}">
                                <a14:useLocalDpi xmlns:a14="http://schemas.microsoft.com/office/drawing/2010/main" val="0"/>
                              </a:ext>
                            </a:extLst>
                          </a:blip>
                          <a:stretch>
                            <a:fillRect/>
                          </a:stretch>
                        </pic:blipFill>
                        <pic:spPr>
                          <a:xfrm>
                            <a:off x="0" y="0"/>
                            <a:ext cx="1630680" cy="1320800"/>
                          </a:xfrm>
                          <a:prstGeom prst="rect">
                            <a:avLst/>
                          </a:prstGeom>
                        </pic:spPr>
                      </pic:pic>
                    </a:graphicData>
                  </a:graphic>
                  <wp14:sizeRelH relativeFrom="page">
                    <wp14:pctWidth>0</wp14:pctWidth>
                  </wp14:sizeRelH>
                  <wp14:sizeRelV relativeFrom="page">
                    <wp14:pctHeight>0</wp14:pctHeight>
                  </wp14:sizeRelV>
                </wp:anchor>
              </w:drawing>
            </w:r>
          </w:p>
        </w:tc>
        <w:tc>
          <w:tcPr>
            <w:tcW w:w="2268" w:type="dxa"/>
            <w:shd w:val="clear" w:color="auto" w:fill="auto"/>
            <w:hideMark/>
          </w:tcPr>
          <w:p w:rsidR="00226205" w:rsidRPr="00226205" w:rsidRDefault="00226205" w:rsidP="00A54993">
            <w:pPr>
              <w:jc w:val="left"/>
              <w:rPr>
                <w:rFonts w:ascii="Calibri" w:hAnsi="Calibri" w:cs="Calibri"/>
                <w:color w:val="000000"/>
                <w:sz w:val="18"/>
                <w:szCs w:val="18"/>
              </w:rPr>
            </w:pPr>
            <w:r w:rsidRPr="00226205">
              <w:rPr>
                <w:rFonts w:ascii="Calibri" w:hAnsi="Calibri" w:cs="Calibri"/>
                <w:color w:val="000000"/>
                <w:sz w:val="18"/>
                <w:szCs w:val="18"/>
              </w:rPr>
              <w:t>Memorial Hall (ex RSL)- 150-152 Hoddle Street, Abbotsford</w:t>
            </w:r>
          </w:p>
        </w:tc>
        <w:tc>
          <w:tcPr>
            <w:tcW w:w="1276" w:type="dxa"/>
            <w:shd w:val="clear" w:color="auto" w:fill="auto"/>
            <w:hideMark/>
          </w:tcPr>
          <w:p w:rsidR="00226205" w:rsidRPr="00226205" w:rsidRDefault="009965C5" w:rsidP="009965C5">
            <w:pPr>
              <w:tabs>
                <w:tab w:val="decimal" w:pos="884"/>
              </w:tabs>
              <w:jc w:val="left"/>
              <w:rPr>
                <w:rFonts w:ascii="Calibri" w:hAnsi="Calibri" w:cs="Calibri"/>
                <w:color w:val="000000"/>
                <w:sz w:val="18"/>
                <w:szCs w:val="18"/>
              </w:rPr>
            </w:pPr>
            <w:r>
              <w:rPr>
                <w:rFonts w:ascii="Calibri" w:hAnsi="Calibri" w:cs="Calibri"/>
                <w:color w:val="000000"/>
                <w:sz w:val="18"/>
                <w:szCs w:val="18"/>
              </w:rPr>
              <w:t>$</w:t>
            </w:r>
            <w:r w:rsidR="00226205" w:rsidRPr="00226205">
              <w:rPr>
                <w:rFonts w:ascii="Calibri" w:hAnsi="Calibri" w:cs="Calibri"/>
                <w:color w:val="000000"/>
                <w:sz w:val="18"/>
                <w:szCs w:val="18"/>
              </w:rPr>
              <w:t>1,194,375</w:t>
            </w:r>
          </w:p>
        </w:tc>
        <w:tc>
          <w:tcPr>
            <w:tcW w:w="1134" w:type="dxa"/>
            <w:shd w:val="clear" w:color="auto" w:fill="auto"/>
            <w:hideMark/>
          </w:tcPr>
          <w:p w:rsidR="00226205" w:rsidRPr="00226205" w:rsidRDefault="00226205" w:rsidP="00226205">
            <w:pPr>
              <w:jc w:val="center"/>
              <w:rPr>
                <w:rFonts w:ascii="Calibri" w:hAnsi="Calibri" w:cs="Calibri"/>
                <w:color w:val="000000"/>
                <w:sz w:val="18"/>
                <w:szCs w:val="18"/>
              </w:rPr>
            </w:pPr>
            <w:r w:rsidRPr="00226205">
              <w:rPr>
                <w:rFonts w:ascii="Calibri" w:hAnsi="Calibri" w:cs="Calibri"/>
                <w:color w:val="000000"/>
                <w:sz w:val="18"/>
                <w:szCs w:val="18"/>
              </w:rPr>
              <w:t>Community Services</w:t>
            </w:r>
          </w:p>
        </w:tc>
        <w:tc>
          <w:tcPr>
            <w:tcW w:w="1417" w:type="dxa"/>
            <w:shd w:val="clear" w:color="auto" w:fill="auto"/>
            <w:hideMark/>
          </w:tcPr>
          <w:p w:rsidR="00226205" w:rsidRPr="00226205" w:rsidRDefault="00226205" w:rsidP="00226205">
            <w:pPr>
              <w:jc w:val="center"/>
              <w:rPr>
                <w:rFonts w:ascii="Calibri" w:hAnsi="Calibri" w:cs="Calibri"/>
                <w:color w:val="000000"/>
                <w:sz w:val="18"/>
                <w:szCs w:val="18"/>
              </w:rPr>
            </w:pPr>
            <w:r w:rsidRPr="00226205">
              <w:rPr>
                <w:rFonts w:ascii="Calibri" w:hAnsi="Calibri" w:cs="Calibri"/>
                <w:color w:val="000000"/>
                <w:sz w:val="18"/>
                <w:szCs w:val="18"/>
              </w:rPr>
              <w:t>Community Halls</w:t>
            </w:r>
          </w:p>
        </w:tc>
        <w:tc>
          <w:tcPr>
            <w:tcW w:w="2410" w:type="dxa"/>
            <w:shd w:val="clear" w:color="auto" w:fill="auto"/>
            <w:hideMark/>
          </w:tcPr>
          <w:p w:rsidR="00226205" w:rsidRPr="00226205" w:rsidRDefault="00DF0C54" w:rsidP="00226205">
            <w:pPr>
              <w:jc w:val="left"/>
              <w:rPr>
                <w:rFonts w:ascii="Calibri" w:hAnsi="Calibri" w:cs="Calibri"/>
                <w:color w:val="000000"/>
                <w:sz w:val="18"/>
                <w:szCs w:val="18"/>
              </w:rPr>
            </w:pPr>
            <w:r>
              <w:rPr>
                <w:rFonts w:ascii="Calibri" w:hAnsi="Calibri" w:cs="Calibri"/>
                <w:color w:val="000000"/>
                <w:sz w:val="18"/>
                <w:szCs w:val="18"/>
              </w:rPr>
              <w:t xml:space="preserve">This building is in poor </w:t>
            </w:r>
            <w:r w:rsidR="00226205" w:rsidRPr="00226205">
              <w:rPr>
                <w:rFonts w:ascii="Calibri" w:hAnsi="Calibri" w:cs="Calibri"/>
                <w:color w:val="000000"/>
                <w:sz w:val="18"/>
                <w:szCs w:val="18"/>
              </w:rPr>
              <w:t>overall condition. There are renewal requirements for the fitout. There is currently no electrical or mechanical services, internal ceilings walls doors and windows require renewal.</w:t>
            </w:r>
          </w:p>
        </w:tc>
        <w:tc>
          <w:tcPr>
            <w:tcW w:w="3118" w:type="dxa"/>
            <w:shd w:val="clear" w:color="auto" w:fill="auto"/>
            <w:hideMark/>
          </w:tcPr>
          <w:p w:rsidR="00226205" w:rsidRPr="00226205" w:rsidRDefault="00226205" w:rsidP="00226205">
            <w:pPr>
              <w:jc w:val="left"/>
              <w:rPr>
                <w:rFonts w:ascii="Calibri" w:hAnsi="Calibri" w:cs="Calibri"/>
                <w:color w:val="000000"/>
                <w:sz w:val="18"/>
                <w:szCs w:val="18"/>
              </w:rPr>
            </w:pPr>
            <w:r w:rsidRPr="00226205">
              <w:rPr>
                <w:rFonts w:ascii="Calibri" w:hAnsi="Calibri" w:cs="Calibri"/>
                <w:color w:val="000000"/>
                <w:sz w:val="18"/>
                <w:szCs w:val="18"/>
              </w:rPr>
              <w:t>No service currently delivered through building.  A long term vision for this building is required prior to further capital investment.</w:t>
            </w:r>
          </w:p>
        </w:tc>
      </w:tr>
      <w:tr w:rsidR="00226205" w:rsidRPr="00226205" w:rsidTr="00B77D83">
        <w:trPr>
          <w:cantSplit/>
          <w:trHeight w:val="2439"/>
        </w:trPr>
        <w:tc>
          <w:tcPr>
            <w:tcW w:w="998" w:type="dxa"/>
            <w:shd w:val="clear" w:color="auto" w:fill="auto"/>
            <w:hideMark/>
          </w:tcPr>
          <w:p w:rsidR="00226205" w:rsidRPr="00226205" w:rsidRDefault="00226205" w:rsidP="006918D2">
            <w:pPr>
              <w:jc w:val="center"/>
              <w:rPr>
                <w:rFonts w:ascii="Calibri" w:hAnsi="Calibri" w:cs="Calibri"/>
                <w:color w:val="000000"/>
                <w:sz w:val="18"/>
                <w:szCs w:val="18"/>
              </w:rPr>
            </w:pPr>
            <w:r w:rsidRPr="00226205">
              <w:rPr>
                <w:rFonts w:ascii="Calibri" w:hAnsi="Calibri" w:cs="Calibri"/>
                <w:color w:val="000000"/>
                <w:sz w:val="18"/>
                <w:szCs w:val="18"/>
              </w:rPr>
              <w:t>B000011</w:t>
            </w:r>
          </w:p>
        </w:tc>
        <w:tc>
          <w:tcPr>
            <w:tcW w:w="2693" w:type="dxa"/>
            <w:shd w:val="clear" w:color="auto" w:fill="auto"/>
            <w:hideMark/>
          </w:tcPr>
          <w:p w:rsidR="00226205" w:rsidRPr="00226205" w:rsidRDefault="00226205" w:rsidP="00226205">
            <w:pPr>
              <w:rPr>
                <w:rFonts w:ascii="Calibri" w:hAnsi="Calibri" w:cs="Calibri"/>
                <w:color w:val="000000"/>
                <w:sz w:val="18"/>
                <w:szCs w:val="18"/>
              </w:rPr>
            </w:pPr>
            <w:r w:rsidRPr="00226205">
              <w:rPr>
                <w:rFonts w:ascii="Calibri" w:hAnsi="Calibri" w:cs="Calibri"/>
                <w:noProof/>
                <w:color w:val="000000"/>
                <w:sz w:val="18"/>
                <w:szCs w:val="18"/>
              </w:rPr>
              <w:drawing>
                <wp:anchor distT="0" distB="0" distL="114300" distR="114300" simplePos="0" relativeHeight="251805184" behindDoc="0" locked="0" layoutInCell="1" allowOverlap="1" wp14:anchorId="607CE035" wp14:editId="31B24339">
                  <wp:simplePos x="0" y="0"/>
                  <wp:positionH relativeFrom="column">
                    <wp:posOffset>-20955</wp:posOffset>
                  </wp:positionH>
                  <wp:positionV relativeFrom="paragraph">
                    <wp:posOffset>52070</wp:posOffset>
                  </wp:positionV>
                  <wp:extent cx="1630680" cy="1439545"/>
                  <wp:effectExtent l="0" t="0" r="0" b="0"/>
                  <wp:wrapNone/>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Picture 147"/>
                          <pic:cNvPicPr>
                            <a:picLocks noChangeAspect="1"/>
                          </pic:cNvPicPr>
                        </pic:nvPicPr>
                        <pic:blipFill>
                          <a:blip r:embed="rId91">
                            <a:extLst>
                              <a:ext uri="{28A0092B-C50C-407E-A947-70E740481C1C}">
                                <a14:useLocalDpi xmlns:a14="http://schemas.microsoft.com/office/drawing/2010/main" val="0"/>
                              </a:ext>
                            </a:extLst>
                          </a:blip>
                          <a:stretch>
                            <a:fillRect/>
                          </a:stretch>
                        </pic:blipFill>
                        <pic:spPr>
                          <a:xfrm>
                            <a:off x="0" y="0"/>
                            <a:ext cx="1630680" cy="1439545"/>
                          </a:xfrm>
                          <a:prstGeom prst="rect">
                            <a:avLst/>
                          </a:prstGeom>
                        </pic:spPr>
                      </pic:pic>
                    </a:graphicData>
                  </a:graphic>
                  <wp14:sizeRelH relativeFrom="page">
                    <wp14:pctWidth>0</wp14:pctWidth>
                  </wp14:sizeRelH>
                  <wp14:sizeRelV relativeFrom="page">
                    <wp14:pctHeight>0</wp14:pctHeight>
                  </wp14:sizeRelV>
                </wp:anchor>
              </w:drawing>
            </w:r>
          </w:p>
        </w:tc>
        <w:tc>
          <w:tcPr>
            <w:tcW w:w="2268" w:type="dxa"/>
            <w:shd w:val="clear" w:color="auto" w:fill="auto"/>
            <w:hideMark/>
          </w:tcPr>
          <w:p w:rsidR="00226205" w:rsidRPr="00226205" w:rsidRDefault="00226205" w:rsidP="00A54993">
            <w:pPr>
              <w:jc w:val="left"/>
              <w:rPr>
                <w:rFonts w:ascii="Calibri" w:hAnsi="Calibri" w:cs="Calibri"/>
                <w:color w:val="000000"/>
                <w:sz w:val="18"/>
                <w:szCs w:val="18"/>
              </w:rPr>
            </w:pPr>
            <w:r w:rsidRPr="00226205">
              <w:rPr>
                <w:rFonts w:ascii="Calibri" w:hAnsi="Calibri" w:cs="Calibri"/>
                <w:color w:val="000000"/>
                <w:sz w:val="18"/>
                <w:szCs w:val="18"/>
              </w:rPr>
              <w:t xml:space="preserve">Pioneers Hall- Eddy Court, Abbotsford </w:t>
            </w:r>
          </w:p>
        </w:tc>
        <w:tc>
          <w:tcPr>
            <w:tcW w:w="1276" w:type="dxa"/>
            <w:shd w:val="clear" w:color="auto" w:fill="auto"/>
            <w:hideMark/>
          </w:tcPr>
          <w:p w:rsidR="00226205" w:rsidRPr="00226205" w:rsidRDefault="009965C5" w:rsidP="009965C5">
            <w:pPr>
              <w:tabs>
                <w:tab w:val="decimal" w:pos="884"/>
              </w:tabs>
              <w:jc w:val="left"/>
              <w:rPr>
                <w:rFonts w:ascii="Calibri" w:hAnsi="Calibri" w:cs="Calibri"/>
                <w:color w:val="000000"/>
                <w:sz w:val="18"/>
                <w:szCs w:val="18"/>
              </w:rPr>
            </w:pPr>
            <w:r>
              <w:rPr>
                <w:rFonts w:ascii="Calibri" w:hAnsi="Calibri" w:cs="Calibri"/>
                <w:color w:val="000000"/>
                <w:sz w:val="18"/>
                <w:szCs w:val="18"/>
              </w:rPr>
              <w:t>$</w:t>
            </w:r>
            <w:r w:rsidR="00226205" w:rsidRPr="00226205">
              <w:rPr>
                <w:rFonts w:ascii="Calibri" w:hAnsi="Calibri" w:cs="Calibri"/>
                <w:color w:val="000000"/>
                <w:sz w:val="18"/>
                <w:szCs w:val="18"/>
              </w:rPr>
              <w:t>200,778</w:t>
            </w:r>
          </w:p>
        </w:tc>
        <w:tc>
          <w:tcPr>
            <w:tcW w:w="1134" w:type="dxa"/>
            <w:shd w:val="clear" w:color="auto" w:fill="auto"/>
            <w:hideMark/>
          </w:tcPr>
          <w:p w:rsidR="00226205" w:rsidRPr="00226205" w:rsidRDefault="00226205" w:rsidP="00226205">
            <w:pPr>
              <w:jc w:val="center"/>
              <w:rPr>
                <w:rFonts w:ascii="Calibri" w:hAnsi="Calibri" w:cs="Calibri"/>
                <w:color w:val="000000"/>
                <w:sz w:val="18"/>
                <w:szCs w:val="18"/>
              </w:rPr>
            </w:pPr>
            <w:r w:rsidRPr="00226205">
              <w:rPr>
                <w:rFonts w:ascii="Calibri" w:hAnsi="Calibri" w:cs="Calibri"/>
                <w:color w:val="000000"/>
                <w:sz w:val="18"/>
                <w:szCs w:val="18"/>
              </w:rPr>
              <w:t>Community Services</w:t>
            </w:r>
          </w:p>
        </w:tc>
        <w:tc>
          <w:tcPr>
            <w:tcW w:w="1417" w:type="dxa"/>
            <w:shd w:val="clear" w:color="auto" w:fill="auto"/>
            <w:hideMark/>
          </w:tcPr>
          <w:p w:rsidR="00226205" w:rsidRPr="00226205" w:rsidRDefault="00226205" w:rsidP="00226205">
            <w:pPr>
              <w:jc w:val="center"/>
              <w:rPr>
                <w:rFonts w:ascii="Calibri" w:hAnsi="Calibri" w:cs="Calibri"/>
                <w:color w:val="000000"/>
                <w:sz w:val="18"/>
                <w:szCs w:val="18"/>
              </w:rPr>
            </w:pPr>
            <w:r w:rsidRPr="00226205">
              <w:rPr>
                <w:rFonts w:ascii="Calibri" w:hAnsi="Calibri" w:cs="Calibri"/>
                <w:color w:val="000000"/>
                <w:sz w:val="18"/>
                <w:szCs w:val="18"/>
              </w:rPr>
              <w:t>Community Halls</w:t>
            </w:r>
          </w:p>
        </w:tc>
        <w:tc>
          <w:tcPr>
            <w:tcW w:w="2410" w:type="dxa"/>
            <w:shd w:val="clear" w:color="auto" w:fill="auto"/>
            <w:hideMark/>
          </w:tcPr>
          <w:p w:rsidR="00226205" w:rsidRPr="00226205" w:rsidRDefault="00226205" w:rsidP="00226205">
            <w:pPr>
              <w:jc w:val="left"/>
              <w:rPr>
                <w:rFonts w:ascii="Calibri" w:hAnsi="Calibri" w:cs="Calibri"/>
                <w:color w:val="000000"/>
                <w:sz w:val="18"/>
                <w:szCs w:val="18"/>
              </w:rPr>
            </w:pPr>
            <w:r w:rsidRPr="00226205">
              <w:rPr>
                <w:rFonts w:ascii="Calibri" w:hAnsi="Calibri" w:cs="Calibri"/>
                <w:color w:val="000000"/>
                <w:sz w:val="18"/>
                <w:szCs w:val="18"/>
              </w:rPr>
              <w:t>This building is in very poor condition there are renewal requirements for the structure, roof, and fitout. Building is in a state of collapse and could be considered for dismantling and relocation on another site.</w:t>
            </w:r>
          </w:p>
        </w:tc>
        <w:tc>
          <w:tcPr>
            <w:tcW w:w="3118" w:type="dxa"/>
            <w:shd w:val="clear" w:color="auto" w:fill="auto"/>
            <w:hideMark/>
          </w:tcPr>
          <w:p w:rsidR="00226205" w:rsidRPr="00226205" w:rsidRDefault="00226205" w:rsidP="00226205">
            <w:pPr>
              <w:jc w:val="left"/>
              <w:rPr>
                <w:rFonts w:ascii="Calibri" w:hAnsi="Calibri" w:cs="Calibri"/>
                <w:color w:val="000000"/>
                <w:sz w:val="18"/>
                <w:szCs w:val="18"/>
              </w:rPr>
            </w:pPr>
            <w:r w:rsidRPr="00226205">
              <w:rPr>
                <w:rFonts w:ascii="Calibri" w:hAnsi="Calibri" w:cs="Calibri"/>
                <w:color w:val="000000"/>
                <w:sz w:val="18"/>
                <w:szCs w:val="18"/>
              </w:rPr>
              <w:t>No service currently delivered through building. Building has heritage features and should be preserved.  A long term vision for this building is required prior to further capital investment.</w:t>
            </w:r>
          </w:p>
        </w:tc>
      </w:tr>
      <w:tr w:rsidR="00226205" w:rsidRPr="00226205" w:rsidTr="00B77D83">
        <w:trPr>
          <w:cantSplit/>
          <w:trHeight w:val="2348"/>
        </w:trPr>
        <w:tc>
          <w:tcPr>
            <w:tcW w:w="998" w:type="dxa"/>
            <w:shd w:val="clear" w:color="auto" w:fill="auto"/>
            <w:hideMark/>
          </w:tcPr>
          <w:p w:rsidR="00226205" w:rsidRPr="00226205" w:rsidRDefault="00226205" w:rsidP="006918D2">
            <w:pPr>
              <w:jc w:val="center"/>
              <w:rPr>
                <w:rFonts w:ascii="Calibri" w:hAnsi="Calibri" w:cs="Calibri"/>
                <w:color w:val="000000"/>
                <w:sz w:val="18"/>
                <w:szCs w:val="18"/>
              </w:rPr>
            </w:pPr>
            <w:r w:rsidRPr="00226205">
              <w:rPr>
                <w:rFonts w:ascii="Calibri" w:hAnsi="Calibri" w:cs="Calibri"/>
                <w:color w:val="000000"/>
                <w:sz w:val="18"/>
                <w:szCs w:val="18"/>
              </w:rPr>
              <w:t>B000012</w:t>
            </w:r>
          </w:p>
        </w:tc>
        <w:tc>
          <w:tcPr>
            <w:tcW w:w="2693" w:type="dxa"/>
            <w:shd w:val="clear" w:color="auto" w:fill="auto"/>
            <w:hideMark/>
          </w:tcPr>
          <w:p w:rsidR="00226205" w:rsidRPr="00226205" w:rsidRDefault="00226205" w:rsidP="00226205">
            <w:pPr>
              <w:rPr>
                <w:rFonts w:ascii="Calibri" w:hAnsi="Calibri" w:cs="Calibri"/>
                <w:color w:val="000000"/>
                <w:sz w:val="18"/>
                <w:szCs w:val="18"/>
              </w:rPr>
            </w:pPr>
            <w:r w:rsidRPr="00226205">
              <w:rPr>
                <w:rFonts w:ascii="Calibri" w:hAnsi="Calibri" w:cs="Calibri"/>
                <w:noProof/>
                <w:color w:val="000000"/>
                <w:sz w:val="18"/>
                <w:szCs w:val="18"/>
              </w:rPr>
              <w:drawing>
                <wp:anchor distT="0" distB="0" distL="114300" distR="114300" simplePos="0" relativeHeight="251694592" behindDoc="0" locked="0" layoutInCell="1" allowOverlap="1" wp14:anchorId="1EC99FC0" wp14:editId="38024B83">
                  <wp:simplePos x="0" y="0"/>
                  <wp:positionH relativeFrom="column">
                    <wp:posOffset>-20955</wp:posOffset>
                  </wp:positionH>
                  <wp:positionV relativeFrom="paragraph">
                    <wp:posOffset>59250</wp:posOffset>
                  </wp:positionV>
                  <wp:extent cx="1630800" cy="1389600"/>
                  <wp:effectExtent l="0" t="0" r="0" b="0"/>
                  <wp:wrapNone/>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0"/>
                          <pic:cNvPicPr>
                            <a:picLocks noChangeAspect="1"/>
                          </pic:cNvPicPr>
                        </pic:nvPicPr>
                        <pic:blipFill>
                          <a:blip r:embed="rId92">
                            <a:extLst>
                              <a:ext uri="{28A0092B-C50C-407E-A947-70E740481C1C}">
                                <a14:useLocalDpi xmlns:a14="http://schemas.microsoft.com/office/drawing/2010/main" val="0"/>
                              </a:ext>
                            </a:extLst>
                          </a:blip>
                          <a:stretch>
                            <a:fillRect/>
                          </a:stretch>
                        </pic:blipFill>
                        <pic:spPr>
                          <a:xfrm>
                            <a:off x="0" y="0"/>
                            <a:ext cx="1630800" cy="1389600"/>
                          </a:xfrm>
                          <a:prstGeom prst="rect">
                            <a:avLst/>
                          </a:prstGeom>
                        </pic:spPr>
                      </pic:pic>
                    </a:graphicData>
                  </a:graphic>
                  <wp14:sizeRelH relativeFrom="page">
                    <wp14:pctWidth>0</wp14:pctWidth>
                  </wp14:sizeRelH>
                  <wp14:sizeRelV relativeFrom="page">
                    <wp14:pctHeight>0</wp14:pctHeight>
                  </wp14:sizeRelV>
                </wp:anchor>
              </w:drawing>
            </w:r>
          </w:p>
        </w:tc>
        <w:tc>
          <w:tcPr>
            <w:tcW w:w="2268" w:type="dxa"/>
            <w:shd w:val="clear" w:color="auto" w:fill="auto"/>
            <w:hideMark/>
          </w:tcPr>
          <w:p w:rsidR="00226205" w:rsidRPr="00226205" w:rsidRDefault="00226205" w:rsidP="00A54993">
            <w:pPr>
              <w:jc w:val="left"/>
              <w:rPr>
                <w:rFonts w:ascii="Calibri" w:hAnsi="Calibri" w:cs="Calibri"/>
                <w:color w:val="000000"/>
                <w:sz w:val="18"/>
                <w:szCs w:val="18"/>
              </w:rPr>
            </w:pPr>
            <w:r w:rsidRPr="00226205">
              <w:rPr>
                <w:rFonts w:ascii="Calibri" w:hAnsi="Calibri" w:cs="Calibri"/>
                <w:color w:val="000000"/>
                <w:sz w:val="18"/>
                <w:szCs w:val="18"/>
              </w:rPr>
              <w:t>Residence behind Memorial Hall (ex RSL)- 150-152 Hoddle Street, Abbotsford</w:t>
            </w:r>
          </w:p>
        </w:tc>
        <w:tc>
          <w:tcPr>
            <w:tcW w:w="1276" w:type="dxa"/>
            <w:shd w:val="clear" w:color="auto" w:fill="auto"/>
            <w:hideMark/>
          </w:tcPr>
          <w:p w:rsidR="00226205" w:rsidRPr="00226205" w:rsidRDefault="009965C5" w:rsidP="009965C5">
            <w:pPr>
              <w:tabs>
                <w:tab w:val="decimal" w:pos="884"/>
              </w:tabs>
              <w:jc w:val="left"/>
              <w:rPr>
                <w:rFonts w:ascii="Calibri" w:hAnsi="Calibri" w:cs="Calibri"/>
                <w:color w:val="000000"/>
                <w:sz w:val="18"/>
                <w:szCs w:val="18"/>
              </w:rPr>
            </w:pPr>
            <w:r>
              <w:rPr>
                <w:rFonts w:ascii="Calibri" w:hAnsi="Calibri" w:cs="Calibri"/>
                <w:color w:val="000000"/>
                <w:sz w:val="18"/>
                <w:szCs w:val="18"/>
              </w:rPr>
              <w:t>$</w:t>
            </w:r>
            <w:r w:rsidR="00226205" w:rsidRPr="00226205">
              <w:rPr>
                <w:rFonts w:ascii="Calibri" w:hAnsi="Calibri" w:cs="Calibri"/>
                <w:color w:val="000000"/>
                <w:sz w:val="18"/>
                <w:szCs w:val="18"/>
              </w:rPr>
              <w:t>163,185</w:t>
            </w:r>
          </w:p>
        </w:tc>
        <w:tc>
          <w:tcPr>
            <w:tcW w:w="1134" w:type="dxa"/>
            <w:shd w:val="clear" w:color="auto" w:fill="auto"/>
            <w:hideMark/>
          </w:tcPr>
          <w:p w:rsidR="00226205" w:rsidRPr="00226205" w:rsidRDefault="00226205" w:rsidP="00226205">
            <w:pPr>
              <w:jc w:val="center"/>
              <w:rPr>
                <w:rFonts w:ascii="Calibri" w:hAnsi="Calibri" w:cs="Calibri"/>
                <w:color w:val="000000"/>
                <w:sz w:val="18"/>
                <w:szCs w:val="18"/>
              </w:rPr>
            </w:pPr>
            <w:r w:rsidRPr="00226205">
              <w:rPr>
                <w:rFonts w:ascii="Calibri" w:hAnsi="Calibri" w:cs="Calibri"/>
                <w:color w:val="000000"/>
                <w:sz w:val="18"/>
                <w:szCs w:val="18"/>
              </w:rPr>
              <w:t>Community Services</w:t>
            </w:r>
          </w:p>
        </w:tc>
        <w:tc>
          <w:tcPr>
            <w:tcW w:w="1417" w:type="dxa"/>
            <w:shd w:val="clear" w:color="auto" w:fill="auto"/>
            <w:hideMark/>
          </w:tcPr>
          <w:p w:rsidR="00226205" w:rsidRPr="00226205" w:rsidRDefault="00226205" w:rsidP="00226205">
            <w:pPr>
              <w:jc w:val="center"/>
              <w:rPr>
                <w:rFonts w:ascii="Calibri" w:hAnsi="Calibri" w:cs="Calibri"/>
                <w:color w:val="000000"/>
                <w:sz w:val="18"/>
                <w:szCs w:val="18"/>
              </w:rPr>
            </w:pPr>
            <w:r w:rsidRPr="00226205">
              <w:rPr>
                <w:rFonts w:ascii="Calibri" w:hAnsi="Calibri" w:cs="Calibri"/>
                <w:color w:val="000000"/>
                <w:sz w:val="18"/>
                <w:szCs w:val="18"/>
              </w:rPr>
              <w:t>Residences</w:t>
            </w:r>
          </w:p>
        </w:tc>
        <w:tc>
          <w:tcPr>
            <w:tcW w:w="2410" w:type="dxa"/>
            <w:shd w:val="clear" w:color="auto" w:fill="auto"/>
            <w:hideMark/>
          </w:tcPr>
          <w:p w:rsidR="00226205" w:rsidRPr="00226205" w:rsidRDefault="00226205" w:rsidP="00226205">
            <w:pPr>
              <w:jc w:val="left"/>
              <w:rPr>
                <w:rFonts w:ascii="Calibri" w:hAnsi="Calibri" w:cs="Calibri"/>
                <w:color w:val="000000"/>
                <w:sz w:val="18"/>
                <w:szCs w:val="18"/>
              </w:rPr>
            </w:pPr>
            <w:r w:rsidRPr="00226205">
              <w:rPr>
                <w:rFonts w:ascii="Calibri" w:hAnsi="Calibri" w:cs="Calibri"/>
                <w:color w:val="000000"/>
                <w:sz w:val="18"/>
                <w:szCs w:val="18"/>
              </w:rPr>
              <w:t>This building is in very poor and has passed the point for renewal.</w:t>
            </w:r>
          </w:p>
        </w:tc>
        <w:tc>
          <w:tcPr>
            <w:tcW w:w="3118" w:type="dxa"/>
            <w:shd w:val="clear" w:color="auto" w:fill="auto"/>
            <w:hideMark/>
          </w:tcPr>
          <w:p w:rsidR="00226205" w:rsidRPr="00226205" w:rsidRDefault="00226205" w:rsidP="00226205">
            <w:pPr>
              <w:jc w:val="left"/>
              <w:rPr>
                <w:rFonts w:ascii="Calibri" w:hAnsi="Calibri" w:cs="Calibri"/>
                <w:color w:val="000000"/>
                <w:sz w:val="18"/>
                <w:szCs w:val="18"/>
              </w:rPr>
            </w:pPr>
            <w:r w:rsidRPr="00226205">
              <w:rPr>
                <w:rFonts w:ascii="Calibri" w:hAnsi="Calibri" w:cs="Calibri"/>
                <w:color w:val="000000"/>
                <w:sz w:val="18"/>
                <w:szCs w:val="18"/>
              </w:rPr>
              <w:t xml:space="preserve">No service currently delivered through building. </w:t>
            </w:r>
            <w:r w:rsidRPr="00226205">
              <w:rPr>
                <w:rFonts w:ascii="Calibri" w:hAnsi="Calibri" w:cs="Calibri"/>
                <w:color w:val="000000"/>
                <w:sz w:val="18"/>
                <w:szCs w:val="18"/>
              </w:rPr>
              <w:br/>
              <w:t>Due for demolition 2013-14.</w:t>
            </w:r>
          </w:p>
        </w:tc>
      </w:tr>
      <w:tr w:rsidR="00226205" w:rsidRPr="00226205" w:rsidTr="00B77D83">
        <w:trPr>
          <w:cantSplit/>
          <w:trHeight w:val="2254"/>
        </w:trPr>
        <w:tc>
          <w:tcPr>
            <w:tcW w:w="998" w:type="dxa"/>
            <w:shd w:val="clear" w:color="auto" w:fill="auto"/>
            <w:hideMark/>
          </w:tcPr>
          <w:p w:rsidR="00226205" w:rsidRPr="00226205" w:rsidRDefault="00226205" w:rsidP="006918D2">
            <w:pPr>
              <w:jc w:val="center"/>
              <w:rPr>
                <w:rFonts w:ascii="Calibri" w:hAnsi="Calibri" w:cs="Calibri"/>
                <w:color w:val="000000"/>
                <w:sz w:val="18"/>
                <w:szCs w:val="18"/>
              </w:rPr>
            </w:pPr>
            <w:r w:rsidRPr="00226205">
              <w:rPr>
                <w:rFonts w:ascii="Calibri" w:hAnsi="Calibri" w:cs="Calibri"/>
                <w:color w:val="000000"/>
                <w:sz w:val="18"/>
                <w:szCs w:val="18"/>
              </w:rPr>
              <w:t>B000014</w:t>
            </w:r>
          </w:p>
        </w:tc>
        <w:tc>
          <w:tcPr>
            <w:tcW w:w="2693" w:type="dxa"/>
            <w:shd w:val="clear" w:color="auto" w:fill="auto"/>
            <w:hideMark/>
          </w:tcPr>
          <w:p w:rsidR="00226205" w:rsidRPr="00226205" w:rsidRDefault="00226205" w:rsidP="00226205">
            <w:pPr>
              <w:rPr>
                <w:rFonts w:ascii="Calibri" w:hAnsi="Calibri" w:cs="Calibri"/>
                <w:color w:val="000000"/>
                <w:sz w:val="18"/>
                <w:szCs w:val="18"/>
              </w:rPr>
            </w:pPr>
            <w:r w:rsidRPr="00226205">
              <w:rPr>
                <w:rFonts w:ascii="Calibri" w:hAnsi="Calibri" w:cs="Calibri"/>
                <w:noProof/>
                <w:color w:val="000000"/>
                <w:sz w:val="18"/>
                <w:szCs w:val="18"/>
              </w:rPr>
              <w:drawing>
                <wp:anchor distT="0" distB="0" distL="114300" distR="114300" simplePos="0" relativeHeight="251734528" behindDoc="0" locked="0" layoutInCell="1" allowOverlap="1" wp14:anchorId="4B17B45C" wp14:editId="676F0A1B">
                  <wp:simplePos x="0" y="0"/>
                  <wp:positionH relativeFrom="column">
                    <wp:posOffset>-20955</wp:posOffset>
                  </wp:positionH>
                  <wp:positionV relativeFrom="paragraph">
                    <wp:posOffset>68580</wp:posOffset>
                  </wp:positionV>
                  <wp:extent cx="1630680" cy="1324610"/>
                  <wp:effectExtent l="0" t="0" r="0" b="0"/>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8"/>
                          <pic:cNvPicPr>
                            <a:picLocks noChangeAspect="1"/>
                          </pic:cNvPicPr>
                        </pic:nvPicPr>
                        <pic:blipFill>
                          <a:blip r:embed="rId93">
                            <a:extLst>
                              <a:ext uri="{28A0092B-C50C-407E-A947-70E740481C1C}">
                                <a14:useLocalDpi xmlns:a14="http://schemas.microsoft.com/office/drawing/2010/main" val="0"/>
                              </a:ext>
                            </a:extLst>
                          </a:blip>
                          <a:stretch>
                            <a:fillRect/>
                          </a:stretch>
                        </pic:blipFill>
                        <pic:spPr>
                          <a:xfrm>
                            <a:off x="0" y="0"/>
                            <a:ext cx="1630680" cy="1324610"/>
                          </a:xfrm>
                          <a:prstGeom prst="rect">
                            <a:avLst/>
                          </a:prstGeom>
                        </pic:spPr>
                      </pic:pic>
                    </a:graphicData>
                  </a:graphic>
                  <wp14:sizeRelH relativeFrom="page">
                    <wp14:pctWidth>0</wp14:pctWidth>
                  </wp14:sizeRelH>
                  <wp14:sizeRelV relativeFrom="page">
                    <wp14:pctHeight>0</wp14:pctHeight>
                  </wp14:sizeRelV>
                </wp:anchor>
              </w:drawing>
            </w:r>
          </w:p>
        </w:tc>
        <w:tc>
          <w:tcPr>
            <w:tcW w:w="2268" w:type="dxa"/>
            <w:shd w:val="clear" w:color="auto" w:fill="auto"/>
            <w:hideMark/>
          </w:tcPr>
          <w:p w:rsidR="00226205" w:rsidRPr="00226205" w:rsidRDefault="00226205" w:rsidP="00A54993">
            <w:pPr>
              <w:jc w:val="left"/>
              <w:rPr>
                <w:rFonts w:ascii="Calibri" w:hAnsi="Calibri" w:cs="Calibri"/>
                <w:color w:val="000000"/>
                <w:sz w:val="18"/>
                <w:szCs w:val="18"/>
              </w:rPr>
            </w:pPr>
            <w:r w:rsidRPr="00226205">
              <w:rPr>
                <w:rFonts w:ascii="Calibri" w:hAnsi="Calibri" w:cs="Calibri"/>
                <w:color w:val="000000"/>
                <w:sz w:val="18"/>
                <w:szCs w:val="18"/>
              </w:rPr>
              <w:t xml:space="preserve">Storage Sheds, rear of Collingwood Town Hall- Eddy Court, Abbotsford </w:t>
            </w:r>
          </w:p>
        </w:tc>
        <w:tc>
          <w:tcPr>
            <w:tcW w:w="1276" w:type="dxa"/>
            <w:shd w:val="clear" w:color="auto" w:fill="auto"/>
            <w:hideMark/>
          </w:tcPr>
          <w:p w:rsidR="00226205" w:rsidRPr="00226205" w:rsidRDefault="00226205" w:rsidP="009965C5">
            <w:pPr>
              <w:tabs>
                <w:tab w:val="decimal" w:pos="884"/>
              </w:tabs>
              <w:jc w:val="left"/>
              <w:rPr>
                <w:rFonts w:ascii="Calibri" w:hAnsi="Calibri" w:cs="Calibri"/>
                <w:color w:val="000000"/>
                <w:sz w:val="18"/>
                <w:szCs w:val="18"/>
              </w:rPr>
            </w:pPr>
            <w:r w:rsidRPr="00226205">
              <w:rPr>
                <w:rFonts w:ascii="Calibri" w:hAnsi="Calibri" w:cs="Calibri"/>
                <w:color w:val="000000"/>
                <w:sz w:val="18"/>
                <w:szCs w:val="18"/>
              </w:rPr>
              <w:t>$20,000</w:t>
            </w:r>
          </w:p>
        </w:tc>
        <w:tc>
          <w:tcPr>
            <w:tcW w:w="1134" w:type="dxa"/>
            <w:shd w:val="clear" w:color="auto" w:fill="auto"/>
            <w:hideMark/>
          </w:tcPr>
          <w:p w:rsidR="00226205" w:rsidRPr="00226205" w:rsidRDefault="00226205" w:rsidP="00226205">
            <w:pPr>
              <w:jc w:val="center"/>
              <w:rPr>
                <w:rFonts w:ascii="Calibri" w:hAnsi="Calibri" w:cs="Calibri"/>
                <w:color w:val="000000"/>
                <w:sz w:val="18"/>
                <w:szCs w:val="18"/>
              </w:rPr>
            </w:pPr>
            <w:r w:rsidRPr="00226205">
              <w:rPr>
                <w:rFonts w:ascii="Calibri" w:hAnsi="Calibri" w:cs="Calibri"/>
                <w:color w:val="000000"/>
                <w:sz w:val="18"/>
                <w:szCs w:val="18"/>
              </w:rPr>
              <w:t>Council Operations</w:t>
            </w:r>
          </w:p>
        </w:tc>
        <w:tc>
          <w:tcPr>
            <w:tcW w:w="1417" w:type="dxa"/>
            <w:shd w:val="clear" w:color="auto" w:fill="auto"/>
            <w:hideMark/>
          </w:tcPr>
          <w:p w:rsidR="00226205" w:rsidRPr="00226205" w:rsidRDefault="00226205" w:rsidP="00226205">
            <w:pPr>
              <w:jc w:val="center"/>
              <w:rPr>
                <w:rFonts w:ascii="Calibri" w:hAnsi="Calibri" w:cs="Calibri"/>
                <w:color w:val="000000"/>
                <w:sz w:val="18"/>
                <w:szCs w:val="18"/>
              </w:rPr>
            </w:pPr>
            <w:r w:rsidRPr="00226205">
              <w:rPr>
                <w:rFonts w:ascii="Calibri" w:hAnsi="Calibri" w:cs="Calibri"/>
                <w:color w:val="000000"/>
                <w:sz w:val="18"/>
                <w:szCs w:val="18"/>
              </w:rPr>
              <w:t>Stores / Sheds / Garages</w:t>
            </w:r>
          </w:p>
        </w:tc>
        <w:tc>
          <w:tcPr>
            <w:tcW w:w="2410" w:type="dxa"/>
            <w:shd w:val="clear" w:color="auto" w:fill="auto"/>
            <w:hideMark/>
          </w:tcPr>
          <w:p w:rsidR="00226205" w:rsidRPr="00226205" w:rsidRDefault="00226205" w:rsidP="00226205">
            <w:pPr>
              <w:jc w:val="left"/>
              <w:rPr>
                <w:rFonts w:ascii="Calibri" w:hAnsi="Calibri" w:cs="Calibri"/>
                <w:color w:val="000000"/>
                <w:sz w:val="18"/>
                <w:szCs w:val="18"/>
              </w:rPr>
            </w:pPr>
            <w:r w:rsidRPr="00226205">
              <w:rPr>
                <w:rFonts w:ascii="Calibri" w:hAnsi="Calibri" w:cs="Calibri"/>
                <w:color w:val="000000"/>
                <w:sz w:val="18"/>
                <w:szCs w:val="18"/>
              </w:rPr>
              <w:t>The storage shed is in an average structural condition</w:t>
            </w:r>
          </w:p>
        </w:tc>
        <w:tc>
          <w:tcPr>
            <w:tcW w:w="3118" w:type="dxa"/>
            <w:shd w:val="clear" w:color="auto" w:fill="auto"/>
            <w:hideMark/>
          </w:tcPr>
          <w:p w:rsidR="00226205" w:rsidRPr="00226205" w:rsidRDefault="00DC7882" w:rsidP="00DC7882">
            <w:pPr>
              <w:jc w:val="left"/>
              <w:rPr>
                <w:rFonts w:ascii="Calibri" w:hAnsi="Calibri" w:cs="Calibri"/>
                <w:color w:val="000000"/>
                <w:sz w:val="18"/>
                <w:szCs w:val="18"/>
              </w:rPr>
            </w:pPr>
            <w:r>
              <w:rPr>
                <w:rFonts w:ascii="Calibri" w:hAnsi="Calibri" w:cs="Calibri"/>
                <w:color w:val="000000"/>
                <w:sz w:val="18"/>
                <w:szCs w:val="18"/>
              </w:rPr>
              <w:t>Used in conjunction with CTH.</w:t>
            </w:r>
          </w:p>
        </w:tc>
      </w:tr>
      <w:tr w:rsidR="00226205" w:rsidRPr="00226205" w:rsidTr="00B77D83">
        <w:trPr>
          <w:cantSplit/>
          <w:trHeight w:val="2116"/>
        </w:trPr>
        <w:tc>
          <w:tcPr>
            <w:tcW w:w="998" w:type="dxa"/>
            <w:shd w:val="clear" w:color="auto" w:fill="auto"/>
            <w:hideMark/>
          </w:tcPr>
          <w:p w:rsidR="00226205" w:rsidRPr="00226205" w:rsidRDefault="00226205" w:rsidP="006918D2">
            <w:pPr>
              <w:jc w:val="center"/>
              <w:rPr>
                <w:rFonts w:ascii="Calibri" w:hAnsi="Calibri" w:cs="Calibri"/>
                <w:color w:val="000000"/>
                <w:sz w:val="18"/>
                <w:szCs w:val="18"/>
              </w:rPr>
            </w:pPr>
            <w:r w:rsidRPr="00226205">
              <w:rPr>
                <w:rFonts w:ascii="Calibri" w:hAnsi="Calibri" w:cs="Calibri"/>
                <w:color w:val="000000"/>
                <w:sz w:val="18"/>
                <w:szCs w:val="18"/>
              </w:rPr>
              <w:t>B000015</w:t>
            </w:r>
          </w:p>
        </w:tc>
        <w:tc>
          <w:tcPr>
            <w:tcW w:w="2693" w:type="dxa"/>
            <w:shd w:val="clear" w:color="auto" w:fill="auto"/>
            <w:hideMark/>
          </w:tcPr>
          <w:p w:rsidR="00226205" w:rsidRPr="00226205" w:rsidRDefault="00226205" w:rsidP="00226205">
            <w:pPr>
              <w:rPr>
                <w:rFonts w:ascii="Calibri" w:hAnsi="Calibri" w:cs="Calibri"/>
                <w:color w:val="000000"/>
                <w:sz w:val="18"/>
                <w:szCs w:val="18"/>
              </w:rPr>
            </w:pPr>
            <w:r w:rsidRPr="00226205">
              <w:rPr>
                <w:rFonts w:ascii="Calibri" w:hAnsi="Calibri" w:cs="Calibri"/>
                <w:noProof/>
                <w:color w:val="000000"/>
                <w:sz w:val="18"/>
                <w:szCs w:val="18"/>
              </w:rPr>
              <w:drawing>
                <wp:anchor distT="0" distB="0" distL="114300" distR="114300" simplePos="0" relativeHeight="251735552" behindDoc="0" locked="0" layoutInCell="1" allowOverlap="1" wp14:anchorId="29E3A219" wp14:editId="1CCE6F54">
                  <wp:simplePos x="0" y="0"/>
                  <wp:positionH relativeFrom="column">
                    <wp:posOffset>-20955</wp:posOffset>
                  </wp:positionH>
                  <wp:positionV relativeFrom="paragraph">
                    <wp:posOffset>45915</wp:posOffset>
                  </wp:positionV>
                  <wp:extent cx="1630680" cy="1227455"/>
                  <wp:effectExtent l="0" t="0" r="0" b="0"/>
                  <wp:wrapNone/>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69"/>
                          <pic:cNvPicPr>
                            <a:picLocks noChangeAspect="1"/>
                          </pic:cNvPicPr>
                        </pic:nvPicPr>
                        <pic:blipFill>
                          <a:blip r:embed="rId94">
                            <a:extLst>
                              <a:ext uri="{28A0092B-C50C-407E-A947-70E740481C1C}">
                                <a14:useLocalDpi xmlns:a14="http://schemas.microsoft.com/office/drawing/2010/main" val="0"/>
                              </a:ext>
                            </a:extLst>
                          </a:blip>
                          <a:stretch>
                            <a:fillRect/>
                          </a:stretch>
                        </pic:blipFill>
                        <pic:spPr>
                          <a:xfrm>
                            <a:off x="0" y="0"/>
                            <a:ext cx="1630680" cy="1227455"/>
                          </a:xfrm>
                          <a:prstGeom prst="rect">
                            <a:avLst/>
                          </a:prstGeom>
                        </pic:spPr>
                      </pic:pic>
                    </a:graphicData>
                  </a:graphic>
                  <wp14:sizeRelH relativeFrom="page">
                    <wp14:pctWidth>0</wp14:pctWidth>
                  </wp14:sizeRelH>
                  <wp14:sizeRelV relativeFrom="page">
                    <wp14:pctHeight>0</wp14:pctHeight>
                  </wp14:sizeRelV>
                </wp:anchor>
              </w:drawing>
            </w:r>
          </w:p>
        </w:tc>
        <w:tc>
          <w:tcPr>
            <w:tcW w:w="2268" w:type="dxa"/>
            <w:shd w:val="clear" w:color="auto" w:fill="auto"/>
            <w:hideMark/>
          </w:tcPr>
          <w:p w:rsidR="00226205" w:rsidRPr="00226205" w:rsidRDefault="00226205" w:rsidP="00A54993">
            <w:pPr>
              <w:jc w:val="left"/>
              <w:rPr>
                <w:rFonts w:ascii="Calibri" w:hAnsi="Calibri" w:cs="Calibri"/>
                <w:color w:val="000000"/>
                <w:sz w:val="18"/>
                <w:szCs w:val="18"/>
              </w:rPr>
            </w:pPr>
            <w:r w:rsidRPr="00226205">
              <w:rPr>
                <w:rFonts w:ascii="Calibri" w:hAnsi="Calibri" w:cs="Calibri"/>
                <w:color w:val="000000"/>
                <w:sz w:val="18"/>
                <w:szCs w:val="18"/>
              </w:rPr>
              <w:t>Shed (ex Substation), rear of Collingwood Town Hall- Eddy Court, Abbotsford</w:t>
            </w:r>
          </w:p>
        </w:tc>
        <w:tc>
          <w:tcPr>
            <w:tcW w:w="1276" w:type="dxa"/>
            <w:shd w:val="clear" w:color="auto" w:fill="auto"/>
            <w:hideMark/>
          </w:tcPr>
          <w:p w:rsidR="00226205" w:rsidRPr="00226205" w:rsidRDefault="00226205" w:rsidP="009965C5">
            <w:pPr>
              <w:tabs>
                <w:tab w:val="decimal" w:pos="884"/>
              </w:tabs>
              <w:jc w:val="left"/>
              <w:rPr>
                <w:rFonts w:ascii="Calibri" w:hAnsi="Calibri" w:cs="Calibri"/>
                <w:color w:val="000000"/>
                <w:sz w:val="18"/>
                <w:szCs w:val="18"/>
              </w:rPr>
            </w:pPr>
            <w:r w:rsidRPr="00226205">
              <w:rPr>
                <w:rFonts w:ascii="Calibri" w:hAnsi="Calibri" w:cs="Calibri"/>
                <w:color w:val="000000"/>
                <w:sz w:val="18"/>
                <w:szCs w:val="18"/>
              </w:rPr>
              <w:t>$16,605</w:t>
            </w:r>
          </w:p>
        </w:tc>
        <w:tc>
          <w:tcPr>
            <w:tcW w:w="1134" w:type="dxa"/>
            <w:shd w:val="clear" w:color="auto" w:fill="auto"/>
            <w:hideMark/>
          </w:tcPr>
          <w:p w:rsidR="00226205" w:rsidRPr="00226205" w:rsidRDefault="00226205" w:rsidP="00226205">
            <w:pPr>
              <w:jc w:val="center"/>
              <w:rPr>
                <w:rFonts w:ascii="Calibri" w:hAnsi="Calibri" w:cs="Calibri"/>
                <w:color w:val="000000"/>
                <w:sz w:val="18"/>
                <w:szCs w:val="18"/>
              </w:rPr>
            </w:pPr>
            <w:r w:rsidRPr="00226205">
              <w:rPr>
                <w:rFonts w:ascii="Calibri" w:hAnsi="Calibri" w:cs="Calibri"/>
                <w:color w:val="000000"/>
                <w:sz w:val="18"/>
                <w:szCs w:val="18"/>
              </w:rPr>
              <w:t>Council Operations</w:t>
            </w:r>
          </w:p>
        </w:tc>
        <w:tc>
          <w:tcPr>
            <w:tcW w:w="1417" w:type="dxa"/>
            <w:shd w:val="clear" w:color="auto" w:fill="auto"/>
            <w:hideMark/>
          </w:tcPr>
          <w:p w:rsidR="00226205" w:rsidRPr="00226205" w:rsidRDefault="00226205" w:rsidP="00226205">
            <w:pPr>
              <w:jc w:val="center"/>
              <w:rPr>
                <w:rFonts w:ascii="Calibri" w:hAnsi="Calibri" w:cs="Calibri"/>
                <w:color w:val="000000"/>
                <w:sz w:val="18"/>
                <w:szCs w:val="18"/>
              </w:rPr>
            </w:pPr>
            <w:r w:rsidRPr="00226205">
              <w:rPr>
                <w:rFonts w:ascii="Calibri" w:hAnsi="Calibri" w:cs="Calibri"/>
                <w:color w:val="000000"/>
                <w:sz w:val="18"/>
                <w:szCs w:val="18"/>
              </w:rPr>
              <w:t>Stores / Sheds / Garages</w:t>
            </w:r>
          </w:p>
        </w:tc>
        <w:tc>
          <w:tcPr>
            <w:tcW w:w="2410" w:type="dxa"/>
            <w:shd w:val="clear" w:color="auto" w:fill="auto"/>
            <w:hideMark/>
          </w:tcPr>
          <w:p w:rsidR="00226205" w:rsidRPr="00226205" w:rsidRDefault="00226205" w:rsidP="00226205">
            <w:pPr>
              <w:jc w:val="left"/>
              <w:rPr>
                <w:rFonts w:ascii="Calibri" w:hAnsi="Calibri" w:cs="Calibri"/>
                <w:color w:val="000000"/>
                <w:sz w:val="18"/>
                <w:szCs w:val="18"/>
              </w:rPr>
            </w:pPr>
            <w:r w:rsidRPr="00226205">
              <w:rPr>
                <w:rFonts w:ascii="Calibri" w:hAnsi="Calibri" w:cs="Calibri"/>
                <w:color w:val="000000"/>
                <w:sz w:val="18"/>
                <w:szCs w:val="18"/>
              </w:rPr>
              <w:t>This former sub-station is in a fair structural condition.</w:t>
            </w:r>
          </w:p>
        </w:tc>
        <w:tc>
          <w:tcPr>
            <w:tcW w:w="3118" w:type="dxa"/>
            <w:shd w:val="clear" w:color="auto" w:fill="auto"/>
            <w:hideMark/>
          </w:tcPr>
          <w:p w:rsidR="00226205" w:rsidRPr="00226205" w:rsidRDefault="00226205" w:rsidP="00226205">
            <w:pPr>
              <w:jc w:val="left"/>
              <w:rPr>
                <w:rFonts w:ascii="Calibri" w:hAnsi="Calibri" w:cs="Calibri"/>
                <w:color w:val="000000"/>
                <w:sz w:val="18"/>
                <w:szCs w:val="18"/>
              </w:rPr>
            </w:pPr>
            <w:r w:rsidRPr="00226205">
              <w:rPr>
                <w:rFonts w:ascii="Calibri" w:hAnsi="Calibri" w:cs="Calibri"/>
                <w:color w:val="000000"/>
                <w:sz w:val="18"/>
                <w:szCs w:val="18"/>
              </w:rPr>
              <w:t>To be reviewed as part of Collingwood Precinct.  Sheds are currently licensed to Royal District Nursing Service and St Vincent de Paul for storage.</w:t>
            </w:r>
          </w:p>
        </w:tc>
      </w:tr>
      <w:tr w:rsidR="00226205" w:rsidRPr="00226205" w:rsidTr="00B77D83">
        <w:trPr>
          <w:cantSplit/>
          <w:trHeight w:val="2065"/>
        </w:trPr>
        <w:tc>
          <w:tcPr>
            <w:tcW w:w="998" w:type="dxa"/>
            <w:shd w:val="clear" w:color="auto" w:fill="auto"/>
            <w:hideMark/>
          </w:tcPr>
          <w:p w:rsidR="00226205" w:rsidRPr="00226205" w:rsidRDefault="00226205" w:rsidP="006918D2">
            <w:pPr>
              <w:jc w:val="center"/>
              <w:rPr>
                <w:rFonts w:ascii="Calibri" w:hAnsi="Calibri" w:cs="Calibri"/>
                <w:color w:val="000000"/>
                <w:sz w:val="18"/>
                <w:szCs w:val="18"/>
              </w:rPr>
            </w:pPr>
            <w:r w:rsidRPr="00226205">
              <w:rPr>
                <w:rFonts w:ascii="Calibri" w:hAnsi="Calibri" w:cs="Calibri"/>
                <w:color w:val="000000"/>
                <w:sz w:val="18"/>
                <w:szCs w:val="18"/>
              </w:rPr>
              <w:t>B000018</w:t>
            </w:r>
          </w:p>
        </w:tc>
        <w:tc>
          <w:tcPr>
            <w:tcW w:w="2693" w:type="dxa"/>
            <w:shd w:val="clear" w:color="auto" w:fill="auto"/>
            <w:hideMark/>
          </w:tcPr>
          <w:p w:rsidR="00226205" w:rsidRPr="00226205" w:rsidRDefault="00226205" w:rsidP="00226205">
            <w:pPr>
              <w:rPr>
                <w:rFonts w:ascii="Calibri" w:hAnsi="Calibri" w:cs="Calibri"/>
                <w:color w:val="000000"/>
                <w:sz w:val="18"/>
                <w:szCs w:val="18"/>
              </w:rPr>
            </w:pPr>
            <w:r w:rsidRPr="00226205">
              <w:rPr>
                <w:rFonts w:ascii="Calibri" w:hAnsi="Calibri" w:cs="Calibri"/>
                <w:noProof/>
                <w:color w:val="000000"/>
                <w:sz w:val="18"/>
                <w:szCs w:val="18"/>
              </w:rPr>
              <w:drawing>
                <wp:anchor distT="0" distB="0" distL="114300" distR="114300" simplePos="0" relativeHeight="251757056" behindDoc="0" locked="0" layoutInCell="1" allowOverlap="1" wp14:anchorId="36919F9D" wp14:editId="0BA5296C">
                  <wp:simplePos x="0" y="0"/>
                  <wp:positionH relativeFrom="column">
                    <wp:posOffset>-20955</wp:posOffset>
                  </wp:positionH>
                  <wp:positionV relativeFrom="paragraph">
                    <wp:posOffset>38100</wp:posOffset>
                  </wp:positionV>
                  <wp:extent cx="1630800" cy="1234800"/>
                  <wp:effectExtent l="0" t="0" r="0" b="0"/>
                  <wp:wrapNone/>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91"/>
                          <pic:cNvPicPr>
                            <a:picLocks noChangeAspect="1"/>
                          </pic:cNvPicPr>
                        </pic:nvPicPr>
                        <pic:blipFill>
                          <a:blip r:embed="rId95">
                            <a:extLst>
                              <a:ext uri="{28A0092B-C50C-407E-A947-70E740481C1C}">
                                <a14:useLocalDpi xmlns:a14="http://schemas.microsoft.com/office/drawing/2010/main" val="0"/>
                              </a:ext>
                            </a:extLst>
                          </a:blip>
                          <a:stretch>
                            <a:fillRect/>
                          </a:stretch>
                        </pic:blipFill>
                        <pic:spPr>
                          <a:xfrm>
                            <a:off x="0" y="0"/>
                            <a:ext cx="1630800" cy="1234800"/>
                          </a:xfrm>
                          <a:prstGeom prst="rect">
                            <a:avLst/>
                          </a:prstGeom>
                        </pic:spPr>
                      </pic:pic>
                    </a:graphicData>
                  </a:graphic>
                  <wp14:sizeRelH relativeFrom="page">
                    <wp14:pctWidth>0</wp14:pctWidth>
                  </wp14:sizeRelH>
                  <wp14:sizeRelV relativeFrom="page">
                    <wp14:pctHeight>0</wp14:pctHeight>
                  </wp14:sizeRelV>
                </wp:anchor>
              </w:drawing>
            </w:r>
          </w:p>
        </w:tc>
        <w:tc>
          <w:tcPr>
            <w:tcW w:w="2268" w:type="dxa"/>
            <w:shd w:val="clear" w:color="auto" w:fill="auto"/>
            <w:hideMark/>
          </w:tcPr>
          <w:p w:rsidR="00226205" w:rsidRPr="00226205" w:rsidRDefault="00226205" w:rsidP="00A54993">
            <w:pPr>
              <w:jc w:val="left"/>
              <w:rPr>
                <w:rFonts w:ascii="Calibri" w:hAnsi="Calibri" w:cs="Calibri"/>
                <w:color w:val="000000"/>
                <w:sz w:val="18"/>
                <w:szCs w:val="18"/>
              </w:rPr>
            </w:pPr>
            <w:r w:rsidRPr="00226205">
              <w:rPr>
                <w:rFonts w:ascii="Calibri" w:hAnsi="Calibri" w:cs="Calibri"/>
                <w:color w:val="000000"/>
                <w:sz w:val="18"/>
                <w:szCs w:val="18"/>
              </w:rPr>
              <w:t xml:space="preserve">Public Toilet , Yarra Path, Collingwood Children's Farm- 18 St Heliers Street, Abbotsford </w:t>
            </w:r>
          </w:p>
        </w:tc>
        <w:tc>
          <w:tcPr>
            <w:tcW w:w="1276" w:type="dxa"/>
            <w:shd w:val="clear" w:color="auto" w:fill="auto"/>
            <w:hideMark/>
          </w:tcPr>
          <w:p w:rsidR="00226205" w:rsidRPr="00226205" w:rsidRDefault="00226205" w:rsidP="009965C5">
            <w:pPr>
              <w:tabs>
                <w:tab w:val="decimal" w:pos="884"/>
              </w:tabs>
              <w:jc w:val="left"/>
              <w:rPr>
                <w:rFonts w:ascii="Calibri" w:hAnsi="Calibri" w:cs="Calibri"/>
                <w:color w:val="000000"/>
                <w:sz w:val="18"/>
                <w:szCs w:val="18"/>
              </w:rPr>
            </w:pPr>
            <w:r w:rsidRPr="00226205">
              <w:rPr>
                <w:rFonts w:ascii="Calibri" w:hAnsi="Calibri" w:cs="Calibri"/>
                <w:color w:val="000000"/>
                <w:sz w:val="18"/>
                <w:szCs w:val="18"/>
              </w:rPr>
              <w:t>$132,570</w:t>
            </w:r>
          </w:p>
        </w:tc>
        <w:tc>
          <w:tcPr>
            <w:tcW w:w="1134" w:type="dxa"/>
            <w:shd w:val="clear" w:color="auto" w:fill="auto"/>
            <w:hideMark/>
          </w:tcPr>
          <w:p w:rsidR="00226205" w:rsidRPr="00226205" w:rsidRDefault="00226205" w:rsidP="00226205">
            <w:pPr>
              <w:jc w:val="center"/>
              <w:rPr>
                <w:rFonts w:ascii="Calibri" w:hAnsi="Calibri" w:cs="Calibri"/>
                <w:color w:val="000000"/>
                <w:sz w:val="18"/>
                <w:szCs w:val="18"/>
              </w:rPr>
            </w:pPr>
            <w:r w:rsidRPr="00226205">
              <w:rPr>
                <w:rFonts w:ascii="Calibri" w:hAnsi="Calibri" w:cs="Calibri"/>
                <w:color w:val="000000"/>
                <w:sz w:val="18"/>
                <w:szCs w:val="18"/>
              </w:rPr>
              <w:t xml:space="preserve">Recreation </w:t>
            </w:r>
            <w:r w:rsidR="00B77D83">
              <w:rPr>
                <w:rFonts w:ascii="Calibri" w:hAnsi="Calibri" w:cs="Calibri"/>
                <w:color w:val="000000"/>
                <w:sz w:val="18"/>
                <w:szCs w:val="18"/>
              </w:rPr>
              <w:t>and</w:t>
            </w:r>
            <w:r w:rsidRPr="00226205">
              <w:rPr>
                <w:rFonts w:ascii="Calibri" w:hAnsi="Calibri" w:cs="Calibri"/>
                <w:color w:val="000000"/>
                <w:sz w:val="18"/>
                <w:szCs w:val="18"/>
              </w:rPr>
              <w:t xml:space="preserve"> Open Space</w:t>
            </w:r>
          </w:p>
        </w:tc>
        <w:tc>
          <w:tcPr>
            <w:tcW w:w="1417" w:type="dxa"/>
            <w:shd w:val="clear" w:color="auto" w:fill="auto"/>
            <w:hideMark/>
          </w:tcPr>
          <w:p w:rsidR="00226205" w:rsidRPr="00226205" w:rsidRDefault="00226205" w:rsidP="00226205">
            <w:pPr>
              <w:jc w:val="center"/>
              <w:rPr>
                <w:rFonts w:ascii="Calibri" w:hAnsi="Calibri" w:cs="Calibri"/>
                <w:color w:val="000000"/>
                <w:sz w:val="18"/>
                <w:szCs w:val="18"/>
              </w:rPr>
            </w:pPr>
            <w:r w:rsidRPr="00226205">
              <w:rPr>
                <w:rFonts w:ascii="Calibri" w:hAnsi="Calibri" w:cs="Calibri"/>
                <w:color w:val="000000"/>
                <w:sz w:val="18"/>
                <w:szCs w:val="18"/>
              </w:rPr>
              <w:t>Public Toilets</w:t>
            </w:r>
          </w:p>
        </w:tc>
        <w:tc>
          <w:tcPr>
            <w:tcW w:w="2410" w:type="dxa"/>
            <w:shd w:val="clear" w:color="auto" w:fill="auto"/>
            <w:hideMark/>
          </w:tcPr>
          <w:p w:rsidR="00226205" w:rsidRPr="00226205" w:rsidRDefault="00226205" w:rsidP="00226205">
            <w:pPr>
              <w:jc w:val="left"/>
              <w:rPr>
                <w:rFonts w:ascii="Calibri" w:hAnsi="Calibri" w:cs="Calibri"/>
                <w:color w:val="000000"/>
                <w:sz w:val="18"/>
                <w:szCs w:val="18"/>
              </w:rPr>
            </w:pPr>
            <w:r w:rsidRPr="00226205">
              <w:rPr>
                <w:rFonts w:ascii="Calibri" w:hAnsi="Calibri" w:cs="Calibri"/>
                <w:color w:val="000000"/>
                <w:sz w:val="18"/>
                <w:szCs w:val="18"/>
              </w:rPr>
              <w:t>The toilet is overall in a fair condition. Fitout requires renewal.</w:t>
            </w:r>
          </w:p>
        </w:tc>
        <w:tc>
          <w:tcPr>
            <w:tcW w:w="3118" w:type="dxa"/>
            <w:shd w:val="clear" w:color="auto" w:fill="auto"/>
            <w:hideMark/>
          </w:tcPr>
          <w:p w:rsidR="00226205" w:rsidRPr="00226205" w:rsidRDefault="00226205" w:rsidP="00226205">
            <w:pPr>
              <w:jc w:val="left"/>
              <w:rPr>
                <w:rFonts w:ascii="Calibri" w:hAnsi="Calibri" w:cs="Calibri"/>
                <w:color w:val="000000"/>
                <w:sz w:val="18"/>
                <w:szCs w:val="18"/>
              </w:rPr>
            </w:pPr>
            <w:r w:rsidRPr="00226205">
              <w:rPr>
                <w:rFonts w:ascii="Calibri" w:hAnsi="Calibri" w:cs="Calibri"/>
                <w:color w:val="000000"/>
                <w:sz w:val="18"/>
                <w:szCs w:val="18"/>
              </w:rPr>
              <w:t>Currently fit for purpose</w:t>
            </w:r>
            <w:r w:rsidRPr="00226205">
              <w:rPr>
                <w:rFonts w:ascii="Calibri" w:hAnsi="Calibri" w:cs="Calibri"/>
                <w:color w:val="000000"/>
                <w:sz w:val="18"/>
                <w:szCs w:val="18"/>
              </w:rPr>
              <w:br/>
              <w:t>Excellent bike path access.</w:t>
            </w:r>
          </w:p>
        </w:tc>
      </w:tr>
      <w:tr w:rsidR="00226205" w:rsidRPr="00226205" w:rsidTr="00B77D83">
        <w:trPr>
          <w:cantSplit/>
          <w:trHeight w:val="2052"/>
        </w:trPr>
        <w:tc>
          <w:tcPr>
            <w:tcW w:w="998" w:type="dxa"/>
            <w:shd w:val="clear" w:color="auto" w:fill="auto"/>
            <w:hideMark/>
          </w:tcPr>
          <w:p w:rsidR="00226205" w:rsidRPr="00226205" w:rsidRDefault="00226205" w:rsidP="006918D2">
            <w:pPr>
              <w:jc w:val="center"/>
              <w:rPr>
                <w:rFonts w:ascii="Calibri" w:hAnsi="Calibri" w:cs="Calibri"/>
                <w:color w:val="000000"/>
                <w:sz w:val="18"/>
                <w:szCs w:val="18"/>
              </w:rPr>
            </w:pPr>
            <w:r w:rsidRPr="00226205">
              <w:rPr>
                <w:rFonts w:ascii="Calibri" w:hAnsi="Calibri" w:cs="Calibri"/>
                <w:color w:val="000000"/>
                <w:sz w:val="18"/>
                <w:szCs w:val="18"/>
              </w:rPr>
              <w:t>B000021</w:t>
            </w:r>
          </w:p>
        </w:tc>
        <w:tc>
          <w:tcPr>
            <w:tcW w:w="2693" w:type="dxa"/>
            <w:shd w:val="clear" w:color="auto" w:fill="auto"/>
            <w:hideMark/>
          </w:tcPr>
          <w:p w:rsidR="00226205" w:rsidRPr="00226205" w:rsidRDefault="00226205" w:rsidP="00226205">
            <w:pPr>
              <w:rPr>
                <w:rFonts w:ascii="Calibri" w:hAnsi="Calibri" w:cs="Calibri"/>
                <w:color w:val="000000"/>
                <w:sz w:val="18"/>
                <w:szCs w:val="18"/>
              </w:rPr>
            </w:pPr>
            <w:r w:rsidRPr="00226205">
              <w:rPr>
                <w:rFonts w:ascii="Calibri" w:hAnsi="Calibri" w:cs="Calibri"/>
                <w:noProof/>
                <w:color w:val="000000"/>
                <w:sz w:val="18"/>
                <w:szCs w:val="18"/>
              </w:rPr>
              <w:drawing>
                <wp:anchor distT="0" distB="0" distL="114300" distR="114300" simplePos="0" relativeHeight="251758080" behindDoc="0" locked="0" layoutInCell="1" allowOverlap="1" wp14:anchorId="5A32D07A" wp14:editId="6A74B3A8">
                  <wp:simplePos x="0" y="0"/>
                  <wp:positionH relativeFrom="column">
                    <wp:posOffset>-20955</wp:posOffset>
                  </wp:positionH>
                  <wp:positionV relativeFrom="paragraph">
                    <wp:posOffset>22860</wp:posOffset>
                  </wp:positionV>
                  <wp:extent cx="1630680" cy="1216660"/>
                  <wp:effectExtent l="0" t="0" r="0" b="0"/>
                  <wp:wrapNone/>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92"/>
                          <pic:cNvPicPr>
                            <a:picLocks noChangeAspect="1"/>
                          </pic:cNvPicPr>
                        </pic:nvPicPr>
                        <pic:blipFill>
                          <a:blip r:embed="rId96">
                            <a:extLst>
                              <a:ext uri="{28A0092B-C50C-407E-A947-70E740481C1C}">
                                <a14:useLocalDpi xmlns:a14="http://schemas.microsoft.com/office/drawing/2010/main" val="0"/>
                              </a:ext>
                            </a:extLst>
                          </a:blip>
                          <a:stretch>
                            <a:fillRect/>
                          </a:stretch>
                        </pic:blipFill>
                        <pic:spPr>
                          <a:xfrm>
                            <a:off x="0" y="0"/>
                            <a:ext cx="1630680" cy="1216660"/>
                          </a:xfrm>
                          <a:prstGeom prst="rect">
                            <a:avLst/>
                          </a:prstGeom>
                        </pic:spPr>
                      </pic:pic>
                    </a:graphicData>
                  </a:graphic>
                  <wp14:sizeRelH relativeFrom="page">
                    <wp14:pctWidth>0</wp14:pctWidth>
                  </wp14:sizeRelH>
                  <wp14:sizeRelV relativeFrom="page">
                    <wp14:pctHeight>0</wp14:pctHeight>
                  </wp14:sizeRelV>
                </wp:anchor>
              </w:drawing>
            </w:r>
          </w:p>
        </w:tc>
        <w:tc>
          <w:tcPr>
            <w:tcW w:w="2268" w:type="dxa"/>
            <w:shd w:val="clear" w:color="auto" w:fill="auto"/>
            <w:hideMark/>
          </w:tcPr>
          <w:p w:rsidR="00226205" w:rsidRPr="00226205" w:rsidRDefault="00226205" w:rsidP="00A54993">
            <w:pPr>
              <w:jc w:val="left"/>
              <w:rPr>
                <w:rFonts w:ascii="Calibri" w:hAnsi="Calibri" w:cs="Calibri"/>
                <w:color w:val="000000"/>
                <w:sz w:val="18"/>
                <w:szCs w:val="18"/>
              </w:rPr>
            </w:pPr>
            <w:r w:rsidRPr="00226205">
              <w:rPr>
                <w:rFonts w:ascii="Calibri" w:hAnsi="Calibri" w:cs="Calibri"/>
                <w:color w:val="000000"/>
                <w:sz w:val="18"/>
                <w:szCs w:val="18"/>
              </w:rPr>
              <w:t xml:space="preserve">Public Toilets, Dights Falls Park- Trenerry Crescent, Abbotsford </w:t>
            </w:r>
          </w:p>
        </w:tc>
        <w:tc>
          <w:tcPr>
            <w:tcW w:w="1276" w:type="dxa"/>
            <w:shd w:val="clear" w:color="auto" w:fill="auto"/>
            <w:hideMark/>
          </w:tcPr>
          <w:p w:rsidR="00226205" w:rsidRPr="00226205" w:rsidRDefault="009965C5" w:rsidP="009965C5">
            <w:pPr>
              <w:tabs>
                <w:tab w:val="decimal" w:pos="884"/>
              </w:tabs>
              <w:jc w:val="left"/>
              <w:rPr>
                <w:rFonts w:ascii="Calibri" w:hAnsi="Calibri" w:cs="Calibri"/>
                <w:color w:val="000000"/>
                <w:sz w:val="18"/>
                <w:szCs w:val="18"/>
              </w:rPr>
            </w:pPr>
            <w:r>
              <w:rPr>
                <w:rFonts w:ascii="Calibri" w:hAnsi="Calibri" w:cs="Calibri"/>
                <w:color w:val="000000"/>
                <w:sz w:val="18"/>
                <w:szCs w:val="18"/>
              </w:rPr>
              <w:t>$</w:t>
            </w:r>
            <w:r w:rsidR="00226205" w:rsidRPr="00226205">
              <w:rPr>
                <w:rFonts w:ascii="Calibri" w:hAnsi="Calibri" w:cs="Calibri"/>
                <w:color w:val="000000"/>
                <w:sz w:val="18"/>
                <w:szCs w:val="18"/>
              </w:rPr>
              <w:t>135,025</w:t>
            </w:r>
          </w:p>
        </w:tc>
        <w:tc>
          <w:tcPr>
            <w:tcW w:w="1134" w:type="dxa"/>
            <w:shd w:val="clear" w:color="auto" w:fill="auto"/>
            <w:hideMark/>
          </w:tcPr>
          <w:p w:rsidR="00226205" w:rsidRPr="00226205" w:rsidRDefault="00226205" w:rsidP="00226205">
            <w:pPr>
              <w:jc w:val="center"/>
              <w:rPr>
                <w:rFonts w:ascii="Calibri" w:hAnsi="Calibri" w:cs="Calibri"/>
                <w:color w:val="000000"/>
                <w:sz w:val="18"/>
                <w:szCs w:val="18"/>
              </w:rPr>
            </w:pPr>
            <w:r w:rsidRPr="00226205">
              <w:rPr>
                <w:rFonts w:ascii="Calibri" w:hAnsi="Calibri" w:cs="Calibri"/>
                <w:color w:val="000000"/>
                <w:sz w:val="18"/>
                <w:szCs w:val="18"/>
              </w:rPr>
              <w:t xml:space="preserve">Recreation </w:t>
            </w:r>
            <w:r w:rsidR="00B77D83">
              <w:rPr>
                <w:rFonts w:ascii="Calibri" w:hAnsi="Calibri" w:cs="Calibri"/>
                <w:color w:val="000000"/>
                <w:sz w:val="18"/>
                <w:szCs w:val="18"/>
              </w:rPr>
              <w:t>and</w:t>
            </w:r>
            <w:r w:rsidRPr="00226205">
              <w:rPr>
                <w:rFonts w:ascii="Calibri" w:hAnsi="Calibri" w:cs="Calibri"/>
                <w:color w:val="000000"/>
                <w:sz w:val="18"/>
                <w:szCs w:val="18"/>
              </w:rPr>
              <w:t xml:space="preserve"> Open Space</w:t>
            </w:r>
          </w:p>
        </w:tc>
        <w:tc>
          <w:tcPr>
            <w:tcW w:w="1417" w:type="dxa"/>
            <w:shd w:val="clear" w:color="auto" w:fill="auto"/>
            <w:hideMark/>
          </w:tcPr>
          <w:p w:rsidR="00226205" w:rsidRPr="00226205" w:rsidRDefault="00226205" w:rsidP="00226205">
            <w:pPr>
              <w:jc w:val="center"/>
              <w:rPr>
                <w:rFonts w:ascii="Calibri" w:hAnsi="Calibri" w:cs="Calibri"/>
                <w:color w:val="000000"/>
                <w:sz w:val="18"/>
                <w:szCs w:val="18"/>
              </w:rPr>
            </w:pPr>
            <w:r w:rsidRPr="00226205">
              <w:rPr>
                <w:rFonts w:ascii="Calibri" w:hAnsi="Calibri" w:cs="Calibri"/>
                <w:color w:val="000000"/>
                <w:sz w:val="18"/>
                <w:szCs w:val="18"/>
              </w:rPr>
              <w:t>Public Toilets</w:t>
            </w:r>
          </w:p>
        </w:tc>
        <w:tc>
          <w:tcPr>
            <w:tcW w:w="2410" w:type="dxa"/>
            <w:shd w:val="clear" w:color="auto" w:fill="auto"/>
            <w:hideMark/>
          </w:tcPr>
          <w:p w:rsidR="00226205" w:rsidRPr="00226205" w:rsidRDefault="00226205" w:rsidP="00226205">
            <w:pPr>
              <w:jc w:val="left"/>
              <w:rPr>
                <w:rFonts w:ascii="Calibri" w:hAnsi="Calibri" w:cs="Calibri"/>
                <w:color w:val="000000"/>
                <w:sz w:val="18"/>
                <w:szCs w:val="18"/>
              </w:rPr>
            </w:pPr>
            <w:r w:rsidRPr="00226205">
              <w:rPr>
                <w:rFonts w:ascii="Calibri" w:hAnsi="Calibri" w:cs="Calibri"/>
                <w:color w:val="000000"/>
                <w:sz w:val="18"/>
                <w:szCs w:val="18"/>
              </w:rPr>
              <w:t>The toilet is overall in a good structural condition.  Fitout requires renewal.</w:t>
            </w:r>
          </w:p>
        </w:tc>
        <w:tc>
          <w:tcPr>
            <w:tcW w:w="3118" w:type="dxa"/>
            <w:shd w:val="clear" w:color="auto" w:fill="auto"/>
            <w:hideMark/>
          </w:tcPr>
          <w:p w:rsidR="00226205" w:rsidRPr="00226205" w:rsidRDefault="00226205" w:rsidP="00226205">
            <w:pPr>
              <w:jc w:val="left"/>
              <w:rPr>
                <w:rFonts w:ascii="Calibri" w:hAnsi="Calibri" w:cs="Calibri"/>
                <w:color w:val="000000"/>
                <w:sz w:val="18"/>
                <w:szCs w:val="18"/>
              </w:rPr>
            </w:pPr>
            <w:r w:rsidRPr="00226205">
              <w:rPr>
                <w:rFonts w:ascii="Calibri" w:hAnsi="Calibri" w:cs="Calibri"/>
                <w:color w:val="000000"/>
                <w:sz w:val="18"/>
                <w:szCs w:val="18"/>
              </w:rPr>
              <w:t xml:space="preserve">Currently fit for purpose </w:t>
            </w:r>
            <w:r w:rsidRPr="00226205">
              <w:rPr>
                <w:rFonts w:ascii="Calibri" w:hAnsi="Calibri" w:cs="Calibri"/>
                <w:color w:val="000000"/>
                <w:sz w:val="18"/>
                <w:szCs w:val="18"/>
              </w:rPr>
              <w:br/>
              <w:t xml:space="preserve">Road and bike path only. </w:t>
            </w:r>
          </w:p>
        </w:tc>
      </w:tr>
      <w:tr w:rsidR="00226205" w:rsidRPr="00226205" w:rsidTr="00B77D83">
        <w:trPr>
          <w:cantSplit/>
          <w:trHeight w:val="2322"/>
        </w:trPr>
        <w:tc>
          <w:tcPr>
            <w:tcW w:w="998" w:type="dxa"/>
            <w:shd w:val="clear" w:color="auto" w:fill="auto"/>
            <w:hideMark/>
          </w:tcPr>
          <w:p w:rsidR="00226205" w:rsidRPr="00226205" w:rsidRDefault="00226205" w:rsidP="006918D2">
            <w:pPr>
              <w:jc w:val="center"/>
              <w:rPr>
                <w:rFonts w:ascii="Calibri" w:hAnsi="Calibri" w:cs="Calibri"/>
                <w:color w:val="000000"/>
                <w:sz w:val="18"/>
                <w:szCs w:val="18"/>
              </w:rPr>
            </w:pPr>
            <w:r w:rsidRPr="00226205">
              <w:rPr>
                <w:rFonts w:ascii="Calibri" w:hAnsi="Calibri" w:cs="Calibri"/>
                <w:color w:val="000000"/>
                <w:sz w:val="18"/>
                <w:szCs w:val="18"/>
              </w:rPr>
              <w:t>B000022</w:t>
            </w:r>
          </w:p>
        </w:tc>
        <w:tc>
          <w:tcPr>
            <w:tcW w:w="2693" w:type="dxa"/>
            <w:shd w:val="clear" w:color="auto" w:fill="auto"/>
            <w:hideMark/>
          </w:tcPr>
          <w:p w:rsidR="00226205" w:rsidRPr="00226205" w:rsidRDefault="00226205" w:rsidP="00226205">
            <w:pPr>
              <w:rPr>
                <w:rFonts w:ascii="Calibri" w:hAnsi="Calibri" w:cs="Calibri"/>
                <w:color w:val="000000"/>
                <w:sz w:val="18"/>
                <w:szCs w:val="18"/>
              </w:rPr>
            </w:pPr>
            <w:r w:rsidRPr="00226205">
              <w:rPr>
                <w:rFonts w:ascii="Calibri" w:hAnsi="Calibri" w:cs="Calibri"/>
                <w:noProof/>
                <w:color w:val="000000"/>
                <w:sz w:val="18"/>
                <w:szCs w:val="18"/>
              </w:rPr>
              <w:drawing>
                <wp:anchor distT="0" distB="0" distL="114300" distR="114300" simplePos="0" relativeHeight="251695616" behindDoc="0" locked="0" layoutInCell="1" allowOverlap="1" wp14:anchorId="1A1D1DFC" wp14:editId="6A13F9E0">
                  <wp:simplePos x="0" y="0"/>
                  <wp:positionH relativeFrom="column">
                    <wp:posOffset>-20955</wp:posOffset>
                  </wp:positionH>
                  <wp:positionV relativeFrom="paragraph">
                    <wp:posOffset>53535</wp:posOffset>
                  </wp:positionV>
                  <wp:extent cx="1630680" cy="1407160"/>
                  <wp:effectExtent l="0" t="0" r="0" b="0"/>
                  <wp:wrapNone/>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2"/>
                          <pic:cNvPicPr>
                            <a:picLocks noChangeAspect="1"/>
                          </pic:cNvPicPr>
                        </pic:nvPicPr>
                        <pic:blipFill>
                          <a:blip r:embed="rId97">
                            <a:extLst>
                              <a:ext uri="{28A0092B-C50C-407E-A947-70E740481C1C}">
                                <a14:useLocalDpi xmlns:a14="http://schemas.microsoft.com/office/drawing/2010/main" val="0"/>
                              </a:ext>
                            </a:extLst>
                          </a:blip>
                          <a:stretch>
                            <a:fillRect/>
                          </a:stretch>
                        </pic:blipFill>
                        <pic:spPr>
                          <a:xfrm>
                            <a:off x="0" y="0"/>
                            <a:ext cx="1630680" cy="1407160"/>
                          </a:xfrm>
                          <a:prstGeom prst="rect">
                            <a:avLst/>
                          </a:prstGeom>
                        </pic:spPr>
                      </pic:pic>
                    </a:graphicData>
                  </a:graphic>
                  <wp14:sizeRelH relativeFrom="page">
                    <wp14:pctWidth>0</wp14:pctWidth>
                  </wp14:sizeRelH>
                  <wp14:sizeRelV relativeFrom="page">
                    <wp14:pctHeight>0</wp14:pctHeight>
                  </wp14:sizeRelV>
                </wp:anchor>
              </w:drawing>
            </w:r>
          </w:p>
        </w:tc>
        <w:tc>
          <w:tcPr>
            <w:tcW w:w="2268" w:type="dxa"/>
            <w:shd w:val="clear" w:color="auto" w:fill="auto"/>
            <w:hideMark/>
          </w:tcPr>
          <w:p w:rsidR="00226205" w:rsidRPr="00226205" w:rsidRDefault="00226205" w:rsidP="00A54993">
            <w:pPr>
              <w:jc w:val="left"/>
              <w:rPr>
                <w:rFonts w:ascii="Calibri" w:hAnsi="Calibri" w:cs="Calibri"/>
                <w:color w:val="000000"/>
                <w:sz w:val="18"/>
                <w:szCs w:val="18"/>
              </w:rPr>
            </w:pPr>
            <w:r w:rsidRPr="00226205">
              <w:rPr>
                <w:rFonts w:ascii="Calibri" w:hAnsi="Calibri" w:cs="Calibri"/>
                <w:color w:val="000000"/>
                <w:sz w:val="18"/>
                <w:szCs w:val="18"/>
              </w:rPr>
              <w:t xml:space="preserve">Abbotsford Maternal Child and Health Centre, Gahan's Reserve- Park Street, Abbotsford </w:t>
            </w:r>
          </w:p>
        </w:tc>
        <w:tc>
          <w:tcPr>
            <w:tcW w:w="1276" w:type="dxa"/>
            <w:shd w:val="clear" w:color="auto" w:fill="auto"/>
            <w:hideMark/>
          </w:tcPr>
          <w:p w:rsidR="00226205" w:rsidRPr="00226205" w:rsidRDefault="009965C5" w:rsidP="009965C5">
            <w:pPr>
              <w:tabs>
                <w:tab w:val="decimal" w:pos="884"/>
              </w:tabs>
              <w:jc w:val="left"/>
              <w:rPr>
                <w:rFonts w:ascii="Calibri" w:hAnsi="Calibri" w:cs="Calibri"/>
                <w:color w:val="000000"/>
                <w:sz w:val="18"/>
                <w:szCs w:val="18"/>
              </w:rPr>
            </w:pPr>
            <w:r>
              <w:rPr>
                <w:rFonts w:ascii="Calibri" w:hAnsi="Calibri" w:cs="Calibri"/>
                <w:color w:val="000000"/>
                <w:sz w:val="18"/>
                <w:szCs w:val="18"/>
              </w:rPr>
              <w:t>$</w:t>
            </w:r>
            <w:r w:rsidR="00226205" w:rsidRPr="00226205">
              <w:rPr>
                <w:rFonts w:ascii="Calibri" w:hAnsi="Calibri" w:cs="Calibri"/>
                <w:color w:val="000000"/>
                <w:sz w:val="18"/>
                <w:szCs w:val="18"/>
              </w:rPr>
              <w:t>382,405</w:t>
            </w:r>
          </w:p>
        </w:tc>
        <w:tc>
          <w:tcPr>
            <w:tcW w:w="1134" w:type="dxa"/>
            <w:shd w:val="clear" w:color="auto" w:fill="auto"/>
            <w:hideMark/>
          </w:tcPr>
          <w:p w:rsidR="00226205" w:rsidRPr="00226205" w:rsidRDefault="00226205" w:rsidP="00226205">
            <w:pPr>
              <w:jc w:val="center"/>
              <w:rPr>
                <w:rFonts w:ascii="Calibri" w:hAnsi="Calibri" w:cs="Calibri"/>
                <w:color w:val="000000"/>
                <w:sz w:val="18"/>
                <w:szCs w:val="18"/>
              </w:rPr>
            </w:pPr>
            <w:r w:rsidRPr="00226205">
              <w:rPr>
                <w:rFonts w:ascii="Calibri" w:hAnsi="Calibri" w:cs="Calibri"/>
                <w:color w:val="000000"/>
                <w:sz w:val="18"/>
                <w:szCs w:val="18"/>
              </w:rPr>
              <w:t>Community Services</w:t>
            </w:r>
          </w:p>
        </w:tc>
        <w:tc>
          <w:tcPr>
            <w:tcW w:w="1417" w:type="dxa"/>
            <w:shd w:val="clear" w:color="auto" w:fill="auto"/>
            <w:hideMark/>
          </w:tcPr>
          <w:p w:rsidR="00226205" w:rsidRPr="00226205" w:rsidRDefault="00226205" w:rsidP="00226205">
            <w:pPr>
              <w:jc w:val="center"/>
              <w:rPr>
                <w:rFonts w:ascii="Calibri" w:hAnsi="Calibri" w:cs="Calibri"/>
                <w:color w:val="000000"/>
                <w:sz w:val="18"/>
                <w:szCs w:val="18"/>
              </w:rPr>
            </w:pPr>
            <w:r w:rsidRPr="00226205">
              <w:rPr>
                <w:rFonts w:ascii="Calibri" w:hAnsi="Calibri" w:cs="Calibri"/>
                <w:color w:val="000000"/>
                <w:sz w:val="18"/>
                <w:szCs w:val="18"/>
              </w:rPr>
              <w:t xml:space="preserve">Maternal </w:t>
            </w:r>
            <w:r w:rsidR="00B77D83">
              <w:rPr>
                <w:rFonts w:ascii="Calibri" w:hAnsi="Calibri" w:cs="Calibri"/>
                <w:color w:val="000000"/>
                <w:sz w:val="18"/>
                <w:szCs w:val="18"/>
              </w:rPr>
              <w:t>and</w:t>
            </w:r>
            <w:r w:rsidRPr="00226205">
              <w:rPr>
                <w:rFonts w:ascii="Calibri" w:hAnsi="Calibri" w:cs="Calibri"/>
                <w:color w:val="000000"/>
                <w:sz w:val="18"/>
                <w:szCs w:val="18"/>
              </w:rPr>
              <w:t xml:space="preserve"> Child Health Centres</w:t>
            </w:r>
          </w:p>
        </w:tc>
        <w:tc>
          <w:tcPr>
            <w:tcW w:w="2410" w:type="dxa"/>
            <w:shd w:val="clear" w:color="auto" w:fill="auto"/>
            <w:hideMark/>
          </w:tcPr>
          <w:p w:rsidR="00226205" w:rsidRPr="00226205" w:rsidRDefault="00226205" w:rsidP="00226205">
            <w:pPr>
              <w:jc w:val="left"/>
              <w:rPr>
                <w:rFonts w:ascii="Calibri" w:hAnsi="Calibri" w:cs="Calibri"/>
                <w:color w:val="000000"/>
                <w:sz w:val="18"/>
                <w:szCs w:val="18"/>
              </w:rPr>
            </w:pPr>
            <w:r w:rsidRPr="00226205">
              <w:rPr>
                <w:rFonts w:ascii="Calibri" w:hAnsi="Calibri" w:cs="Calibri"/>
                <w:color w:val="000000"/>
                <w:sz w:val="18"/>
                <w:szCs w:val="18"/>
              </w:rPr>
              <w:t>The building is overall in a good condition there were some structural repairs in 2013.</w:t>
            </w:r>
          </w:p>
        </w:tc>
        <w:tc>
          <w:tcPr>
            <w:tcW w:w="3118" w:type="dxa"/>
            <w:shd w:val="clear" w:color="auto" w:fill="auto"/>
            <w:hideMark/>
          </w:tcPr>
          <w:p w:rsidR="00226205" w:rsidRPr="00226205" w:rsidRDefault="00226205" w:rsidP="00226205">
            <w:pPr>
              <w:jc w:val="left"/>
              <w:rPr>
                <w:rFonts w:ascii="Calibri" w:hAnsi="Calibri" w:cs="Calibri"/>
                <w:color w:val="000000"/>
                <w:sz w:val="18"/>
                <w:szCs w:val="18"/>
              </w:rPr>
            </w:pPr>
            <w:r w:rsidRPr="00226205">
              <w:rPr>
                <w:rFonts w:ascii="Calibri" w:hAnsi="Calibri" w:cs="Calibri"/>
                <w:color w:val="000000"/>
                <w:sz w:val="18"/>
                <w:szCs w:val="18"/>
              </w:rPr>
              <w:t>Street parking only a</w:t>
            </w:r>
            <w:r w:rsidR="005E5635">
              <w:rPr>
                <w:rFonts w:ascii="Calibri" w:hAnsi="Calibri" w:cs="Calibri"/>
                <w:color w:val="000000"/>
                <w:sz w:val="18"/>
                <w:szCs w:val="18"/>
              </w:rPr>
              <w:t>vailable with no designated car</w:t>
            </w:r>
            <w:r w:rsidRPr="00226205">
              <w:rPr>
                <w:rFonts w:ascii="Calibri" w:hAnsi="Calibri" w:cs="Calibri"/>
                <w:color w:val="000000"/>
                <w:sz w:val="18"/>
                <w:szCs w:val="18"/>
              </w:rPr>
              <w:t xml:space="preserve">parking for MCH nurses. Train and bus access nearby in Hoddle Street. Good location between Collingwood and Abbotsford. MCH programming subject to demand - existing capacity meets current demand. No toilet facilities for families with disabilities.  Abbotsford MCH Centre is currently servicing both the Abbotsford and Collingwood areas. </w:t>
            </w:r>
          </w:p>
        </w:tc>
      </w:tr>
      <w:tr w:rsidR="00226205" w:rsidRPr="00226205" w:rsidTr="00B77D83">
        <w:trPr>
          <w:cantSplit/>
          <w:trHeight w:val="2160"/>
        </w:trPr>
        <w:tc>
          <w:tcPr>
            <w:tcW w:w="998" w:type="dxa"/>
            <w:shd w:val="clear" w:color="auto" w:fill="auto"/>
            <w:hideMark/>
          </w:tcPr>
          <w:p w:rsidR="00226205" w:rsidRPr="00226205" w:rsidRDefault="00226205" w:rsidP="006918D2">
            <w:pPr>
              <w:jc w:val="center"/>
              <w:rPr>
                <w:rFonts w:ascii="Calibri" w:hAnsi="Calibri" w:cs="Calibri"/>
                <w:color w:val="000000"/>
                <w:sz w:val="18"/>
                <w:szCs w:val="18"/>
              </w:rPr>
            </w:pPr>
            <w:r w:rsidRPr="00226205">
              <w:rPr>
                <w:rFonts w:ascii="Calibri" w:hAnsi="Calibri" w:cs="Calibri"/>
                <w:color w:val="000000"/>
                <w:sz w:val="18"/>
                <w:szCs w:val="18"/>
              </w:rPr>
              <w:t>B000024</w:t>
            </w:r>
          </w:p>
        </w:tc>
        <w:tc>
          <w:tcPr>
            <w:tcW w:w="2693" w:type="dxa"/>
            <w:shd w:val="clear" w:color="auto" w:fill="auto"/>
            <w:hideMark/>
          </w:tcPr>
          <w:p w:rsidR="00226205" w:rsidRPr="00226205" w:rsidRDefault="00226205" w:rsidP="00226205">
            <w:pPr>
              <w:rPr>
                <w:rFonts w:ascii="Calibri" w:hAnsi="Calibri" w:cs="Calibri"/>
                <w:color w:val="000000"/>
                <w:sz w:val="18"/>
                <w:szCs w:val="18"/>
              </w:rPr>
            </w:pPr>
            <w:r w:rsidRPr="00226205">
              <w:rPr>
                <w:rFonts w:ascii="Calibri" w:hAnsi="Calibri" w:cs="Calibri"/>
                <w:noProof/>
                <w:color w:val="000000"/>
                <w:sz w:val="18"/>
                <w:szCs w:val="18"/>
              </w:rPr>
              <w:drawing>
                <wp:anchor distT="0" distB="0" distL="114300" distR="114300" simplePos="0" relativeHeight="251696640" behindDoc="0" locked="0" layoutInCell="1" allowOverlap="1" wp14:anchorId="1B660275" wp14:editId="3379148D">
                  <wp:simplePos x="0" y="0"/>
                  <wp:positionH relativeFrom="column">
                    <wp:posOffset>-20955</wp:posOffset>
                  </wp:positionH>
                  <wp:positionV relativeFrom="paragraph">
                    <wp:posOffset>60325</wp:posOffset>
                  </wp:positionV>
                  <wp:extent cx="1630680" cy="1270635"/>
                  <wp:effectExtent l="0" t="0" r="0" b="0"/>
                  <wp:wrapNone/>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3"/>
                          <pic:cNvPicPr>
                            <a:picLocks noChangeAspect="1"/>
                          </pic:cNvPicPr>
                        </pic:nvPicPr>
                        <pic:blipFill>
                          <a:blip r:embed="rId98">
                            <a:extLst>
                              <a:ext uri="{28A0092B-C50C-407E-A947-70E740481C1C}">
                                <a14:useLocalDpi xmlns:a14="http://schemas.microsoft.com/office/drawing/2010/main" val="0"/>
                              </a:ext>
                            </a:extLst>
                          </a:blip>
                          <a:stretch>
                            <a:fillRect/>
                          </a:stretch>
                        </pic:blipFill>
                        <pic:spPr>
                          <a:xfrm>
                            <a:off x="0" y="0"/>
                            <a:ext cx="1630680" cy="1270635"/>
                          </a:xfrm>
                          <a:prstGeom prst="rect">
                            <a:avLst/>
                          </a:prstGeom>
                        </pic:spPr>
                      </pic:pic>
                    </a:graphicData>
                  </a:graphic>
                  <wp14:sizeRelH relativeFrom="page">
                    <wp14:pctWidth>0</wp14:pctWidth>
                  </wp14:sizeRelH>
                  <wp14:sizeRelV relativeFrom="page">
                    <wp14:pctHeight>0</wp14:pctHeight>
                  </wp14:sizeRelV>
                </wp:anchor>
              </w:drawing>
            </w:r>
          </w:p>
        </w:tc>
        <w:tc>
          <w:tcPr>
            <w:tcW w:w="2268" w:type="dxa"/>
            <w:shd w:val="clear" w:color="auto" w:fill="auto"/>
            <w:hideMark/>
          </w:tcPr>
          <w:p w:rsidR="00226205" w:rsidRPr="00226205" w:rsidRDefault="00226205" w:rsidP="00DC7882">
            <w:pPr>
              <w:jc w:val="left"/>
              <w:rPr>
                <w:rFonts w:ascii="Calibri" w:hAnsi="Calibri" w:cs="Calibri"/>
                <w:color w:val="000000"/>
                <w:sz w:val="18"/>
                <w:szCs w:val="18"/>
              </w:rPr>
            </w:pPr>
            <w:r w:rsidRPr="00226205">
              <w:rPr>
                <w:rFonts w:ascii="Calibri" w:hAnsi="Calibri" w:cs="Calibri"/>
                <w:color w:val="000000"/>
                <w:sz w:val="18"/>
                <w:szCs w:val="18"/>
              </w:rPr>
              <w:t>Lourdes Building- 2 St He</w:t>
            </w:r>
            <w:r w:rsidR="00DC7882">
              <w:rPr>
                <w:rFonts w:ascii="Calibri" w:hAnsi="Calibri" w:cs="Calibri"/>
                <w:color w:val="000000"/>
                <w:sz w:val="18"/>
                <w:szCs w:val="18"/>
              </w:rPr>
              <w:t>li</w:t>
            </w:r>
            <w:r w:rsidRPr="00226205">
              <w:rPr>
                <w:rFonts w:ascii="Calibri" w:hAnsi="Calibri" w:cs="Calibri"/>
                <w:color w:val="000000"/>
                <w:sz w:val="18"/>
                <w:szCs w:val="18"/>
              </w:rPr>
              <w:t xml:space="preserve">ers Street, Abbotsford </w:t>
            </w:r>
          </w:p>
        </w:tc>
        <w:tc>
          <w:tcPr>
            <w:tcW w:w="1276" w:type="dxa"/>
            <w:shd w:val="clear" w:color="auto" w:fill="auto"/>
            <w:hideMark/>
          </w:tcPr>
          <w:p w:rsidR="00226205" w:rsidRPr="00226205" w:rsidRDefault="00B77D83" w:rsidP="009965C5">
            <w:pPr>
              <w:tabs>
                <w:tab w:val="decimal" w:pos="884"/>
              </w:tabs>
              <w:jc w:val="left"/>
              <w:rPr>
                <w:rFonts w:ascii="Calibri" w:hAnsi="Calibri" w:cs="Calibri"/>
                <w:color w:val="000000"/>
                <w:sz w:val="18"/>
                <w:szCs w:val="18"/>
              </w:rPr>
            </w:pPr>
            <w:r>
              <w:rPr>
                <w:rFonts w:ascii="Calibri" w:hAnsi="Calibri" w:cs="Calibri"/>
                <w:color w:val="000000"/>
                <w:sz w:val="18"/>
                <w:szCs w:val="18"/>
              </w:rPr>
              <w:t>$</w:t>
            </w:r>
            <w:r w:rsidR="00226205" w:rsidRPr="00226205">
              <w:rPr>
                <w:rFonts w:ascii="Calibri" w:hAnsi="Calibri" w:cs="Calibri"/>
                <w:color w:val="000000"/>
                <w:sz w:val="18"/>
                <w:szCs w:val="18"/>
              </w:rPr>
              <w:t>2,466,225</w:t>
            </w:r>
          </w:p>
        </w:tc>
        <w:tc>
          <w:tcPr>
            <w:tcW w:w="1134" w:type="dxa"/>
            <w:shd w:val="clear" w:color="auto" w:fill="auto"/>
            <w:hideMark/>
          </w:tcPr>
          <w:p w:rsidR="00226205" w:rsidRPr="00226205" w:rsidRDefault="00226205" w:rsidP="00226205">
            <w:pPr>
              <w:jc w:val="center"/>
              <w:rPr>
                <w:rFonts w:ascii="Calibri" w:hAnsi="Calibri" w:cs="Calibri"/>
                <w:color w:val="000000"/>
                <w:sz w:val="18"/>
                <w:szCs w:val="18"/>
              </w:rPr>
            </w:pPr>
            <w:r w:rsidRPr="00226205">
              <w:rPr>
                <w:rFonts w:ascii="Calibri" w:hAnsi="Calibri" w:cs="Calibri"/>
                <w:color w:val="000000"/>
                <w:sz w:val="18"/>
                <w:szCs w:val="18"/>
              </w:rPr>
              <w:t>Community Services</w:t>
            </w:r>
          </w:p>
        </w:tc>
        <w:tc>
          <w:tcPr>
            <w:tcW w:w="1417" w:type="dxa"/>
            <w:shd w:val="clear" w:color="auto" w:fill="auto"/>
            <w:hideMark/>
          </w:tcPr>
          <w:p w:rsidR="00226205" w:rsidRPr="00226205" w:rsidRDefault="00226205" w:rsidP="00226205">
            <w:pPr>
              <w:jc w:val="center"/>
              <w:rPr>
                <w:rFonts w:ascii="Calibri" w:hAnsi="Calibri" w:cs="Calibri"/>
                <w:color w:val="000000"/>
                <w:sz w:val="18"/>
                <w:szCs w:val="18"/>
              </w:rPr>
            </w:pPr>
            <w:r w:rsidRPr="00226205">
              <w:rPr>
                <w:rFonts w:ascii="Calibri" w:hAnsi="Calibri" w:cs="Calibri"/>
                <w:color w:val="000000"/>
                <w:sz w:val="18"/>
                <w:szCs w:val="18"/>
              </w:rPr>
              <w:t>Child Care Centres</w:t>
            </w:r>
          </w:p>
        </w:tc>
        <w:tc>
          <w:tcPr>
            <w:tcW w:w="2410" w:type="dxa"/>
            <w:shd w:val="clear" w:color="auto" w:fill="auto"/>
            <w:hideMark/>
          </w:tcPr>
          <w:p w:rsidR="00226205" w:rsidRPr="00226205" w:rsidRDefault="00226205" w:rsidP="00226205">
            <w:pPr>
              <w:jc w:val="left"/>
              <w:rPr>
                <w:rFonts w:ascii="Calibri" w:hAnsi="Calibri" w:cs="Calibri"/>
                <w:color w:val="000000"/>
                <w:sz w:val="18"/>
                <w:szCs w:val="18"/>
              </w:rPr>
            </w:pPr>
            <w:r w:rsidRPr="00226205">
              <w:rPr>
                <w:rFonts w:ascii="Calibri" w:hAnsi="Calibri" w:cs="Calibri"/>
                <w:color w:val="000000"/>
                <w:sz w:val="18"/>
                <w:szCs w:val="18"/>
              </w:rPr>
              <w:t>This building is in very poor and has passed the point for renewal. Structural, electrical, mechanical, fitout and roof components requiring renewal.</w:t>
            </w:r>
          </w:p>
        </w:tc>
        <w:tc>
          <w:tcPr>
            <w:tcW w:w="3118" w:type="dxa"/>
            <w:shd w:val="clear" w:color="auto" w:fill="auto"/>
            <w:hideMark/>
          </w:tcPr>
          <w:p w:rsidR="00226205" w:rsidRPr="00226205" w:rsidRDefault="00226205" w:rsidP="00226205">
            <w:pPr>
              <w:jc w:val="left"/>
              <w:rPr>
                <w:rFonts w:ascii="Calibri" w:hAnsi="Calibri" w:cs="Calibri"/>
                <w:color w:val="000000"/>
                <w:sz w:val="18"/>
                <w:szCs w:val="18"/>
              </w:rPr>
            </w:pPr>
            <w:r w:rsidRPr="00226205">
              <w:rPr>
                <w:rFonts w:ascii="Calibri" w:hAnsi="Calibri" w:cs="Calibri"/>
                <w:color w:val="000000"/>
                <w:sz w:val="18"/>
                <w:szCs w:val="18"/>
              </w:rPr>
              <w:t xml:space="preserve">No service currently delivered through building. </w:t>
            </w:r>
            <w:r w:rsidRPr="00226205">
              <w:rPr>
                <w:rFonts w:ascii="Calibri" w:hAnsi="Calibri" w:cs="Calibri"/>
                <w:color w:val="000000"/>
                <w:sz w:val="18"/>
                <w:szCs w:val="18"/>
              </w:rPr>
              <w:br/>
              <w:t>Due for demolition as part of the redevelopment of the site.</w:t>
            </w:r>
          </w:p>
        </w:tc>
      </w:tr>
      <w:tr w:rsidR="00226205" w:rsidRPr="00226205" w:rsidTr="00B77D83">
        <w:trPr>
          <w:cantSplit/>
          <w:trHeight w:val="2166"/>
        </w:trPr>
        <w:tc>
          <w:tcPr>
            <w:tcW w:w="998" w:type="dxa"/>
            <w:shd w:val="clear" w:color="auto" w:fill="auto"/>
            <w:hideMark/>
          </w:tcPr>
          <w:p w:rsidR="00226205" w:rsidRPr="00226205" w:rsidRDefault="00226205" w:rsidP="006918D2">
            <w:pPr>
              <w:jc w:val="center"/>
              <w:rPr>
                <w:rFonts w:ascii="Calibri" w:hAnsi="Calibri" w:cs="Calibri"/>
                <w:color w:val="000000"/>
                <w:sz w:val="18"/>
                <w:szCs w:val="18"/>
              </w:rPr>
            </w:pPr>
            <w:r w:rsidRPr="00226205">
              <w:rPr>
                <w:rFonts w:ascii="Calibri" w:hAnsi="Calibri" w:cs="Calibri"/>
                <w:color w:val="000000"/>
                <w:sz w:val="18"/>
                <w:szCs w:val="18"/>
              </w:rPr>
              <w:t>B000027</w:t>
            </w:r>
          </w:p>
        </w:tc>
        <w:tc>
          <w:tcPr>
            <w:tcW w:w="2693" w:type="dxa"/>
            <w:shd w:val="clear" w:color="auto" w:fill="auto"/>
            <w:hideMark/>
          </w:tcPr>
          <w:p w:rsidR="00226205" w:rsidRPr="00226205" w:rsidRDefault="00226205" w:rsidP="00226205">
            <w:pPr>
              <w:rPr>
                <w:rFonts w:ascii="Calibri" w:hAnsi="Calibri" w:cs="Calibri"/>
                <w:color w:val="000000"/>
                <w:sz w:val="18"/>
                <w:szCs w:val="18"/>
              </w:rPr>
            </w:pPr>
            <w:r w:rsidRPr="00226205">
              <w:rPr>
                <w:rFonts w:ascii="Calibri" w:hAnsi="Calibri" w:cs="Calibri"/>
                <w:noProof/>
                <w:color w:val="000000"/>
                <w:sz w:val="18"/>
                <w:szCs w:val="18"/>
              </w:rPr>
              <w:drawing>
                <wp:anchor distT="0" distB="0" distL="114300" distR="114300" simplePos="0" relativeHeight="251806208" behindDoc="0" locked="0" layoutInCell="1" allowOverlap="1" wp14:anchorId="47163B17" wp14:editId="3AE5C157">
                  <wp:simplePos x="0" y="0"/>
                  <wp:positionH relativeFrom="column">
                    <wp:posOffset>-20955</wp:posOffset>
                  </wp:positionH>
                  <wp:positionV relativeFrom="paragraph">
                    <wp:posOffset>44645</wp:posOffset>
                  </wp:positionV>
                  <wp:extent cx="1630680" cy="1270635"/>
                  <wp:effectExtent l="0" t="0" r="0" b="0"/>
                  <wp:wrapNone/>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Picture 149"/>
                          <pic:cNvPicPr>
                            <a:picLocks noChangeAspect="1"/>
                          </pic:cNvPicPr>
                        </pic:nvPicPr>
                        <pic:blipFill>
                          <a:blip r:embed="rId99" cstate="print">
                            <a:extLst>
                              <a:ext uri="{28A0092B-C50C-407E-A947-70E740481C1C}">
                                <a14:useLocalDpi xmlns:a14="http://schemas.microsoft.com/office/drawing/2010/main" val="0"/>
                              </a:ext>
                            </a:extLst>
                          </a:blip>
                          <a:stretch>
                            <a:fillRect/>
                          </a:stretch>
                        </pic:blipFill>
                        <pic:spPr>
                          <a:xfrm>
                            <a:off x="0" y="0"/>
                            <a:ext cx="1630680" cy="1270635"/>
                          </a:xfrm>
                          <a:prstGeom prst="rect">
                            <a:avLst/>
                          </a:prstGeom>
                        </pic:spPr>
                      </pic:pic>
                    </a:graphicData>
                  </a:graphic>
                  <wp14:sizeRelH relativeFrom="page">
                    <wp14:pctWidth>0</wp14:pctWidth>
                  </wp14:sizeRelH>
                  <wp14:sizeRelV relativeFrom="page">
                    <wp14:pctHeight>0</wp14:pctHeight>
                  </wp14:sizeRelV>
                </wp:anchor>
              </w:drawing>
            </w:r>
          </w:p>
        </w:tc>
        <w:tc>
          <w:tcPr>
            <w:tcW w:w="2268" w:type="dxa"/>
            <w:shd w:val="clear" w:color="auto" w:fill="auto"/>
            <w:hideMark/>
          </w:tcPr>
          <w:p w:rsidR="00226205" w:rsidRPr="00226205" w:rsidRDefault="00226205" w:rsidP="00A54993">
            <w:pPr>
              <w:jc w:val="left"/>
              <w:rPr>
                <w:rFonts w:ascii="Calibri" w:hAnsi="Calibri" w:cs="Calibri"/>
                <w:color w:val="000000"/>
                <w:sz w:val="18"/>
                <w:szCs w:val="18"/>
              </w:rPr>
            </w:pPr>
            <w:r w:rsidRPr="00226205">
              <w:rPr>
                <w:rFonts w:ascii="Calibri" w:hAnsi="Calibri" w:cs="Calibri"/>
                <w:color w:val="000000"/>
                <w:sz w:val="18"/>
                <w:szCs w:val="18"/>
              </w:rPr>
              <w:t>Stanton Street Hall- 17 Stanton Street, Abbotsford</w:t>
            </w:r>
          </w:p>
        </w:tc>
        <w:tc>
          <w:tcPr>
            <w:tcW w:w="1276" w:type="dxa"/>
            <w:shd w:val="clear" w:color="auto" w:fill="auto"/>
            <w:hideMark/>
          </w:tcPr>
          <w:p w:rsidR="00226205" w:rsidRPr="00226205" w:rsidRDefault="00226205" w:rsidP="00B77D83">
            <w:pPr>
              <w:tabs>
                <w:tab w:val="decimal" w:pos="884"/>
              </w:tabs>
              <w:jc w:val="left"/>
              <w:rPr>
                <w:rFonts w:ascii="Calibri" w:hAnsi="Calibri" w:cs="Calibri"/>
                <w:color w:val="000000"/>
                <w:sz w:val="18"/>
                <w:szCs w:val="18"/>
              </w:rPr>
            </w:pPr>
            <w:r w:rsidRPr="00226205">
              <w:rPr>
                <w:rFonts w:ascii="Calibri" w:hAnsi="Calibri" w:cs="Calibri"/>
                <w:color w:val="000000"/>
                <w:sz w:val="18"/>
                <w:szCs w:val="18"/>
              </w:rPr>
              <w:t>$406,341</w:t>
            </w:r>
          </w:p>
        </w:tc>
        <w:tc>
          <w:tcPr>
            <w:tcW w:w="1134" w:type="dxa"/>
            <w:shd w:val="clear" w:color="auto" w:fill="auto"/>
            <w:hideMark/>
          </w:tcPr>
          <w:p w:rsidR="00226205" w:rsidRPr="00226205" w:rsidRDefault="00226205" w:rsidP="00226205">
            <w:pPr>
              <w:jc w:val="center"/>
              <w:rPr>
                <w:rFonts w:ascii="Calibri" w:hAnsi="Calibri" w:cs="Calibri"/>
                <w:color w:val="000000"/>
                <w:sz w:val="18"/>
                <w:szCs w:val="18"/>
              </w:rPr>
            </w:pPr>
            <w:r w:rsidRPr="00226205">
              <w:rPr>
                <w:rFonts w:ascii="Calibri" w:hAnsi="Calibri" w:cs="Calibri"/>
                <w:color w:val="000000"/>
                <w:sz w:val="18"/>
                <w:szCs w:val="18"/>
              </w:rPr>
              <w:t>Community Services</w:t>
            </w:r>
          </w:p>
        </w:tc>
        <w:tc>
          <w:tcPr>
            <w:tcW w:w="1417" w:type="dxa"/>
            <w:shd w:val="clear" w:color="auto" w:fill="auto"/>
            <w:hideMark/>
          </w:tcPr>
          <w:p w:rsidR="00226205" w:rsidRPr="00226205" w:rsidRDefault="00226205" w:rsidP="00226205">
            <w:pPr>
              <w:jc w:val="center"/>
              <w:rPr>
                <w:rFonts w:ascii="Calibri" w:hAnsi="Calibri" w:cs="Calibri"/>
                <w:color w:val="000000"/>
                <w:sz w:val="18"/>
                <w:szCs w:val="18"/>
              </w:rPr>
            </w:pPr>
            <w:r w:rsidRPr="00226205">
              <w:rPr>
                <w:rFonts w:ascii="Calibri" w:hAnsi="Calibri" w:cs="Calibri"/>
                <w:color w:val="000000"/>
                <w:sz w:val="18"/>
                <w:szCs w:val="18"/>
              </w:rPr>
              <w:t>Community Halls</w:t>
            </w:r>
          </w:p>
        </w:tc>
        <w:tc>
          <w:tcPr>
            <w:tcW w:w="2410" w:type="dxa"/>
            <w:shd w:val="clear" w:color="auto" w:fill="auto"/>
            <w:hideMark/>
          </w:tcPr>
          <w:p w:rsidR="00226205" w:rsidRPr="00226205" w:rsidRDefault="00226205" w:rsidP="00226205">
            <w:pPr>
              <w:jc w:val="left"/>
              <w:rPr>
                <w:rFonts w:ascii="Calibri" w:hAnsi="Calibri" w:cs="Calibri"/>
                <w:color w:val="000000"/>
                <w:sz w:val="18"/>
                <w:szCs w:val="18"/>
              </w:rPr>
            </w:pPr>
            <w:r w:rsidRPr="00226205">
              <w:rPr>
                <w:rFonts w:ascii="Calibri" w:hAnsi="Calibri" w:cs="Calibri"/>
                <w:color w:val="000000"/>
                <w:sz w:val="18"/>
                <w:szCs w:val="18"/>
              </w:rPr>
              <w:t>The building is in good condition.</w:t>
            </w:r>
          </w:p>
        </w:tc>
        <w:tc>
          <w:tcPr>
            <w:tcW w:w="3118" w:type="dxa"/>
            <w:shd w:val="clear" w:color="auto" w:fill="auto"/>
            <w:hideMark/>
          </w:tcPr>
          <w:p w:rsidR="00226205" w:rsidRPr="00226205" w:rsidRDefault="00226205" w:rsidP="00226205">
            <w:pPr>
              <w:jc w:val="left"/>
              <w:rPr>
                <w:rFonts w:ascii="Calibri" w:hAnsi="Calibri" w:cs="Calibri"/>
                <w:color w:val="000000"/>
                <w:sz w:val="18"/>
                <w:szCs w:val="18"/>
              </w:rPr>
            </w:pPr>
            <w:r w:rsidRPr="00226205">
              <w:rPr>
                <w:rFonts w:ascii="Calibri" w:hAnsi="Calibri" w:cs="Calibri"/>
                <w:color w:val="000000"/>
                <w:sz w:val="18"/>
                <w:szCs w:val="18"/>
              </w:rPr>
              <w:t>Site is currently leased to Collingwood Youth Boxing Club and University of the Third Age.</w:t>
            </w:r>
          </w:p>
        </w:tc>
      </w:tr>
      <w:tr w:rsidR="00226205" w:rsidRPr="00226205" w:rsidTr="00B77D83">
        <w:trPr>
          <w:cantSplit/>
          <w:trHeight w:val="2148"/>
        </w:trPr>
        <w:tc>
          <w:tcPr>
            <w:tcW w:w="998" w:type="dxa"/>
            <w:shd w:val="clear" w:color="auto" w:fill="auto"/>
            <w:hideMark/>
          </w:tcPr>
          <w:p w:rsidR="00226205" w:rsidRPr="00226205" w:rsidRDefault="00226205" w:rsidP="006918D2">
            <w:pPr>
              <w:jc w:val="center"/>
              <w:rPr>
                <w:rFonts w:ascii="Calibri" w:hAnsi="Calibri" w:cs="Calibri"/>
                <w:color w:val="000000"/>
                <w:sz w:val="18"/>
                <w:szCs w:val="18"/>
              </w:rPr>
            </w:pPr>
            <w:r w:rsidRPr="00226205">
              <w:rPr>
                <w:rFonts w:ascii="Calibri" w:hAnsi="Calibri" w:cs="Calibri"/>
                <w:color w:val="000000"/>
                <w:sz w:val="18"/>
                <w:szCs w:val="18"/>
              </w:rPr>
              <w:t>B000028</w:t>
            </w:r>
          </w:p>
        </w:tc>
        <w:tc>
          <w:tcPr>
            <w:tcW w:w="2693" w:type="dxa"/>
            <w:shd w:val="clear" w:color="auto" w:fill="auto"/>
            <w:hideMark/>
          </w:tcPr>
          <w:p w:rsidR="00226205" w:rsidRPr="00226205" w:rsidRDefault="00226205" w:rsidP="00226205">
            <w:pPr>
              <w:rPr>
                <w:rFonts w:ascii="Calibri" w:hAnsi="Calibri" w:cs="Calibri"/>
                <w:color w:val="000000"/>
                <w:sz w:val="18"/>
                <w:szCs w:val="18"/>
              </w:rPr>
            </w:pPr>
            <w:r w:rsidRPr="00226205">
              <w:rPr>
                <w:rFonts w:ascii="Calibri" w:hAnsi="Calibri" w:cs="Calibri"/>
                <w:noProof/>
                <w:color w:val="000000"/>
                <w:sz w:val="18"/>
                <w:szCs w:val="18"/>
              </w:rPr>
              <w:drawing>
                <wp:anchor distT="0" distB="0" distL="114300" distR="114300" simplePos="0" relativeHeight="251680256" behindDoc="0" locked="0" layoutInCell="1" allowOverlap="1" wp14:anchorId="1B36F43C" wp14:editId="26445C2B">
                  <wp:simplePos x="0" y="0"/>
                  <wp:positionH relativeFrom="column">
                    <wp:posOffset>-20955</wp:posOffset>
                  </wp:positionH>
                  <wp:positionV relativeFrom="paragraph">
                    <wp:posOffset>46990</wp:posOffset>
                  </wp:positionV>
                  <wp:extent cx="1630800" cy="1267200"/>
                  <wp:effectExtent l="0" t="0" r="0" b="0"/>
                  <wp:wrapNone/>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00">
                            <a:extLst>
                              <a:ext uri="{28A0092B-C50C-407E-A947-70E740481C1C}">
                                <a14:useLocalDpi xmlns:a14="http://schemas.microsoft.com/office/drawing/2010/main" val="0"/>
                              </a:ext>
                            </a:extLst>
                          </a:blip>
                          <a:stretch>
                            <a:fillRect/>
                          </a:stretch>
                        </pic:blipFill>
                        <pic:spPr>
                          <a:xfrm>
                            <a:off x="0" y="0"/>
                            <a:ext cx="1630800" cy="1267200"/>
                          </a:xfrm>
                          <a:prstGeom prst="rect">
                            <a:avLst/>
                          </a:prstGeom>
                        </pic:spPr>
                      </pic:pic>
                    </a:graphicData>
                  </a:graphic>
                  <wp14:sizeRelH relativeFrom="page">
                    <wp14:pctWidth>0</wp14:pctWidth>
                  </wp14:sizeRelH>
                  <wp14:sizeRelV relativeFrom="page">
                    <wp14:pctHeight>0</wp14:pctHeight>
                  </wp14:sizeRelV>
                </wp:anchor>
              </w:drawing>
            </w:r>
          </w:p>
        </w:tc>
        <w:tc>
          <w:tcPr>
            <w:tcW w:w="2268" w:type="dxa"/>
            <w:shd w:val="clear" w:color="auto" w:fill="auto"/>
            <w:hideMark/>
          </w:tcPr>
          <w:p w:rsidR="00226205" w:rsidRPr="00226205" w:rsidRDefault="00226205" w:rsidP="00A54993">
            <w:pPr>
              <w:jc w:val="left"/>
              <w:rPr>
                <w:rFonts w:ascii="Calibri" w:hAnsi="Calibri" w:cs="Calibri"/>
                <w:color w:val="000000"/>
                <w:sz w:val="18"/>
                <w:szCs w:val="18"/>
              </w:rPr>
            </w:pPr>
            <w:r w:rsidRPr="00226205">
              <w:rPr>
                <w:rFonts w:ascii="Calibri" w:hAnsi="Calibri" w:cs="Calibri"/>
                <w:color w:val="000000"/>
                <w:sz w:val="18"/>
                <w:szCs w:val="18"/>
              </w:rPr>
              <w:t xml:space="preserve">Public Toilet (exeloo) - Lithgow Street, Abbotsford </w:t>
            </w:r>
          </w:p>
        </w:tc>
        <w:tc>
          <w:tcPr>
            <w:tcW w:w="1276" w:type="dxa"/>
            <w:shd w:val="clear" w:color="auto" w:fill="auto"/>
            <w:hideMark/>
          </w:tcPr>
          <w:p w:rsidR="00226205" w:rsidRPr="00226205" w:rsidRDefault="00226205" w:rsidP="00B77D83">
            <w:pPr>
              <w:tabs>
                <w:tab w:val="decimal" w:pos="884"/>
              </w:tabs>
              <w:jc w:val="left"/>
              <w:rPr>
                <w:rFonts w:ascii="Calibri" w:hAnsi="Calibri" w:cs="Calibri"/>
                <w:color w:val="000000"/>
                <w:sz w:val="18"/>
                <w:szCs w:val="18"/>
              </w:rPr>
            </w:pPr>
            <w:r w:rsidRPr="00226205">
              <w:rPr>
                <w:rFonts w:ascii="Calibri" w:hAnsi="Calibri" w:cs="Calibri"/>
                <w:color w:val="000000"/>
                <w:sz w:val="18"/>
                <w:szCs w:val="18"/>
              </w:rPr>
              <w:t>$132,570</w:t>
            </w:r>
          </w:p>
        </w:tc>
        <w:tc>
          <w:tcPr>
            <w:tcW w:w="1134" w:type="dxa"/>
            <w:shd w:val="clear" w:color="auto" w:fill="auto"/>
            <w:hideMark/>
          </w:tcPr>
          <w:p w:rsidR="00226205" w:rsidRPr="00226205" w:rsidRDefault="00226205" w:rsidP="00226205">
            <w:pPr>
              <w:jc w:val="center"/>
              <w:rPr>
                <w:rFonts w:ascii="Calibri" w:hAnsi="Calibri" w:cs="Calibri"/>
                <w:color w:val="000000"/>
                <w:sz w:val="18"/>
                <w:szCs w:val="18"/>
              </w:rPr>
            </w:pPr>
            <w:r w:rsidRPr="00226205">
              <w:rPr>
                <w:rFonts w:ascii="Calibri" w:hAnsi="Calibri" w:cs="Calibri"/>
                <w:color w:val="000000"/>
                <w:sz w:val="18"/>
                <w:szCs w:val="18"/>
              </w:rPr>
              <w:t>Amenity</w:t>
            </w:r>
          </w:p>
        </w:tc>
        <w:tc>
          <w:tcPr>
            <w:tcW w:w="1417" w:type="dxa"/>
            <w:shd w:val="clear" w:color="auto" w:fill="auto"/>
            <w:hideMark/>
          </w:tcPr>
          <w:p w:rsidR="00226205" w:rsidRPr="00226205" w:rsidRDefault="00226205" w:rsidP="00226205">
            <w:pPr>
              <w:jc w:val="center"/>
              <w:rPr>
                <w:rFonts w:ascii="Calibri" w:hAnsi="Calibri" w:cs="Calibri"/>
                <w:color w:val="000000"/>
                <w:sz w:val="18"/>
                <w:szCs w:val="18"/>
              </w:rPr>
            </w:pPr>
            <w:r w:rsidRPr="00226205">
              <w:rPr>
                <w:rFonts w:ascii="Calibri" w:hAnsi="Calibri" w:cs="Calibri"/>
                <w:color w:val="000000"/>
                <w:sz w:val="18"/>
                <w:szCs w:val="18"/>
              </w:rPr>
              <w:t>Public Toilets</w:t>
            </w:r>
          </w:p>
        </w:tc>
        <w:tc>
          <w:tcPr>
            <w:tcW w:w="2410" w:type="dxa"/>
            <w:shd w:val="clear" w:color="auto" w:fill="auto"/>
            <w:hideMark/>
          </w:tcPr>
          <w:p w:rsidR="00226205" w:rsidRPr="00226205" w:rsidRDefault="00226205" w:rsidP="00226205">
            <w:pPr>
              <w:jc w:val="left"/>
              <w:rPr>
                <w:rFonts w:ascii="Calibri" w:hAnsi="Calibri" w:cs="Calibri"/>
                <w:color w:val="000000"/>
                <w:sz w:val="18"/>
                <w:szCs w:val="18"/>
              </w:rPr>
            </w:pPr>
            <w:r w:rsidRPr="00226205">
              <w:rPr>
                <w:rFonts w:ascii="Calibri" w:hAnsi="Calibri" w:cs="Calibri"/>
                <w:color w:val="000000"/>
                <w:sz w:val="18"/>
                <w:szCs w:val="18"/>
              </w:rPr>
              <w:t>This public toilet is in excellent condition.</w:t>
            </w:r>
          </w:p>
        </w:tc>
        <w:tc>
          <w:tcPr>
            <w:tcW w:w="3118" w:type="dxa"/>
            <w:shd w:val="clear" w:color="auto" w:fill="auto"/>
            <w:hideMark/>
          </w:tcPr>
          <w:p w:rsidR="00226205" w:rsidRPr="00226205" w:rsidRDefault="00226205" w:rsidP="00226205">
            <w:pPr>
              <w:jc w:val="left"/>
              <w:rPr>
                <w:rFonts w:ascii="Calibri" w:hAnsi="Calibri" w:cs="Calibri"/>
                <w:color w:val="000000"/>
                <w:sz w:val="18"/>
                <w:szCs w:val="18"/>
              </w:rPr>
            </w:pPr>
            <w:r w:rsidRPr="00226205">
              <w:rPr>
                <w:rFonts w:ascii="Calibri" w:hAnsi="Calibri" w:cs="Calibri"/>
                <w:color w:val="000000"/>
                <w:sz w:val="18"/>
                <w:szCs w:val="18"/>
              </w:rPr>
              <w:t>Currently fit for purpose.</w:t>
            </w:r>
          </w:p>
        </w:tc>
      </w:tr>
      <w:tr w:rsidR="00226205" w:rsidRPr="00226205" w:rsidTr="00B77D83">
        <w:trPr>
          <w:cantSplit/>
          <w:trHeight w:val="2064"/>
        </w:trPr>
        <w:tc>
          <w:tcPr>
            <w:tcW w:w="998" w:type="dxa"/>
            <w:shd w:val="clear" w:color="auto" w:fill="auto"/>
            <w:hideMark/>
          </w:tcPr>
          <w:p w:rsidR="00226205" w:rsidRPr="00226205" w:rsidRDefault="00226205" w:rsidP="006918D2">
            <w:pPr>
              <w:jc w:val="center"/>
              <w:rPr>
                <w:rFonts w:ascii="Calibri" w:hAnsi="Calibri" w:cs="Calibri"/>
                <w:color w:val="000000"/>
                <w:sz w:val="18"/>
                <w:szCs w:val="18"/>
              </w:rPr>
            </w:pPr>
            <w:r w:rsidRPr="00226205">
              <w:rPr>
                <w:rFonts w:ascii="Calibri" w:hAnsi="Calibri" w:cs="Calibri"/>
                <w:color w:val="000000"/>
                <w:sz w:val="18"/>
                <w:szCs w:val="18"/>
              </w:rPr>
              <w:t>B000029</w:t>
            </w:r>
          </w:p>
        </w:tc>
        <w:tc>
          <w:tcPr>
            <w:tcW w:w="2693" w:type="dxa"/>
            <w:shd w:val="clear" w:color="auto" w:fill="auto"/>
            <w:hideMark/>
          </w:tcPr>
          <w:p w:rsidR="00226205" w:rsidRPr="00226205" w:rsidRDefault="00226205" w:rsidP="00226205">
            <w:pPr>
              <w:rPr>
                <w:rFonts w:ascii="Calibri" w:hAnsi="Calibri" w:cs="Calibri"/>
                <w:color w:val="000000"/>
                <w:sz w:val="18"/>
                <w:szCs w:val="18"/>
              </w:rPr>
            </w:pPr>
            <w:r w:rsidRPr="00226205">
              <w:rPr>
                <w:rFonts w:ascii="Calibri" w:hAnsi="Calibri" w:cs="Calibri"/>
                <w:noProof/>
                <w:color w:val="000000"/>
                <w:sz w:val="18"/>
                <w:szCs w:val="18"/>
              </w:rPr>
              <w:drawing>
                <wp:anchor distT="0" distB="0" distL="114300" distR="114300" simplePos="0" relativeHeight="251685376" behindDoc="0" locked="0" layoutInCell="1" allowOverlap="1" wp14:anchorId="2790A435" wp14:editId="72F83CC6">
                  <wp:simplePos x="0" y="0"/>
                  <wp:positionH relativeFrom="column">
                    <wp:posOffset>-20955</wp:posOffset>
                  </wp:positionH>
                  <wp:positionV relativeFrom="paragraph">
                    <wp:posOffset>44255</wp:posOffset>
                  </wp:positionV>
                  <wp:extent cx="1630680" cy="1234440"/>
                  <wp:effectExtent l="0" t="0" r="0" b="0"/>
                  <wp:wrapNone/>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pic:cNvPicPr>
                            <a:picLocks noChangeAspect="1"/>
                          </pic:cNvPicPr>
                        </pic:nvPicPr>
                        <pic:blipFill>
                          <a:blip r:embed="rId101">
                            <a:extLst>
                              <a:ext uri="{28A0092B-C50C-407E-A947-70E740481C1C}">
                                <a14:useLocalDpi xmlns:a14="http://schemas.microsoft.com/office/drawing/2010/main" val="0"/>
                              </a:ext>
                            </a:extLst>
                          </a:blip>
                          <a:stretch>
                            <a:fillRect/>
                          </a:stretch>
                        </pic:blipFill>
                        <pic:spPr>
                          <a:xfrm>
                            <a:off x="0" y="0"/>
                            <a:ext cx="1630680" cy="1234440"/>
                          </a:xfrm>
                          <a:prstGeom prst="rect">
                            <a:avLst/>
                          </a:prstGeom>
                        </pic:spPr>
                      </pic:pic>
                    </a:graphicData>
                  </a:graphic>
                  <wp14:sizeRelH relativeFrom="page">
                    <wp14:pctWidth>0</wp14:pctWidth>
                  </wp14:sizeRelH>
                  <wp14:sizeRelV relativeFrom="page">
                    <wp14:pctHeight>0</wp14:pctHeight>
                  </wp14:sizeRelV>
                </wp:anchor>
              </w:drawing>
            </w:r>
          </w:p>
        </w:tc>
        <w:tc>
          <w:tcPr>
            <w:tcW w:w="2268" w:type="dxa"/>
            <w:shd w:val="clear" w:color="auto" w:fill="auto"/>
            <w:hideMark/>
          </w:tcPr>
          <w:p w:rsidR="00226205" w:rsidRPr="00226205" w:rsidRDefault="00226205" w:rsidP="00A54993">
            <w:pPr>
              <w:jc w:val="left"/>
              <w:rPr>
                <w:rFonts w:ascii="Calibri" w:hAnsi="Calibri" w:cs="Calibri"/>
                <w:color w:val="000000"/>
                <w:sz w:val="18"/>
                <w:szCs w:val="18"/>
              </w:rPr>
            </w:pPr>
            <w:r w:rsidRPr="00226205">
              <w:rPr>
                <w:rFonts w:ascii="Calibri" w:hAnsi="Calibri" w:cs="Calibri"/>
                <w:color w:val="000000"/>
                <w:sz w:val="18"/>
                <w:szCs w:val="18"/>
              </w:rPr>
              <w:t>Bob Rose Pavilion, Victoria Park- Trenerry Crescent, Abbotsford</w:t>
            </w:r>
          </w:p>
        </w:tc>
        <w:tc>
          <w:tcPr>
            <w:tcW w:w="1276" w:type="dxa"/>
            <w:shd w:val="clear" w:color="auto" w:fill="auto"/>
            <w:hideMark/>
          </w:tcPr>
          <w:p w:rsidR="00226205" w:rsidRPr="00226205" w:rsidRDefault="00B77D83" w:rsidP="009965C5">
            <w:pPr>
              <w:tabs>
                <w:tab w:val="decimal" w:pos="884"/>
              </w:tabs>
              <w:jc w:val="left"/>
              <w:rPr>
                <w:rFonts w:ascii="Calibri" w:hAnsi="Calibri" w:cs="Calibri"/>
                <w:color w:val="000000"/>
                <w:sz w:val="18"/>
                <w:szCs w:val="18"/>
              </w:rPr>
            </w:pPr>
            <w:r>
              <w:rPr>
                <w:rFonts w:ascii="Calibri" w:hAnsi="Calibri" w:cs="Calibri"/>
                <w:color w:val="000000"/>
                <w:sz w:val="18"/>
                <w:szCs w:val="18"/>
              </w:rPr>
              <w:t>$</w:t>
            </w:r>
            <w:r w:rsidR="00226205" w:rsidRPr="00226205">
              <w:rPr>
                <w:rFonts w:ascii="Calibri" w:hAnsi="Calibri" w:cs="Calibri"/>
                <w:color w:val="000000"/>
                <w:sz w:val="18"/>
                <w:szCs w:val="18"/>
              </w:rPr>
              <w:t>14,918,824</w:t>
            </w:r>
          </w:p>
        </w:tc>
        <w:tc>
          <w:tcPr>
            <w:tcW w:w="1134" w:type="dxa"/>
            <w:shd w:val="clear" w:color="auto" w:fill="auto"/>
            <w:hideMark/>
          </w:tcPr>
          <w:p w:rsidR="00226205" w:rsidRPr="00226205" w:rsidRDefault="00226205" w:rsidP="00226205">
            <w:pPr>
              <w:jc w:val="center"/>
              <w:rPr>
                <w:rFonts w:ascii="Calibri" w:hAnsi="Calibri" w:cs="Calibri"/>
                <w:color w:val="000000"/>
                <w:sz w:val="18"/>
                <w:szCs w:val="18"/>
              </w:rPr>
            </w:pPr>
            <w:r w:rsidRPr="00226205">
              <w:rPr>
                <w:rFonts w:ascii="Calibri" w:hAnsi="Calibri" w:cs="Calibri"/>
                <w:color w:val="000000"/>
                <w:sz w:val="18"/>
                <w:szCs w:val="18"/>
              </w:rPr>
              <w:t>Commercial</w:t>
            </w:r>
          </w:p>
        </w:tc>
        <w:tc>
          <w:tcPr>
            <w:tcW w:w="1417" w:type="dxa"/>
            <w:shd w:val="clear" w:color="auto" w:fill="auto"/>
            <w:hideMark/>
          </w:tcPr>
          <w:p w:rsidR="00226205" w:rsidRPr="00226205" w:rsidRDefault="00226205" w:rsidP="00226205">
            <w:pPr>
              <w:jc w:val="center"/>
              <w:rPr>
                <w:rFonts w:ascii="Calibri" w:hAnsi="Calibri" w:cs="Calibri"/>
                <w:color w:val="000000"/>
                <w:sz w:val="18"/>
                <w:szCs w:val="18"/>
              </w:rPr>
            </w:pPr>
            <w:r w:rsidRPr="00226205">
              <w:rPr>
                <w:rFonts w:ascii="Calibri" w:hAnsi="Calibri" w:cs="Calibri"/>
                <w:color w:val="000000"/>
                <w:sz w:val="18"/>
                <w:szCs w:val="18"/>
              </w:rPr>
              <w:t>Pavilions / Clubrooms / Change rooms</w:t>
            </w:r>
          </w:p>
        </w:tc>
        <w:tc>
          <w:tcPr>
            <w:tcW w:w="2410" w:type="dxa"/>
            <w:shd w:val="clear" w:color="auto" w:fill="auto"/>
            <w:hideMark/>
          </w:tcPr>
          <w:p w:rsidR="00226205" w:rsidRPr="00226205" w:rsidRDefault="00226205" w:rsidP="00226205">
            <w:pPr>
              <w:jc w:val="left"/>
              <w:rPr>
                <w:rFonts w:ascii="Calibri" w:hAnsi="Calibri" w:cs="Calibri"/>
                <w:color w:val="000000"/>
                <w:sz w:val="18"/>
                <w:szCs w:val="18"/>
              </w:rPr>
            </w:pPr>
            <w:r w:rsidRPr="00226205">
              <w:rPr>
                <w:rFonts w:ascii="Calibri" w:hAnsi="Calibri" w:cs="Calibri"/>
                <w:color w:val="000000"/>
                <w:sz w:val="18"/>
                <w:szCs w:val="18"/>
              </w:rPr>
              <w:t xml:space="preserve">The building is overall in a good structural condition and has been recently refurbished. </w:t>
            </w:r>
          </w:p>
        </w:tc>
        <w:tc>
          <w:tcPr>
            <w:tcW w:w="3118" w:type="dxa"/>
            <w:shd w:val="clear" w:color="auto" w:fill="auto"/>
            <w:hideMark/>
          </w:tcPr>
          <w:p w:rsidR="00226205" w:rsidRPr="00226205" w:rsidRDefault="00226205" w:rsidP="00226205">
            <w:pPr>
              <w:jc w:val="left"/>
              <w:rPr>
                <w:rFonts w:ascii="Calibri" w:hAnsi="Calibri" w:cs="Calibri"/>
                <w:color w:val="000000"/>
                <w:sz w:val="18"/>
                <w:szCs w:val="18"/>
              </w:rPr>
            </w:pPr>
            <w:r w:rsidRPr="00226205">
              <w:rPr>
                <w:rFonts w:ascii="Calibri" w:hAnsi="Calibri" w:cs="Calibri"/>
                <w:color w:val="000000"/>
                <w:sz w:val="18"/>
                <w:szCs w:val="18"/>
              </w:rPr>
              <w:t>Currently fit for purpose.  The building is leased to the Collingwood Football Club Foundation.</w:t>
            </w:r>
          </w:p>
        </w:tc>
      </w:tr>
      <w:tr w:rsidR="00226205" w:rsidRPr="00226205" w:rsidTr="00B77D83">
        <w:trPr>
          <w:cantSplit/>
          <w:trHeight w:val="2022"/>
        </w:trPr>
        <w:tc>
          <w:tcPr>
            <w:tcW w:w="998" w:type="dxa"/>
            <w:shd w:val="clear" w:color="auto" w:fill="auto"/>
            <w:hideMark/>
          </w:tcPr>
          <w:p w:rsidR="00226205" w:rsidRPr="00226205" w:rsidRDefault="00226205" w:rsidP="006918D2">
            <w:pPr>
              <w:jc w:val="center"/>
              <w:rPr>
                <w:rFonts w:ascii="Calibri" w:hAnsi="Calibri" w:cs="Calibri"/>
                <w:color w:val="000000"/>
                <w:sz w:val="18"/>
                <w:szCs w:val="18"/>
              </w:rPr>
            </w:pPr>
            <w:r w:rsidRPr="00226205">
              <w:rPr>
                <w:rFonts w:ascii="Calibri" w:hAnsi="Calibri" w:cs="Calibri"/>
                <w:color w:val="000000"/>
                <w:sz w:val="18"/>
                <w:szCs w:val="18"/>
              </w:rPr>
              <w:t>B000031</w:t>
            </w:r>
          </w:p>
        </w:tc>
        <w:tc>
          <w:tcPr>
            <w:tcW w:w="2693" w:type="dxa"/>
            <w:shd w:val="clear" w:color="auto" w:fill="auto"/>
            <w:hideMark/>
          </w:tcPr>
          <w:p w:rsidR="00226205" w:rsidRPr="00226205" w:rsidRDefault="00226205" w:rsidP="00226205">
            <w:pPr>
              <w:rPr>
                <w:rFonts w:ascii="Calibri" w:hAnsi="Calibri" w:cs="Calibri"/>
                <w:color w:val="000000"/>
                <w:sz w:val="18"/>
                <w:szCs w:val="18"/>
              </w:rPr>
            </w:pPr>
            <w:r w:rsidRPr="00226205">
              <w:rPr>
                <w:rFonts w:ascii="Calibri" w:hAnsi="Calibri" w:cs="Calibri"/>
                <w:noProof/>
                <w:color w:val="000000"/>
                <w:sz w:val="18"/>
                <w:szCs w:val="18"/>
              </w:rPr>
              <w:drawing>
                <wp:anchor distT="0" distB="0" distL="114300" distR="114300" simplePos="0" relativeHeight="251698688" behindDoc="0" locked="0" layoutInCell="1" allowOverlap="1" wp14:anchorId="3840689F" wp14:editId="19FA7CCC">
                  <wp:simplePos x="0" y="0"/>
                  <wp:positionH relativeFrom="column">
                    <wp:posOffset>-20955</wp:posOffset>
                  </wp:positionH>
                  <wp:positionV relativeFrom="paragraph">
                    <wp:posOffset>36390</wp:posOffset>
                  </wp:positionV>
                  <wp:extent cx="1630680" cy="1202055"/>
                  <wp:effectExtent l="0" t="0" r="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7"/>
                          <pic:cNvPicPr>
                            <a:picLocks noChangeAspect="1"/>
                          </pic:cNvPicPr>
                        </pic:nvPicPr>
                        <pic:blipFill>
                          <a:blip r:embed="rId102">
                            <a:extLst>
                              <a:ext uri="{28A0092B-C50C-407E-A947-70E740481C1C}">
                                <a14:useLocalDpi xmlns:a14="http://schemas.microsoft.com/office/drawing/2010/main" val="0"/>
                              </a:ext>
                            </a:extLst>
                          </a:blip>
                          <a:stretch>
                            <a:fillRect/>
                          </a:stretch>
                        </pic:blipFill>
                        <pic:spPr>
                          <a:xfrm>
                            <a:off x="0" y="0"/>
                            <a:ext cx="1630680" cy="1202055"/>
                          </a:xfrm>
                          <a:prstGeom prst="rect">
                            <a:avLst/>
                          </a:prstGeom>
                        </pic:spPr>
                      </pic:pic>
                    </a:graphicData>
                  </a:graphic>
                  <wp14:sizeRelH relativeFrom="page">
                    <wp14:pctWidth>0</wp14:pctWidth>
                  </wp14:sizeRelH>
                  <wp14:sizeRelV relativeFrom="page">
                    <wp14:pctHeight>0</wp14:pctHeight>
                  </wp14:sizeRelV>
                </wp:anchor>
              </w:drawing>
            </w:r>
          </w:p>
        </w:tc>
        <w:tc>
          <w:tcPr>
            <w:tcW w:w="2268" w:type="dxa"/>
            <w:shd w:val="clear" w:color="auto" w:fill="auto"/>
            <w:hideMark/>
          </w:tcPr>
          <w:p w:rsidR="00226205" w:rsidRPr="00226205" w:rsidRDefault="00226205" w:rsidP="00A54993">
            <w:pPr>
              <w:jc w:val="left"/>
              <w:rPr>
                <w:rFonts w:ascii="Calibri" w:hAnsi="Calibri" w:cs="Calibri"/>
                <w:color w:val="000000"/>
                <w:sz w:val="18"/>
                <w:szCs w:val="18"/>
              </w:rPr>
            </w:pPr>
            <w:r w:rsidRPr="00226205">
              <w:rPr>
                <w:rFonts w:ascii="Calibri" w:hAnsi="Calibri" w:cs="Calibri"/>
                <w:color w:val="000000"/>
                <w:sz w:val="18"/>
                <w:szCs w:val="18"/>
              </w:rPr>
              <w:t xml:space="preserve">Caretakers Residence, Victoria Park- Corner of Abbot Street </w:t>
            </w:r>
            <w:r w:rsidR="00B77D83">
              <w:rPr>
                <w:rFonts w:ascii="Calibri" w:hAnsi="Calibri" w:cs="Calibri"/>
                <w:color w:val="000000"/>
                <w:sz w:val="18"/>
                <w:szCs w:val="18"/>
              </w:rPr>
              <w:t>and</w:t>
            </w:r>
            <w:r w:rsidRPr="00226205">
              <w:rPr>
                <w:rFonts w:ascii="Calibri" w:hAnsi="Calibri" w:cs="Calibri"/>
                <w:color w:val="000000"/>
                <w:sz w:val="18"/>
                <w:szCs w:val="18"/>
              </w:rPr>
              <w:t xml:space="preserve"> Trenerry Crescent, Abbotsford</w:t>
            </w:r>
          </w:p>
        </w:tc>
        <w:tc>
          <w:tcPr>
            <w:tcW w:w="1276" w:type="dxa"/>
            <w:shd w:val="clear" w:color="auto" w:fill="auto"/>
            <w:hideMark/>
          </w:tcPr>
          <w:p w:rsidR="00226205" w:rsidRPr="00226205" w:rsidRDefault="00B77D83" w:rsidP="00B77D83">
            <w:pPr>
              <w:tabs>
                <w:tab w:val="decimal" w:pos="884"/>
              </w:tabs>
              <w:jc w:val="left"/>
              <w:rPr>
                <w:rFonts w:ascii="Calibri" w:hAnsi="Calibri" w:cs="Calibri"/>
                <w:color w:val="000000"/>
                <w:sz w:val="18"/>
                <w:szCs w:val="18"/>
              </w:rPr>
            </w:pPr>
            <w:r>
              <w:rPr>
                <w:rFonts w:ascii="Calibri" w:hAnsi="Calibri" w:cs="Calibri"/>
                <w:color w:val="000000"/>
                <w:sz w:val="18"/>
                <w:szCs w:val="18"/>
              </w:rPr>
              <w:t>$</w:t>
            </w:r>
            <w:r w:rsidR="00226205" w:rsidRPr="00226205">
              <w:rPr>
                <w:rFonts w:ascii="Calibri" w:hAnsi="Calibri" w:cs="Calibri"/>
                <w:color w:val="000000"/>
                <w:sz w:val="18"/>
                <w:szCs w:val="18"/>
              </w:rPr>
              <w:t>279,125</w:t>
            </w:r>
          </w:p>
        </w:tc>
        <w:tc>
          <w:tcPr>
            <w:tcW w:w="1134" w:type="dxa"/>
            <w:shd w:val="clear" w:color="auto" w:fill="auto"/>
            <w:hideMark/>
          </w:tcPr>
          <w:p w:rsidR="00226205" w:rsidRPr="00226205" w:rsidRDefault="00226205" w:rsidP="00226205">
            <w:pPr>
              <w:jc w:val="center"/>
              <w:rPr>
                <w:rFonts w:ascii="Calibri" w:hAnsi="Calibri" w:cs="Calibri"/>
                <w:color w:val="000000"/>
                <w:sz w:val="18"/>
                <w:szCs w:val="18"/>
              </w:rPr>
            </w:pPr>
            <w:r w:rsidRPr="00226205">
              <w:rPr>
                <w:rFonts w:ascii="Calibri" w:hAnsi="Calibri" w:cs="Calibri"/>
                <w:color w:val="000000"/>
                <w:sz w:val="18"/>
                <w:szCs w:val="18"/>
              </w:rPr>
              <w:t>Community Services</w:t>
            </w:r>
          </w:p>
        </w:tc>
        <w:tc>
          <w:tcPr>
            <w:tcW w:w="1417" w:type="dxa"/>
            <w:shd w:val="clear" w:color="auto" w:fill="auto"/>
            <w:hideMark/>
          </w:tcPr>
          <w:p w:rsidR="00226205" w:rsidRPr="00226205" w:rsidRDefault="00226205" w:rsidP="00226205">
            <w:pPr>
              <w:jc w:val="center"/>
              <w:rPr>
                <w:rFonts w:ascii="Calibri" w:hAnsi="Calibri" w:cs="Calibri"/>
                <w:color w:val="000000"/>
                <w:sz w:val="18"/>
                <w:szCs w:val="18"/>
              </w:rPr>
            </w:pPr>
            <w:r w:rsidRPr="00226205">
              <w:rPr>
                <w:rFonts w:ascii="Calibri" w:hAnsi="Calibri" w:cs="Calibri"/>
                <w:color w:val="000000"/>
                <w:sz w:val="18"/>
                <w:szCs w:val="18"/>
              </w:rPr>
              <w:t>Residences</w:t>
            </w:r>
          </w:p>
        </w:tc>
        <w:tc>
          <w:tcPr>
            <w:tcW w:w="2410" w:type="dxa"/>
            <w:shd w:val="clear" w:color="auto" w:fill="auto"/>
            <w:hideMark/>
          </w:tcPr>
          <w:p w:rsidR="00226205" w:rsidRPr="00226205" w:rsidRDefault="00226205" w:rsidP="00226205">
            <w:pPr>
              <w:jc w:val="left"/>
              <w:rPr>
                <w:rFonts w:ascii="Calibri" w:hAnsi="Calibri" w:cs="Calibri"/>
                <w:color w:val="000000"/>
                <w:sz w:val="18"/>
                <w:szCs w:val="18"/>
              </w:rPr>
            </w:pPr>
            <w:r w:rsidRPr="00226205">
              <w:rPr>
                <w:rFonts w:ascii="Calibri" w:hAnsi="Calibri" w:cs="Calibri"/>
                <w:color w:val="000000"/>
                <w:sz w:val="18"/>
                <w:szCs w:val="18"/>
              </w:rPr>
              <w:t xml:space="preserve">The building is generally in a good condition. </w:t>
            </w:r>
          </w:p>
        </w:tc>
        <w:tc>
          <w:tcPr>
            <w:tcW w:w="3118" w:type="dxa"/>
            <w:shd w:val="clear" w:color="auto" w:fill="auto"/>
            <w:hideMark/>
          </w:tcPr>
          <w:p w:rsidR="00226205" w:rsidRPr="00226205" w:rsidRDefault="00226205" w:rsidP="00226205">
            <w:pPr>
              <w:jc w:val="left"/>
              <w:rPr>
                <w:rFonts w:ascii="Calibri" w:hAnsi="Calibri" w:cs="Calibri"/>
                <w:color w:val="000000"/>
                <w:sz w:val="18"/>
                <w:szCs w:val="18"/>
              </w:rPr>
            </w:pPr>
            <w:r w:rsidRPr="00226205">
              <w:rPr>
                <w:rFonts w:ascii="Calibri" w:hAnsi="Calibri" w:cs="Calibri"/>
                <w:color w:val="000000"/>
                <w:sz w:val="18"/>
                <w:szCs w:val="18"/>
              </w:rPr>
              <w:t>Full assessment not yet carried out. Requires a more detailed review as the residence is currently leased.</w:t>
            </w:r>
          </w:p>
        </w:tc>
      </w:tr>
      <w:tr w:rsidR="00226205" w:rsidRPr="00226205" w:rsidTr="00B77D83">
        <w:trPr>
          <w:cantSplit/>
          <w:trHeight w:val="2066"/>
        </w:trPr>
        <w:tc>
          <w:tcPr>
            <w:tcW w:w="998" w:type="dxa"/>
            <w:shd w:val="clear" w:color="auto" w:fill="auto"/>
            <w:hideMark/>
          </w:tcPr>
          <w:p w:rsidR="00226205" w:rsidRPr="00226205" w:rsidRDefault="00226205" w:rsidP="006918D2">
            <w:pPr>
              <w:jc w:val="center"/>
              <w:rPr>
                <w:rFonts w:ascii="Calibri" w:hAnsi="Calibri" w:cs="Calibri"/>
                <w:color w:val="000000"/>
                <w:sz w:val="18"/>
                <w:szCs w:val="18"/>
              </w:rPr>
            </w:pPr>
            <w:r w:rsidRPr="00226205">
              <w:rPr>
                <w:rFonts w:ascii="Calibri" w:hAnsi="Calibri" w:cs="Calibri"/>
                <w:color w:val="000000"/>
                <w:sz w:val="18"/>
                <w:szCs w:val="18"/>
              </w:rPr>
              <w:t>B000035</w:t>
            </w:r>
          </w:p>
        </w:tc>
        <w:tc>
          <w:tcPr>
            <w:tcW w:w="2693" w:type="dxa"/>
            <w:shd w:val="clear" w:color="auto" w:fill="auto"/>
            <w:hideMark/>
          </w:tcPr>
          <w:p w:rsidR="00226205" w:rsidRPr="00226205" w:rsidRDefault="00226205" w:rsidP="00226205">
            <w:pPr>
              <w:rPr>
                <w:rFonts w:ascii="Calibri" w:hAnsi="Calibri" w:cs="Calibri"/>
                <w:color w:val="000000"/>
                <w:sz w:val="18"/>
                <w:szCs w:val="18"/>
              </w:rPr>
            </w:pPr>
            <w:r w:rsidRPr="00226205">
              <w:rPr>
                <w:rFonts w:ascii="Calibri" w:hAnsi="Calibri" w:cs="Calibri"/>
                <w:noProof/>
                <w:color w:val="000000"/>
                <w:sz w:val="18"/>
                <w:szCs w:val="18"/>
              </w:rPr>
              <w:drawing>
                <wp:anchor distT="0" distB="0" distL="114300" distR="114300" simplePos="0" relativeHeight="251759104" behindDoc="0" locked="0" layoutInCell="1" allowOverlap="1" wp14:anchorId="39925A34" wp14:editId="3E9B4A4B">
                  <wp:simplePos x="0" y="0"/>
                  <wp:positionH relativeFrom="column">
                    <wp:posOffset>-20955</wp:posOffset>
                  </wp:positionH>
                  <wp:positionV relativeFrom="paragraph">
                    <wp:posOffset>38100</wp:posOffset>
                  </wp:positionV>
                  <wp:extent cx="1630680" cy="1252220"/>
                  <wp:effectExtent l="0" t="0" r="0" b="0"/>
                  <wp:wrapNone/>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93"/>
                          <pic:cNvPicPr>
                            <a:picLocks noChangeAspect="1"/>
                          </pic:cNvPicPr>
                        </pic:nvPicPr>
                        <pic:blipFill>
                          <a:blip r:embed="rId103">
                            <a:extLst>
                              <a:ext uri="{28A0092B-C50C-407E-A947-70E740481C1C}">
                                <a14:useLocalDpi xmlns:a14="http://schemas.microsoft.com/office/drawing/2010/main" val="0"/>
                              </a:ext>
                            </a:extLst>
                          </a:blip>
                          <a:stretch>
                            <a:fillRect/>
                          </a:stretch>
                        </pic:blipFill>
                        <pic:spPr>
                          <a:xfrm>
                            <a:off x="0" y="0"/>
                            <a:ext cx="1630680" cy="1252220"/>
                          </a:xfrm>
                          <a:prstGeom prst="rect">
                            <a:avLst/>
                          </a:prstGeom>
                        </pic:spPr>
                      </pic:pic>
                    </a:graphicData>
                  </a:graphic>
                  <wp14:sizeRelH relativeFrom="page">
                    <wp14:pctWidth>0</wp14:pctWidth>
                  </wp14:sizeRelH>
                  <wp14:sizeRelV relativeFrom="page">
                    <wp14:pctHeight>0</wp14:pctHeight>
                  </wp14:sizeRelV>
                </wp:anchor>
              </w:drawing>
            </w:r>
          </w:p>
        </w:tc>
        <w:tc>
          <w:tcPr>
            <w:tcW w:w="2268" w:type="dxa"/>
            <w:shd w:val="clear" w:color="auto" w:fill="auto"/>
            <w:hideMark/>
          </w:tcPr>
          <w:p w:rsidR="00226205" w:rsidRPr="00226205" w:rsidRDefault="00226205" w:rsidP="00A54993">
            <w:pPr>
              <w:jc w:val="left"/>
              <w:rPr>
                <w:rFonts w:ascii="Calibri" w:hAnsi="Calibri" w:cs="Calibri"/>
                <w:color w:val="000000"/>
                <w:sz w:val="18"/>
                <w:szCs w:val="18"/>
              </w:rPr>
            </w:pPr>
            <w:r w:rsidRPr="00226205">
              <w:rPr>
                <w:rFonts w:ascii="Calibri" w:hAnsi="Calibri" w:cs="Calibri"/>
                <w:color w:val="000000"/>
                <w:sz w:val="18"/>
                <w:szCs w:val="18"/>
              </w:rPr>
              <w:t>Ryder Stand, Victoria Park- Trenerry Crescent, Abbotsford</w:t>
            </w:r>
          </w:p>
        </w:tc>
        <w:tc>
          <w:tcPr>
            <w:tcW w:w="1276" w:type="dxa"/>
            <w:shd w:val="clear" w:color="auto" w:fill="auto"/>
            <w:hideMark/>
          </w:tcPr>
          <w:p w:rsidR="00226205" w:rsidRPr="00226205" w:rsidRDefault="00B77D83" w:rsidP="009965C5">
            <w:pPr>
              <w:tabs>
                <w:tab w:val="decimal" w:pos="884"/>
              </w:tabs>
              <w:jc w:val="left"/>
              <w:rPr>
                <w:rFonts w:ascii="Calibri" w:hAnsi="Calibri" w:cs="Calibri"/>
                <w:color w:val="000000"/>
                <w:sz w:val="18"/>
                <w:szCs w:val="18"/>
              </w:rPr>
            </w:pPr>
            <w:r>
              <w:rPr>
                <w:rFonts w:ascii="Calibri" w:hAnsi="Calibri" w:cs="Calibri"/>
                <w:color w:val="000000"/>
                <w:sz w:val="18"/>
                <w:szCs w:val="18"/>
              </w:rPr>
              <w:t>$</w:t>
            </w:r>
            <w:r w:rsidR="00226205" w:rsidRPr="00226205">
              <w:rPr>
                <w:rFonts w:ascii="Calibri" w:hAnsi="Calibri" w:cs="Calibri"/>
                <w:color w:val="000000"/>
                <w:sz w:val="18"/>
                <w:szCs w:val="18"/>
              </w:rPr>
              <w:t>2,128,980</w:t>
            </w:r>
          </w:p>
        </w:tc>
        <w:tc>
          <w:tcPr>
            <w:tcW w:w="1134" w:type="dxa"/>
            <w:shd w:val="clear" w:color="auto" w:fill="auto"/>
            <w:hideMark/>
          </w:tcPr>
          <w:p w:rsidR="00226205" w:rsidRPr="00226205" w:rsidRDefault="00226205" w:rsidP="00226205">
            <w:pPr>
              <w:jc w:val="center"/>
              <w:rPr>
                <w:rFonts w:ascii="Calibri" w:hAnsi="Calibri" w:cs="Calibri"/>
                <w:color w:val="000000"/>
                <w:sz w:val="18"/>
                <w:szCs w:val="18"/>
              </w:rPr>
            </w:pPr>
            <w:r w:rsidRPr="00226205">
              <w:rPr>
                <w:rFonts w:ascii="Calibri" w:hAnsi="Calibri" w:cs="Calibri"/>
                <w:color w:val="000000"/>
                <w:sz w:val="18"/>
                <w:szCs w:val="18"/>
              </w:rPr>
              <w:t xml:space="preserve">Recreation </w:t>
            </w:r>
            <w:r w:rsidR="00B77D83">
              <w:rPr>
                <w:rFonts w:ascii="Calibri" w:hAnsi="Calibri" w:cs="Calibri"/>
                <w:color w:val="000000"/>
                <w:sz w:val="18"/>
                <w:szCs w:val="18"/>
              </w:rPr>
              <w:t>and</w:t>
            </w:r>
            <w:r w:rsidRPr="00226205">
              <w:rPr>
                <w:rFonts w:ascii="Calibri" w:hAnsi="Calibri" w:cs="Calibri"/>
                <w:color w:val="000000"/>
                <w:sz w:val="18"/>
                <w:szCs w:val="18"/>
              </w:rPr>
              <w:t xml:space="preserve"> Open Space</w:t>
            </w:r>
          </w:p>
        </w:tc>
        <w:tc>
          <w:tcPr>
            <w:tcW w:w="1417" w:type="dxa"/>
            <w:shd w:val="clear" w:color="auto" w:fill="auto"/>
            <w:hideMark/>
          </w:tcPr>
          <w:p w:rsidR="00226205" w:rsidRPr="00226205" w:rsidRDefault="00226205" w:rsidP="00226205">
            <w:pPr>
              <w:jc w:val="center"/>
              <w:rPr>
                <w:rFonts w:ascii="Calibri" w:hAnsi="Calibri" w:cs="Calibri"/>
                <w:color w:val="000000"/>
                <w:sz w:val="18"/>
                <w:szCs w:val="18"/>
              </w:rPr>
            </w:pPr>
            <w:r w:rsidRPr="00226205">
              <w:rPr>
                <w:rFonts w:ascii="Calibri" w:hAnsi="Calibri" w:cs="Calibri"/>
                <w:color w:val="000000"/>
                <w:sz w:val="18"/>
                <w:szCs w:val="18"/>
              </w:rPr>
              <w:t>Pavilions / Clubrooms / Change rooms</w:t>
            </w:r>
          </w:p>
        </w:tc>
        <w:tc>
          <w:tcPr>
            <w:tcW w:w="2410" w:type="dxa"/>
            <w:shd w:val="clear" w:color="auto" w:fill="auto"/>
            <w:hideMark/>
          </w:tcPr>
          <w:p w:rsidR="00226205" w:rsidRPr="00226205" w:rsidRDefault="00226205" w:rsidP="00226205">
            <w:pPr>
              <w:jc w:val="left"/>
              <w:rPr>
                <w:rFonts w:ascii="Calibri" w:hAnsi="Calibri" w:cs="Calibri"/>
                <w:color w:val="000000"/>
                <w:sz w:val="18"/>
                <w:szCs w:val="18"/>
              </w:rPr>
            </w:pPr>
            <w:r w:rsidRPr="00226205">
              <w:rPr>
                <w:rFonts w:ascii="Calibri" w:hAnsi="Calibri" w:cs="Calibri"/>
                <w:color w:val="000000"/>
                <w:sz w:val="18"/>
                <w:szCs w:val="18"/>
              </w:rPr>
              <w:t xml:space="preserve">The building is generally in a good condition. </w:t>
            </w:r>
          </w:p>
        </w:tc>
        <w:tc>
          <w:tcPr>
            <w:tcW w:w="3118" w:type="dxa"/>
            <w:shd w:val="clear" w:color="auto" w:fill="auto"/>
            <w:hideMark/>
          </w:tcPr>
          <w:p w:rsidR="00226205" w:rsidRPr="00226205" w:rsidRDefault="00226205" w:rsidP="00226205">
            <w:pPr>
              <w:jc w:val="left"/>
              <w:rPr>
                <w:rFonts w:ascii="Calibri" w:hAnsi="Calibri" w:cs="Calibri"/>
                <w:color w:val="000000"/>
                <w:sz w:val="18"/>
                <w:szCs w:val="18"/>
              </w:rPr>
            </w:pPr>
            <w:r w:rsidRPr="00226205">
              <w:rPr>
                <w:rFonts w:ascii="Calibri" w:hAnsi="Calibri" w:cs="Calibri"/>
                <w:color w:val="000000"/>
                <w:sz w:val="18"/>
                <w:szCs w:val="18"/>
              </w:rPr>
              <w:t>Currently fit for purpose.</w:t>
            </w:r>
          </w:p>
        </w:tc>
      </w:tr>
      <w:tr w:rsidR="00226205" w:rsidRPr="00226205" w:rsidTr="00B77D83">
        <w:trPr>
          <w:cantSplit/>
          <w:trHeight w:val="2065"/>
        </w:trPr>
        <w:tc>
          <w:tcPr>
            <w:tcW w:w="998" w:type="dxa"/>
            <w:shd w:val="clear" w:color="auto" w:fill="auto"/>
            <w:hideMark/>
          </w:tcPr>
          <w:p w:rsidR="00226205" w:rsidRPr="00226205" w:rsidRDefault="00226205" w:rsidP="006918D2">
            <w:pPr>
              <w:jc w:val="center"/>
              <w:rPr>
                <w:rFonts w:ascii="Calibri" w:hAnsi="Calibri" w:cs="Calibri"/>
                <w:color w:val="000000"/>
                <w:sz w:val="18"/>
                <w:szCs w:val="18"/>
              </w:rPr>
            </w:pPr>
            <w:r w:rsidRPr="00226205">
              <w:rPr>
                <w:rFonts w:ascii="Calibri" w:hAnsi="Calibri" w:cs="Calibri"/>
                <w:color w:val="000000"/>
                <w:sz w:val="18"/>
                <w:szCs w:val="18"/>
              </w:rPr>
              <w:t>B000038</w:t>
            </w:r>
          </w:p>
        </w:tc>
        <w:tc>
          <w:tcPr>
            <w:tcW w:w="2693" w:type="dxa"/>
            <w:shd w:val="clear" w:color="auto" w:fill="auto"/>
            <w:hideMark/>
          </w:tcPr>
          <w:p w:rsidR="00226205" w:rsidRPr="00226205" w:rsidRDefault="00226205" w:rsidP="00226205">
            <w:pPr>
              <w:rPr>
                <w:rFonts w:ascii="Calibri" w:hAnsi="Calibri" w:cs="Calibri"/>
                <w:color w:val="000000"/>
                <w:sz w:val="18"/>
                <w:szCs w:val="18"/>
              </w:rPr>
            </w:pPr>
            <w:r w:rsidRPr="00226205">
              <w:rPr>
                <w:rFonts w:ascii="Calibri" w:hAnsi="Calibri" w:cs="Calibri"/>
                <w:noProof/>
                <w:color w:val="000000"/>
                <w:sz w:val="18"/>
                <w:szCs w:val="18"/>
              </w:rPr>
              <w:drawing>
                <wp:anchor distT="0" distB="0" distL="114300" distR="114300" simplePos="0" relativeHeight="251760128" behindDoc="0" locked="0" layoutInCell="1" allowOverlap="1" wp14:anchorId="667DEB12" wp14:editId="07B00ADA">
                  <wp:simplePos x="0" y="0"/>
                  <wp:positionH relativeFrom="column">
                    <wp:posOffset>-20955</wp:posOffset>
                  </wp:positionH>
                  <wp:positionV relativeFrom="paragraph">
                    <wp:posOffset>51240</wp:posOffset>
                  </wp:positionV>
                  <wp:extent cx="1630680" cy="1184275"/>
                  <wp:effectExtent l="0" t="0" r="0" b="0"/>
                  <wp:wrapNone/>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94"/>
                          <pic:cNvPicPr>
                            <a:picLocks noChangeAspect="1"/>
                          </pic:cNvPicPr>
                        </pic:nvPicPr>
                        <pic:blipFill>
                          <a:blip r:embed="rId104">
                            <a:extLst>
                              <a:ext uri="{28A0092B-C50C-407E-A947-70E740481C1C}">
                                <a14:useLocalDpi xmlns:a14="http://schemas.microsoft.com/office/drawing/2010/main" val="0"/>
                              </a:ext>
                            </a:extLst>
                          </a:blip>
                          <a:stretch>
                            <a:fillRect/>
                          </a:stretch>
                        </pic:blipFill>
                        <pic:spPr>
                          <a:xfrm>
                            <a:off x="0" y="0"/>
                            <a:ext cx="1630680" cy="1184275"/>
                          </a:xfrm>
                          <a:prstGeom prst="rect">
                            <a:avLst/>
                          </a:prstGeom>
                        </pic:spPr>
                      </pic:pic>
                    </a:graphicData>
                  </a:graphic>
                  <wp14:sizeRelH relativeFrom="page">
                    <wp14:pctWidth>0</wp14:pctWidth>
                  </wp14:sizeRelH>
                  <wp14:sizeRelV relativeFrom="page">
                    <wp14:pctHeight>0</wp14:pctHeight>
                  </wp14:sizeRelV>
                </wp:anchor>
              </w:drawing>
            </w:r>
          </w:p>
        </w:tc>
        <w:tc>
          <w:tcPr>
            <w:tcW w:w="2268" w:type="dxa"/>
            <w:shd w:val="clear" w:color="auto" w:fill="auto"/>
            <w:hideMark/>
          </w:tcPr>
          <w:p w:rsidR="00226205" w:rsidRPr="00226205" w:rsidRDefault="00226205" w:rsidP="00A54993">
            <w:pPr>
              <w:jc w:val="left"/>
              <w:rPr>
                <w:rFonts w:ascii="Calibri" w:hAnsi="Calibri" w:cs="Calibri"/>
                <w:color w:val="000000"/>
                <w:sz w:val="18"/>
                <w:szCs w:val="18"/>
              </w:rPr>
            </w:pPr>
            <w:r w:rsidRPr="00226205">
              <w:rPr>
                <w:rFonts w:ascii="Calibri" w:hAnsi="Calibri" w:cs="Calibri"/>
                <w:color w:val="000000"/>
                <w:sz w:val="18"/>
                <w:szCs w:val="18"/>
              </w:rPr>
              <w:t>Sherrin Stand, Victoria Park- Trenerry Crescent, Abbotsford</w:t>
            </w:r>
          </w:p>
        </w:tc>
        <w:tc>
          <w:tcPr>
            <w:tcW w:w="1276" w:type="dxa"/>
            <w:shd w:val="clear" w:color="auto" w:fill="auto"/>
            <w:hideMark/>
          </w:tcPr>
          <w:p w:rsidR="00226205" w:rsidRPr="00226205" w:rsidRDefault="00B77D83" w:rsidP="009965C5">
            <w:pPr>
              <w:tabs>
                <w:tab w:val="decimal" w:pos="884"/>
              </w:tabs>
              <w:jc w:val="left"/>
              <w:rPr>
                <w:rFonts w:ascii="Calibri" w:hAnsi="Calibri" w:cs="Calibri"/>
                <w:color w:val="000000"/>
                <w:sz w:val="18"/>
                <w:szCs w:val="18"/>
              </w:rPr>
            </w:pPr>
            <w:r>
              <w:rPr>
                <w:rFonts w:ascii="Calibri" w:hAnsi="Calibri" w:cs="Calibri"/>
                <w:color w:val="000000"/>
                <w:sz w:val="18"/>
                <w:szCs w:val="18"/>
              </w:rPr>
              <w:t>$</w:t>
            </w:r>
            <w:r w:rsidR="00226205" w:rsidRPr="00226205">
              <w:rPr>
                <w:rFonts w:ascii="Calibri" w:hAnsi="Calibri" w:cs="Calibri"/>
                <w:color w:val="000000"/>
                <w:sz w:val="18"/>
                <w:szCs w:val="18"/>
              </w:rPr>
              <w:t>2,761,920</w:t>
            </w:r>
          </w:p>
        </w:tc>
        <w:tc>
          <w:tcPr>
            <w:tcW w:w="1134" w:type="dxa"/>
            <w:shd w:val="clear" w:color="auto" w:fill="auto"/>
            <w:hideMark/>
          </w:tcPr>
          <w:p w:rsidR="00226205" w:rsidRPr="00226205" w:rsidRDefault="00226205" w:rsidP="00226205">
            <w:pPr>
              <w:jc w:val="center"/>
              <w:rPr>
                <w:rFonts w:ascii="Calibri" w:hAnsi="Calibri" w:cs="Calibri"/>
                <w:color w:val="000000"/>
                <w:sz w:val="18"/>
                <w:szCs w:val="18"/>
              </w:rPr>
            </w:pPr>
            <w:r w:rsidRPr="00226205">
              <w:rPr>
                <w:rFonts w:ascii="Calibri" w:hAnsi="Calibri" w:cs="Calibri"/>
                <w:color w:val="000000"/>
                <w:sz w:val="18"/>
                <w:szCs w:val="18"/>
              </w:rPr>
              <w:t xml:space="preserve">Recreation </w:t>
            </w:r>
            <w:r w:rsidR="00B77D83">
              <w:rPr>
                <w:rFonts w:ascii="Calibri" w:hAnsi="Calibri" w:cs="Calibri"/>
                <w:color w:val="000000"/>
                <w:sz w:val="18"/>
                <w:szCs w:val="18"/>
              </w:rPr>
              <w:t>and</w:t>
            </w:r>
            <w:r w:rsidRPr="00226205">
              <w:rPr>
                <w:rFonts w:ascii="Calibri" w:hAnsi="Calibri" w:cs="Calibri"/>
                <w:color w:val="000000"/>
                <w:sz w:val="18"/>
                <w:szCs w:val="18"/>
              </w:rPr>
              <w:t xml:space="preserve"> Open Space</w:t>
            </w:r>
          </w:p>
        </w:tc>
        <w:tc>
          <w:tcPr>
            <w:tcW w:w="1417" w:type="dxa"/>
            <w:shd w:val="clear" w:color="auto" w:fill="auto"/>
            <w:hideMark/>
          </w:tcPr>
          <w:p w:rsidR="00226205" w:rsidRPr="00226205" w:rsidRDefault="00226205" w:rsidP="00226205">
            <w:pPr>
              <w:jc w:val="center"/>
              <w:rPr>
                <w:rFonts w:ascii="Calibri" w:hAnsi="Calibri" w:cs="Calibri"/>
                <w:color w:val="000000"/>
                <w:sz w:val="18"/>
                <w:szCs w:val="18"/>
              </w:rPr>
            </w:pPr>
            <w:r w:rsidRPr="00226205">
              <w:rPr>
                <w:rFonts w:ascii="Calibri" w:hAnsi="Calibri" w:cs="Calibri"/>
                <w:color w:val="000000"/>
                <w:sz w:val="18"/>
                <w:szCs w:val="18"/>
              </w:rPr>
              <w:t>Pavilions / Clubrooms / Change rooms</w:t>
            </w:r>
          </w:p>
        </w:tc>
        <w:tc>
          <w:tcPr>
            <w:tcW w:w="2410" w:type="dxa"/>
            <w:shd w:val="clear" w:color="auto" w:fill="auto"/>
            <w:hideMark/>
          </w:tcPr>
          <w:p w:rsidR="00226205" w:rsidRPr="00226205" w:rsidRDefault="00226205" w:rsidP="00226205">
            <w:pPr>
              <w:jc w:val="left"/>
              <w:rPr>
                <w:rFonts w:ascii="Calibri" w:hAnsi="Calibri" w:cs="Calibri"/>
                <w:color w:val="000000"/>
                <w:sz w:val="18"/>
                <w:szCs w:val="18"/>
              </w:rPr>
            </w:pPr>
            <w:r w:rsidRPr="00226205">
              <w:rPr>
                <w:rFonts w:ascii="Calibri" w:hAnsi="Calibri" w:cs="Calibri"/>
                <w:color w:val="000000"/>
                <w:sz w:val="18"/>
                <w:szCs w:val="18"/>
              </w:rPr>
              <w:t xml:space="preserve">The building is generally in a good condition. </w:t>
            </w:r>
          </w:p>
        </w:tc>
        <w:tc>
          <w:tcPr>
            <w:tcW w:w="3118" w:type="dxa"/>
            <w:shd w:val="clear" w:color="auto" w:fill="auto"/>
            <w:hideMark/>
          </w:tcPr>
          <w:p w:rsidR="00226205" w:rsidRPr="00226205" w:rsidRDefault="00226205" w:rsidP="00226205">
            <w:pPr>
              <w:jc w:val="left"/>
              <w:rPr>
                <w:rFonts w:ascii="Calibri" w:hAnsi="Calibri" w:cs="Calibri"/>
                <w:color w:val="000000"/>
                <w:sz w:val="18"/>
                <w:szCs w:val="18"/>
              </w:rPr>
            </w:pPr>
            <w:r w:rsidRPr="00226205">
              <w:rPr>
                <w:rFonts w:ascii="Calibri" w:hAnsi="Calibri" w:cs="Calibri"/>
                <w:color w:val="000000"/>
                <w:sz w:val="18"/>
                <w:szCs w:val="18"/>
              </w:rPr>
              <w:t>Currently fit for purpose.</w:t>
            </w:r>
          </w:p>
        </w:tc>
      </w:tr>
      <w:tr w:rsidR="00226205" w:rsidRPr="00226205" w:rsidTr="00B77D83">
        <w:trPr>
          <w:cantSplit/>
          <w:trHeight w:val="2064"/>
        </w:trPr>
        <w:tc>
          <w:tcPr>
            <w:tcW w:w="998" w:type="dxa"/>
            <w:shd w:val="clear" w:color="auto" w:fill="auto"/>
            <w:hideMark/>
          </w:tcPr>
          <w:p w:rsidR="00226205" w:rsidRPr="00226205" w:rsidRDefault="00226205" w:rsidP="006918D2">
            <w:pPr>
              <w:jc w:val="center"/>
              <w:rPr>
                <w:rFonts w:ascii="Calibri" w:hAnsi="Calibri" w:cs="Calibri"/>
                <w:color w:val="000000"/>
                <w:sz w:val="18"/>
                <w:szCs w:val="18"/>
              </w:rPr>
            </w:pPr>
            <w:r w:rsidRPr="00226205">
              <w:rPr>
                <w:rFonts w:ascii="Calibri" w:hAnsi="Calibri" w:cs="Calibri"/>
                <w:color w:val="000000"/>
                <w:sz w:val="18"/>
                <w:szCs w:val="18"/>
              </w:rPr>
              <w:t>B000039</w:t>
            </w:r>
          </w:p>
        </w:tc>
        <w:tc>
          <w:tcPr>
            <w:tcW w:w="2693" w:type="dxa"/>
            <w:shd w:val="clear" w:color="auto" w:fill="auto"/>
            <w:hideMark/>
          </w:tcPr>
          <w:p w:rsidR="00226205" w:rsidRPr="00226205" w:rsidRDefault="00226205" w:rsidP="00226205">
            <w:pPr>
              <w:rPr>
                <w:rFonts w:ascii="Calibri" w:hAnsi="Calibri" w:cs="Calibri"/>
                <w:color w:val="000000"/>
                <w:sz w:val="18"/>
                <w:szCs w:val="18"/>
              </w:rPr>
            </w:pPr>
            <w:r w:rsidRPr="00226205">
              <w:rPr>
                <w:rFonts w:ascii="Calibri" w:hAnsi="Calibri" w:cs="Calibri"/>
                <w:noProof/>
                <w:color w:val="000000"/>
                <w:sz w:val="18"/>
                <w:szCs w:val="18"/>
              </w:rPr>
              <w:drawing>
                <wp:anchor distT="0" distB="0" distL="114300" distR="114300" simplePos="0" relativeHeight="251815424" behindDoc="0" locked="0" layoutInCell="1" allowOverlap="1" wp14:anchorId="079D0399" wp14:editId="2D9FB31D">
                  <wp:simplePos x="0" y="0"/>
                  <wp:positionH relativeFrom="column">
                    <wp:posOffset>-20955</wp:posOffset>
                  </wp:positionH>
                  <wp:positionV relativeFrom="paragraph">
                    <wp:posOffset>36635</wp:posOffset>
                  </wp:positionV>
                  <wp:extent cx="1630680" cy="1223645"/>
                  <wp:effectExtent l="0" t="0" r="0" b="0"/>
                  <wp:wrapNone/>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Picture 162"/>
                          <pic:cNvPicPr>
                            <a:picLocks noChangeAspect="1"/>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1630680" cy="1223645"/>
                          </a:xfrm>
                          <a:prstGeom prst="rect">
                            <a:avLst/>
                          </a:prstGeom>
                        </pic:spPr>
                      </pic:pic>
                    </a:graphicData>
                  </a:graphic>
                  <wp14:sizeRelH relativeFrom="page">
                    <wp14:pctWidth>0</wp14:pctWidth>
                  </wp14:sizeRelH>
                  <wp14:sizeRelV relativeFrom="page">
                    <wp14:pctHeight>0</wp14:pctHeight>
                  </wp14:sizeRelV>
                </wp:anchor>
              </w:drawing>
            </w:r>
          </w:p>
        </w:tc>
        <w:tc>
          <w:tcPr>
            <w:tcW w:w="2268" w:type="dxa"/>
            <w:shd w:val="clear" w:color="auto" w:fill="auto"/>
            <w:hideMark/>
          </w:tcPr>
          <w:p w:rsidR="00226205" w:rsidRPr="00226205" w:rsidRDefault="00226205" w:rsidP="00A54993">
            <w:pPr>
              <w:jc w:val="left"/>
              <w:rPr>
                <w:rFonts w:ascii="Calibri" w:hAnsi="Calibri" w:cs="Calibri"/>
                <w:color w:val="000000"/>
                <w:sz w:val="18"/>
                <w:szCs w:val="18"/>
              </w:rPr>
            </w:pPr>
            <w:r w:rsidRPr="00226205">
              <w:rPr>
                <w:rFonts w:ascii="Calibri" w:hAnsi="Calibri" w:cs="Calibri"/>
                <w:color w:val="000000"/>
                <w:sz w:val="18"/>
                <w:szCs w:val="18"/>
              </w:rPr>
              <w:t xml:space="preserve">Storage Sheds, Victoria Park- Abbot Street, Abbotsford </w:t>
            </w:r>
          </w:p>
        </w:tc>
        <w:tc>
          <w:tcPr>
            <w:tcW w:w="1276" w:type="dxa"/>
            <w:shd w:val="clear" w:color="auto" w:fill="auto"/>
            <w:hideMark/>
          </w:tcPr>
          <w:p w:rsidR="00226205" w:rsidRPr="00226205" w:rsidRDefault="00226205" w:rsidP="00B77D83">
            <w:pPr>
              <w:tabs>
                <w:tab w:val="decimal" w:pos="884"/>
              </w:tabs>
              <w:jc w:val="left"/>
              <w:rPr>
                <w:rFonts w:ascii="Calibri" w:hAnsi="Calibri" w:cs="Calibri"/>
                <w:color w:val="000000"/>
                <w:sz w:val="18"/>
                <w:szCs w:val="18"/>
              </w:rPr>
            </w:pPr>
            <w:r w:rsidRPr="00226205">
              <w:rPr>
                <w:rFonts w:ascii="Calibri" w:hAnsi="Calibri" w:cs="Calibri"/>
                <w:color w:val="000000"/>
                <w:sz w:val="18"/>
                <w:szCs w:val="18"/>
              </w:rPr>
              <w:t>$20,000</w:t>
            </w:r>
          </w:p>
        </w:tc>
        <w:tc>
          <w:tcPr>
            <w:tcW w:w="1134" w:type="dxa"/>
            <w:shd w:val="clear" w:color="auto" w:fill="auto"/>
            <w:hideMark/>
          </w:tcPr>
          <w:p w:rsidR="00226205" w:rsidRPr="00226205" w:rsidRDefault="00226205" w:rsidP="00226205">
            <w:pPr>
              <w:jc w:val="center"/>
              <w:rPr>
                <w:rFonts w:ascii="Calibri" w:hAnsi="Calibri" w:cs="Calibri"/>
                <w:color w:val="000000"/>
                <w:sz w:val="18"/>
                <w:szCs w:val="18"/>
              </w:rPr>
            </w:pPr>
            <w:r w:rsidRPr="00226205">
              <w:rPr>
                <w:rFonts w:ascii="Calibri" w:hAnsi="Calibri" w:cs="Calibri"/>
                <w:color w:val="000000"/>
                <w:sz w:val="18"/>
                <w:szCs w:val="18"/>
              </w:rPr>
              <w:t xml:space="preserve">Recreation </w:t>
            </w:r>
            <w:r w:rsidR="00B77D83">
              <w:rPr>
                <w:rFonts w:ascii="Calibri" w:hAnsi="Calibri" w:cs="Calibri"/>
                <w:color w:val="000000"/>
                <w:sz w:val="18"/>
                <w:szCs w:val="18"/>
              </w:rPr>
              <w:t>and</w:t>
            </w:r>
            <w:r w:rsidRPr="00226205">
              <w:rPr>
                <w:rFonts w:ascii="Calibri" w:hAnsi="Calibri" w:cs="Calibri"/>
                <w:color w:val="000000"/>
                <w:sz w:val="18"/>
                <w:szCs w:val="18"/>
              </w:rPr>
              <w:t xml:space="preserve"> Open Space</w:t>
            </w:r>
          </w:p>
        </w:tc>
        <w:tc>
          <w:tcPr>
            <w:tcW w:w="1417" w:type="dxa"/>
            <w:shd w:val="clear" w:color="auto" w:fill="auto"/>
            <w:hideMark/>
          </w:tcPr>
          <w:p w:rsidR="00226205" w:rsidRPr="00226205" w:rsidRDefault="00226205" w:rsidP="00226205">
            <w:pPr>
              <w:jc w:val="center"/>
              <w:rPr>
                <w:rFonts w:ascii="Calibri" w:hAnsi="Calibri" w:cs="Calibri"/>
                <w:color w:val="000000"/>
                <w:sz w:val="18"/>
                <w:szCs w:val="18"/>
              </w:rPr>
            </w:pPr>
            <w:r w:rsidRPr="00226205">
              <w:rPr>
                <w:rFonts w:ascii="Calibri" w:hAnsi="Calibri" w:cs="Calibri"/>
                <w:color w:val="000000"/>
                <w:sz w:val="18"/>
                <w:szCs w:val="18"/>
              </w:rPr>
              <w:t>Stores / Sheds / Garages</w:t>
            </w:r>
          </w:p>
        </w:tc>
        <w:tc>
          <w:tcPr>
            <w:tcW w:w="2410" w:type="dxa"/>
            <w:shd w:val="clear" w:color="auto" w:fill="auto"/>
            <w:hideMark/>
          </w:tcPr>
          <w:p w:rsidR="00226205" w:rsidRPr="00226205" w:rsidRDefault="00226205" w:rsidP="00DF0C54">
            <w:pPr>
              <w:jc w:val="left"/>
              <w:rPr>
                <w:rFonts w:ascii="Calibri" w:hAnsi="Calibri" w:cs="Calibri"/>
                <w:color w:val="000000"/>
                <w:sz w:val="18"/>
                <w:szCs w:val="18"/>
              </w:rPr>
            </w:pPr>
            <w:r w:rsidRPr="00226205">
              <w:rPr>
                <w:rFonts w:ascii="Calibri" w:hAnsi="Calibri" w:cs="Calibri"/>
                <w:color w:val="000000"/>
                <w:sz w:val="18"/>
                <w:szCs w:val="18"/>
              </w:rPr>
              <w:t>The storage sheds are in poor overall condition.</w:t>
            </w:r>
          </w:p>
        </w:tc>
        <w:tc>
          <w:tcPr>
            <w:tcW w:w="3118" w:type="dxa"/>
            <w:shd w:val="clear" w:color="auto" w:fill="auto"/>
            <w:hideMark/>
          </w:tcPr>
          <w:p w:rsidR="00226205" w:rsidRPr="00226205" w:rsidRDefault="00226205" w:rsidP="00226205">
            <w:pPr>
              <w:jc w:val="left"/>
              <w:rPr>
                <w:rFonts w:ascii="Calibri" w:hAnsi="Calibri" w:cs="Calibri"/>
                <w:color w:val="000000"/>
                <w:sz w:val="18"/>
                <w:szCs w:val="18"/>
              </w:rPr>
            </w:pPr>
            <w:r w:rsidRPr="00226205">
              <w:rPr>
                <w:rFonts w:ascii="Calibri" w:hAnsi="Calibri" w:cs="Calibri"/>
                <w:color w:val="000000"/>
                <w:sz w:val="18"/>
                <w:szCs w:val="18"/>
              </w:rPr>
              <w:t xml:space="preserve">Full assessment not yet carried out. </w:t>
            </w:r>
            <w:r w:rsidRPr="00226205">
              <w:rPr>
                <w:rFonts w:ascii="Calibri" w:hAnsi="Calibri" w:cs="Calibri"/>
                <w:color w:val="000000"/>
                <w:sz w:val="18"/>
                <w:szCs w:val="18"/>
              </w:rPr>
              <w:br/>
              <w:t>Requires more detailed review.</w:t>
            </w:r>
          </w:p>
        </w:tc>
      </w:tr>
      <w:tr w:rsidR="00226205" w:rsidRPr="00226205" w:rsidTr="00B77D83">
        <w:trPr>
          <w:cantSplit/>
          <w:trHeight w:val="2108"/>
        </w:trPr>
        <w:tc>
          <w:tcPr>
            <w:tcW w:w="998" w:type="dxa"/>
            <w:shd w:val="clear" w:color="auto" w:fill="auto"/>
            <w:hideMark/>
          </w:tcPr>
          <w:p w:rsidR="00226205" w:rsidRPr="00226205" w:rsidRDefault="00226205" w:rsidP="006918D2">
            <w:pPr>
              <w:jc w:val="center"/>
              <w:rPr>
                <w:rFonts w:ascii="Calibri" w:hAnsi="Calibri" w:cs="Calibri"/>
                <w:color w:val="000000"/>
                <w:sz w:val="18"/>
                <w:szCs w:val="18"/>
              </w:rPr>
            </w:pPr>
            <w:r w:rsidRPr="00226205">
              <w:rPr>
                <w:rFonts w:ascii="Calibri" w:hAnsi="Calibri" w:cs="Calibri"/>
                <w:color w:val="000000"/>
                <w:sz w:val="18"/>
                <w:szCs w:val="18"/>
              </w:rPr>
              <w:t>B000040</w:t>
            </w:r>
          </w:p>
        </w:tc>
        <w:tc>
          <w:tcPr>
            <w:tcW w:w="2693" w:type="dxa"/>
            <w:shd w:val="clear" w:color="auto" w:fill="auto"/>
            <w:hideMark/>
          </w:tcPr>
          <w:p w:rsidR="00226205" w:rsidRPr="00226205" w:rsidRDefault="00226205" w:rsidP="00226205">
            <w:pPr>
              <w:rPr>
                <w:rFonts w:ascii="Calibri" w:hAnsi="Calibri" w:cs="Calibri"/>
                <w:color w:val="000000"/>
                <w:sz w:val="18"/>
                <w:szCs w:val="18"/>
              </w:rPr>
            </w:pPr>
            <w:r w:rsidRPr="00226205">
              <w:rPr>
                <w:rFonts w:ascii="Calibri" w:hAnsi="Calibri" w:cs="Calibri"/>
                <w:noProof/>
                <w:color w:val="000000"/>
                <w:sz w:val="18"/>
                <w:szCs w:val="18"/>
              </w:rPr>
              <w:drawing>
                <wp:anchor distT="0" distB="0" distL="114300" distR="114300" simplePos="0" relativeHeight="251761152" behindDoc="0" locked="0" layoutInCell="1" allowOverlap="1" wp14:anchorId="62A731A8" wp14:editId="4328D6DE">
                  <wp:simplePos x="0" y="0"/>
                  <wp:positionH relativeFrom="column">
                    <wp:posOffset>-20955</wp:posOffset>
                  </wp:positionH>
                  <wp:positionV relativeFrom="paragraph">
                    <wp:posOffset>44010</wp:posOffset>
                  </wp:positionV>
                  <wp:extent cx="1630680" cy="1249045"/>
                  <wp:effectExtent l="0" t="0" r="0" b="0"/>
                  <wp:wrapNone/>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96"/>
                          <pic:cNvPicPr>
                            <a:picLocks noChangeAspect="1"/>
                          </pic:cNvPicPr>
                        </pic:nvPicPr>
                        <pic:blipFill>
                          <a:blip r:embed="rId106">
                            <a:extLst>
                              <a:ext uri="{28A0092B-C50C-407E-A947-70E740481C1C}">
                                <a14:useLocalDpi xmlns:a14="http://schemas.microsoft.com/office/drawing/2010/main" val="0"/>
                              </a:ext>
                            </a:extLst>
                          </a:blip>
                          <a:stretch>
                            <a:fillRect/>
                          </a:stretch>
                        </pic:blipFill>
                        <pic:spPr>
                          <a:xfrm>
                            <a:off x="0" y="0"/>
                            <a:ext cx="1630680" cy="1249045"/>
                          </a:xfrm>
                          <a:prstGeom prst="rect">
                            <a:avLst/>
                          </a:prstGeom>
                        </pic:spPr>
                      </pic:pic>
                    </a:graphicData>
                  </a:graphic>
                  <wp14:sizeRelH relativeFrom="page">
                    <wp14:pctWidth>0</wp14:pctWidth>
                  </wp14:sizeRelH>
                  <wp14:sizeRelV relativeFrom="page">
                    <wp14:pctHeight>0</wp14:pctHeight>
                  </wp14:sizeRelV>
                </wp:anchor>
              </w:drawing>
            </w:r>
          </w:p>
        </w:tc>
        <w:tc>
          <w:tcPr>
            <w:tcW w:w="2268" w:type="dxa"/>
            <w:shd w:val="clear" w:color="auto" w:fill="auto"/>
            <w:hideMark/>
          </w:tcPr>
          <w:p w:rsidR="00226205" w:rsidRPr="00226205" w:rsidRDefault="00226205" w:rsidP="00A54993">
            <w:pPr>
              <w:jc w:val="left"/>
              <w:rPr>
                <w:rFonts w:ascii="Calibri" w:hAnsi="Calibri" w:cs="Calibri"/>
                <w:color w:val="000000"/>
                <w:sz w:val="18"/>
                <w:szCs w:val="18"/>
              </w:rPr>
            </w:pPr>
            <w:r w:rsidRPr="00226205">
              <w:rPr>
                <w:rFonts w:ascii="Calibri" w:hAnsi="Calibri" w:cs="Calibri"/>
                <w:color w:val="000000"/>
                <w:sz w:val="18"/>
                <w:szCs w:val="18"/>
              </w:rPr>
              <w:t>Ticket Box, Timber, Victoria Park- Abbott Street, Abbotsford</w:t>
            </w:r>
          </w:p>
        </w:tc>
        <w:tc>
          <w:tcPr>
            <w:tcW w:w="1276" w:type="dxa"/>
            <w:shd w:val="clear" w:color="auto" w:fill="auto"/>
            <w:hideMark/>
          </w:tcPr>
          <w:p w:rsidR="00226205" w:rsidRPr="00226205" w:rsidRDefault="00226205" w:rsidP="00B77D83">
            <w:pPr>
              <w:tabs>
                <w:tab w:val="decimal" w:pos="884"/>
              </w:tabs>
              <w:jc w:val="left"/>
              <w:rPr>
                <w:rFonts w:ascii="Calibri" w:hAnsi="Calibri" w:cs="Calibri"/>
                <w:color w:val="000000"/>
                <w:sz w:val="18"/>
                <w:szCs w:val="18"/>
              </w:rPr>
            </w:pPr>
            <w:r w:rsidRPr="00226205">
              <w:rPr>
                <w:rFonts w:ascii="Calibri" w:hAnsi="Calibri" w:cs="Calibri"/>
                <w:color w:val="000000"/>
                <w:sz w:val="18"/>
                <w:szCs w:val="18"/>
              </w:rPr>
              <w:t>$20,000</w:t>
            </w:r>
          </w:p>
        </w:tc>
        <w:tc>
          <w:tcPr>
            <w:tcW w:w="1134" w:type="dxa"/>
            <w:shd w:val="clear" w:color="auto" w:fill="auto"/>
            <w:hideMark/>
          </w:tcPr>
          <w:p w:rsidR="00226205" w:rsidRPr="00226205" w:rsidRDefault="00226205" w:rsidP="00226205">
            <w:pPr>
              <w:jc w:val="center"/>
              <w:rPr>
                <w:rFonts w:ascii="Calibri" w:hAnsi="Calibri" w:cs="Calibri"/>
                <w:color w:val="000000"/>
                <w:sz w:val="18"/>
                <w:szCs w:val="18"/>
              </w:rPr>
            </w:pPr>
            <w:r w:rsidRPr="00226205">
              <w:rPr>
                <w:rFonts w:ascii="Calibri" w:hAnsi="Calibri" w:cs="Calibri"/>
                <w:color w:val="000000"/>
                <w:sz w:val="18"/>
                <w:szCs w:val="18"/>
              </w:rPr>
              <w:t xml:space="preserve">Recreation </w:t>
            </w:r>
            <w:r w:rsidR="00B77D83">
              <w:rPr>
                <w:rFonts w:ascii="Calibri" w:hAnsi="Calibri" w:cs="Calibri"/>
                <w:color w:val="000000"/>
                <w:sz w:val="18"/>
                <w:szCs w:val="18"/>
              </w:rPr>
              <w:t>and</w:t>
            </w:r>
            <w:r w:rsidRPr="00226205">
              <w:rPr>
                <w:rFonts w:ascii="Calibri" w:hAnsi="Calibri" w:cs="Calibri"/>
                <w:color w:val="000000"/>
                <w:sz w:val="18"/>
                <w:szCs w:val="18"/>
              </w:rPr>
              <w:t xml:space="preserve"> Open Space</w:t>
            </w:r>
          </w:p>
        </w:tc>
        <w:tc>
          <w:tcPr>
            <w:tcW w:w="1417" w:type="dxa"/>
            <w:shd w:val="clear" w:color="auto" w:fill="auto"/>
            <w:hideMark/>
          </w:tcPr>
          <w:p w:rsidR="00226205" w:rsidRPr="00226205" w:rsidRDefault="00226205" w:rsidP="00226205">
            <w:pPr>
              <w:jc w:val="center"/>
              <w:rPr>
                <w:rFonts w:ascii="Calibri" w:hAnsi="Calibri" w:cs="Calibri"/>
                <w:color w:val="000000"/>
                <w:sz w:val="18"/>
                <w:szCs w:val="18"/>
              </w:rPr>
            </w:pPr>
            <w:r w:rsidRPr="00226205">
              <w:rPr>
                <w:rFonts w:ascii="Calibri" w:hAnsi="Calibri" w:cs="Calibri"/>
                <w:color w:val="000000"/>
                <w:sz w:val="18"/>
                <w:szCs w:val="18"/>
              </w:rPr>
              <w:t>Structures</w:t>
            </w:r>
          </w:p>
        </w:tc>
        <w:tc>
          <w:tcPr>
            <w:tcW w:w="2410" w:type="dxa"/>
            <w:shd w:val="clear" w:color="auto" w:fill="auto"/>
            <w:hideMark/>
          </w:tcPr>
          <w:p w:rsidR="00226205" w:rsidRPr="00226205" w:rsidRDefault="00226205" w:rsidP="00226205">
            <w:pPr>
              <w:jc w:val="left"/>
              <w:rPr>
                <w:rFonts w:ascii="Calibri" w:hAnsi="Calibri" w:cs="Calibri"/>
                <w:color w:val="000000"/>
                <w:sz w:val="18"/>
                <w:szCs w:val="18"/>
              </w:rPr>
            </w:pPr>
            <w:r w:rsidRPr="00226205">
              <w:rPr>
                <w:rFonts w:ascii="Calibri" w:hAnsi="Calibri" w:cs="Calibri"/>
                <w:color w:val="000000"/>
                <w:sz w:val="18"/>
                <w:szCs w:val="18"/>
              </w:rPr>
              <w:t xml:space="preserve">The structure is generally in a good condition. </w:t>
            </w:r>
          </w:p>
        </w:tc>
        <w:tc>
          <w:tcPr>
            <w:tcW w:w="3118" w:type="dxa"/>
            <w:shd w:val="clear" w:color="auto" w:fill="auto"/>
            <w:hideMark/>
          </w:tcPr>
          <w:p w:rsidR="00226205" w:rsidRPr="00226205" w:rsidRDefault="00226205" w:rsidP="00226205">
            <w:pPr>
              <w:jc w:val="left"/>
              <w:rPr>
                <w:rFonts w:ascii="Calibri" w:hAnsi="Calibri" w:cs="Calibri"/>
                <w:color w:val="000000"/>
                <w:sz w:val="18"/>
                <w:szCs w:val="18"/>
              </w:rPr>
            </w:pPr>
            <w:r w:rsidRPr="00226205">
              <w:rPr>
                <w:rFonts w:ascii="Calibri" w:hAnsi="Calibri" w:cs="Calibri"/>
                <w:color w:val="000000"/>
                <w:sz w:val="18"/>
                <w:szCs w:val="18"/>
              </w:rPr>
              <w:t>Currently fit for purpose.</w:t>
            </w:r>
          </w:p>
        </w:tc>
      </w:tr>
      <w:tr w:rsidR="00226205" w:rsidRPr="00226205" w:rsidTr="00B77D83">
        <w:trPr>
          <w:cantSplit/>
          <w:trHeight w:val="2124"/>
        </w:trPr>
        <w:tc>
          <w:tcPr>
            <w:tcW w:w="998" w:type="dxa"/>
            <w:shd w:val="clear" w:color="auto" w:fill="auto"/>
            <w:hideMark/>
          </w:tcPr>
          <w:p w:rsidR="00226205" w:rsidRPr="00226205" w:rsidRDefault="00226205" w:rsidP="006918D2">
            <w:pPr>
              <w:jc w:val="center"/>
              <w:rPr>
                <w:rFonts w:ascii="Calibri" w:hAnsi="Calibri" w:cs="Calibri"/>
                <w:color w:val="000000"/>
                <w:sz w:val="18"/>
                <w:szCs w:val="18"/>
              </w:rPr>
            </w:pPr>
            <w:r w:rsidRPr="00226205">
              <w:rPr>
                <w:rFonts w:ascii="Calibri" w:hAnsi="Calibri" w:cs="Calibri"/>
                <w:color w:val="000000"/>
                <w:sz w:val="18"/>
                <w:szCs w:val="18"/>
              </w:rPr>
              <w:t>B000041</w:t>
            </w:r>
          </w:p>
        </w:tc>
        <w:tc>
          <w:tcPr>
            <w:tcW w:w="2693" w:type="dxa"/>
            <w:shd w:val="clear" w:color="auto" w:fill="auto"/>
            <w:hideMark/>
          </w:tcPr>
          <w:p w:rsidR="00226205" w:rsidRPr="00226205" w:rsidRDefault="00226205" w:rsidP="00226205">
            <w:pPr>
              <w:rPr>
                <w:rFonts w:ascii="Calibri" w:hAnsi="Calibri" w:cs="Calibri"/>
                <w:color w:val="000000"/>
                <w:sz w:val="18"/>
                <w:szCs w:val="18"/>
              </w:rPr>
            </w:pPr>
            <w:r w:rsidRPr="00226205">
              <w:rPr>
                <w:rFonts w:ascii="Calibri" w:hAnsi="Calibri" w:cs="Calibri"/>
                <w:noProof/>
                <w:color w:val="000000"/>
                <w:sz w:val="18"/>
                <w:szCs w:val="18"/>
              </w:rPr>
              <w:drawing>
                <wp:anchor distT="0" distB="0" distL="114300" distR="114300" simplePos="0" relativeHeight="251812352" behindDoc="0" locked="0" layoutInCell="1" allowOverlap="1" wp14:anchorId="10C7DE84" wp14:editId="5EB01597">
                  <wp:simplePos x="0" y="0"/>
                  <wp:positionH relativeFrom="column">
                    <wp:posOffset>-20955</wp:posOffset>
                  </wp:positionH>
                  <wp:positionV relativeFrom="paragraph">
                    <wp:posOffset>58615</wp:posOffset>
                  </wp:positionV>
                  <wp:extent cx="1630680" cy="1223645"/>
                  <wp:effectExtent l="0" t="0" r="0" b="0"/>
                  <wp:wrapNone/>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Picture 158"/>
                          <pic:cNvPicPr>
                            <a:picLocks noChangeAspect="1"/>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1630680" cy="1223645"/>
                          </a:xfrm>
                          <a:prstGeom prst="rect">
                            <a:avLst/>
                          </a:prstGeom>
                        </pic:spPr>
                      </pic:pic>
                    </a:graphicData>
                  </a:graphic>
                  <wp14:sizeRelH relativeFrom="page">
                    <wp14:pctWidth>0</wp14:pctWidth>
                  </wp14:sizeRelH>
                  <wp14:sizeRelV relativeFrom="page">
                    <wp14:pctHeight>0</wp14:pctHeight>
                  </wp14:sizeRelV>
                </wp:anchor>
              </w:drawing>
            </w:r>
          </w:p>
        </w:tc>
        <w:tc>
          <w:tcPr>
            <w:tcW w:w="2268" w:type="dxa"/>
            <w:shd w:val="clear" w:color="auto" w:fill="auto"/>
            <w:hideMark/>
          </w:tcPr>
          <w:p w:rsidR="00226205" w:rsidRPr="00226205" w:rsidRDefault="00226205" w:rsidP="00A54993">
            <w:pPr>
              <w:jc w:val="left"/>
              <w:rPr>
                <w:rFonts w:ascii="Calibri" w:hAnsi="Calibri" w:cs="Calibri"/>
                <w:color w:val="000000"/>
                <w:sz w:val="18"/>
                <w:szCs w:val="18"/>
              </w:rPr>
            </w:pPr>
            <w:r w:rsidRPr="00226205">
              <w:rPr>
                <w:rFonts w:ascii="Calibri" w:hAnsi="Calibri" w:cs="Calibri"/>
                <w:color w:val="000000"/>
                <w:sz w:val="18"/>
                <w:szCs w:val="18"/>
              </w:rPr>
              <w:t xml:space="preserve">Ticket Box ,Timber,  Victoria Park- Corner of  Bath Street and Turner Street, Abbotsford </w:t>
            </w:r>
          </w:p>
        </w:tc>
        <w:tc>
          <w:tcPr>
            <w:tcW w:w="1276" w:type="dxa"/>
            <w:shd w:val="clear" w:color="auto" w:fill="auto"/>
            <w:hideMark/>
          </w:tcPr>
          <w:p w:rsidR="00226205" w:rsidRPr="00226205" w:rsidRDefault="00226205" w:rsidP="00B77D83">
            <w:pPr>
              <w:tabs>
                <w:tab w:val="decimal" w:pos="884"/>
              </w:tabs>
              <w:jc w:val="left"/>
              <w:rPr>
                <w:rFonts w:ascii="Calibri" w:hAnsi="Calibri" w:cs="Calibri"/>
                <w:color w:val="000000"/>
                <w:sz w:val="18"/>
                <w:szCs w:val="18"/>
              </w:rPr>
            </w:pPr>
            <w:r w:rsidRPr="00226205">
              <w:rPr>
                <w:rFonts w:ascii="Calibri" w:hAnsi="Calibri" w:cs="Calibri"/>
                <w:color w:val="000000"/>
                <w:sz w:val="18"/>
                <w:szCs w:val="18"/>
              </w:rPr>
              <w:t>$20,000</w:t>
            </w:r>
          </w:p>
        </w:tc>
        <w:tc>
          <w:tcPr>
            <w:tcW w:w="1134" w:type="dxa"/>
            <w:shd w:val="clear" w:color="auto" w:fill="auto"/>
            <w:hideMark/>
          </w:tcPr>
          <w:p w:rsidR="00226205" w:rsidRPr="00226205" w:rsidRDefault="00226205" w:rsidP="00226205">
            <w:pPr>
              <w:jc w:val="center"/>
              <w:rPr>
                <w:rFonts w:ascii="Calibri" w:hAnsi="Calibri" w:cs="Calibri"/>
                <w:color w:val="000000"/>
                <w:sz w:val="18"/>
                <w:szCs w:val="18"/>
              </w:rPr>
            </w:pPr>
            <w:r w:rsidRPr="00226205">
              <w:rPr>
                <w:rFonts w:ascii="Calibri" w:hAnsi="Calibri" w:cs="Calibri"/>
                <w:color w:val="000000"/>
                <w:sz w:val="18"/>
                <w:szCs w:val="18"/>
              </w:rPr>
              <w:t xml:space="preserve">Recreation </w:t>
            </w:r>
            <w:r w:rsidR="00B77D83">
              <w:rPr>
                <w:rFonts w:ascii="Calibri" w:hAnsi="Calibri" w:cs="Calibri"/>
                <w:color w:val="000000"/>
                <w:sz w:val="18"/>
                <w:szCs w:val="18"/>
              </w:rPr>
              <w:t>and</w:t>
            </w:r>
            <w:r w:rsidRPr="00226205">
              <w:rPr>
                <w:rFonts w:ascii="Calibri" w:hAnsi="Calibri" w:cs="Calibri"/>
                <w:color w:val="000000"/>
                <w:sz w:val="18"/>
                <w:szCs w:val="18"/>
              </w:rPr>
              <w:t xml:space="preserve"> Open Space</w:t>
            </w:r>
          </w:p>
        </w:tc>
        <w:tc>
          <w:tcPr>
            <w:tcW w:w="1417" w:type="dxa"/>
            <w:shd w:val="clear" w:color="auto" w:fill="auto"/>
            <w:hideMark/>
          </w:tcPr>
          <w:p w:rsidR="00226205" w:rsidRPr="00226205" w:rsidRDefault="00226205" w:rsidP="00226205">
            <w:pPr>
              <w:jc w:val="center"/>
              <w:rPr>
                <w:rFonts w:ascii="Calibri" w:hAnsi="Calibri" w:cs="Calibri"/>
                <w:color w:val="000000"/>
                <w:sz w:val="18"/>
                <w:szCs w:val="18"/>
              </w:rPr>
            </w:pPr>
            <w:r w:rsidRPr="00226205">
              <w:rPr>
                <w:rFonts w:ascii="Calibri" w:hAnsi="Calibri" w:cs="Calibri"/>
                <w:color w:val="000000"/>
                <w:sz w:val="18"/>
                <w:szCs w:val="18"/>
              </w:rPr>
              <w:t>Structures</w:t>
            </w:r>
          </w:p>
        </w:tc>
        <w:tc>
          <w:tcPr>
            <w:tcW w:w="2410" w:type="dxa"/>
            <w:shd w:val="clear" w:color="auto" w:fill="auto"/>
            <w:hideMark/>
          </w:tcPr>
          <w:p w:rsidR="00226205" w:rsidRPr="00226205" w:rsidRDefault="00226205" w:rsidP="00226205">
            <w:pPr>
              <w:jc w:val="left"/>
              <w:rPr>
                <w:rFonts w:ascii="Calibri" w:hAnsi="Calibri" w:cs="Calibri"/>
                <w:color w:val="000000"/>
                <w:sz w:val="18"/>
                <w:szCs w:val="18"/>
              </w:rPr>
            </w:pPr>
            <w:r w:rsidRPr="00226205">
              <w:rPr>
                <w:rFonts w:ascii="Calibri" w:hAnsi="Calibri" w:cs="Calibri"/>
                <w:color w:val="000000"/>
                <w:sz w:val="18"/>
                <w:szCs w:val="18"/>
              </w:rPr>
              <w:t xml:space="preserve">The structure is generally in a good condition. </w:t>
            </w:r>
          </w:p>
        </w:tc>
        <w:tc>
          <w:tcPr>
            <w:tcW w:w="3118" w:type="dxa"/>
            <w:shd w:val="clear" w:color="auto" w:fill="auto"/>
            <w:hideMark/>
          </w:tcPr>
          <w:p w:rsidR="00226205" w:rsidRPr="00226205" w:rsidRDefault="00226205" w:rsidP="00226205">
            <w:pPr>
              <w:jc w:val="left"/>
              <w:rPr>
                <w:rFonts w:ascii="Calibri" w:hAnsi="Calibri" w:cs="Calibri"/>
                <w:color w:val="000000"/>
                <w:sz w:val="18"/>
                <w:szCs w:val="18"/>
              </w:rPr>
            </w:pPr>
            <w:r w:rsidRPr="00226205">
              <w:rPr>
                <w:rFonts w:ascii="Calibri" w:hAnsi="Calibri" w:cs="Calibri"/>
                <w:color w:val="000000"/>
                <w:sz w:val="18"/>
                <w:szCs w:val="18"/>
              </w:rPr>
              <w:t>Currently fit for purpose.</w:t>
            </w:r>
          </w:p>
        </w:tc>
      </w:tr>
      <w:tr w:rsidR="00226205" w:rsidRPr="00226205" w:rsidTr="00B77D83">
        <w:trPr>
          <w:cantSplit/>
          <w:trHeight w:val="2064"/>
        </w:trPr>
        <w:tc>
          <w:tcPr>
            <w:tcW w:w="998" w:type="dxa"/>
            <w:shd w:val="clear" w:color="auto" w:fill="auto"/>
            <w:hideMark/>
          </w:tcPr>
          <w:p w:rsidR="00226205" w:rsidRPr="00226205" w:rsidRDefault="00226205" w:rsidP="006918D2">
            <w:pPr>
              <w:jc w:val="center"/>
              <w:rPr>
                <w:rFonts w:ascii="Calibri" w:hAnsi="Calibri" w:cs="Calibri"/>
                <w:color w:val="000000"/>
                <w:sz w:val="18"/>
                <w:szCs w:val="18"/>
              </w:rPr>
            </w:pPr>
            <w:r w:rsidRPr="00226205">
              <w:rPr>
                <w:rFonts w:ascii="Calibri" w:hAnsi="Calibri" w:cs="Calibri"/>
                <w:color w:val="000000"/>
                <w:sz w:val="18"/>
                <w:szCs w:val="18"/>
              </w:rPr>
              <w:t>B000042</w:t>
            </w:r>
          </w:p>
        </w:tc>
        <w:tc>
          <w:tcPr>
            <w:tcW w:w="2693" w:type="dxa"/>
            <w:shd w:val="clear" w:color="auto" w:fill="auto"/>
            <w:hideMark/>
          </w:tcPr>
          <w:p w:rsidR="00226205" w:rsidRPr="00226205" w:rsidRDefault="00226205" w:rsidP="00226205">
            <w:pPr>
              <w:rPr>
                <w:rFonts w:ascii="Calibri" w:hAnsi="Calibri" w:cs="Calibri"/>
                <w:color w:val="000000"/>
                <w:sz w:val="18"/>
                <w:szCs w:val="18"/>
              </w:rPr>
            </w:pPr>
            <w:r w:rsidRPr="00226205">
              <w:rPr>
                <w:rFonts w:ascii="Calibri" w:hAnsi="Calibri" w:cs="Calibri"/>
                <w:noProof/>
                <w:color w:val="000000"/>
                <w:sz w:val="18"/>
                <w:szCs w:val="18"/>
              </w:rPr>
              <w:drawing>
                <wp:anchor distT="0" distB="0" distL="114300" distR="114300" simplePos="0" relativeHeight="251813376" behindDoc="0" locked="0" layoutInCell="1" allowOverlap="1" wp14:anchorId="24391F11" wp14:editId="3E69A784">
                  <wp:simplePos x="0" y="0"/>
                  <wp:positionH relativeFrom="column">
                    <wp:posOffset>-20955</wp:posOffset>
                  </wp:positionH>
                  <wp:positionV relativeFrom="paragraph">
                    <wp:posOffset>53340</wp:posOffset>
                  </wp:positionV>
                  <wp:extent cx="1630680" cy="1195070"/>
                  <wp:effectExtent l="0" t="0" r="0" b="0"/>
                  <wp:wrapNone/>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Picture 159"/>
                          <pic:cNvPicPr>
                            <a:picLocks noChangeAspect="1"/>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1630680" cy="1195070"/>
                          </a:xfrm>
                          <a:prstGeom prst="rect">
                            <a:avLst/>
                          </a:prstGeom>
                        </pic:spPr>
                      </pic:pic>
                    </a:graphicData>
                  </a:graphic>
                  <wp14:sizeRelH relativeFrom="page">
                    <wp14:pctWidth>0</wp14:pctWidth>
                  </wp14:sizeRelH>
                  <wp14:sizeRelV relativeFrom="page">
                    <wp14:pctHeight>0</wp14:pctHeight>
                  </wp14:sizeRelV>
                </wp:anchor>
              </w:drawing>
            </w:r>
          </w:p>
        </w:tc>
        <w:tc>
          <w:tcPr>
            <w:tcW w:w="2268" w:type="dxa"/>
            <w:shd w:val="clear" w:color="auto" w:fill="auto"/>
            <w:hideMark/>
          </w:tcPr>
          <w:p w:rsidR="00226205" w:rsidRPr="00226205" w:rsidRDefault="00226205" w:rsidP="00A54993">
            <w:pPr>
              <w:jc w:val="left"/>
              <w:rPr>
                <w:rFonts w:ascii="Calibri" w:hAnsi="Calibri" w:cs="Calibri"/>
                <w:color w:val="000000"/>
                <w:sz w:val="18"/>
                <w:szCs w:val="18"/>
              </w:rPr>
            </w:pPr>
            <w:r w:rsidRPr="00226205">
              <w:rPr>
                <w:rFonts w:ascii="Calibri" w:hAnsi="Calibri" w:cs="Calibri"/>
                <w:color w:val="000000"/>
                <w:sz w:val="18"/>
                <w:szCs w:val="18"/>
              </w:rPr>
              <w:t>Ticket Box, Timber- Corner Lulie Street and Turner Street, Abbotsford</w:t>
            </w:r>
          </w:p>
        </w:tc>
        <w:tc>
          <w:tcPr>
            <w:tcW w:w="1276" w:type="dxa"/>
            <w:shd w:val="clear" w:color="auto" w:fill="auto"/>
            <w:hideMark/>
          </w:tcPr>
          <w:p w:rsidR="00226205" w:rsidRPr="00226205" w:rsidRDefault="00226205" w:rsidP="00B77D83">
            <w:pPr>
              <w:tabs>
                <w:tab w:val="decimal" w:pos="884"/>
              </w:tabs>
              <w:jc w:val="left"/>
              <w:rPr>
                <w:rFonts w:ascii="Calibri" w:hAnsi="Calibri" w:cs="Calibri"/>
                <w:color w:val="000000"/>
                <w:sz w:val="18"/>
                <w:szCs w:val="18"/>
              </w:rPr>
            </w:pPr>
            <w:r w:rsidRPr="00226205">
              <w:rPr>
                <w:rFonts w:ascii="Calibri" w:hAnsi="Calibri" w:cs="Calibri"/>
                <w:color w:val="000000"/>
                <w:sz w:val="18"/>
                <w:szCs w:val="18"/>
              </w:rPr>
              <w:t>$20,000</w:t>
            </w:r>
          </w:p>
        </w:tc>
        <w:tc>
          <w:tcPr>
            <w:tcW w:w="1134" w:type="dxa"/>
            <w:shd w:val="clear" w:color="auto" w:fill="auto"/>
            <w:hideMark/>
          </w:tcPr>
          <w:p w:rsidR="00226205" w:rsidRPr="00226205" w:rsidRDefault="00226205" w:rsidP="00226205">
            <w:pPr>
              <w:jc w:val="center"/>
              <w:rPr>
                <w:rFonts w:ascii="Calibri" w:hAnsi="Calibri" w:cs="Calibri"/>
                <w:color w:val="000000"/>
                <w:sz w:val="18"/>
                <w:szCs w:val="18"/>
              </w:rPr>
            </w:pPr>
            <w:r w:rsidRPr="00226205">
              <w:rPr>
                <w:rFonts w:ascii="Calibri" w:hAnsi="Calibri" w:cs="Calibri"/>
                <w:color w:val="000000"/>
                <w:sz w:val="18"/>
                <w:szCs w:val="18"/>
              </w:rPr>
              <w:t xml:space="preserve">Recreation </w:t>
            </w:r>
            <w:r w:rsidR="00B77D83">
              <w:rPr>
                <w:rFonts w:ascii="Calibri" w:hAnsi="Calibri" w:cs="Calibri"/>
                <w:color w:val="000000"/>
                <w:sz w:val="18"/>
                <w:szCs w:val="18"/>
              </w:rPr>
              <w:t>and</w:t>
            </w:r>
            <w:r w:rsidRPr="00226205">
              <w:rPr>
                <w:rFonts w:ascii="Calibri" w:hAnsi="Calibri" w:cs="Calibri"/>
                <w:color w:val="000000"/>
                <w:sz w:val="18"/>
                <w:szCs w:val="18"/>
              </w:rPr>
              <w:t xml:space="preserve"> Open Space</w:t>
            </w:r>
          </w:p>
        </w:tc>
        <w:tc>
          <w:tcPr>
            <w:tcW w:w="1417" w:type="dxa"/>
            <w:shd w:val="clear" w:color="auto" w:fill="auto"/>
            <w:hideMark/>
          </w:tcPr>
          <w:p w:rsidR="00226205" w:rsidRPr="00226205" w:rsidRDefault="00226205" w:rsidP="00226205">
            <w:pPr>
              <w:jc w:val="center"/>
              <w:rPr>
                <w:rFonts w:ascii="Calibri" w:hAnsi="Calibri" w:cs="Calibri"/>
                <w:color w:val="000000"/>
                <w:sz w:val="18"/>
                <w:szCs w:val="18"/>
              </w:rPr>
            </w:pPr>
            <w:r w:rsidRPr="00226205">
              <w:rPr>
                <w:rFonts w:ascii="Calibri" w:hAnsi="Calibri" w:cs="Calibri"/>
                <w:color w:val="000000"/>
                <w:sz w:val="18"/>
                <w:szCs w:val="18"/>
              </w:rPr>
              <w:t>Structures</w:t>
            </w:r>
          </w:p>
        </w:tc>
        <w:tc>
          <w:tcPr>
            <w:tcW w:w="2410" w:type="dxa"/>
            <w:shd w:val="clear" w:color="auto" w:fill="auto"/>
            <w:hideMark/>
          </w:tcPr>
          <w:p w:rsidR="00226205" w:rsidRPr="00226205" w:rsidRDefault="00226205" w:rsidP="00226205">
            <w:pPr>
              <w:jc w:val="left"/>
              <w:rPr>
                <w:rFonts w:ascii="Calibri" w:hAnsi="Calibri" w:cs="Calibri"/>
                <w:color w:val="000000"/>
                <w:sz w:val="18"/>
                <w:szCs w:val="18"/>
              </w:rPr>
            </w:pPr>
            <w:r w:rsidRPr="00226205">
              <w:rPr>
                <w:rFonts w:ascii="Calibri" w:hAnsi="Calibri" w:cs="Calibri"/>
                <w:color w:val="000000"/>
                <w:sz w:val="18"/>
                <w:szCs w:val="18"/>
              </w:rPr>
              <w:t xml:space="preserve">The structure is generally in a good condition. </w:t>
            </w:r>
          </w:p>
        </w:tc>
        <w:tc>
          <w:tcPr>
            <w:tcW w:w="3118" w:type="dxa"/>
            <w:shd w:val="clear" w:color="auto" w:fill="auto"/>
            <w:hideMark/>
          </w:tcPr>
          <w:p w:rsidR="00226205" w:rsidRPr="00226205" w:rsidRDefault="00226205" w:rsidP="00226205">
            <w:pPr>
              <w:jc w:val="left"/>
              <w:rPr>
                <w:rFonts w:ascii="Calibri" w:hAnsi="Calibri" w:cs="Calibri"/>
                <w:color w:val="000000"/>
                <w:sz w:val="18"/>
                <w:szCs w:val="18"/>
              </w:rPr>
            </w:pPr>
            <w:r w:rsidRPr="00226205">
              <w:rPr>
                <w:rFonts w:ascii="Calibri" w:hAnsi="Calibri" w:cs="Calibri"/>
                <w:color w:val="000000"/>
                <w:sz w:val="18"/>
                <w:szCs w:val="18"/>
              </w:rPr>
              <w:t>Currently fit for purpose.</w:t>
            </w:r>
          </w:p>
        </w:tc>
      </w:tr>
      <w:tr w:rsidR="00226205" w:rsidRPr="00226205" w:rsidTr="00B77D83">
        <w:trPr>
          <w:cantSplit/>
          <w:trHeight w:val="2108"/>
        </w:trPr>
        <w:tc>
          <w:tcPr>
            <w:tcW w:w="998" w:type="dxa"/>
            <w:shd w:val="clear" w:color="auto" w:fill="auto"/>
            <w:hideMark/>
          </w:tcPr>
          <w:p w:rsidR="00226205" w:rsidRPr="00226205" w:rsidRDefault="00226205" w:rsidP="006918D2">
            <w:pPr>
              <w:jc w:val="center"/>
              <w:rPr>
                <w:rFonts w:ascii="Calibri" w:hAnsi="Calibri" w:cs="Calibri"/>
                <w:color w:val="000000"/>
                <w:sz w:val="18"/>
                <w:szCs w:val="18"/>
              </w:rPr>
            </w:pPr>
            <w:r w:rsidRPr="00226205">
              <w:rPr>
                <w:rFonts w:ascii="Calibri" w:hAnsi="Calibri" w:cs="Calibri"/>
                <w:color w:val="000000"/>
                <w:sz w:val="18"/>
                <w:szCs w:val="18"/>
              </w:rPr>
              <w:t>B000043</w:t>
            </w:r>
          </w:p>
        </w:tc>
        <w:tc>
          <w:tcPr>
            <w:tcW w:w="2693" w:type="dxa"/>
            <w:shd w:val="clear" w:color="auto" w:fill="auto"/>
            <w:hideMark/>
          </w:tcPr>
          <w:p w:rsidR="00226205" w:rsidRPr="00226205" w:rsidRDefault="00226205" w:rsidP="00226205">
            <w:pPr>
              <w:rPr>
                <w:rFonts w:ascii="Calibri" w:hAnsi="Calibri" w:cs="Calibri"/>
                <w:color w:val="000000"/>
                <w:sz w:val="18"/>
                <w:szCs w:val="18"/>
              </w:rPr>
            </w:pPr>
            <w:r w:rsidRPr="00226205">
              <w:rPr>
                <w:rFonts w:ascii="Calibri" w:hAnsi="Calibri" w:cs="Calibri"/>
                <w:noProof/>
                <w:color w:val="000000"/>
                <w:sz w:val="18"/>
                <w:szCs w:val="18"/>
              </w:rPr>
              <w:drawing>
                <wp:anchor distT="0" distB="0" distL="114300" distR="114300" simplePos="0" relativeHeight="251762176" behindDoc="0" locked="0" layoutInCell="1" allowOverlap="1" wp14:anchorId="764C52B5" wp14:editId="690DEF33">
                  <wp:simplePos x="0" y="0"/>
                  <wp:positionH relativeFrom="column">
                    <wp:posOffset>-20955</wp:posOffset>
                  </wp:positionH>
                  <wp:positionV relativeFrom="paragraph">
                    <wp:posOffset>53340</wp:posOffset>
                  </wp:positionV>
                  <wp:extent cx="1630680" cy="1238250"/>
                  <wp:effectExtent l="0" t="0" r="0" b="0"/>
                  <wp:wrapNone/>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99"/>
                          <pic:cNvPicPr>
                            <a:picLocks noChangeAspect="1"/>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1630680" cy="1238250"/>
                          </a:xfrm>
                          <a:prstGeom prst="rect">
                            <a:avLst/>
                          </a:prstGeom>
                        </pic:spPr>
                      </pic:pic>
                    </a:graphicData>
                  </a:graphic>
                  <wp14:sizeRelH relativeFrom="page">
                    <wp14:pctWidth>0</wp14:pctWidth>
                  </wp14:sizeRelH>
                  <wp14:sizeRelV relativeFrom="page">
                    <wp14:pctHeight>0</wp14:pctHeight>
                  </wp14:sizeRelV>
                </wp:anchor>
              </w:drawing>
            </w:r>
          </w:p>
        </w:tc>
        <w:tc>
          <w:tcPr>
            <w:tcW w:w="2268" w:type="dxa"/>
            <w:shd w:val="clear" w:color="auto" w:fill="auto"/>
            <w:hideMark/>
          </w:tcPr>
          <w:p w:rsidR="00226205" w:rsidRPr="00226205" w:rsidRDefault="00226205" w:rsidP="00A54993">
            <w:pPr>
              <w:jc w:val="left"/>
              <w:rPr>
                <w:rFonts w:ascii="Calibri" w:hAnsi="Calibri" w:cs="Calibri"/>
                <w:color w:val="000000"/>
                <w:sz w:val="18"/>
                <w:szCs w:val="18"/>
              </w:rPr>
            </w:pPr>
            <w:r w:rsidRPr="00226205">
              <w:rPr>
                <w:rFonts w:ascii="Calibri" w:hAnsi="Calibri" w:cs="Calibri"/>
                <w:color w:val="000000"/>
                <w:sz w:val="18"/>
                <w:szCs w:val="18"/>
              </w:rPr>
              <w:t>Ticket Box, Brick under Sherrin Stand- Lulie Street, Abbotsford</w:t>
            </w:r>
          </w:p>
        </w:tc>
        <w:tc>
          <w:tcPr>
            <w:tcW w:w="1276" w:type="dxa"/>
            <w:shd w:val="clear" w:color="auto" w:fill="auto"/>
            <w:hideMark/>
          </w:tcPr>
          <w:p w:rsidR="00226205" w:rsidRPr="00226205" w:rsidRDefault="00226205" w:rsidP="00B77D83">
            <w:pPr>
              <w:tabs>
                <w:tab w:val="decimal" w:pos="884"/>
              </w:tabs>
              <w:jc w:val="left"/>
              <w:rPr>
                <w:rFonts w:ascii="Calibri" w:hAnsi="Calibri" w:cs="Calibri"/>
                <w:color w:val="000000"/>
                <w:sz w:val="18"/>
                <w:szCs w:val="18"/>
              </w:rPr>
            </w:pPr>
            <w:r w:rsidRPr="00226205">
              <w:rPr>
                <w:rFonts w:ascii="Calibri" w:hAnsi="Calibri" w:cs="Calibri"/>
                <w:color w:val="000000"/>
                <w:sz w:val="18"/>
                <w:szCs w:val="18"/>
              </w:rPr>
              <w:t>$20,000</w:t>
            </w:r>
          </w:p>
        </w:tc>
        <w:tc>
          <w:tcPr>
            <w:tcW w:w="1134" w:type="dxa"/>
            <w:shd w:val="clear" w:color="auto" w:fill="auto"/>
            <w:hideMark/>
          </w:tcPr>
          <w:p w:rsidR="00226205" w:rsidRPr="00226205" w:rsidRDefault="00226205" w:rsidP="00226205">
            <w:pPr>
              <w:jc w:val="center"/>
              <w:rPr>
                <w:rFonts w:ascii="Calibri" w:hAnsi="Calibri" w:cs="Calibri"/>
                <w:color w:val="000000"/>
                <w:sz w:val="18"/>
                <w:szCs w:val="18"/>
              </w:rPr>
            </w:pPr>
            <w:r w:rsidRPr="00226205">
              <w:rPr>
                <w:rFonts w:ascii="Calibri" w:hAnsi="Calibri" w:cs="Calibri"/>
                <w:color w:val="000000"/>
                <w:sz w:val="18"/>
                <w:szCs w:val="18"/>
              </w:rPr>
              <w:t xml:space="preserve">Recreation </w:t>
            </w:r>
            <w:r w:rsidR="00B77D83">
              <w:rPr>
                <w:rFonts w:ascii="Calibri" w:hAnsi="Calibri" w:cs="Calibri"/>
                <w:color w:val="000000"/>
                <w:sz w:val="18"/>
                <w:szCs w:val="18"/>
              </w:rPr>
              <w:t>and</w:t>
            </w:r>
            <w:r w:rsidRPr="00226205">
              <w:rPr>
                <w:rFonts w:ascii="Calibri" w:hAnsi="Calibri" w:cs="Calibri"/>
                <w:color w:val="000000"/>
                <w:sz w:val="18"/>
                <w:szCs w:val="18"/>
              </w:rPr>
              <w:t xml:space="preserve"> Open Space</w:t>
            </w:r>
          </w:p>
        </w:tc>
        <w:tc>
          <w:tcPr>
            <w:tcW w:w="1417" w:type="dxa"/>
            <w:shd w:val="clear" w:color="auto" w:fill="auto"/>
            <w:hideMark/>
          </w:tcPr>
          <w:p w:rsidR="00226205" w:rsidRPr="00226205" w:rsidRDefault="00226205" w:rsidP="00226205">
            <w:pPr>
              <w:jc w:val="center"/>
              <w:rPr>
                <w:rFonts w:ascii="Calibri" w:hAnsi="Calibri" w:cs="Calibri"/>
                <w:color w:val="000000"/>
                <w:sz w:val="18"/>
                <w:szCs w:val="18"/>
              </w:rPr>
            </w:pPr>
            <w:r w:rsidRPr="00226205">
              <w:rPr>
                <w:rFonts w:ascii="Calibri" w:hAnsi="Calibri" w:cs="Calibri"/>
                <w:color w:val="000000"/>
                <w:sz w:val="18"/>
                <w:szCs w:val="18"/>
              </w:rPr>
              <w:t>Structures</w:t>
            </w:r>
          </w:p>
        </w:tc>
        <w:tc>
          <w:tcPr>
            <w:tcW w:w="2410" w:type="dxa"/>
            <w:shd w:val="clear" w:color="auto" w:fill="auto"/>
            <w:hideMark/>
          </w:tcPr>
          <w:p w:rsidR="00226205" w:rsidRPr="00226205" w:rsidRDefault="00226205" w:rsidP="00226205">
            <w:pPr>
              <w:jc w:val="left"/>
              <w:rPr>
                <w:rFonts w:ascii="Calibri" w:hAnsi="Calibri" w:cs="Calibri"/>
                <w:color w:val="000000"/>
                <w:sz w:val="18"/>
                <w:szCs w:val="18"/>
              </w:rPr>
            </w:pPr>
            <w:r w:rsidRPr="00226205">
              <w:rPr>
                <w:rFonts w:ascii="Calibri" w:hAnsi="Calibri" w:cs="Calibri"/>
                <w:color w:val="000000"/>
                <w:sz w:val="18"/>
                <w:szCs w:val="18"/>
              </w:rPr>
              <w:t xml:space="preserve">The structure is generally in a good condition. </w:t>
            </w:r>
          </w:p>
        </w:tc>
        <w:tc>
          <w:tcPr>
            <w:tcW w:w="3118" w:type="dxa"/>
            <w:shd w:val="clear" w:color="auto" w:fill="auto"/>
            <w:hideMark/>
          </w:tcPr>
          <w:p w:rsidR="00226205" w:rsidRPr="00226205" w:rsidRDefault="00226205" w:rsidP="00226205">
            <w:pPr>
              <w:jc w:val="left"/>
              <w:rPr>
                <w:rFonts w:ascii="Calibri" w:hAnsi="Calibri" w:cs="Calibri"/>
                <w:color w:val="000000"/>
                <w:sz w:val="18"/>
                <w:szCs w:val="18"/>
              </w:rPr>
            </w:pPr>
            <w:r w:rsidRPr="00226205">
              <w:rPr>
                <w:rFonts w:ascii="Calibri" w:hAnsi="Calibri" w:cs="Calibri"/>
                <w:color w:val="000000"/>
                <w:sz w:val="18"/>
                <w:szCs w:val="18"/>
              </w:rPr>
              <w:t>Currently fit for purpose.</w:t>
            </w:r>
          </w:p>
        </w:tc>
      </w:tr>
      <w:tr w:rsidR="00226205" w:rsidRPr="00226205" w:rsidTr="00B77D83">
        <w:trPr>
          <w:cantSplit/>
          <w:trHeight w:val="2184"/>
        </w:trPr>
        <w:tc>
          <w:tcPr>
            <w:tcW w:w="998" w:type="dxa"/>
            <w:shd w:val="clear" w:color="auto" w:fill="auto"/>
            <w:hideMark/>
          </w:tcPr>
          <w:p w:rsidR="00226205" w:rsidRPr="00226205" w:rsidRDefault="00226205" w:rsidP="006918D2">
            <w:pPr>
              <w:jc w:val="center"/>
              <w:rPr>
                <w:rFonts w:ascii="Calibri" w:hAnsi="Calibri" w:cs="Calibri"/>
                <w:color w:val="000000"/>
                <w:sz w:val="18"/>
                <w:szCs w:val="18"/>
              </w:rPr>
            </w:pPr>
            <w:r w:rsidRPr="00226205">
              <w:rPr>
                <w:rFonts w:ascii="Calibri" w:hAnsi="Calibri" w:cs="Calibri"/>
                <w:color w:val="000000"/>
                <w:sz w:val="18"/>
                <w:szCs w:val="18"/>
              </w:rPr>
              <w:t>B000044</w:t>
            </w:r>
          </w:p>
        </w:tc>
        <w:tc>
          <w:tcPr>
            <w:tcW w:w="2693" w:type="dxa"/>
            <w:shd w:val="clear" w:color="auto" w:fill="auto"/>
            <w:hideMark/>
          </w:tcPr>
          <w:p w:rsidR="00226205" w:rsidRPr="00226205" w:rsidRDefault="00226205" w:rsidP="00226205">
            <w:pPr>
              <w:rPr>
                <w:rFonts w:ascii="Calibri" w:hAnsi="Calibri" w:cs="Calibri"/>
                <w:color w:val="000000"/>
                <w:sz w:val="18"/>
                <w:szCs w:val="18"/>
              </w:rPr>
            </w:pPr>
            <w:r w:rsidRPr="00226205">
              <w:rPr>
                <w:rFonts w:ascii="Calibri" w:hAnsi="Calibri" w:cs="Calibri"/>
                <w:noProof/>
                <w:color w:val="000000"/>
                <w:sz w:val="18"/>
                <w:szCs w:val="18"/>
              </w:rPr>
              <w:drawing>
                <wp:anchor distT="0" distB="0" distL="114300" distR="114300" simplePos="0" relativeHeight="251763200" behindDoc="0" locked="0" layoutInCell="1" allowOverlap="1" wp14:anchorId="569E64B2" wp14:editId="1589F375">
                  <wp:simplePos x="0" y="0"/>
                  <wp:positionH relativeFrom="column">
                    <wp:posOffset>-20955</wp:posOffset>
                  </wp:positionH>
                  <wp:positionV relativeFrom="paragraph">
                    <wp:posOffset>59250</wp:posOffset>
                  </wp:positionV>
                  <wp:extent cx="1630680" cy="1273810"/>
                  <wp:effectExtent l="0" t="0" r="0" b="0"/>
                  <wp:wrapNone/>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100"/>
                          <pic:cNvPicPr>
                            <a:picLocks noChangeAspect="1"/>
                          </pic:cNvPicPr>
                        </pic:nvPicPr>
                        <pic:blipFill>
                          <a:blip r:embed="rId110">
                            <a:extLst>
                              <a:ext uri="{28A0092B-C50C-407E-A947-70E740481C1C}">
                                <a14:useLocalDpi xmlns:a14="http://schemas.microsoft.com/office/drawing/2010/main" val="0"/>
                              </a:ext>
                            </a:extLst>
                          </a:blip>
                          <a:stretch>
                            <a:fillRect/>
                          </a:stretch>
                        </pic:blipFill>
                        <pic:spPr>
                          <a:xfrm>
                            <a:off x="0" y="0"/>
                            <a:ext cx="1630680" cy="1273810"/>
                          </a:xfrm>
                          <a:prstGeom prst="rect">
                            <a:avLst/>
                          </a:prstGeom>
                        </pic:spPr>
                      </pic:pic>
                    </a:graphicData>
                  </a:graphic>
                  <wp14:sizeRelH relativeFrom="page">
                    <wp14:pctWidth>0</wp14:pctWidth>
                  </wp14:sizeRelH>
                  <wp14:sizeRelV relativeFrom="page">
                    <wp14:pctHeight>0</wp14:pctHeight>
                  </wp14:sizeRelV>
                </wp:anchor>
              </w:drawing>
            </w:r>
          </w:p>
        </w:tc>
        <w:tc>
          <w:tcPr>
            <w:tcW w:w="2268" w:type="dxa"/>
            <w:shd w:val="clear" w:color="auto" w:fill="auto"/>
            <w:hideMark/>
          </w:tcPr>
          <w:p w:rsidR="00226205" w:rsidRPr="00226205" w:rsidRDefault="00226205" w:rsidP="00A54993">
            <w:pPr>
              <w:jc w:val="left"/>
              <w:rPr>
                <w:rFonts w:ascii="Calibri" w:hAnsi="Calibri" w:cs="Calibri"/>
                <w:color w:val="000000"/>
                <w:sz w:val="18"/>
                <w:szCs w:val="18"/>
              </w:rPr>
            </w:pPr>
            <w:r w:rsidRPr="00226205">
              <w:rPr>
                <w:rFonts w:ascii="Calibri" w:hAnsi="Calibri" w:cs="Calibri"/>
                <w:color w:val="000000"/>
                <w:sz w:val="18"/>
                <w:szCs w:val="18"/>
              </w:rPr>
              <w:t>Victoria Park,  Toilet 1- Abbot Street, Abbotsford</w:t>
            </w:r>
          </w:p>
        </w:tc>
        <w:tc>
          <w:tcPr>
            <w:tcW w:w="1276" w:type="dxa"/>
            <w:shd w:val="clear" w:color="auto" w:fill="auto"/>
            <w:hideMark/>
          </w:tcPr>
          <w:p w:rsidR="00226205" w:rsidRPr="00226205" w:rsidRDefault="00226205" w:rsidP="00B77D83">
            <w:pPr>
              <w:tabs>
                <w:tab w:val="decimal" w:pos="884"/>
              </w:tabs>
              <w:jc w:val="left"/>
              <w:rPr>
                <w:rFonts w:ascii="Calibri" w:hAnsi="Calibri" w:cs="Calibri"/>
                <w:color w:val="000000"/>
                <w:sz w:val="18"/>
                <w:szCs w:val="18"/>
              </w:rPr>
            </w:pPr>
            <w:r w:rsidRPr="00226205">
              <w:rPr>
                <w:rFonts w:ascii="Calibri" w:hAnsi="Calibri" w:cs="Calibri"/>
                <w:color w:val="000000"/>
                <w:sz w:val="18"/>
                <w:szCs w:val="18"/>
              </w:rPr>
              <w:t>$132,570</w:t>
            </w:r>
          </w:p>
        </w:tc>
        <w:tc>
          <w:tcPr>
            <w:tcW w:w="1134" w:type="dxa"/>
            <w:shd w:val="clear" w:color="auto" w:fill="auto"/>
            <w:hideMark/>
          </w:tcPr>
          <w:p w:rsidR="00226205" w:rsidRPr="00226205" w:rsidRDefault="00226205" w:rsidP="00226205">
            <w:pPr>
              <w:jc w:val="center"/>
              <w:rPr>
                <w:rFonts w:ascii="Calibri" w:hAnsi="Calibri" w:cs="Calibri"/>
                <w:color w:val="000000"/>
                <w:sz w:val="18"/>
                <w:szCs w:val="18"/>
              </w:rPr>
            </w:pPr>
            <w:r w:rsidRPr="00226205">
              <w:rPr>
                <w:rFonts w:ascii="Calibri" w:hAnsi="Calibri" w:cs="Calibri"/>
                <w:color w:val="000000"/>
                <w:sz w:val="18"/>
                <w:szCs w:val="18"/>
              </w:rPr>
              <w:t xml:space="preserve">Recreation </w:t>
            </w:r>
            <w:r w:rsidR="00B77D83">
              <w:rPr>
                <w:rFonts w:ascii="Calibri" w:hAnsi="Calibri" w:cs="Calibri"/>
                <w:color w:val="000000"/>
                <w:sz w:val="18"/>
                <w:szCs w:val="18"/>
              </w:rPr>
              <w:t>and</w:t>
            </w:r>
            <w:r w:rsidRPr="00226205">
              <w:rPr>
                <w:rFonts w:ascii="Calibri" w:hAnsi="Calibri" w:cs="Calibri"/>
                <w:color w:val="000000"/>
                <w:sz w:val="18"/>
                <w:szCs w:val="18"/>
              </w:rPr>
              <w:t xml:space="preserve"> Open Space</w:t>
            </w:r>
          </w:p>
        </w:tc>
        <w:tc>
          <w:tcPr>
            <w:tcW w:w="1417" w:type="dxa"/>
            <w:shd w:val="clear" w:color="auto" w:fill="auto"/>
            <w:hideMark/>
          </w:tcPr>
          <w:p w:rsidR="00226205" w:rsidRPr="00226205" w:rsidRDefault="00226205" w:rsidP="00226205">
            <w:pPr>
              <w:jc w:val="center"/>
              <w:rPr>
                <w:rFonts w:ascii="Calibri" w:hAnsi="Calibri" w:cs="Calibri"/>
                <w:color w:val="000000"/>
                <w:sz w:val="18"/>
                <w:szCs w:val="18"/>
              </w:rPr>
            </w:pPr>
            <w:r w:rsidRPr="00226205">
              <w:rPr>
                <w:rFonts w:ascii="Calibri" w:hAnsi="Calibri" w:cs="Calibri"/>
                <w:color w:val="000000"/>
                <w:sz w:val="18"/>
                <w:szCs w:val="18"/>
              </w:rPr>
              <w:t>Public Toilets</w:t>
            </w:r>
          </w:p>
        </w:tc>
        <w:tc>
          <w:tcPr>
            <w:tcW w:w="2410" w:type="dxa"/>
            <w:shd w:val="clear" w:color="auto" w:fill="auto"/>
            <w:hideMark/>
          </w:tcPr>
          <w:p w:rsidR="00226205" w:rsidRPr="00226205" w:rsidRDefault="00226205" w:rsidP="00226205">
            <w:pPr>
              <w:jc w:val="left"/>
              <w:rPr>
                <w:rFonts w:ascii="Calibri" w:hAnsi="Calibri" w:cs="Calibri"/>
                <w:color w:val="000000"/>
                <w:sz w:val="18"/>
                <w:szCs w:val="18"/>
              </w:rPr>
            </w:pPr>
            <w:r w:rsidRPr="00226205">
              <w:rPr>
                <w:rFonts w:ascii="Calibri" w:hAnsi="Calibri" w:cs="Calibri"/>
                <w:color w:val="000000"/>
                <w:sz w:val="18"/>
                <w:szCs w:val="18"/>
              </w:rPr>
              <w:t xml:space="preserve">The building is generally in an excellent condition. </w:t>
            </w:r>
          </w:p>
        </w:tc>
        <w:tc>
          <w:tcPr>
            <w:tcW w:w="3118" w:type="dxa"/>
            <w:shd w:val="clear" w:color="auto" w:fill="auto"/>
            <w:hideMark/>
          </w:tcPr>
          <w:p w:rsidR="00226205" w:rsidRPr="00226205" w:rsidRDefault="00226205" w:rsidP="00226205">
            <w:pPr>
              <w:jc w:val="left"/>
              <w:rPr>
                <w:rFonts w:ascii="Calibri" w:hAnsi="Calibri" w:cs="Calibri"/>
                <w:color w:val="000000"/>
                <w:sz w:val="18"/>
                <w:szCs w:val="18"/>
              </w:rPr>
            </w:pPr>
            <w:r w:rsidRPr="00226205">
              <w:rPr>
                <w:rFonts w:ascii="Calibri" w:hAnsi="Calibri" w:cs="Calibri"/>
                <w:color w:val="000000"/>
                <w:sz w:val="18"/>
                <w:szCs w:val="18"/>
              </w:rPr>
              <w:t>Building only used for events and matches. Other toilets at Victoria Park meet day-to-day needs. Internal lighting OK, external lighting average. Building only used for events and is essentially kept for heritage reasons</w:t>
            </w:r>
          </w:p>
        </w:tc>
      </w:tr>
      <w:tr w:rsidR="00226205" w:rsidRPr="00226205" w:rsidTr="00B77D83">
        <w:trPr>
          <w:cantSplit/>
          <w:trHeight w:val="2065"/>
        </w:trPr>
        <w:tc>
          <w:tcPr>
            <w:tcW w:w="998" w:type="dxa"/>
            <w:shd w:val="clear" w:color="auto" w:fill="auto"/>
            <w:hideMark/>
          </w:tcPr>
          <w:p w:rsidR="00226205" w:rsidRPr="00226205" w:rsidRDefault="00226205" w:rsidP="006918D2">
            <w:pPr>
              <w:jc w:val="center"/>
              <w:rPr>
                <w:rFonts w:ascii="Calibri" w:hAnsi="Calibri" w:cs="Calibri"/>
                <w:color w:val="000000"/>
                <w:sz w:val="18"/>
                <w:szCs w:val="18"/>
              </w:rPr>
            </w:pPr>
            <w:r w:rsidRPr="00226205">
              <w:rPr>
                <w:rFonts w:ascii="Calibri" w:hAnsi="Calibri" w:cs="Calibri"/>
                <w:color w:val="000000"/>
                <w:sz w:val="18"/>
                <w:szCs w:val="18"/>
              </w:rPr>
              <w:t>B000052</w:t>
            </w:r>
          </w:p>
        </w:tc>
        <w:tc>
          <w:tcPr>
            <w:tcW w:w="2693" w:type="dxa"/>
            <w:shd w:val="clear" w:color="auto" w:fill="auto"/>
            <w:hideMark/>
          </w:tcPr>
          <w:p w:rsidR="00226205" w:rsidRPr="00226205" w:rsidRDefault="00226205" w:rsidP="00226205">
            <w:pPr>
              <w:rPr>
                <w:rFonts w:ascii="Calibri" w:hAnsi="Calibri" w:cs="Calibri"/>
                <w:color w:val="000000"/>
                <w:sz w:val="18"/>
                <w:szCs w:val="18"/>
              </w:rPr>
            </w:pPr>
            <w:r w:rsidRPr="00226205">
              <w:rPr>
                <w:rFonts w:ascii="Calibri" w:hAnsi="Calibri" w:cs="Calibri"/>
                <w:noProof/>
                <w:color w:val="000000"/>
                <w:sz w:val="18"/>
                <w:szCs w:val="18"/>
              </w:rPr>
              <w:drawing>
                <wp:anchor distT="0" distB="0" distL="114300" distR="114300" simplePos="0" relativeHeight="251699712" behindDoc="0" locked="0" layoutInCell="1" allowOverlap="1" wp14:anchorId="684D8D78" wp14:editId="023916C1">
                  <wp:simplePos x="0" y="0"/>
                  <wp:positionH relativeFrom="column">
                    <wp:posOffset>-20955</wp:posOffset>
                  </wp:positionH>
                  <wp:positionV relativeFrom="paragraph">
                    <wp:posOffset>43620</wp:posOffset>
                  </wp:positionV>
                  <wp:extent cx="1630680" cy="1223645"/>
                  <wp:effectExtent l="0" t="0" r="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8"/>
                          <pic:cNvPicPr>
                            <a:picLocks noChangeAspect="1"/>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1630680" cy="1223645"/>
                          </a:xfrm>
                          <a:prstGeom prst="rect">
                            <a:avLst/>
                          </a:prstGeom>
                        </pic:spPr>
                      </pic:pic>
                    </a:graphicData>
                  </a:graphic>
                  <wp14:sizeRelH relativeFrom="page">
                    <wp14:pctWidth>0</wp14:pctWidth>
                  </wp14:sizeRelH>
                  <wp14:sizeRelV relativeFrom="page">
                    <wp14:pctHeight>0</wp14:pctHeight>
                  </wp14:sizeRelV>
                </wp:anchor>
              </w:drawing>
            </w:r>
          </w:p>
        </w:tc>
        <w:tc>
          <w:tcPr>
            <w:tcW w:w="2268" w:type="dxa"/>
            <w:shd w:val="clear" w:color="auto" w:fill="auto"/>
            <w:hideMark/>
          </w:tcPr>
          <w:p w:rsidR="00226205" w:rsidRPr="00226205" w:rsidRDefault="00226205" w:rsidP="00A54993">
            <w:pPr>
              <w:jc w:val="left"/>
              <w:rPr>
                <w:rFonts w:ascii="Calibri" w:hAnsi="Calibri" w:cs="Calibri"/>
                <w:color w:val="000000"/>
                <w:sz w:val="18"/>
                <w:szCs w:val="18"/>
              </w:rPr>
            </w:pPr>
            <w:r w:rsidRPr="00226205">
              <w:rPr>
                <w:rFonts w:ascii="Calibri" w:hAnsi="Calibri" w:cs="Calibri"/>
                <w:color w:val="000000"/>
                <w:sz w:val="18"/>
                <w:szCs w:val="18"/>
              </w:rPr>
              <w:t>Alphington Park Bowling Club- Parkview Road, Alphington</w:t>
            </w:r>
          </w:p>
        </w:tc>
        <w:tc>
          <w:tcPr>
            <w:tcW w:w="1276" w:type="dxa"/>
            <w:shd w:val="clear" w:color="auto" w:fill="auto"/>
            <w:hideMark/>
          </w:tcPr>
          <w:p w:rsidR="00226205" w:rsidRPr="00226205" w:rsidRDefault="00226205" w:rsidP="00B77D83">
            <w:pPr>
              <w:tabs>
                <w:tab w:val="decimal" w:pos="884"/>
              </w:tabs>
              <w:jc w:val="left"/>
              <w:rPr>
                <w:rFonts w:ascii="Calibri" w:hAnsi="Calibri" w:cs="Calibri"/>
                <w:color w:val="000000"/>
                <w:sz w:val="18"/>
                <w:szCs w:val="18"/>
              </w:rPr>
            </w:pPr>
            <w:r w:rsidRPr="00226205">
              <w:rPr>
                <w:rFonts w:ascii="Calibri" w:hAnsi="Calibri" w:cs="Calibri"/>
                <w:color w:val="000000"/>
                <w:sz w:val="18"/>
                <w:szCs w:val="18"/>
              </w:rPr>
              <w:t>$988,845</w:t>
            </w:r>
          </w:p>
        </w:tc>
        <w:tc>
          <w:tcPr>
            <w:tcW w:w="1134" w:type="dxa"/>
            <w:shd w:val="clear" w:color="auto" w:fill="auto"/>
            <w:hideMark/>
          </w:tcPr>
          <w:p w:rsidR="00226205" w:rsidRPr="00226205" w:rsidRDefault="00226205" w:rsidP="00226205">
            <w:pPr>
              <w:jc w:val="center"/>
              <w:rPr>
                <w:rFonts w:ascii="Calibri" w:hAnsi="Calibri" w:cs="Calibri"/>
                <w:color w:val="000000"/>
                <w:sz w:val="18"/>
                <w:szCs w:val="18"/>
              </w:rPr>
            </w:pPr>
            <w:r w:rsidRPr="00226205">
              <w:rPr>
                <w:rFonts w:ascii="Calibri" w:hAnsi="Calibri" w:cs="Calibri"/>
                <w:color w:val="000000"/>
                <w:sz w:val="18"/>
                <w:szCs w:val="18"/>
              </w:rPr>
              <w:t>Community Services</w:t>
            </w:r>
          </w:p>
        </w:tc>
        <w:tc>
          <w:tcPr>
            <w:tcW w:w="1417" w:type="dxa"/>
            <w:shd w:val="clear" w:color="auto" w:fill="auto"/>
            <w:hideMark/>
          </w:tcPr>
          <w:p w:rsidR="00226205" w:rsidRPr="00226205" w:rsidRDefault="00226205" w:rsidP="00226205">
            <w:pPr>
              <w:jc w:val="center"/>
              <w:rPr>
                <w:rFonts w:ascii="Calibri" w:hAnsi="Calibri" w:cs="Calibri"/>
                <w:color w:val="000000"/>
                <w:sz w:val="18"/>
                <w:szCs w:val="18"/>
              </w:rPr>
            </w:pPr>
            <w:r w:rsidRPr="00226205">
              <w:rPr>
                <w:rFonts w:ascii="Calibri" w:hAnsi="Calibri" w:cs="Calibri"/>
                <w:color w:val="000000"/>
                <w:sz w:val="18"/>
                <w:szCs w:val="18"/>
              </w:rPr>
              <w:t>Bowling Club</w:t>
            </w:r>
          </w:p>
        </w:tc>
        <w:tc>
          <w:tcPr>
            <w:tcW w:w="2410" w:type="dxa"/>
            <w:shd w:val="clear" w:color="auto" w:fill="auto"/>
            <w:hideMark/>
          </w:tcPr>
          <w:p w:rsidR="00226205" w:rsidRPr="00226205" w:rsidRDefault="00226205" w:rsidP="00226205">
            <w:pPr>
              <w:jc w:val="left"/>
              <w:rPr>
                <w:rFonts w:ascii="Calibri" w:hAnsi="Calibri" w:cs="Calibri"/>
                <w:color w:val="000000"/>
                <w:sz w:val="18"/>
                <w:szCs w:val="18"/>
              </w:rPr>
            </w:pPr>
            <w:r w:rsidRPr="00226205">
              <w:rPr>
                <w:rFonts w:ascii="Calibri" w:hAnsi="Calibri" w:cs="Calibri"/>
                <w:color w:val="000000"/>
                <w:sz w:val="18"/>
                <w:szCs w:val="18"/>
              </w:rPr>
              <w:t>The building is in good overall condition. There are renewal requirements for electrical, mechanical and fitout components.</w:t>
            </w:r>
          </w:p>
        </w:tc>
        <w:tc>
          <w:tcPr>
            <w:tcW w:w="3118" w:type="dxa"/>
            <w:shd w:val="clear" w:color="auto" w:fill="auto"/>
            <w:hideMark/>
          </w:tcPr>
          <w:p w:rsidR="00226205" w:rsidRPr="00226205" w:rsidRDefault="00226205" w:rsidP="00226205">
            <w:pPr>
              <w:jc w:val="left"/>
              <w:rPr>
                <w:rFonts w:ascii="Calibri" w:hAnsi="Calibri" w:cs="Calibri"/>
                <w:color w:val="000000"/>
                <w:sz w:val="18"/>
                <w:szCs w:val="18"/>
              </w:rPr>
            </w:pPr>
            <w:r w:rsidRPr="00226205">
              <w:rPr>
                <w:rFonts w:ascii="Calibri" w:hAnsi="Calibri" w:cs="Calibri"/>
                <w:color w:val="000000"/>
                <w:sz w:val="18"/>
                <w:szCs w:val="18"/>
              </w:rPr>
              <w:t>Proposed plan is to convert current building into multi-purpose bowls club/community centre.  Kitchen needs upgrading to stainless steel.  Building is currently licensed to the Alphington Bowls Club. DDA access is limited and could be improved for this building.</w:t>
            </w:r>
          </w:p>
        </w:tc>
      </w:tr>
      <w:tr w:rsidR="00226205" w:rsidRPr="00226205" w:rsidTr="00B77D83">
        <w:trPr>
          <w:cantSplit/>
          <w:trHeight w:val="2108"/>
        </w:trPr>
        <w:tc>
          <w:tcPr>
            <w:tcW w:w="998" w:type="dxa"/>
            <w:shd w:val="clear" w:color="auto" w:fill="auto"/>
            <w:hideMark/>
          </w:tcPr>
          <w:p w:rsidR="00226205" w:rsidRPr="00226205" w:rsidRDefault="00226205" w:rsidP="006918D2">
            <w:pPr>
              <w:jc w:val="center"/>
              <w:rPr>
                <w:rFonts w:ascii="Calibri" w:hAnsi="Calibri" w:cs="Calibri"/>
                <w:color w:val="000000"/>
                <w:sz w:val="18"/>
                <w:szCs w:val="18"/>
              </w:rPr>
            </w:pPr>
            <w:r w:rsidRPr="00226205">
              <w:rPr>
                <w:rFonts w:ascii="Calibri" w:hAnsi="Calibri" w:cs="Calibri"/>
                <w:color w:val="000000"/>
                <w:sz w:val="18"/>
                <w:szCs w:val="18"/>
              </w:rPr>
              <w:t>B000054</w:t>
            </w:r>
          </w:p>
        </w:tc>
        <w:tc>
          <w:tcPr>
            <w:tcW w:w="2693" w:type="dxa"/>
            <w:shd w:val="clear" w:color="auto" w:fill="auto"/>
            <w:hideMark/>
          </w:tcPr>
          <w:p w:rsidR="00226205" w:rsidRPr="00226205" w:rsidRDefault="00226205" w:rsidP="00226205">
            <w:pPr>
              <w:rPr>
                <w:rFonts w:ascii="Calibri" w:hAnsi="Calibri" w:cs="Calibri"/>
                <w:color w:val="000000"/>
                <w:sz w:val="18"/>
                <w:szCs w:val="18"/>
              </w:rPr>
            </w:pPr>
            <w:r w:rsidRPr="00226205">
              <w:rPr>
                <w:rFonts w:ascii="Calibri" w:hAnsi="Calibri" w:cs="Calibri"/>
                <w:noProof/>
                <w:color w:val="000000"/>
                <w:sz w:val="18"/>
                <w:szCs w:val="18"/>
              </w:rPr>
              <w:drawing>
                <wp:anchor distT="0" distB="0" distL="114300" distR="114300" simplePos="0" relativeHeight="251820544" behindDoc="0" locked="0" layoutInCell="1" allowOverlap="1" wp14:anchorId="632A9BA4" wp14:editId="74A1BEE4">
                  <wp:simplePos x="0" y="0"/>
                  <wp:positionH relativeFrom="column">
                    <wp:posOffset>-20955</wp:posOffset>
                  </wp:positionH>
                  <wp:positionV relativeFrom="paragraph">
                    <wp:posOffset>60960</wp:posOffset>
                  </wp:positionV>
                  <wp:extent cx="1630680" cy="1241425"/>
                  <wp:effectExtent l="0" t="0" r="0" b="0"/>
                  <wp:wrapNone/>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4"/>
                          <pic:cNvPicPr>
                            <a:picLocks noChangeAspect="1"/>
                          </pic:cNvPicPr>
                        </pic:nvPicPr>
                        <pic:blipFill>
                          <a:blip r:embed="rId112" cstate="print">
                            <a:extLst>
                              <a:ext uri="{28A0092B-C50C-407E-A947-70E740481C1C}">
                                <a14:useLocalDpi xmlns:a14="http://schemas.microsoft.com/office/drawing/2010/main" val="0"/>
                              </a:ext>
                            </a:extLst>
                          </a:blip>
                          <a:stretch>
                            <a:fillRect/>
                          </a:stretch>
                        </pic:blipFill>
                        <pic:spPr>
                          <a:xfrm>
                            <a:off x="0" y="0"/>
                            <a:ext cx="1630680" cy="1241425"/>
                          </a:xfrm>
                          <a:prstGeom prst="rect">
                            <a:avLst/>
                          </a:prstGeom>
                        </pic:spPr>
                      </pic:pic>
                    </a:graphicData>
                  </a:graphic>
                  <wp14:sizeRelH relativeFrom="page">
                    <wp14:pctWidth>0</wp14:pctWidth>
                  </wp14:sizeRelH>
                  <wp14:sizeRelV relativeFrom="page">
                    <wp14:pctHeight>0</wp14:pctHeight>
                  </wp14:sizeRelV>
                </wp:anchor>
              </w:drawing>
            </w:r>
          </w:p>
        </w:tc>
        <w:tc>
          <w:tcPr>
            <w:tcW w:w="2268" w:type="dxa"/>
            <w:shd w:val="clear" w:color="auto" w:fill="auto"/>
            <w:hideMark/>
          </w:tcPr>
          <w:p w:rsidR="00226205" w:rsidRPr="00226205" w:rsidRDefault="00226205" w:rsidP="00A54993">
            <w:pPr>
              <w:jc w:val="left"/>
              <w:rPr>
                <w:rFonts w:ascii="Calibri" w:hAnsi="Calibri" w:cs="Calibri"/>
                <w:color w:val="000000"/>
                <w:sz w:val="18"/>
                <w:szCs w:val="18"/>
              </w:rPr>
            </w:pPr>
            <w:r w:rsidRPr="00226205">
              <w:rPr>
                <w:rFonts w:ascii="Calibri" w:hAnsi="Calibri" w:cs="Calibri"/>
                <w:color w:val="000000"/>
                <w:sz w:val="18"/>
                <w:szCs w:val="18"/>
              </w:rPr>
              <w:t xml:space="preserve">Kevin Crehan Pavilion and Grandstand, Alphington Park- Parkview Road, Alphington </w:t>
            </w:r>
          </w:p>
        </w:tc>
        <w:tc>
          <w:tcPr>
            <w:tcW w:w="1276" w:type="dxa"/>
            <w:shd w:val="clear" w:color="auto" w:fill="auto"/>
            <w:hideMark/>
          </w:tcPr>
          <w:p w:rsidR="00226205" w:rsidRPr="00226205" w:rsidRDefault="00226205" w:rsidP="00B77D83">
            <w:pPr>
              <w:tabs>
                <w:tab w:val="decimal" w:pos="884"/>
              </w:tabs>
              <w:jc w:val="left"/>
              <w:rPr>
                <w:rFonts w:ascii="Calibri" w:hAnsi="Calibri" w:cs="Calibri"/>
                <w:color w:val="000000"/>
                <w:sz w:val="18"/>
                <w:szCs w:val="18"/>
              </w:rPr>
            </w:pPr>
            <w:r w:rsidRPr="00226205">
              <w:rPr>
                <w:rFonts w:ascii="Calibri" w:hAnsi="Calibri" w:cs="Calibri"/>
                <w:color w:val="000000"/>
                <w:sz w:val="18"/>
                <w:szCs w:val="18"/>
              </w:rPr>
              <w:t>$842,800</w:t>
            </w:r>
          </w:p>
        </w:tc>
        <w:tc>
          <w:tcPr>
            <w:tcW w:w="1134" w:type="dxa"/>
            <w:shd w:val="clear" w:color="auto" w:fill="auto"/>
            <w:hideMark/>
          </w:tcPr>
          <w:p w:rsidR="00226205" w:rsidRPr="00226205" w:rsidRDefault="00226205" w:rsidP="00226205">
            <w:pPr>
              <w:jc w:val="center"/>
              <w:rPr>
                <w:rFonts w:ascii="Calibri" w:hAnsi="Calibri" w:cs="Calibri"/>
                <w:color w:val="000000"/>
                <w:sz w:val="18"/>
                <w:szCs w:val="18"/>
              </w:rPr>
            </w:pPr>
            <w:r w:rsidRPr="00226205">
              <w:rPr>
                <w:rFonts w:ascii="Calibri" w:hAnsi="Calibri" w:cs="Calibri"/>
                <w:color w:val="000000"/>
                <w:sz w:val="18"/>
                <w:szCs w:val="18"/>
              </w:rPr>
              <w:t xml:space="preserve">Recreation </w:t>
            </w:r>
            <w:r w:rsidR="00B77D83">
              <w:rPr>
                <w:rFonts w:ascii="Calibri" w:hAnsi="Calibri" w:cs="Calibri"/>
                <w:color w:val="000000"/>
                <w:sz w:val="18"/>
                <w:szCs w:val="18"/>
              </w:rPr>
              <w:t>and</w:t>
            </w:r>
            <w:r w:rsidRPr="00226205">
              <w:rPr>
                <w:rFonts w:ascii="Calibri" w:hAnsi="Calibri" w:cs="Calibri"/>
                <w:color w:val="000000"/>
                <w:sz w:val="18"/>
                <w:szCs w:val="18"/>
              </w:rPr>
              <w:t xml:space="preserve"> Open Space</w:t>
            </w:r>
          </w:p>
        </w:tc>
        <w:tc>
          <w:tcPr>
            <w:tcW w:w="1417" w:type="dxa"/>
            <w:shd w:val="clear" w:color="auto" w:fill="auto"/>
            <w:hideMark/>
          </w:tcPr>
          <w:p w:rsidR="00226205" w:rsidRPr="00226205" w:rsidRDefault="00226205" w:rsidP="00226205">
            <w:pPr>
              <w:jc w:val="center"/>
              <w:rPr>
                <w:rFonts w:ascii="Calibri" w:hAnsi="Calibri" w:cs="Calibri"/>
                <w:color w:val="000000"/>
                <w:sz w:val="18"/>
                <w:szCs w:val="18"/>
              </w:rPr>
            </w:pPr>
            <w:r w:rsidRPr="00226205">
              <w:rPr>
                <w:rFonts w:ascii="Calibri" w:hAnsi="Calibri" w:cs="Calibri"/>
                <w:color w:val="000000"/>
                <w:sz w:val="18"/>
                <w:szCs w:val="18"/>
              </w:rPr>
              <w:t>Pavilions / Clubrooms / Change rooms</w:t>
            </w:r>
          </w:p>
        </w:tc>
        <w:tc>
          <w:tcPr>
            <w:tcW w:w="2410" w:type="dxa"/>
            <w:shd w:val="clear" w:color="auto" w:fill="auto"/>
            <w:hideMark/>
          </w:tcPr>
          <w:p w:rsidR="00226205" w:rsidRPr="00226205" w:rsidRDefault="00226205" w:rsidP="00226205">
            <w:pPr>
              <w:jc w:val="left"/>
              <w:rPr>
                <w:rFonts w:ascii="Calibri" w:hAnsi="Calibri" w:cs="Calibri"/>
                <w:color w:val="000000"/>
                <w:sz w:val="18"/>
                <w:szCs w:val="18"/>
              </w:rPr>
            </w:pPr>
            <w:r w:rsidRPr="00226205">
              <w:rPr>
                <w:rFonts w:ascii="Calibri" w:hAnsi="Calibri" w:cs="Calibri"/>
                <w:color w:val="000000"/>
                <w:sz w:val="18"/>
                <w:szCs w:val="18"/>
              </w:rPr>
              <w:t xml:space="preserve">The building is generally in an excellent condition. </w:t>
            </w:r>
          </w:p>
        </w:tc>
        <w:tc>
          <w:tcPr>
            <w:tcW w:w="3118" w:type="dxa"/>
            <w:shd w:val="clear" w:color="auto" w:fill="auto"/>
            <w:hideMark/>
          </w:tcPr>
          <w:p w:rsidR="00226205" w:rsidRPr="00226205" w:rsidRDefault="00226205" w:rsidP="00226205">
            <w:pPr>
              <w:jc w:val="left"/>
              <w:rPr>
                <w:rFonts w:ascii="Calibri" w:hAnsi="Calibri" w:cs="Calibri"/>
                <w:color w:val="000000"/>
                <w:sz w:val="18"/>
                <w:szCs w:val="18"/>
              </w:rPr>
            </w:pPr>
            <w:r w:rsidRPr="00226205">
              <w:rPr>
                <w:rFonts w:ascii="Calibri" w:hAnsi="Calibri" w:cs="Calibri"/>
                <w:color w:val="000000"/>
                <w:sz w:val="18"/>
                <w:szCs w:val="18"/>
              </w:rPr>
              <w:t xml:space="preserve">Recently constructed. Disability access could be improved and carpark sealed (minor). </w:t>
            </w:r>
            <w:r w:rsidRPr="00226205">
              <w:rPr>
                <w:rFonts w:ascii="Calibri" w:hAnsi="Calibri" w:cs="Calibri"/>
                <w:color w:val="000000"/>
                <w:sz w:val="18"/>
                <w:szCs w:val="18"/>
              </w:rPr>
              <w:br/>
              <w:t>Could have external glass sliding doors fitted to kiosk.</w:t>
            </w:r>
          </w:p>
        </w:tc>
      </w:tr>
      <w:tr w:rsidR="00226205" w:rsidRPr="00226205" w:rsidTr="00B77D83">
        <w:trPr>
          <w:cantSplit/>
          <w:trHeight w:val="2142"/>
        </w:trPr>
        <w:tc>
          <w:tcPr>
            <w:tcW w:w="998" w:type="dxa"/>
            <w:shd w:val="clear" w:color="auto" w:fill="auto"/>
            <w:hideMark/>
          </w:tcPr>
          <w:p w:rsidR="00226205" w:rsidRPr="00226205" w:rsidRDefault="00226205" w:rsidP="006918D2">
            <w:pPr>
              <w:jc w:val="center"/>
              <w:rPr>
                <w:rFonts w:ascii="Calibri" w:hAnsi="Calibri" w:cs="Calibri"/>
                <w:color w:val="000000"/>
                <w:sz w:val="18"/>
                <w:szCs w:val="18"/>
              </w:rPr>
            </w:pPr>
            <w:r w:rsidRPr="00226205">
              <w:rPr>
                <w:rFonts w:ascii="Calibri" w:hAnsi="Calibri" w:cs="Calibri"/>
                <w:color w:val="000000"/>
                <w:sz w:val="18"/>
                <w:szCs w:val="18"/>
              </w:rPr>
              <w:t>B000055</w:t>
            </w:r>
          </w:p>
        </w:tc>
        <w:tc>
          <w:tcPr>
            <w:tcW w:w="2693" w:type="dxa"/>
            <w:shd w:val="clear" w:color="auto" w:fill="auto"/>
            <w:hideMark/>
          </w:tcPr>
          <w:p w:rsidR="00226205" w:rsidRPr="00226205" w:rsidRDefault="00226205" w:rsidP="00226205">
            <w:pPr>
              <w:rPr>
                <w:rFonts w:ascii="Calibri" w:hAnsi="Calibri" w:cs="Calibri"/>
                <w:color w:val="000000"/>
                <w:sz w:val="18"/>
                <w:szCs w:val="18"/>
              </w:rPr>
            </w:pPr>
            <w:r w:rsidRPr="00226205">
              <w:rPr>
                <w:rFonts w:ascii="Calibri" w:hAnsi="Calibri" w:cs="Calibri"/>
                <w:noProof/>
                <w:color w:val="000000"/>
                <w:sz w:val="18"/>
                <w:szCs w:val="18"/>
              </w:rPr>
              <w:drawing>
                <wp:anchor distT="0" distB="0" distL="114300" distR="114300" simplePos="0" relativeHeight="251764224" behindDoc="0" locked="0" layoutInCell="1" allowOverlap="1" wp14:anchorId="7C251946" wp14:editId="36479A93">
                  <wp:simplePos x="0" y="0"/>
                  <wp:positionH relativeFrom="column">
                    <wp:posOffset>-20955</wp:posOffset>
                  </wp:positionH>
                  <wp:positionV relativeFrom="paragraph">
                    <wp:posOffset>44010</wp:posOffset>
                  </wp:positionV>
                  <wp:extent cx="1630680" cy="1252220"/>
                  <wp:effectExtent l="0" t="0" r="0" b="0"/>
                  <wp:wrapNone/>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2"/>
                          <pic:cNvPicPr>
                            <a:picLocks noChangeAspect="1"/>
                          </pic:cNvPicPr>
                        </pic:nvPicPr>
                        <pic:blipFill>
                          <a:blip r:embed="rId113">
                            <a:extLst>
                              <a:ext uri="{28A0092B-C50C-407E-A947-70E740481C1C}">
                                <a14:useLocalDpi xmlns:a14="http://schemas.microsoft.com/office/drawing/2010/main" val="0"/>
                              </a:ext>
                            </a:extLst>
                          </a:blip>
                          <a:stretch>
                            <a:fillRect/>
                          </a:stretch>
                        </pic:blipFill>
                        <pic:spPr>
                          <a:xfrm>
                            <a:off x="0" y="0"/>
                            <a:ext cx="1630680" cy="1252220"/>
                          </a:xfrm>
                          <a:prstGeom prst="rect">
                            <a:avLst/>
                          </a:prstGeom>
                        </pic:spPr>
                      </pic:pic>
                    </a:graphicData>
                  </a:graphic>
                  <wp14:sizeRelH relativeFrom="page">
                    <wp14:pctWidth>0</wp14:pctWidth>
                  </wp14:sizeRelH>
                  <wp14:sizeRelV relativeFrom="page">
                    <wp14:pctHeight>0</wp14:pctHeight>
                  </wp14:sizeRelV>
                </wp:anchor>
              </w:drawing>
            </w:r>
          </w:p>
        </w:tc>
        <w:tc>
          <w:tcPr>
            <w:tcW w:w="2268" w:type="dxa"/>
            <w:shd w:val="clear" w:color="auto" w:fill="auto"/>
            <w:hideMark/>
          </w:tcPr>
          <w:p w:rsidR="00226205" w:rsidRPr="00226205" w:rsidRDefault="00226205" w:rsidP="00A54993">
            <w:pPr>
              <w:jc w:val="left"/>
              <w:rPr>
                <w:rFonts w:ascii="Calibri" w:hAnsi="Calibri" w:cs="Calibri"/>
                <w:color w:val="000000"/>
                <w:sz w:val="18"/>
                <w:szCs w:val="18"/>
              </w:rPr>
            </w:pPr>
            <w:r w:rsidRPr="00226205">
              <w:rPr>
                <w:rFonts w:ascii="Calibri" w:hAnsi="Calibri" w:cs="Calibri"/>
                <w:color w:val="000000"/>
                <w:sz w:val="18"/>
                <w:szCs w:val="18"/>
              </w:rPr>
              <w:t>Public Toilets, Alphington Park- Parkview Road, Alphington</w:t>
            </w:r>
          </w:p>
        </w:tc>
        <w:tc>
          <w:tcPr>
            <w:tcW w:w="1276" w:type="dxa"/>
            <w:shd w:val="clear" w:color="auto" w:fill="auto"/>
            <w:hideMark/>
          </w:tcPr>
          <w:p w:rsidR="00226205" w:rsidRPr="00226205" w:rsidRDefault="00226205" w:rsidP="00B77D83">
            <w:pPr>
              <w:tabs>
                <w:tab w:val="decimal" w:pos="884"/>
              </w:tabs>
              <w:jc w:val="left"/>
              <w:rPr>
                <w:rFonts w:ascii="Calibri" w:hAnsi="Calibri" w:cs="Calibri"/>
                <w:color w:val="000000"/>
                <w:sz w:val="18"/>
                <w:szCs w:val="18"/>
              </w:rPr>
            </w:pPr>
            <w:r w:rsidRPr="00226205">
              <w:rPr>
                <w:rFonts w:ascii="Calibri" w:hAnsi="Calibri" w:cs="Calibri"/>
                <w:color w:val="000000"/>
                <w:sz w:val="18"/>
                <w:szCs w:val="18"/>
              </w:rPr>
              <w:t>$351,065</w:t>
            </w:r>
          </w:p>
        </w:tc>
        <w:tc>
          <w:tcPr>
            <w:tcW w:w="1134" w:type="dxa"/>
            <w:shd w:val="clear" w:color="auto" w:fill="auto"/>
            <w:hideMark/>
          </w:tcPr>
          <w:p w:rsidR="00226205" w:rsidRPr="00226205" w:rsidRDefault="00226205" w:rsidP="00226205">
            <w:pPr>
              <w:jc w:val="center"/>
              <w:rPr>
                <w:rFonts w:ascii="Calibri" w:hAnsi="Calibri" w:cs="Calibri"/>
                <w:color w:val="000000"/>
                <w:sz w:val="18"/>
                <w:szCs w:val="18"/>
              </w:rPr>
            </w:pPr>
            <w:r w:rsidRPr="00226205">
              <w:rPr>
                <w:rFonts w:ascii="Calibri" w:hAnsi="Calibri" w:cs="Calibri"/>
                <w:color w:val="000000"/>
                <w:sz w:val="18"/>
                <w:szCs w:val="18"/>
              </w:rPr>
              <w:t xml:space="preserve">Recreation </w:t>
            </w:r>
            <w:r w:rsidR="00B77D83">
              <w:rPr>
                <w:rFonts w:ascii="Calibri" w:hAnsi="Calibri" w:cs="Calibri"/>
                <w:color w:val="000000"/>
                <w:sz w:val="18"/>
                <w:szCs w:val="18"/>
              </w:rPr>
              <w:t>and</w:t>
            </w:r>
            <w:r w:rsidRPr="00226205">
              <w:rPr>
                <w:rFonts w:ascii="Calibri" w:hAnsi="Calibri" w:cs="Calibri"/>
                <w:color w:val="000000"/>
                <w:sz w:val="18"/>
                <w:szCs w:val="18"/>
              </w:rPr>
              <w:t xml:space="preserve"> Open Space</w:t>
            </w:r>
          </w:p>
        </w:tc>
        <w:tc>
          <w:tcPr>
            <w:tcW w:w="1417" w:type="dxa"/>
            <w:shd w:val="clear" w:color="auto" w:fill="auto"/>
            <w:hideMark/>
          </w:tcPr>
          <w:p w:rsidR="00226205" w:rsidRPr="00226205" w:rsidRDefault="00226205" w:rsidP="00226205">
            <w:pPr>
              <w:jc w:val="center"/>
              <w:rPr>
                <w:rFonts w:ascii="Calibri" w:hAnsi="Calibri" w:cs="Calibri"/>
                <w:color w:val="000000"/>
                <w:sz w:val="18"/>
                <w:szCs w:val="18"/>
              </w:rPr>
            </w:pPr>
            <w:r w:rsidRPr="00226205">
              <w:rPr>
                <w:rFonts w:ascii="Calibri" w:hAnsi="Calibri" w:cs="Calibri"/>
                <w:color w:val="000000"/>
                <w:sz w:val="18"/>
                <w:szCs w:val="18"/>
              </w:rPr>
              <w:t>Public Toilets</w:t>
            </w:r>
          </w:p>
        </w:tc>
        <w:tc>
          <w:tcPr>
            <w:tcW w:w="2410" w:type="dxa"/>
            <w:shd w:val="clear" w:color="auto" w:fill="auto"/>
            <w:hideMark/>
          </w:tcPr>
          <w:p w:rsidR="00226205" w:rsidRPr="00226205" w:rsidRDefault="00226205" w:rsidP="00226205">
            <w:pPr>
              <w:jc w:val="left"/>
              <w:rPr>
                <w:rFonts w:ascii="Calibri" w:hAnsi="Calibri" w:cs="Calibri"/>
                <w:color w:val="000000"/>
                <w:sz w:val="18"/>
                <w:szCs w:val="18"/>
              </w:rPr>
            </w:pPr>
            <w:r w:rsidRPr="00226205">
              <w:rPr>
                <w:rFonts w:ascii="Calibri" w:hAnsi="Calibri" w:cs="Calibri"/>
                <w:color w:val="000000"/>
                <w:sz w:val="18"/>
                <w:szCs w:val="18"/>
              </w:rPr>
              <w:t xml:space="preserve">The building is generally in a good condition. </w:t>
            </w:r>
          </w:p>
        </w:tc>
        <w:tc>
          <w:tcPr>
            <w:tcW w:w="3118" w:type="dxa"/>
            <w:shd w:val="clear" w:color="auto" w:fill="auto"/>
            <w:hideMark/>
          </w:tcPr>
          <w:p w:rsidR="00226205" w:rsidRPr="00226205" w:rsidRDefault="00226205" w:rsidP="00226205">
            <w:pPr>
              <w:jc w:val="left"/>
              <w:rPr>
                <w:rFonts w:ascii="Calibri" w:hAnsi="Calibri" w:cs="Calibri"/>
                <w:color w:val="000000"/>
                <w:sz w:val="18"/>
                <w:szCs w:val="18"/>
              </w:rPr>
            </w:pPr>
            <w:r w:rsidRPr="00226205">
              <w:rPr>
                <w:rFonts w:ascii="Calibri" w:hAnsi="Calibri" w:cs="Calibri"/>
                <w:color w:val="000000"/>
                <w:sz w:val="18"/>
                <w:szCs w:val="18"/>
              </w:rPr>
              <w:t>Toilet block is too big for the site. Storage no longer required.</w:t>
            </w:r>
          </w:p>
        </w:tc>
      </w:tr>
      <w:tr w:rsidR="00226205" w:rsidRPr="00226205" w:rsidTr="00B77D83">
        <w:trPr>
          <w:cantSplit/>
          <w:trHeight w:val="2247"/>
        </w:trPr>
        <w:tc>
          <w:tcPr>
            <w:tcW w:w="998" w:type="dxa"/>
            <w:shd w:val="clear" w:color="auto" w:fill="auto"/>
            <w:hideMark/>
          </w:tcPr>
          <w:p w:rsidR="00226205" w:rsidRPr="00226205" w:rsidRDefault="00226205" w:rsidP="006918D2">
            <w:pPr>
              <w:jc w:val="center"/>
              <w:rPr>
                <w:rFonts w:ascii="Calibri" w:hAnsi="Calibri" w:cs="Calibri"/>
                <w:color w:val="000000"/>
                <w:sz w:val="18"/>
                <w:szCs w:val="18"/>
              </w:rPr>
            </w:pPr>
            <w:r w:rsidRPr="00226205">
              <w:rPr>
                <w:rFonts w:ascii="Calibri" w:hAnsi="Calibri" w:cs="Calibri"/>
                <w:color w:val="000000"/>
                <w:sz w:val="18"/>
                <w:szCs w:val="18"/>
              </w:rPr>
              <w:t>B000056</w:t>
            </w:r>
          </w:p>
        </w:tc>
        <w:tc>
          <w:tcPr>
            <w:tcW w:w="2693" w:type="dxa"/>
            <w:shd w:val="clear" w:color="auto" w:fill="auto"/>
            <w:hideMark/>
          </w:tcPr>
          <w:p w:rsidR="00226205" w:rsidRPr="00226205" w:rsidRDefault="00226205" w:rsidP="00226205">
            <w:pPr>
              <w:rPr>
                <w:rFonts w:ascii="Calibri" w:hAnsi="Calibri" w:cs="Calibri"/>
                <w:color w:val="000000"/>
                <w:sz w:val="18"/>
                <w:szCs w:val="18"/>
              </w:rPr>
            </w:pPr>
            <w:r w:rsidRPr="00226205">
              <w:rPr>
                <w:rFonts w:ascii="Calibri" w:hAnsi="Calibri" w:cs="Calibri"/>
                <w:noProof/>
                <w:color w:val="000000"/>
                <w:sz w:val="18"/>
                <w:szCs w:val="18"/>
              </w:rPr>
              <w:drawing>
                <wp:anchor distT="0" distB="0" distL="114300" distR="114300" simplePos="0" relativeHeight="251792896" behindDoc="0" locked="0" layoutInCell="1" allowOverlap="1" wp14:anchorId="7401D4E3" wp14:editId="0551005B">
                  <wp:simplePos x="0" y="0"/>
                  <wp:positionH relativeFrom="column">
                    <wp:posOffset>-20955</wp:posOffset>
                  </wp:positionH>
                  <wp:positionV relativeFrom="paragraph">
                    <wp:posOffset>53535</wp:posOffset>
                  </wp:positionV>
                  <wp:extent cx="1630680" cy="1310005"/>
                  <wp:effectExtent l="0" t="0" r="0" b="0"/>
                  <wp:wrapNone/>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Picture 138"/>
                          <pic:cNvPicPr>
                            <a:picLocks noChangeAspect="1"/>
                          </pic:cNvPicPr>
                        </pic:nvPicPr>
                        <pic:blipFill>
                          <a:blip r:embed="rId114">
                            <a:extLst>
                              <a:ext uri="{28A0092B-C50C-407E-A947-70E740481C1C}">
                                <a14:useLocalDpi xmlns:a14="http://schemas.microsoft.com/office/drawing/2010/main" val="0"/>
                              </a:ext>
                            </a:extLst>
                          </a:blip>
                          <a:stretch>
                            <a:fillRect/>
                          </a:stretch>
                        </pic:blipFill>
                        <pic:spPr>
                          <a:xfrm>
                            <a:off x="0" y="0"/>
                            <a:ext cx="1630680" cy="1310005"/>
                          </a:xfrm>
                          <a:prstGeom prst="rect">
                            <a:avLst/>
                          </a:prstGeom>
                        </pic:spPr>
                      </pic:pic>
                    </a:graphicData>
                  </a:graphic>
                  <wp14:sizeRelH relativeFrom="page">
                    <wp14:pctWidth>0</wp14:pctWidth>
                  </wp14:sizeRelH>
                  <wp14:sizeRelV relativeFrom="page">
                    <wp14:pctHeight>0</wp14:pctHeight>
                  </wp14:sizeRelV>
                </wp:anchor>
              </w:drawing>
            </w:r>
          </w:p>
        </w:tc>
        <w:tc>
          <w:tcPr>
            <w:tcW w:w="2268" w:type="dxa"/>
            <w:shd w:val="clear" w:color="auto" w:fill="auto"/>
            <w:hideMark/>
          </w:tcPr>
          <w:p w:rsidR="00226205" w:rsidRPr="00226205" w:rsidRDefault="00226205" w:rsidP="00A54993">
            <w:pPr>
              <w:jc w:val="left"/>
              <w:rPr>
                <w:rFonts w:ascii="Calibri" w:hAnsi="Calibri" w:cs="Calibri"/>
                <w:color w:val="000000"/>
                <w:sz w:val="18"/>
                <w:szCs w:val="18"/>
              </w:rPr>
            </w:pPr>
            <w:r w:rsidRPr="00226205">
              <w:rPr>
                <w:rFonts w:ascii="Calibri" w:hAnsi="Calibri" w:cs="Calibri"/>
                <w:color w:val="000000"/>
                <w:sz w:val="18"/>
                <w:szCs w:val="18"/>
              </w:rPr>
              <w:t>Storage Shed, Coate Park- Coate Avenue, Alphington</w:t>
            </w:r>
          </w:p>
        </w:tc>
        <w:tc>
          <w:tcPr>
            <w:tcW w:w="1276" w:type="dxa"/>
            <w:shd w:val="clear" w:color="auto" w:fill="auto"/>
            <w:hideMark/>
          </w:tcPr>
          <w:p w:rsidR="00226205" w:rsidRPr="00226205" w:rsidRDefault="00226205" w:rsidP="00B77D83">
            <w:pPr>
              <w:tabs>
                <w:tab w:val="decimal" w:pos="884"/>
              </w:tabs>
              <w:jc w:val="left"/>
              <w:rPr>
                <w:rFonts w:ascii="Calibri" w:hAnsi="Calibri" w:cs="Calibri"/>
                <w:color w:val="000000"/>
                <w:sz w:val="18"/>
                <w:szCs w:val="18"/>
              </w:rPr>
            </w:pPr>
            <w:r w:rsidRPr="00226205">
              <w:rPr>
                <w:rFonts w:ascii="Calibri" w:hAnsi="Calibri" w:cs="Calibri"/>
                <w:color w:val="000000"/>
                <w:sz w:val="18"/>
                <w:szCs w:val="18"/>
              </w:rPr>
              <w:t>$5,985</w:t>
            </w:r>
          </w:p>
        </w:tc>
        <w:tc>
          <w:tcPr>
            <w:tcW w:w="1134" w:type="dxa"/>
            <w:shd w:val="clear" w:color="auto" w:fill="auto"/>
            <w:hideMark/>
          </w:tcPr>
          <w:p w:rsidR="00226205" w:rsidRPr="00226205" w:rsidRDefault="00226205" w:rsidP="00226205">
            <w:pPr>
              <w:jc w:val="center"/>
              <w:rPr>
                <w:rFonts w:ascii="Calibri" w:hAnsi="Calibri" w:cs="Calibri"/>
                <w:color w:val="000000"/>
                <w:sz w:val="18"/>
                <w:szCs w:val="18"/>
              </w:rPr>
            </w:pPr>
            <w:r w:rsidRPr="00226205">
              <w:rPr>
                <w:rFonts w:ascii="Calibri" w:hAnsi="Calibri" w:cs="Calibri"/>
                <w:color w:val="000000"/>
                <w:sz w:val="18"/>
                <w:szCs w:val="18"/>
              </w:rPr>
              <w:t xml:space="preserve">Recreation </w:t>
            </w:r>
            <w:r w:rsidR="00B77D83">
              <w:rPr>
                <w:rFonts w:ascii="Calibri" w:hAnsi="Calibri" w:cs="Calibri"/>
                <w:color w:val="000000"/>
                <w:sz w:val="18"/>
                <w:szCs w:val="18"/>
              </w:rPr>
              <w:t>and</w:t>
            </w:r>
            <w:r w:rsidRPr="00226205">
              <w:rPr>
                <w:rFonts w:ascii="Calibri" w:hAnsi="Calibri" w:cs="Calibri"/>
                <w:color w:val="000000"/>
                <w:sz w:val="18"/>
                <w:szCs w:val="18"/>
              </w:rPr>
              <w:t xml:space="preserve"> Open Space</w:t>
            </w:r>
          </w:p>
        </w:tc>
        <w:tc>
          <w:tcPr>
            <w:tcW w:w="1417" w:type="dxa"/>
            <w:shd w:val="clear" w:color="auto" w:fill="auto"/>
            <w:hideMark/>
          </w:tcPr>
          <w:p w:rsidR="00226205" w:rsidRPr="00226205" w:rsidRDefault="00226205" w:rsidP="00226205">
            <w:pPr>
              <w:jc w:val="center"/>
              <w:rPr>
                <w:rFonts w:ascii="Calibri" w:hAnsi="Calibri" w:cs="Calibri"/>
                <w:color w:val="000000"/>
                <w:sz w:val="18"/>
                <w:szCs w:val="18"/>
              </w:rPr>
            </w:pPr>
            <w:r w:rsidRPr="00226205">
              <w:rPr>
                <w:rFonts w:ascii="Calibri" w:hAnsi="Calibri" w:cs="Calibri"/>
                <w:color w:val="000000"/>
                <w:sz w:val="18"/>
                <w:szCs w:val="18"/>
              </w:rPr>
              <w:t>Stores / Sheds / Garages</w:t>
            </w:r>
          </w:p>
        </w:tc>
        <w:tc>
          <w:tcPr>
            <w:tcW w:w="2410" w:type="dxa"/>
            <w:shd w:val="clear" w:color="auto" w:fill="auto"/>
            <w:hideMark/>
          </w:tcPr>
          <w:p w:rsidR="00226205" w:rsidRPr="00226205" w:rsidRDefault="00226205" w:rsidP="00226205">
            <w:pPr>
              <w:jc w:val="left"/>
              <w:rPr>
                <w:rFonts w:ascii="Calibri" w:hAnsi="Calibri" w:cs="Calibri"/>
                <w:color w:val="000000"/>
                <w:sz w:val="18"/>
                <w:szCs w:val="18"/>
              </w:rPr>
            </w:pPr>
            <w:r w:rsidRPr="00226205">
              <w:rPr>
                <w:rFonts w:ascii="Calibri" w:hAnsi="Calibri" w:cs="Calibri"/>
                <w:color w:val="000000"/>
                <w:sz w:val="18"/>
                <w:szCs w:val="18"/>
              </w:rPr>
              <w:t xml:space="preserve">The shed is generally in a fair condition requiring work to the structure and roof. </w:t>
            </w:r>
          </w:p>
        </w:tc>
        <w:tc>
          <w:tcPr>
            <w:tcW w:w="3118" w:type="dxa"/>
            <w:shd w:val="clear" w:color="auto" w:fill="auto"/>
            <w:hideMark/>
          </w:tcPr>
          <w:p w:rsidR="00226205" w:rsidRPr="00226205" w:rsidRDefault="00226205" w:rsidP="00226205">
            <w:pPr>
              <w:jc w:val="left"/>
              <w:rPr>
                <w:rFonts w:ascii="Calibri" w:hAnsi="Calibri" w:cs="Calibri"/>
                <w:color w:val="000000"/>
                <w:sz w:val="18"/>
                <w:szCs w:val="18"/>
              </w:rPr>
            </w:pPr>
            <w:r w:rsidRPr="00226205">
              <w:rPr>
                <w:rFonts w:ascii="Calibri" w:hAnsi="Calibri" w:cs="Calibri"/>
                <w:color w:val="000000"/>
                <w:sz w:val="18"/>
                <w:szCs w:val="18"/>
              </w:rPr>
              <w:t>Building provided for operational needs only. Meets current service requirements.</w:t>
            </w:r>
          </w:p>
        </w:tc>
      </w:tr>
      <w:tr w:rsidR="00226205" w:rsidRPr="00226205" w:rsidTr="00B77D83">
        <w:trPr>
          <w:cantSplit/>
          <w:trHeight w:val="2082"/>
        </w:trPr>
        <w:tc>
          <w:tcPr>
            <w:tcW w:w="998" w:type="dxa"/>
            <w:shd w:val="clear" w:color="auto" w:fill="auto"/>
            <w:hideMark/>
          </w:tcPr>
          <w:p w:rsidR="00226205" w:rsidRPr="00226205" w:rsidRDefault="00226205" w:rsidP="006918D2">
            <w:pPr>
              <w:jc w:val="center"/>
              <w:rPr>
                <w:rFonts w:ascii="Calibri" w:hAnsi="Calibri" w:cs="Calibri"/>
                <w:color w:val="000000"/>
                <w:sz w:val="18"/>
                <w:szCs w:val="18"/>
              </w:rPr>
            </w:pPr>
            <w:r w:rsidRPr="00226205">
              <w:rPr>
                <w:rFonts w:ascii="Calibri" w:hAnsi="Calibri" w:cs="Calibri"/>
                <w:color w:val="000000"/>
                <w:sz w:val="18"/>
                <w:szCs w:val="18"/>
              </w:rPr>
              <w:t>B000058</w:t>
            </w:r>
          </w:p>
        </w:tc>
        <w:tc>
          <w:tcPr>
            <w:tcW w:w="2693" w:type="dxa"/>
            <w:shd w:val="clear" w:color="auto" w:fill="auto"/>
            <w:hideMark/>
          </w:tcPr>
          <w:p w:rsidR="00226205" w:rsidRPr="00226205" w:rsidRDefault="00226205" w:rsidP="00226205">
            <w:pPr>
              <w:rPr>
                <w:rFonts w:ascii="Calibri" w:hAnsi="Calibri" w:cs="Calibri"/>
                <w:color w:val="000000"/>
                <w:sz w:val="18"/>
                <w:szCs w:val="18"/>
              </w:rPr>
            </w:pPr>
            <w:r w:rsidRPr="00226205">
              <w:rPr>
                <w:rFonts w:ascii="Calibri" w:hAnsi="Calibri" w:cs="Calibri"/>
                <w:noProof/>
                <w:color w:val="000000"/>
                <w:sz w:val="18"/>
                <w:szCs w:val="18"/>
              </w:rPr>
              <w:drawing>
                <wp:anchor distT="0" distB="0" distL="114300" distR="114300" simplePos="0" relativeHeight="251700736" behindDoc="0" locked="0" layoutInCell="1" allowOverlap="1" wp14:anchorId="0F874827" wp14:editId="53E7B045">
                  <wp:simplePos x="0" y="0"/>
                  <wp:positionH relativeFrom="column">
                    <wp:posOffset>-20955</wp:posOffset>
                  </wp:positionH>
                  <wp:positionV relativeFrom="paragraph">
                    <wp:posOffset>44010</wp:posOffset>
                  </wp:positionV>
                  <wp:extent cx="1630680" cy="1219835"/>
                  <wp:effectExtent l="0" t="0" r="0" b="0"/>
                  <wp:wrapNone/>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39"/>
                          <pic:cNvPicPr>
                            <a:picLocks noChangeAspect="1"/>
                          </pic:cNvPicPr>
                        </pic:nvPicPr>
                        <pic:blipFill>
                          <a:blip r:embed="rId115" cstate="print">
                            <a:extLst>
                              <a:ext uri="{28A0092B-C50C-407E-A947-70E740481C1C}">
                                <a14:useLocalDpi xmlns:a14="http://schemas.microsoft.com/office/drawing/2010/main" val="0"/>
                              </a:ext>
                            </a:extLst>
                          </a:blip>
                          <a:stretch>
                            <a:fillRect/>
                          </a:stretch>
                        </pic:blipFill>
                        <pic:spPr>
                          <a:xfrm>
                            <a:off x="0" y="0"/>
                            <a:ext cx="1630680" cy="1219835"/>
                          </a:xfrm>
                          <a:prstGeom prst="rect">
                            <a:avLst/>
                          </a:prstGeom>
                        </pic:spPr>
                      </pic:pic>
                    </a:graphicData>
                  </a:graphic>
                  <wp14:sizeRelH relativeFrom="page">
                    <wp14:pctWidth>0</wp14:pctWidth>
                  </wp14:sizeRelH>
                  <wp14:sizeRelV relativeFrom="page">
                    <wp14:pctHeight>0</wp14:pctHeight>
                  </wp14:sizeRelV>
                </wp:anchor>
              </w:drawing>
            </w:r>
          </w:p>
        </w:tc>
        <w:tc>
          <w:tcPr>
            <w:tcW w:w="2268" w:type="dxa"/>
            <w:shd w:val="clear" w:color="auto" w:fill="auto"/>
            <w:hideMark/>
          </w:tcPr>
          <w:p w:rsidR="00226205" w:rsidRPr="00226205" w:rsidRDefault="00226205" w:rsidP="00A54993">
            <w:pPr>
              <w:jc w:val="left"/>
              <w:rPr>
                <w:rFonts w:ascii="Calibri" w:hAnsi="Calibri" w:cs="Calibri"/>
                <w:color w:val="000000"/>
                <w:sz w:val="18"/>
                <w:szCs w:val="18"/>
              </w:rPr>
            </w:pPr>
            <w:r w:rsidRPr="00226205">
              <w:rPr>
                <w:rFonts w:ascii="Calibri" w:hAnsi="Calibri" w:cs="Calibri"/>
                <w:color w:val="000000"/>
                <w:sz w:val="18"/>
                <w:szCs w:val="18"/>
              </w:rPr>
              <w:t>Storage Shed, Yarralea Kindergarten- 54 Yarralea Street, Alphington</w:t>
            </w:r>
          </w:p>
        </w:tc>
        <w:tc>
          <w:tcPr>
            <w:tcW w:w="1276" w:type="dxa"/>
            <w:shd w:val="clear" w:color="auto" w:fill="auto"/>
            <w:hideMark/>
          </w:tcPr>
          <w:p w:rsidR="00226205" w:rsidRPr="00226205" w:rsidRDefault="00226205" w:rsidP="00B77D83">
            <w:pPr>
              <w:tabs>
                <w:tab w:val="decimal" w:pos="884"/>
              </w:tabs>
              <w:jc w:val="left"/>
              <w:rPr>
                <w:rFonts w:ascii="Calibri" w:hAnsi="Calibri" w:cs="Calibri"/>
                <w:color w:val="000000"/>
                <w:sz w:val="18"/>
                <w:szCs w:val="18"/>
              </w:rPr>
            </w:pPr>
            <w:r w:rsidRPr="00226205">
              <w:rPr>
                <w:rFonts w:ascii="Calibri" w:hAnsi="Calibri" w:cs="Calibri"/>
                <w:color w:val="000000"/>
                <w:sz w:val="18"/>
                <w:szCs w:val="18"/>
              </w:rPr>
              <w:t>$6,379</w:t>
            </w:r>
          </w:p>
        </w:tc>
        <w:tc>
          <w:tcPr>
            <w:tcW w:w="1134" w:type="dxa"/>
            <w:shd w:val="clear" w:color="auto" w:fill="auto"/>
            <w:hideMark/>
          </w:tcPr>
          <w:p w:rsidR="00226205" w:rsidRPr="00226205" w:rsidRDefault="00226205" w:rsidP="00226205">
            <w:pPr>
              <w:jc w:val="center"/>
              <w:rPr>
                <w:rFonts w:ascii="Calibri" w:hAnsi="Calibri" w:cs="Calibri"/>
                <w:color w:val="000000"/>
                <w:sz w:val="18"/>
                <w:szCs w:val="18"/>
              </w:rPr>
            </w:pPr>
            <w:r w:rsidRPr="00226205">
              <w:rPr>
                <w:rFonts w:ascii="Calibri" w:hAnsi="Calibri" w:cs="Calibri"/>
                <w:color w:val="000000"/>
                <w:sz w:val="18"/>
                <w:szCs w:val="18"/>
              </w:rPr>
              <w:t>Community Services</w:t>
            </w:r>
          </w:p>
        </w:tc>
        <w:tc>
          <w:tcPr>
            <w:tcW w:w="1417" w:type="dxa"/>
            <w:shd w:val="clear" w:color="auto" w:fill="auto"/>
            <w:hideMark/>
          </w:tcPr>
          <w:p w:rsidR="00226205" w:rsidRPr="00226205" w:rsidRDefault="00226205" w:rsidP="00226205">
            <w:pPr>
              <w:jc w:val="center"/>
              <w:rPr>
                <w:rFonts w:ascii="Calibri" w:hAnsi="Calibri" w:cs="Calibri"/>
                <w:color w:val="000000"/>
                <w:sz w:val="18"/>
                <w:szCs w:val="18"/>
              </w:rPr>
            </w:pPr>
            <w:r w:rsidRPr="00226205">
              <w:rPr>
                <w:rFonts w:ascii="Calibri" w:hAnsi="Calibri" w:cs="Calibri"/>
                <w:color w:val="000000"/>
                <w:sz w:val="18"/>
                <w:szCs w:val="18"/>
              </w:rPr>
              <w:t>Stores / Sheds / Garages</w:t>
            </w:r>
          </w:p>
        </w:tc>
        <w:tc>
          <w:tcPr>
            <w:tcW w:w="2410" w:type="dxa"/>
            <w:shd w:val="clear" w:color="auto" w:fill="auto"/>
            <w:hideMark/>
          </w:tcPr>
          <w:p w:rsidR="00226205" w:rsidRPr="00226205" w:rsidRDefault="00226205" w:rsidP="00226205">
            <w:pPr>
              <w:jc w:val="left"/>
              <w:rPr>
                <w:rFonts w:ascii="Calibri" w:hAnsi="Calibri" w:cs="Calibri"/>
                <w:color w:val="000000"/>
                <w:sz w:val="18"/>
                <w:szCs w:val="18"/>
              </w:rPr>
            </w:pPr>
            <w:r w:rsidRPr="00226205">
              <w:rPr>
                <w:rFonts w:ascii="Calibri" w:hAnsi="Calibri" w:cs="Calibri"/>
                <w:color w:val="000000"/>
                <w:sz w:val="18"/>
                <w:szCs w:val="18"/>
              </w:rPr>
              <w:t xml:space="preserve">The shed is generally in a fair condition requiring work to the structure and roof. </w:t>
            </w:r>
          </w:p>
        </w:tc>
        <w:tc>
          <w:tcPr>
            <w:tcW w:w="3118" w:type="dxa"/>
            <w:shd w:val="clear" w:color="auto" w:fill="auto"/>
            <w:hideMark/>
          </w:tcPr>
          <w:p w:rsidR="00226205" w:rsidRPr="00226205" w:rsidRDefault="00226205" w:rsidP="00226205">
            <w:pPr>
              <w:jc w:val="left"/>
              <w:rPr>
                <w:rFonts w:ascii="Calibri" w:hAnsi="Calibri" w:cs="Calibri"/>
                <w:color w:val="000000"/>
                <w:sz w:val="18"/>
                <w:szCs w:val="18"/>
              </w:rPr>
            </w:pPr>
            <w:r w:rsidRPr="00226205">
              <w:rPr>
                <w:rFonts w:ascii="Calibri" w:hAnsi="Calibri" w:cs="Calibri"/>
                <w:color w:val="000000"/>
                <w:sz w:val="18"/>
                <w:szCs w:val="18"/>
              </w:rPr>
              <w:t>Shed provided for operational needs only. Meets current service requirements.</w:t>
            </w:r>
          </w:p>
        </w:tc>
      </w:tr>
      <w:tr w:rsidR="00226205" w:rsidRPr="00226205" w:rsidTr="00B77D83">
        <w:trPr>
          <w:cantSplit/>
          <w:trHeight w:val="2712"/>
        </w:trPr>
        <w:tc>
          <w:tcPr>
            <w:tcW w:w="998" w:type="dxa"/>
            <w:shd w:val="clear" w:color="auto" w:fill="auto"/>
            <w:hideMark/>
          </w:tcPr>
          <w:p w:rsidR="00226205" w:rsidRPr="00226205" w:rsidRDefault="00226205" w:rsidP="006918D2">
            <w:pPr>
              <w:jc w:val="center"/>
              <w:rPr>
                <w:rFonts w:ascii="Calibri" w:hAnsi="Calibri" w:cs="Calibri"/>
                <w:color w:val="000000"/>
                <w:sz w:val="18"/>
                <w:szCs w:val="18"/>
              </w:rPr>
            </w:pPr>
            <w:r w:rsidRPr="00226205">
              <w:rPr>
                <w:rFonts w:ascii="Calibri" w:hAnsi="Calibri" w:cs="Calibri"/>
                <w:color w:val="000000"/>
                <w:sz w:val="18"/>
                <w:szCs w:val="18"/>
              </w:rPr>
              <w:t>B000059</w:t>
            </w:r>
          </w:p>
        </w:tc>
        <w:tc>
          <w:tcPr>
            <w:tcW w:w="2693" w:type="dxa"/>
            <w:shd w:val="clear" w:color="auto" w:fill="auto"/>
            <w:hideMark/>
          </w:tcPr>
          <w:p w:rsidR="00226205" w:rsidRPr="00226205" w:rsidRDefault="00226205" w:rsidP="00226205">
            <w:pPr>
              <w:rPr>
                <w:rFonts w:ascii="Calibri" w:hAnsi="Calibri" w:cs="Calibri"/>
                <w:color w:val="000000"/>
                <w:sz w:val="18"/>
                <w:szCs w:val="18"/>
              </w:rPr>
            </w:pPr>
            <w:r w:rsidRPr="00226205">
              <w:rPr>
                <w:rFonts w:ascii="Calibri" w:hAnsi="Calibri" w:cs="Calibri"/>
                <w:noProof/>
                <w:color w:val="000000"/>
                <w:sz w:val="18"/>
                <w:szCs w:val="18"/>
              </w:rPr>
              <w:drawing>
                <wp:anchor distT="0" distB="0" distL="114300" distR="114300" simplePos="0" relativeHeight="251701760" behindDoc="0" locked="0" layoutInCell="1" allowOverlap="1" wp14:anchorId="7A62386E" wp14:editId="251BCD59">
                  <wp:simplePos x="0" y="0"/>
                  <wp:positionH relativeFrom="column">
                    <wp:posOffset>-20955</wp:posOffset>
                  </wp:positionH>
                  <wp:positionV relativeFrom="paragraph">
                    <wp:posOffset>53340</wp:posOffset>
                  </wp:positionV>
                  <wp:extent cx="1630680" cy="1184275"/>
                  <wp:effectExtent l="0" t="0" r="0" b="0"/>
                  <wp:wrapNone/>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0"/>
                          <pic:cNvPicPr>
                            <a:picLocks noChangeAspect="1"/>
                          </pic:cNvPicPr>
                        </pic:nvPicPr>
                        <pic:blipFill>
                          <a:blip r:embed="rId116">
                            <a:extLst>
                              <a:ext uri="{28A0092B-C50C-407E-A947-70E740481C1C}">
                                <a14:useLocalDpi xmlns:a14="http://schemas.microsoft.com/office/drawing/2010/main" val="0"/>
                              </a:ext>
                            </a:extLst>
                          </a:blip>
                          <a:stretch>
                            <a:fillRect/>
                          </a:stretch>
                        </pic:blipFill>
                        <pic:spPr>
                          <a:xfrm>
                            <a:off x="0" y="0"/>
                            <a:ext cx="1630680" cy="1184275"/>
                          </a:xfrm>
                          <a:prstGeom prst="rect">
                            <a:avLst/>
                          </a:prstGeom>
                        </pic:spPr>
                      </pic:pic>
                    </a:graphicData>
                  </a:graphic>
                  <wp14:sizeRelH relativeFrom="page">
                    <wp14:pctWidth>0</wp14:pctWidth>
                  </wp14:sizeRelH>
                  <wp14:sizeRelV relativeFrom="page">
                    <wp14:pctHeight>0</wp14:pctHeight>
                  </wp14:sizeRelV>
                </wp:anchor>
              </w:drawing>
            </w:r>
          </w:p>
        </w:tc>
        <w:tc>
          <w:tcPr>
            <w:tcW w:w="2268" w:type="dxa"/>
            <w:shd w:val="clear" w:color="auto" w:fill="auto"/>
            <w:hideMark/>
          </w:tcPr>
          <w:p w:rsidR="00226205" w:rsidRPr="00226205" w:rsidRDefault="00226205" w:rsidP="00A54993">
            <w:pPr>
              <w:jc w:val="left"/>
              <w:rPr>
                <w:rFonts w:ascii="Calibri" w:hAnsi="Calibri" w:cs="Calibri"/>
                <w:color w:val="000000"/>
                <w:sz w:val="18"/>
                <w:szCs w:val="18"/>
              </w:rPr>
            </w:pPr>
            <w:r w:rsidRPr="00226205">
              <w:rPr>
                <w:rFonts w:ascii="Calibri" w:hAnsi="Calibri" w:cs="Calibri"/>
                <w:color w:val="000000"/>
                <w:sz w:val="18"/>
                <w:szCs w:val="18"/>
              </w:rPr>
              <w:t>Yarralea Children's Centre- 54 Yarralea Street, Alphington</w:t>
            </w:r>
          </w:p>
        </w:tc>
        <w:tc>
          <w:tcPr>
            <w:tcW w:w="1276" w:type="dxa"/>
            <w:shd w:val="clear" w:color="auto" w:fill="auto"/>
            <w:hideMark/>
          </w:tcPr>
          <w:p w:rsidR="00226205" w:rsidRPr="00226205" w:rsidRDefault="00226205" w:rsidP="00B77D83">
            <w:pPr>
              <w:tabs>
                <w:tab w:val="decimal" w:pos="884"/>
              </w:tabs>
              <w:jc w:val="left"/>
              <w:rPr>
                <w:rFonts w:ascii="Calibri" w:hAnsi="Calibri" w:cs="Calibri"/>
                <w:color w:val="000000"/>
                <w:sz w:val="18"/>
                <w:szCs w:val="18"/>
              </w:rPr>
            </w:pPr>
            <w:r w:rsidRPr="00226205">
              <w:rPr>
                <w:rFonts w:ascii="Calibri" w:hAnsi="Calibri" w:cs="Calibri"/>
                <w:color w:val="000000"/>
                <w:sz w:val="18"/>
                <w:szCs w:val="18"/>
              </w:rPr>
              <w:t>$504,432</w:t>
            </w:r>
          </w:p>
        </w:tc>
        <w:tc>
          <w:tcPr>
            <w:tcW w:w="1134" w:type="dxa"/>
            <w:shd w:val="clear" w:color="auto" w:fill="auto"/>
            <w:hideMark/>
          </w:tcPr>
          <w:p w:rsidR="00226205" w:rsidRPr="00226205" w:rsidRDefault="00226205" w:rsidP="00226205">
            <w:pPr>
              <w:jc w:val="center"/>
              <w:rPr>
                <w:rFonts w:ascii="Calibri" w:hAnsi="Calibri" w:cs="Calibri"/>
                <w:color w:val="000000"/>
                <w:sz w:val="18"/>
                <w:szCs w:val="18"/>
              </w:rPr>
            </w:pPr>
            <w:r w:rsidRPr="00226205">
              <w:rPr>
                <w:rFonts w:ascii="Calibri" w:hAnsi="Calibri" w:cs="Calibri"/>
                <w:color w:val="000000"/>
                <w:sz w:val="18"/>
                <w:szCs w:val="18"/>
              </w:rPr>
              <w:t>Community Services</w:t>
            </w:r>
          </w:p>
        </w:tc>
        <w:tc>
          <w:tcPr>
            <w:tcW w:w="1417" w:type="dxa"/>
            <w:shd w:val="clear" w:color="auto" w:fill="auto"/>
            <w:hideMark/>
          </w:tcPr>
          <w:p w:rsidR="00226205" w:rsidRPr="00226205" w:rsidRDefault="00226205" w:rsidP="00226205">
            <w:pPr>
              <w:jc w:val="center"/>
              <w:rPr>
                <w:rFonts w:ascii="Calibri" w:hAnsi="Calibri" w:cs="Calibri"/>
                <w:color w:val="000000"/>
                <w:sz w:val="18"/>
                <w:szCs w:val="18"/>
              </w:rPr>
            </w:pPr>
            <w:r w:rsidRPr="00226205">
              <w:rPr>
                <w:rFonts w:ascii="Calibri" w:hAnsi="Calibri" w:cs="Calibri"/>
                <w:color w:val="000000"/>
                <w:sz w:val="18"/>
                <w:szCs w:val="18"/>
              </w:rPr>
              <w:t>Kindergartens</w:t>
            </w:r>
          </w:p>
        </w:tc>
        <w:tc>
          <w:tcPr>
            <w:tcW w:w="2410" w:type="dxa"/>
            <w:shd w:val="clear" w:color="auto" w:fill="auto"/>
            <w:hideMark/>
          </w:tcPr>
          <w:p w:rsidR="00226205" w:rsidRPr="00226205" w:rsidRDefault="00226205" w:rsidP="00226205">
            <w:pPr>
              <w:jc w:val="left"/>
              <w:rPr>
                <w:rFonts w:ascii="Calibri" w:hAnsi="Calibri" w:cs="Calibri"/>
                <w:color w:val="000000"/>
                <w:sz w:val="18"/>
                <w:szCs w:val="18"/>
              </w:rPr>
            </w:pPr>
            <w:r w:rsidRPr="00226205">
              <w:rPr>
                <w:rFonts w:ascii="Calibri" w:hAnsi="Calibri" w:cs="Calibri"/>
                <w:color w:val="000000"/>
                <w:sz w:val="18"/>
                <w:szCs w:val="18"/>
              </w:rPr>
              <w:t xml:space="preserve">The building is in good overall condition. </w:t>
            </w:r>
          </w:p>
        </w:tc>
        <w:tc>
          <w:tcPr>
            <w:tcW w:w="3118" w:type="dxa"/>
            <w:shd w:val="clear" w:color="auto" w:fill="auto"/>
            <w:hideMark/>
          </w:tcPr>
          <w:p w:rsidR="00226205" w:rsidRPr="00226205" w:rsidRDefault="00226205" w:rsidP="00DF0C54">
            <w:pPr>
              <w:jc w:val="left"/>
              <w:rPr>
                <w:rFonts w:ascii="Calibri" w:hAnsi="Calibri" w:cs="Calibri"/>
                <w:color w:val="000000"/>
                <w:sz w:val="18"/>
                <w:szCs w:val="18"/>
              </w:rPr>
            </w:pPr>
            <w:r w:rsidRPr="00226205">
              <w:rPr>
                <w:rFonts w:ascii="Calibri" w:hAnsi="Calibri" w:cs="Calibri"/>
                <w:color w:val="000000"/>
                <w:sz w:val="18"/>
                <w:szCs w:val="18"/>
              </w:rPr>
              <w:t>In relation to the office space - it is small but adequate for a part</w:t>
            </w:r>
            <w:r w:rsidR="00DF0C54">
              <w:rPr>
                <w:rFonts w:ascii="Calibri" w:hAnsi="Calibri" w:cs="Calibri"/>
                <w:color w:val="000000"/>
                <w:sz w:val="18"/>
                <w:szCs w:val="18"/>
              </w:rPr>
              <w:t>-</w:t>
            </w:r>
            <w:r w:rsidRPr="00226205">
              <w:rPr>
                <w:rFonts w:ascii="Calibri" w:hAnsi="Calibri" w:cs="Calibri"/>
                <w:color w:val="000000"/>
                <w:sz w:val="18"/>
                <w:szCs w:val="18"/>
              </w:rPr>
              <w:t xml:space="preserve"> time centre. There is no capacity to have a group as is sometimes needed. May have capacity issues in future if the number of births continue</w:t>
            </w:r>
            <w:r w:rsidR="00DF0C54">
              <w:rPr>
                <w:rFonts w:ascii="Calibri" w:hAnsi="Calibri" w:cs="Calibri"/>
                <w:color w:val="000000"/>
                <w:sz w:val="18"/>
                <w:szCs w:val="18"/>
              </w:rPr>
              <w:t>s</w:t>
            </w:r>
            <w:r w:rsidRPr="00226205">
              <w:rPr>
                <w:rFonts w:ascii="Calibri" w:hAnsi="Calibri" w:cs="Calibri"/>
                <w:color w:val="000000"/>
                <w:sz w:val="18"/>
                <w:szCs w:val="18"/>
              </w:rPr>
              <w:t xml:space="preserve"> to increase in the Alphington area. The office is a shared space. Internet Connection is extremely poor. Current nurse uses a laptop and the connection frequently drops out. Investigation of improving IT options needs to be made. The child care centre is leased to Yarralea Children's Centre.</w:t>
            </w:r>
          </w:p>
        </w:tc>
      </w:tr>
      <w:tr w:rsidR="00226205" w:rsidRPr="00226205" w:rsidTr="00B77D83">
        <w:trPr>
          <w:cantSplit/>
          <w:trHeight w:val="2065"/>
        </w:trPr>
        <w:tc>
          <w:tcPr>
            <w:tcW w:w="998" w:type="dxa"/>
            <w:shd w:val="clear" w:color="auto" w:fill="auto"/>
            <w:hideMark/>
          </w:tcPr>
          <w:p w:rsidR="00226205" w:rsidRPr="00226205" w:rsidRDefault="00226205" w:rsidP="006918D2">
            <w:pPr>
              <w:jc w:val="center"/>
              <w:rPr>
                <w:rFonts w:ascii="Calibri" w:hAnsi="Calibri" w:cs="Calibri"/>
                <w:color w:val="000000"/>
                <w:sz w:val="18"/>
                <w:szCs w:val="18"/>
              </w:rPr>
            </w:pPr>
            <w:r w:rsidRPr="00226205">
              <w:rPr>
                <w:rFonts w:ascii="Calibri" w:hAnsi="Calibri" w:cs="Calibri"/>
                <w:color w:val="000000"/>
                <w:sz w:val="18"/>
                <w:szCs w:val="18"/>
              </w:rPr>
              <w:t>B000060</w:t>
            </w:r>
          </w:p>
        </w:tc>
        <w:tc>
          <w:tcPr>
            <w:tcW w:w="2693" w:type="dxa"/>
            <w:shd w:val="clear" w:color="auto" w:fill="auto"/>
            <w:hideMark/>
          </w:tcPr>
          <w:p w:rsidR="00226205" w:rsidRPr="00226205" w:rsidRDefault="00226205" w:rsidP="00226205">
            <w:pPr>
              <w:rPr>
                <w:rFonts w:ascii="Calibri" w:hAnsi="Calibri" w:cs="Calibri"/>
                <w:color w:val="000000"/>
                <w:sz w:val="18"/>
                <w:szCs w:val="18"/>
              </w:rPr>
            </w:pPr>
            <w:r w:rsidRPr="00226205">
              <w:rPr>
                <w:rFonts w:ascii="Calibri" w:hAnsi="Calibri" w:cs="Calibri"/>
                <w:noProof/>
                <w:color w:val="000000"/>
                <w:sz w:val="18"/>
                <w:szCs w:val="18"/>
              </w:rPr>
              <w:drawing>
                <wp:anchor distT="0" distB="0" distL="114300" distR="114300" simplePos="0" relativeHeight="251751936" behindDoc="0" locked="0" layoutInCell="1" allowOverlap="1" wp14:anchorId="36A18CB3" wp14:editId="6E9F7FCC">
                  <wp:simplePos x="0" y="0"/>
                  <wp:positionH relativeFrom="column">
                    <wp:posOffset>-20955</wp:posOffset>
                  </wp:positionH>
                  <wp:positionV relativeFrom="paragraph">
                    <wp:posOffset>47185</wp:posOffset>
                  </wp:positionV>
                  <wp:extent cx="1630680" cy="1227455"/>
                  <wp:effectExtent l="171450" t="171450" r="369570" b="334645"/>
                  <wp:wrapNone/>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6"/>
                          <pic:cNvPicPr>
                            <a:picLocks noChangeAspect="1"/>
                          </pic:cNvPicPr>
                        </pic:nvPicPr>
                        <pic:blipFill rotWithShape="1">
                          <a:blip r:embed="rId117">
                            <a:extLst>
                              <a:ext uri="{28A0092B-C50C-407E-A947-70E740481C1C}">
                                <a14:useLocalDpi xmlns:a14="http://schemas.microsoft.com/office/drawing/2010/main" val="0"/>
                              </a:ext>
                            </a:extLst>
                          </a:blip>
                          <a:srcRect l="2393" t="3705" r="2872" b="4286"/>
                          <a:stretch/>
                        </pic:blipFill>
                        <pic:spPr bwMode="auto">
                          <a:xfrm>
                            <a:off x="0" y="0"/>
                            <a:ext cx="1630680" cy="122745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2268" w:type="dxa"/>
            <w:shd w:val="clear" w:color="auto" w:fill="auto"/>
            <w:hideMark/>
          </w:tcPr>
          <w:p w:rsidR="00226205" w:rsidRPr="00226205" w:rsidRDefault="00226205" w:rsidP="00A54993">
            <w:pPr>
              <w:jc w:val="left"/>
              <w:rPr>
                <w:rFonts w:ascii="Calibri" w:hAnsi="Calibri" w:cs="Calibri"/>
                <w:color w:val="000000"/>
                <w:sz w:val="18"/>
                <w:szCs w:val="18"/>
              </w:rPr>
            </w:pPr>
            <w:r w:rsidRPr="00226205">
              <w:rPr>
                <w:rFonts w:ascii="Calibri" w:hAnsi="Calibri" w:cs="Calibri"/>
                <w:color w:val="000000"/>
                <w:sz w:val="18"/>
                <w:szCs w:val="18"/>
              </w:rPr>
              <w:t xml:space="preserve">Administration Building (Pro Shop, Residence and Change rooms), Burnley Golf Course- Madden Grove, Burnley </w:t>
            </w:r>
          </w:p>
        </w:tc>
        <w:tc>
          <w:tcPr>
            <w:tcW w:w="1276" w:type="dxa"/>
            <w:shd w:val="clear" w:color="auto" w:fill="auto"/>
            <w:hideMark/>
          </w:tcPr>
          <w:p w:rsidR="00226205" w:rsidRPr="00226205" w:rsidRDefault="00226205" w:rsidP="00B77D83">
            <w:pPr>
              <w:tabs>
                <w:tab w:val="decimal" w:pos="884"/>
              </w:tabs>
              <w:jc w:val="left"/>
              <w:rPr>
                <w:rFonts w:ascii="Calibri" w:hAnsi="Calibri" w:cs="Calibri"/>
                <w:color w:val="000000"/>
                <w:sz w:val="18"/>
                <w:szCs w:val="18"/>
              </w:rPr>
            </w:pPr>
            <w:r w:rsidRPr="00226205">
              <w:rPr>
                <w:rFonts w:ascii="Calibri" w:hAnsi="Calibri" w:cs="Calibri"/>
                <w:color w:val="000000"/>
                <w:sz w:val="18"/>
                <w:szCs w:val="18"/>
              </w:rPr>
              <w:t>$1,290,000</w:t>
            </w:r>
          </w:p>
        </w:tc>
        <w:tc>
          <w:tcPr>
            <w:tcW w:w="1134" w:type="dxa"/>
            <w:shd w:val="clear" w:color="auto" w:fill="auto"/>
            <w:hideMark/>
          </w:tcPr>
          <w:p w:rsidR="00226205" w:rsidRPr="00226205" w:rsidRDefault="00226205" w:rsidP="00226205">
            <w:pPr>
              <w:jc w:val="center"/>
              <w:rPr>
                <w:rFonts w:ascii="Calibri" w:hAnsi="Calibri" w:cs="Calibri"/>
                <w:color w:val="000000"/>
                <w:sz w:val="18"/>
                <w:szCs w:val="18"/>
              </w:rPr>
            </w:pPr>
            <w:r w:rsidRPr="00226205">
              <w:rPr>
                <w:rFonts w:ascii="Calibri" w:hAnsi="Calibri" w:cs="Calibri"/>
                <w:color w:val="000000"/>
                <w:sz w:val="18"/>
                <w:szCs w:val="18"/>
              </w:rPr>
              <w:t>Leisure Services</w:t>
            </w:r>
          </w:p>
        </w:tc>
        <w:tc>
          <w:tcPr>
            <w:tcW w:w="1417" w:type="dxa"/>
            <w:shd w:val="clear" w:color="auto" w:fill="auto"/>
            <w:hideMark/>
          </w:tcPr>
          <w:p w:rsidR="00226205" w:rsidRPr="00226205" w:rsidRDefault="00226205" w:rsidP="00226205">
            <w:pPr>
              <w:jc w:val="center"/>
              <w:rPr>
                <w:rFonts w:ascii="Calibri" w:hAnsi="Calibri" w:cs="Calibri"/>
                <w:color w:val="000000"/>
                <w:sz w:val="18"/>
                <w:szCs w:val="18"/>
              </w:rPr>
            </w:pPr>
            <w:r w:rsidRPr="00226205">
              <w:rPr>
                <w:rFonts w:ascii="Calibri" w:hAnsi="Calibri" w:cs="Calibri"/>
                <w:color w:val="000000"/>
                <w:sz w:val="18"/>
                <w:szCs w:val="18"/>
              </w:rPr>
              <w:t>Offices /Administration</w:t>
            </w:r>
          </w:p>
        </w:tc>
        <w:tc>
          <w:tcPr>
            <w:tcW w:w="2410" w:type="dxa"/>
            <w:shd w:val="clear" w:color="auto" w:fill="auto"/>
            <w:hideMark/>
          </w:tcPr>
          <w:p w:rsidR="00226205" w:rsidRPr="00226205" w:rsidRDefault="00226205" w:rsidP="00226205">
            <w:pPr>
              <w:jc w:val="left"/>
              <w:rPr>
                <w:rFonts w:ascii="Calibri" w:hAnsi="Calibri" w:cs="Calibri"/>
                <w:color w:val="000000"/>
                <w:sz w:val="18"/>
                <w:szCs w:val="18"/>
              </w:rPr>
            </w:pPr>
            <w:r w:rsidRPr="00226205">
              <w:rPr>
                <w:rFonts w:ascii="Calibri" w:hAnsi="Calibri" w:cs="Calibri"/>
                <w:color w:val="000000"/>
                <w:sz w:val="18"/>
                <w:szCs w:val="18"/>
              </w:rPr>
              <w:t xml:space="preserve">The building is generally in an excellent condition. </w:t>
            </w:r>
          </w:p>
        </w:tc>
        <w:tc>
          <w:tcPr>
            <w:tcW w:w="3118" w:type="dxa"/>
            <w:shd w:val="clear" w:color="auto" w:fill="auto"/>
            <w:hideMark/>
          </w:tcPr>
          <w:p w:rsidR="00226205" w:rsidRPr="00226205" w:rsidRDefault="00226205" w:rsidP="00226205">
            <w:pPr>
              <w:jc w:val="left"/>
              <w:rPr>
                <w:rFonts w:ascii="Calibri" w:hAnsi="Calibri" w:cs="Calibri"/>
                <w:color w:val="000000"/>
                <w:sz w:val="18"/>
                <w:szCs w:val="18"/>
              </w:rPr>
            </w:pPr>
            <w:r w:rsidRPr="00226205">
              <w:rPr>
                <w:rFonts w:ascii="Calibri" w:hAnsi="Calibri" w:cs="Calibri"/>
                <w:color w:val="000000"/>
                <w:sz w:val="18"/>
                <w:szCs w:val="18"/>
              </w:rPr>
              <w:t>There is insufficient space for staff administration. There is no customer cafeteria. Staff kitchen is ok but no facilities for patrons. Surrounding fencing and outside space could be improved.</w:t>
            </w:r>
          </w:p>
        </w:tc>
      </w:tr>
      <w:tr w:rsidR="00226205" w:rsidRPr="00226205" w:rsidTr="00B77D83">
        <w:trPr>
          <w:cantSplit/>
          <w:trHeight w:val="2250"/>
        </w:trPr>
        <w:tc>
          <w:tcPr>
            <w:tcW w:w="998" w:type="dxa"/>
            <w:shd w:val="clear" w:color="auto" w:fill="auto"/>
            <w:hideMark/>
          </w:tcPr>
          <w:p w:rsidR="00226205" w:rsidRPr="00226205" w:rsidRDefault="00226205" w:rsidP="006918D2">
            <w:pPr>
              <w:jc w:val="center"/>
              <w:rPr>
                <w:rFonts w:ascii="Calibri" w:hAnsi="Calibri" w:cs="Calibri"/>
                <w:color w:val="000000"/>
                <w:sz w:val="18"/>
                <w:szCs w:val="18"/>
              </w:rPr>
            </w:pPr>
            <w:r w:rsidRPr="00226205">
              <w:rPr>
                <w:rFonts w:ascii="Calibri" w:hAnsi="Calibri" w:cs="Calibri"/>
                <w:color w:val="000000"/>
                <w:sz w:val="18"/>
                <w:szCs w:val="18"/>
              </w:rPr>
              <w:t>B000061</w:t>
            </w:r>
          </w:p>
        </w:tc>
        <w:tc>
          <w:tcPr>
            <w:tcW w:w="2693" w:type="dxa"/>
            <w:shd w:val="clear" w:color="auto" w:fill="auto"/>
            <w:hideMark/>
          </w:tcPr>
          <w:p w:rsidR="00226205" w:rsidRPr="00226205" w:rsidRDefault="00226205" w:rsidP="00226205">
            <w:pPr>
              <w:rPr>
                <w:rFonts w:ascii="Calibri" w:hAnsi="Calibri" w:cs="Calibri"/>
                <w:color w:val="000000"/>
                <w:sz w:val="18"/>
                <w:szCs w:val="18"/>
              </w:rPr>
            </w:pPr>
            <w:r w:rsidRPr="00226205">
              <w:rPr>
                <w:rFonts w:ascii="Calibri" w:hAnsi="Calibri" w:cs="Calibri"/>
                <w:noProof/>
                <w:color w:val="000000"/>
                <w:sz w:val="18"/>
                <w:szCs w:val="18"/>
              </w:rPr>
              <w:drawing>
                <wp:anchor distT="0" distB="0" distL="114300" distR="114300" simplePos="0" relativeHeight="251798016" behindDoc="0" locked="0" layoutInCell="1" allowOverlap="1" wp14:anchorId="77F6ADF7" wp14:editId="4D7CDC7C">
                  <wp:simplePos x="0" y="0"/>
                  <wp:positionH relativeFrom="column">
                    <wp:posOffset>-20955</wp:posOffset>
                  </wp:positionH>
                  <wp:positionV relativeFrom="paragraph">
                    <wp:posOffset>68775</wp:posOffset>
                  </wp:positionV>
                  <wp:extent cx="1630680" cy="1306195"/>
                  <wp:effectExtent l="0" t="0" r="0" b="0"/>
                  <wp:wrapNone/>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Picture 121"/>
                          <pic:cNvPicPr>
                            <a:picLocks noChangeAspect="1"/>
                          </pic:cNvPicPr>
                        </pic:nvPicPr>
                        <pic:blipFill>
                          <a:blip r:embed="rId118">
                            <a:extLst>
                              <a:ext uri="{28A0092B-C50C-407E-A947-70E740481C1C}">
                                <a14:useLocalDpi xmlns:a14="http://schemas.microsoft.com/office/drawing/2010/main" val="0"/>
                              </a:ext>
                            </a:extLst>
                          </a:blip>
                          <a:stretch>
                            <a:fillRect/>
                          </a:stretch>
                        </pic:blipFill>
                        <pic:spPr>
                          <a:xfrm>
                            <a:off x="0" y="0"/>
                            <a:ext cx="1630680" cy="1306195"/>
                          </a:xfrm>
                          <a:prstGeom prst="rect">
                            <a:avLst/>
                          </a:prstGeom>
                        </pic:spPr>
                      </pic:pic>
                    </a:graphicData>
                  </a:graphic>
                  <wp14:sizeRelH relativeFrom="page">
                    <wp14:pctWidth>0</wp14:pctWidth>
                  </wp14:sizeRelH>
                  <wp14:sizeRelV relativeFrom="page">
                    <wp14:pctHeight>0</wp14:pctHeight>
                  </wp14:sizeRelV>
                </wp:anchor>
              </w:drawing>
            </w:r>
          </w:p>
        </w:tc>
        <w:tc>
          <w:tcPr>
            <w:tcW w:w="2268" w:type="dxa"/>
            <w:shd w:val="clear" w:color="auto" w:fill="auto"/>
            <w:hideMark/>
          </w:tcPr>
          <w:p w:rsidR="00226205" w:rsidRPr="00226205" w:rsidRDefault="00226205" w:rsidP="00A54993">
            <w:pPr>
              <w:jc w:val="left"/>
              <w:rPr>
                <w:rFonts w:ascii="Calibri" w:hAnsi="Calibri" w:cs="Calibri"/>
                <w:color w:val="000000"/>
                <w:sz w:val="18"/>
                <w:szCs w:val="18"/>
              </w:rPr>
            </w:pPr>
            <w:r w:rsidRPr="00226205">
              <w:rPr>
                <w:rFonts w:ascii="Calibri" w:hAnsi="Calibri" w:cs="Calibri"/>
                <w:color w:val="000000"/>
                <w:sz w:val="18"/>
                <w:szCs w:val="18"/>
              </w:rPr>
              <w:t xml:space="preserve">Equipment Shed, Burnley Golf Course- Madden Grove, Burnley </w:t>
            </w:r>
          </w:p>
        </w:tc>
        <w:tc>
          <w:tcPr>
            <w:tcW w:w="1276" w:type="dxa"/>
            <w:shd w:val="clear" w:color="auto" w:fill="auto"/>
            <w:hideMark/>
          </w:tcPr>
          <w:p w:rsidR="00226205" w:rsidRPr="00226205" w:rsidRDefault="00226205" w:rsidP="00B77D83">
            <w:pPr>
              <w:tabs>
                <w:tab w:val="decimal" w:pos="884"/>
              </w:tabs>
              <w:jc w:val="left"/>
              <w:rPr>
                <w:rFonts w:ascii="Calibri" w:hAnsi="Calibri" w:cs="Calibri"/>
                <w:color w:val="000000"/>
                <w:sz w:val="18"/>
                <w:szCs w:val="18"/>
              </w:rPr>
            </w:pPr>
            <w:r w:rsidRPr="00226205">
              <w:rPr>
                <w:rFonts w:ascii="Calibri" w:hAnsi="Calibri" w:cs="Calibri"/>
                <w:color w:val="000000"/>
                <w:sz w:val="18"/>
                <w:szCs w:val="18"/>
              </w:rPr>
              <w:t>$155,038</w:t>
            </w:r>
          </w:p>
        </w:tc>
        <w:tc>
          <w:tcPr>
            <w:tcW w:w="1134" w:type="dxa"/>
            <w:shd w:val="clear" w:color="auto" w:fill="auto"/>
            <w:hideMark/>
          </w:tcPr>
          <w:p w:rsidR="00226205" w:rsidRPr="00226205" w:rsidRDefault="00226205" w:rsidP="00226205">
            <w:pPr>
              <w:jc w:val="center"/>
              <w:rPr>
                <w:rFonts w:ascii="Calibri" w:hAnsi="Calibri" w:cs="Calibri"/>
                <w:color w:val="000000"/>
                <w:sz w:val="18"/>
                <w:szCs w:val="18"/>
              </w:rPr>
            </w:pPr>
            <w:r w:rsidRPr="00226205">
              <w:rPr>
                <w:rFonts w:ascii="Calibri" w:hAnsi="Calibri" w:cs="Calibri"/>
                <w:color w:val="000000"/>
                <w:sz w:val="18"/>
                <w:szCs w:val="18"/>
              </w:rPr>
              <w:t>Leisure Services</w:t>
            </w:r>
          </w:p>
        </w:tc>
        <w:tc>
          <w:tcPr>
            <w:tcW w:w="1417" w:type="dxa"/>
            <w:shd w:val="clear" w:color="auto" w:fill="auto"/>
            <w:hideMark/>
          </w:tcPr>
          <w:p w:rsidR="00226205" w:rsidRPr="00226205" w:rsidRDefault="00226205" w:rsidP="00226205">
            <w:pPr>
              <w:jc w:val="center"/>
              <w:rPr>
                <w:rFonts w:ascii="Calibri" w:hAnsi="Calibri" w:cs="Calibri"/>
                <w:color w:val="000000"/>
                <w:sz w:val="18"/>
                <w:szCs w:val="18"/>
              </w:rPr>
            </w:pPr>
            <w:r w:rsidRPr="00226205">
              <w:rPr>
                <w:rFonts w:ascii="Calibri" w:hAnsi="Calibri" w:cs="Calibri"/>
                <w:color w:val="000000"/>
                <w:sz w:val="18"/>
                <w:szCs w:val="18"/>
              </w:rPr>
              <w:t>Stores / Sheds / Garages</w:t>
            </w:r>
          </w:p>
        </w:tc>
        <w:tc>
          <w:tcPr>
            <w:tcW w:w="2410" w:type="dxa"/>
            <w:shd w:val="clear" w:color="auto" w:fill="auto"/>
            <w:hideMark/>
          </w:tcPr>
          <w:p w:rsidR="00226205" w:rsidRPr="00226205" w:rsidRDefault="00226205" w:rsidP="00226205">
            <w:pPr>
              <w:jc w:val="left"/>
              <w:rPr>
                <w:rFonts w:ascii="Calibri" w:hAnsi="Calibri" w:cs="Calibri"/>
                <w:color w:val="000000"/>
                <w:sz w:val="18"/>
                <w:szCs w:val="18"/>
              </w:rPr>
            </w:pPr>
            <w:r w:rsidRPr="00226205">
              <w:rPr>
                <w:rFonts w:ascii="Calibri" w:hAnsi="Calibri" w:cs="Calibri"/>
                <w:color w:val="000000"/>
                <w:sz w:val="18"/>
                <w:szCs w:val="18"/>
              </w:rPr>
              <w:t xml:space="preserve">The building is generally in a good condition. </w:t>
            </w:r>
          </w:p>
        </w:tc>
        <w:tc>
          <w:tcPr>
            <w:tcW w:w="3118" w:type="dxa"/>
            <w:shd w:val="clear" w:color="auto" w:fill="auto"/>
            <w:hideMark/>
          </w:tcPr>
          <w:p w:rsidR="00226205" w:rsidRPr="00226205" w:rsidRDefault="00226205" w:rsidP="00226205">
            <w:pPr>
              <w:jc w:val="left"/>
              <w:rPr>
                <w:rFonts w:ascii="Calibri" w:hAnsi="Calibri" w:cs="Calibri"/>
                <w:color w:val="000000"/>
                <w:sz w:val="18"/>
                <w:szCs w:val="18"/>
              </w:rPr>
            </w:pPr>
            <w:r w:rsidRPr="00226205">
              <w:rPr>
                <w:rFonts w:ascii="Calibri" w:hAnsi="Calibri" w:cs="Calibri"/>
                <w:color w:val="000000"/>
                <w:sz w:val="18"/>
                <w:szCs w:val="18"/>
              </w:rPr>
              <w:t>Space is far too small with an additional shipping container currently in use. Reconfiguration could improve storage capacity.  Staff currently use kitchen in pro shop. The roller door needs upgrade to commercial grade.</w:t>
            </w:r>
          </w:p>
        </w:tc>
      </w:tr>
      <w:tr w:rsidR="00226205" w:rsidRPr="00226205" w:rsidTr="00B77D83">
        <w:trPr>
          <w:cantSplit/>
          <w:trHeight w:val="2126"/>
        </w:trPr>
        <w:tc>
          <w:tcPr>
            <w:tcW w:w="998" w:type="dxa"/>
            <w:shd w:val="clear" w:color="auto" w:fill="auto"/>
            <w:hideMark/>
          </w:tcPr>
          <w:p w:rsidR="00226205" w:rsidRPr="00226205" w:rsidRDefault="00226205" w:rsidP="006918D2">
            <w:pPr>
              <w:jc w:val="center"/>
              <w:rPr>
                <w:rFonts w:ascii="Calibri" w:hAnsi="Calibri" w:cs="Calibri"/>
                <w:color w:val="000000"/>
                <w:sz w:val="18"/>
                <w:szCs w:val="18"/>
              </w:rPr>
            </w:pPr>
            <w:r w:rsidRPr="00226205">
              <w:rPr>
                <w:rFonts w:ascii="Calibri" w:hAnsi="Calibri" w:cs="Calibri"/>
                <w:color w:val="000000"/>
                <w:sz w:val="18"/>
                <w:szCs w:val="18"/>
              </w:rPr>
              <w:t>B000063</w:t>
            </w:r>
          </w:p>
        </w:tc>
        <w:tc>
          <w:tcPr>
            <w:tcW w:w="2693" w:type="dxa"/>
            <w:shd w:val="clear" w:color="auto" w:fill="auto"/>
            <w:hideMark/>
          </w:tcPr>
          <w:p w:rsidR="00226205" w:rsidRPr="00226205" w:rsidRDefault="00226205" w:rsidP="00226205">
            <w:pPr>
              <w:rPr>
                <w:rFonts w:ascii="Calibri" w:hAnsi="Calibri" w:cs="Calibri"/>
                <w:color w:val="000000"/>
                <w:sz w:val="18"/>
                <w:szCs w:val="18"/>
              </w:rPr>
            </w:pPr>
            <w:r w:rsidRPr="00226205">
              <w:rPr>
                <w:rFonts w:ascii="Calibri" w:hAnsi="Calibri" w:cs="Calibri"/>
                <w:noProof/>
                <w:color w:val="000000"/>
                <w:sz w:val="18"/>
                <w:szCs w:val="18"/>
              </w:rPr>
              <w:drawing>
                <wp:anchor distT="0" distB="0" distL="114300" distR="114300" simplePos="0" relativeHeight="251765248" behindDoc="0" locked="0" layoutInCell="1" allowOverlap="1" wp14:anchorId="4A234F59" wp14:editId="47A7DC0D">
                  <wp:simplePos x="0" y="0"/>
                  <wp:positionH relativeFrom="column">
                    <wp:posOffset>-20955</wp:posOffset>
                  </wp:positionH>
                  <wp:positionV relativeFrom="paragraph">
                    <wp:posOffset>28575</wp:posOffset>
                  </wp:positionV>
                  <wp:extent cx="1630680" cy="1288415"/>
                  <wp:effectExtent l="0" t="0" r="0" b="0"/>
                  <wp:wrapNone/>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104"/>
                          <pic:cNvPicPr>
                            <a:picLocks noChangeAspect="1"/>
                          </pic:cNvPicPr>
                        </pic:nvPicPr>
                        <pic:blipFill>
                          <a:blip r:embed="rId119">
                            <a:extLst>
                              <a:ext uri="{28A0092B-C50C-407E-A947-70E740481C1C}">
                                <a14:useLocalDpi xmlns:a14="http://schemas.microsoft.com/office/drawing/2010/main" val="0"/>
                              </a:ext>
                            </a:extLst>
                          </a:blip>
                          <a:stretch>
                            <a:fillRect/>
                          </a:stretch>
                        </pic:blipFill>
                        <pic:spPr>
                          <a:xfrm>
                            <a:off x="0" y="0"/>
                            <a:ext cx="1630680" cy="1288415"/>
                          </a:xfrm>
                          <a:prstGeom prst="rect">
                            <a:avLst/>
                          </a:prstGeom>
                        </pic:spPr>
                      </pic:pic>
                    </a:graphicData>
                  </a:graphic>
                  <wp14:sizeRelH relativeFrom="page">
                    <wp14:pctWidth>0</wp14:pctWidth>
                  </wp14:sizeRelH>
                  <wp14:sizeRelV relativeFrom="page">
                    <wp14:pctHeight>0</wp14:pctHeight>
                  </wp14:sizeRelV>
                </wp:anchor>
              </w:drawing>
            </w:r>
          </w:p>
        </w:tc>
        <w:tc>
          <w:tcPr>
            <w:tcW w:w="2268" w:type="dxa"/>
            <w:shd w:val="clear" w:color="auto" w:fill="auto"/>
            <w:hideMark/>
          </w:tcPr>
          <w:p w:rsidR="00226205" w:rsidRPr="00226205" w:rsidRDefault="00226205" w:rsidP="00A54993">
            <w:pPr>
              <w:jc w:val="left"/>
              <w:rPr>
                <w:rFonts w:ascii="Calibri" w:hAnsi="Calibri" w:cs="Calibri"/>
                <w:color w:val="000000"/>
                <w:sz w:val="18"/>
                <w:szCs w:val="18"/>
              </w:rPr>
            </w:pPr>
            <w:r w:rsidRPr="00226205">
              <w:rPr>
                <w:rFonts w:ascii="Calibri" w:hAnsi="Calibri" w:cs="Calibri"/>
                <w:color w:val="000000"/>
                <w:sz w:val="18"/>
                <w:szCs w:val="18"/>
              </w:rPr>
              <w:t>Pavilion - Burnley Park</w:t>
            </w:r>
          </w:p>
        </w:tc>
        <w:tc>
          <w:tcPr>
            <w:tcW w:w="1276" w:type="dxa"/>
            <w:shd w:val="clear" w:color="auto" w:fill="auto"/>
            <w:hideMark/>
          </w:tcPr>
          <w:p w:rsidR="00226205" w:rsidRPr="00226205" w:rsidRDefault="00226205" w:rsidP="00B77D83">
            <w:pPr>
              <w:tabs>
                <w:tab w:val="decimal" w:pos="884"/>
              </w:tabs>
              <w:jc w:val="left"/>
              <w:rPr>
                <w:rFonts w:ascii="Calibri" w:hAnsi="Calibri" w:cs="Calibri"/>
                <w:color w:val="000000"/>
                <w:sz w:val="18"/>
                <w:szCs w:val="18"/>
              </w:rPr>
            </w:pPr>
            <w:r w:rsidRPr="00226205">
              <w:rPr>
                <w:rFonts w:ascii="Calibri" w:hAnsi="Calibri" w:cs="Calibri"/>
                <w:color w:val="000000"/>
                <w:sz w:val="18"/>
                <w:szCs w:val="18"/>
              </w:rPr>
              <w:t>$1,254,686</w:t>
            </w:r>
          </w:p>
        </w:tc>
        <w:tc>
          <w:tcPr>
            <w:tcW w:w="1134" w:type="dxa"/>
            <w:shd w:val="clear" w:color="auto" w:fill="auto"/>
            <w:hideMark/>
          </w:tcPr>
          <w:p w:rsidR="00226205" w:rsidRPr="00226205" w:rsidRDefault="00226205" w:rsidP="00226205">
            <w:pPr>
              <w:jc w:val="center"/>
              <w:rPr>
                <w:rFonts w:ascii="Calibri" w:hAnsi="Calibri" w:cs="Calibri"/>
                <w:color w:val="000000"/>
                <w:sz w:val="18"/>
                <w:szCs w:val="18"/>
              </w:rPr>
            </w:pPr>
            <w:r w:rsidRPr="00226205">
              <w:rPr>
                <w:rFonts w:ascii="Calibri" w:hAnsi="Calibri" w:cs="Calibri"/>
                <w:color w:val="000000"/>
                <w:sz w:val="18"/>
                <w:szCs w:val="18"/>
              </w:rPr>
              <w:t xml:space="preserve">Recreation </w:t>
            </w:r>
            <w:r w:rsidR="00B77D83">
              <w:rPr>
                <w:rFonts w:ascii="Calibri" w:hAnsi="Calibri" w:cs="Calibri"/>
                <w:color w:val="000000"/>
                <w:sz w:val="18"/>
                <w:szCs w:val="18"/>
              </w:rPr>
              <w:t>and</w:t>
            </w:r>
            <w:r w:rsidRPr="00226205">
              <w:rPr>
                <w:rFonts w:ascii="Calibri" w:hAnsi="Calibri" w:cs="Calibri"/>
                <w:color w:val="000000"/>
                <w:sz w:val="18"/>
                <w:szCs w:val="18"/>
              </w:rPr>
              <w:t xml:space="preserve"> Open Space</w:t>
            </w:r>
          </w:p>
        </w:tc>
        <w:tc>
          <w:tcPr>
            <w:tcW w:w="1417" w:type="dxa"/>
            <w:shd w:val="clear" w:color="auto" w:fill="auto"/>
            <w:hideMark/>
          </w:tcPr>
          <w:p w:rsidR="00226205" w:rsidRPr="00226205" w:rsidRDefault="00226205" w:rsidP="00226205">
            <w:pPr>
              <w:jc w:val="center"/>
              <w:rPr>
                <w:rFonts w:ascii="Calibri" w:hAnsi="Calibri" w:cs="Calibri"/>
                <w:color w:val="000000"/>
                <w:sz w:val="18"/>
                <w:szCs w:val="18"/>
              </w:rPr>
            </w:pPr>
            <w:r w:rsidRPr="00226205">
              <w:rPr>
                <w:rFonts w:ascii="Calibri" w:hAnsi="Calibri" w:cs="Calibri"/>
                <w:color w:val="000000"/>
                <w:sz w:val="18"/>
                <w:szCs w:val="18"/>
              </w:rPr>
              <w:t>Pavilions / Clubrooms / Change rooms</w:t>
            </w:r>
          </w:p>
        </w:tc>
        <w:tc>
          <w:tcPr>
            <w:tcW w:w="2410" w:type="dxa"/>
            <w:shd w:val="clear" w:color="auto" w:fill="auto"/>
            <w:hideMark/>
          </w:tcPr>
          <w:p w:rsidR="00226205" w:rsidRPr="00226205" w:rsidRDefault="00226205" w:rsidP="00226205">
            <w:pPr>
              <w:jc w:val="left"/>
              <w:rPr>
                <w:rFonts w:ascii="Calibri" w:hAnsi="Calibri" w:cs="Calibri"/>
                <w:color w:val="000000"/>
                <w:sz w:val="18"/>
                <w:szCs w:val="18"/>
              </w:rPr>
            </w:pPr>
            <w:r w:rsidRPr="00226205">
              <w:rPr>
                <w:rFonts w:ascii="Calibri" w:hAnsi="Calibri" w:cs="Calibri"/>
                <w:color w:val="000000"/>
                <w:sz w:val="18"/>
                <w:szCs w:val="18"/>
              </w:rPr>
              <w:t xml:space="preserve">The building is generally in a good condition. </w:t>
            </w:r>
          </w:p>
        </w:tc>
        <w:tc>
          <w:tcPr>
            <w:tcW w:w="3118" w:type="dxa"/>
            <w:shd w:val="clear" w:color="auto" w:fill="auto"/>
            <w:hideMark/>
          </w:tcPr>
          <w:p w:rsidR="00226205" w:rsidRPr="00226205" w:rsidRDefault="00226205" w:rsidP="00226205">
            <w:pPr>
              <w:jc w:val="left"/>
              <w:rPr>
                <w:rFonts w:ascii="Calibri" w:hAnsi="Calibri" w:cs="Calibri"/>
                <w:color w:val="000000"/>
                <w:sz w:val="18"/>
                <w:szCs w:val="18"/>
              </w:rPr>
            </w:pPr>
            <w:r w:rsidRPr="00226205">
              <w:rPr>
                <w:rFonts w:ascii="Calibri" w:hAnsi="Calibri" w:cs="Calibri"/>
                <w:color w:val="000000"/>
                <w:sz w:val="18"/>
                <w:szCs w:val="18"/>
              </w:rPr>
              <w:t>Building is relatively new however the internal operable walls may need replacement.</w:t>
            </w:r>
          </w:p>
        </w:tc>
      </w:tr>
      <w:tr w:rsidR="00226205" w:rsidRPr="00226205" w:rsidTr="00B77D83">
        <w:trPr>
          <w:cantSplit/>
          <w:trHeight w:val="2280"/>
        </w:trPr>
        <w:tc>
          <w:tcPr>
            <w:tcW w:w="998" w:type="dxa"/>
            <w:shd w:val="clear" w:color="auto" w:fill="auto"/>
            <w:hideMark/>
          </w:tcPr>
          <w:p w:rsidR="00226205" w:rsidRPr="00226205" w:rsidRDefault="00226205" w:rsidP="006918D2">
            <w:pPr>
              <w:jc w:val="center"/>
              <w:rPr>
                <w:rFonts w:ascii="Calibri" w:hAnsi="Calibri" w:cs="Calibri"/>
                <w:color w:val="000000"/>
                <w:sz w:val="18"/>
                <w:szCs w:val="18"/>
              </w:rPr>
            </w:pPr>
            <w:r w:rsidRPr="00226205">
              <w:rPr>
                <w:rFonts w:ascii="Calibri" w:hAnsi="Calibri" w:cs="Calibri"/>
                <w:color w:val="000000"/>
                <w:sz w:val="18"/>
                <w:szCs w:val="18"/>
              </w:rPr>
              <w:t>B000064</w:t>
            </w:r>
          </w:p>
        </w:tc>
        <w:tc>
          <w:tcPr>
            <w:tcW w:w="2693" w:type="dxa"/>
            <w:shd w:val="clear" w:color="auto" w:fill="auto"/>
            <w:hideMark/>
          </w:tcPr>
          <w:p w:rsidR="00226205" w:rsidRPr="00226205" w:rsidRDefault="00226205" w:rsidP="00226205">
            <w:pPr>
              <w:rPr>
                <w:rFonts w:ascii="Calibri" w:hAnsi="Calibri" w:cs="Calibri"/>
                <w:color w:val="000000"/>
                <w:sz w:val="18"/>
                <w:szCs w:val="18"/>
              </w:rPr>
            </w:pPr>
            <w:r w:rsidRPr="00226205">
              <w:rPr>
                <w:rFonts w:ascii="Calibri" w:hAnsi="Calibri" w:cs="Calibri"/>
                <w:noProof/>
                <w:color w:val="000000"/>
                <w:sz w:val="18"/>
                <w:szCs w:val="18"/>
              </w:rPr>
              <w:drawing>
                <wp:anchor distT="0" distB="0" distL="114300" distR="114300" simplePos="0" relativeHeight="251793920" behindDoc="0" locked="0" layoutInCell="1" allowOverlap="1" wp14:anchorId="0DB1CCF2" wp14:editId="79101ACE">
                  <wp:simplePos x="0" y="0"/>
                  <wp:positionH relativeFrom="column">
                    <wp:posOffset>-20955</wp:posOffset>
                  </wp:positionH>
                  <wp:positionV relativeFrom="paragraph">
                    <wp:posOffset>53340</wp:posOffset>
                  </wp:positionV>
                  <wp:extent cx="1630680" cy="1331595"/>
                  <wp:effectExtent l="0" t="0" r="0" b="0"/>
                  <wp:wrapNone/>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a:blip r:embed="rId120">
                            <a:extLst>
                              <a:ext uri="{28A0092B-C50C-407E-A947-70E740481C1C}">
                                <a14:useLocalDpi xmlns:a14="http://schemas.microsoft.com/office/drawing/2010/main" val="0"/>
                              </a:ext>
                            </a:extLst>
                          </a:blip>
                          <a:stretch>
                            <a:fillRect/>
                          </a:stretch>
                        </pic:blipFill>
                        <pic:spPr>
                          <a:xfrm>
                            <a:off x="0" y="0"/>
                            <a:ext cx="1630680" cy="1331595"/>
                          </a:xfrm>
                          <a:prstGeom prst="rect">
                            <a:avLst/>
                          </a:prstGeom>
                        </pic:spPr>
                      </pic:pic>
                    </a:graphicData>
                  </a:graphic>
                  <wp14:sizeRelH relativeFrom="page">
                    <wp14:pctWidth>0</wp14:pctWidth>
                  </wp14:sizeRelH>
                  <wp14:sizeRelV relativeFrom="page">
                    <wp14:pctHeight>0</wp14:pctHeight>
                  </wp14:sizeRelV>
                </wp:anchor>
              </w:drawing>
            </w:r>
          </w:p>
        </w:tc>
        <w:tc>
          <w:tcPr>
            <w:tcW w:w="2268" w:type="dxa"/>
            <w:shd w:val="clear" w:color="auto" w:fill="auto"/>
            <w:hideMark/>
          </w:tcPr>
          <w:p w:rsidR="00226205" w:rsidRPr="00226205" w:rsidRDefault="00226205" w:rsidP="00A54993">
            <w:pPr>
              <w:jc w:val="left"/>
              <w:rPr>
                <w:rFonts w:ascii="Calibri" w:hAnsi="Calibri" w:cs="Calibri"/>
                <w:color w:val="000000"/>
                <w:sz w:val="18"/>
                <w:szCs w:val="18"/>
              </w:rPr>
            </w:pPr>
            <w:r w:rsidRPr="00226205">
              <w:rPr>
                <w:rFonts w:ascii="Calibri" w:hAnsi="Calibri" w:cs="Calibri"/>
                <w:color w:val="000000"/>
                <w:sz w:val="18"/>
                <w:szCs w:val="18"/>
              </w:rPr>
              <w:t xml:space="preserve">Ex Parks Admin Building and Caretakers Cottage (vacant), Burnley Park- Bellevue Street, Burnley </w:t>
            </w:r>
          </w:p>
        </w:tc>
        <w:tc>
          <w:tcPr>
            <w:tcW w:w="1276" w:type="dxa"/>
            <w:shd w:val="clear" w:color="auto" w:fill="auto"/>
            <w:hideMark/>
          </w:tcPr>
          <w:p w:rsidR="00226205" w:rsidRPr="00226205" w:rsidRDefault="00226205" w:rsidP="00B77D83">
            <w:pPr>
              <w:tabs>
                <w:tab w:val="decimal" w:pos="884"/>
              </w:tabs>
              <w:jc w:val="left"/>
              <w:rPr>
                <w:rFonts w:ascii="Calibri" w:hAnsi="Calibri" w:cs="Calibri"/>
                <w:color w:val="000000"/>
                <w:sz w:val="18"/>
                <w:szCs w:val="18"/>
              </w:rPr>
            </w:pPr>
            <w:r w:rsidRPr="00226205">
              <w:rPr>
                <w:rFonts w:ascii="Calibri" w:hAnsi="Calibri" w:cs="Calibri"/>
                <w:color w:val="000000"/>
                <w:sz w:val="18"/>
                <w:szCs w:val="18"/>
              </w:rPr>
              <w:t>$44,220</w:t>
            </w:r>
          </w:p>
        </w:tc>
        <w:tc>
          <w:tcPr>
            <w:tcW w:w="1134" w:type="dxa"/>
            <w:shd w:val="clear" w:color="auto" w:fill="auto"/>
            <w:hideMark/>
          </w:tcPr>
          <w:p w:rsidR="00226205" w:rsidRPr="00226205" w:rsidRDefault="00226205" w:rsidP="00226205">
            <w:pPr>
              <w:jc w:val="center"/>
              <w:rPr>
                <w:rFonts w:ascii="Calibri" w:hAnsi="Calibri" w:cs="Calibri"/>
                <w:color w:val="000000"/>
                <w:sz w:val="18"/>
                <w:szCs w:val="18"/>
              </w:rPr>
            </w:pPr>
            <w:r w:rsidRPr="00226205">
              <w:rPr>
                <w:rFonts w:ascii="Calibri" w:hAnsi="Calibri" w:cs="Calibri"/>
                <w:color w:val="000000"/>
                <w:sz w:val="18"/>
                <w:szCs w:val="18"/>
              </w:rPr>
              <w:t>Commercial</w:t>
            </w:r>
          </w:p>
        </w:tc>
        <w:tc>
          <w:tcPr>
            <w:tcW w:w="1417" w:type="dxa"/>
            <w:shd w:val="clear" w:color="auto" w:fill="auto"/>
            <w:hideMark/>
          </w:tcPr>
          <w:p w:rsidR="00226205" w:rsidRPr="00226205" w:rsidRDefault="00226205" w:rsidP="00226205">
            <w:pPr>
              <w:jc w:val="center"/>
              <w:rPr>
                <w:rFonts w:ascii="Calibri" w:hAnsi="Calibri" w:cs="Calibri"/>
                <w:color w:val="000000"/>
                <w:sz w:val="18"/>
                <w:szCs w:val="18"/>
              </w:rPr>
            </w:pPr>
            <w:r w:rsidRPr="00226205">
              <w:rPr>
                <w:rFonts w:ascii="Calibri" w:hAnsi="Calibri" w:cs="Calibri"/>
                <w:color w:val="000000"/>
                <w:sz w:val="18"/>
                <w:szCs w:val="18"/>
              </w:rPr>
              <w:t>Residences</w:t>
            </w:r>
          </w:p>
        </w:tc>
        <w:tc>
          <w:tcPr>
            <w:tcW w:w="2410" w:type="dxa"/>
            <w:shd w:val="clear" w:color="auto" w:fill="auto"/>
            <w:hideMark/>
          </w:tcPr>
          <w:p w:rsidR="00226205" w:rsidRPr="00226205" w:rsidRDefault="00226205" w:rsidP="00226205">
            <w:pPr>
              <w:jc w:val="left"/>
              <w:rPr>
                <w:rFonts w:ascii="Calibri" w:hAnsi="Calibri" w:cs="Calibri"/>
                <w:color w:val="000000"/>
                <w:sz w:val="18"/>
                <w:szCs w:val="18"/>
              </w:rPr>
            </w:pPr>
            <w:r w:rsidRPr="00226205">
              <w:rPr>
                <w:rFonts w:ascii="Calibri" w:hAnsi="Calibri" w:cs="Calibri"/>
                <w:color w:val="000000"/>
                <w:sz w:val="18"/>
                <w:szCs w:val="18"/>
              </w:rPr>
              <w:t>The house is generally in a fair condition requiring work to the structure, mechanical, electrical and fitout. Floor requires underpinning.</w:t>
            </w:r>
          </w:p>
        </w:tc>
        <w:tc>
          <w:tcPr>
            <w:tcW w:w="3118" w:type="dxa"/>
            <w:shd w:val="clear" w:color="auto" w:fill="auto"/>
            <w:hideMark/>
          </w:tcPr>
          <w:p w:rsidR="00226205" w:rsidRPr="00226205" w:rsidRDefault="00226205" w:rsidP="00226205">
            <w:pPr>
              <w:jc w:val="left"/>
              <w:rPr>
                <w:rFonts w:ascii="Calibri" w:hAnsi="Calibri" w:cs="Calibri"/>
                <w:color w:val="000000"/>
                <w:sz w:val="18"/>
                <w:szCs w:val="18"/>
              </w:rPr>
            </w:pPr>
            <w:r w:rsidRPr="00226205">
              <w:rPr>
                <w:rFonts w:ascii="Calibri" w:hAnsi="Calibri" w:cs="Calibri"/>
                <w:color w:val="000000"/>
                <w:sz w:val="18"/>
                <w:szCs w:val="18"/>
              </w:rPr>
              <w:t>No service currently delivered through building. The building is currently vacant.  Potential for letting the site for a commercial café.  Building will be required to upgraded to meet BCA/DDA compliance and to fitout as café use.</w:t>
            </w:r>
          </w:p>
        </w:tc>
      </w:tr>
      <w:tr w:rsidR="00226205" w:rsidRPr="00226205" w:rsidTr="00B77D83">
        <w:trPr>
          <w:cantSplit/>
          <w:trHeight w:val="2039"/>
        </w:trPr>
        <w:tc>
          <w:tcPr>
            <w:tcW w:w="998" w:type="dxa"/>
            <w:shd w:val="clear" w:color="auto" w:fill="auto"/>
            <w:hideMark/>
          </w:tcPr>
          <w:p w:rsidR="00226205" w:rsidRPr="00226205" w:rsidRDefault="00226205" w:rsidP="006918D2">
            <w:pPr>
              <w:jc w:val="center"/>
              <w:rPr>
                <w:rFonts w:ascii="Calibri" w:hAnsi="Calibri" w:cs="Calibri"/>
                <w:color w:val="000000"/>
                <w:sz w:val="18"/>
                <w:szCs w:val="18"/>
              </w:rPr>
            </w:pPr>
            <w:r w:rsidRPr="00226205">
              <w:rPr>
                <w:rFonts w:ascii="Calibri" w:hAnsi="Calibri" w:cs="Calibri"/>
                <w:color w:val="000000"/>
                <w:sz w:val="18"/>
                <w:szCs w:val="18"/>
              </w:rPr>
              <w:t>B000066</w:t>
            </w:r>
          </w:p>
        </w:tc>
        <w:tc>
          <w:tcPr>
            <w:tcW w:w="2693" w:type="dxa"/>
            <w:shd w:val="clear" w:color="auto" w:fill="auto"/>
            <w:hideMark/>
          </w:tcPr>
          <w:p w:rsidR="00226205" w:rsidRPr="00226205" w:rsidRDefault="00226205" w:rsidP="00226205">
            <w:pPr>
              <w:rPr>
                <w:rFonts w:ascii="Calibri" w:hAnsi="Calibri" w:cs="Calibri"/>
                <w:color w:val="000000"/>
                <w:sz w:val="18"/>
                <w:szCs w:val="18"/>
              </w:rPr>
            </w:pPr>
            <w:r w:rsidRPr="00226205">
              <w:rPr>
                <w:rFonts w:ascii="Calibri" w:hAnsi="Calibri" w:cs="Calibri"/>
                <w:noProof/>
                <w:color w:val="000000"/>
                <w:sz w:val="18"/>
                <w:szCs w:val="18"/>
              </w:rPr>
              <w:drawing>
                <wp:anchor distT="0" distB="0" distL="114300" distR="114300" simplePos="0" relativeHeight="251766272" behindDoc="0" locked="0" layoutInCell="1" allowOverlap="1" wp14:anchorId="79E14832" wp14:editId="529B8DA4">
                  <wp:simplePos x="0" y="0"/>
                  <wp:positionH relativeFrom="column">
                    <wp:posOffset>-20955</wp:posOffset>
                  </wp:positionH>
                  <wp:positionV relativeFrom="paragraph">
                    <wp:posOffset>29015</wp:posOffset>
                  </wp:positionV>
                  <wp:extent cx="1630680" cy="1227455"/>
                  <wp:effectExtent l="0" t="0" r="0" b="0"/>
                  <wp:wrapNone/>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05"/>
                          <pic:cNvPicPr>
                            <a:picLocks noChangeAspect="1"/>
                          </pic:cNvPicPr>
                        </pic:nvPicPr>
                        <pic:blipFill>
                          <a:blip r:embed="rId121">
                            <a:extLst>
                              <a:ext uri="{28A0092B-C50C-407E-A947-70E740481C1C}">
                                <a14:useLocalDpi xmlns:a14="http://schemas.microsoft.com/office/drawing/2010/main" val="0"/>
                              </a:ext>
                            </a:extLst>
                          </a:blip>
                          <a:stretch>
                            <a:fillRect/>
                          </a:stretch>
                        </pic:blipFill>
                        <pic:spPr>
                          <a:xfrm>
                            <a:off x="0" y="0"/>
                            <a:ext cx="1630680" cy="1227455"/>
                          </a:xfrm>
                          <a:prstGeom prst="rect">
                            <a:avLst/>
                          </a:prstGeom>
                        </pic:spPr>
                      </pic:pic>
                    </a:graphicData>
                  </a:graphic>
                  <wp14:sizeRelH relativeFrom="page">
                    <wp14:pctWidth>0</wp14:pctWidth>
                  </wp14:sizeRelH>
                  <wp14:sizeRelV relativeFrom="page">
                    <wp14:pctHeight>0</wp14:pctHeight>
                  </wp14:sizeRelV>
                </wp:anchor>
              </w:drawing>
            </w:r>
          </w:p>
        </w:tc>
        <w:tc>
          <w:tcPr>
            <w:tcW w:w="2268" w:type="dxa"/>
            <w:shd w:val="clear" w:color="auto" w:fill="auto"/>
            <w:hideMark/>
          </w:tcPr>
          <w:p w:rsidR="00226205" w:rsidRPr="00226205" w:rsidRDefault="00226205" w:rsidP="00A54993">
            <w:pPr>
              <w:jc w:val="left"/>
              <w:rPr>
                <w:rFonts w:ascii="Calibri" w:hAnsi="Calibri" w:cs="Calibri"/>
                <w:color w:val="000000"/>
                <w:sz w:val="18"/>
                <w:szCs w:val="18"/>
              </w:rPr>
            </w:pPr>
            <w:r w:rsidRPr="00226205">
              <w:rPr>
                <w:rFonts w:ascii="Calibri" w:hAnsi="Calibri" w:cs="Calibri"/>
                <w:color w:val="000000"/>
                <w:sz w:val="18"/>
                <w:szCs w:val="18"/>
              </w:rPr>
              <w:t>Gillan Pavilion Kevin Bartlett Reserve- FR Smith Drive, Burnley</w:t>
            </w:r>
          </w:p>
        </w:tc>
        <w:tc>
          <w:tcPr>
            <w:tcW w:w="1276" w:type="dxa"/>
            <w:shd w:val="clear" w:color="auto" w:fill="auto"/>
            <w:hideMark/>
          </w:tcPr>
          <w:p w:rsidR="00226205" w:rsidRPr="00226205" w:rsidRDefault="00226205" w:rsidP="00B77D83">
            <w:pPr>
              <w:tabs>
                <w:tab w:val="decimal" w:pos="884"/>
              </w:tabs>
              <w:jc w:val="left"/>
              <w:rPr>
                <w:rFonts w:ascii="Calibri" w:hAnsi="Calibri" w:cs="Calibri"/>
                <w:color w:val="000000"/>
                <w:sz w:val="18"/>
                <w:szCs w:val="18"/>
              </w:rPr>
            </w:pPr>
            <w:r w:rsidRPr="00226205">
              <w:rPr>
                <w:rFonts w:ascii="Calibri" w:hAnsi="Calibri" w:cs="Calibri"/>
                <w:color w:val="000000"/>
                <w:sz w:val="18"/>
                <w:szCs w:val="18"/>
              </w:rPr>
              <w:t>$2,067,585</w:t>
            </w:r>
          </w:p>
        </w:tc>
        <w:tc>
          <w:tcPr>
            <w:tcW w:w="1134" w:type="dxa"/>
            <w:shd w:val="clear" w:color="auto" w:fill="auto"/>
            <w:hideMark/>
          </w:tcPr>
          <w:p w:rsidR="00226205" w:rsidRPr="00226205" w:rsidRDefault="00226205" w:rsidP="00226205">
            <w:pPr>
              <w:jc w:val="center"/>
              <w:rPr>
                <w:rFonts w:ascii="Calibri" w:hAnsi="Calibri" w:cs="Calibri"/>
                <w:color w:val="000000"/>
                <w:sz w:val="18"/>
                <w:szCs w:val="18"/>
              </w:rPr>
            </w:pPr>
            <w:r w:rsidRPr="00226205">
              <w:rPr>
                <w:rFonts w:ascii="Calibri" w:hAnsi="Calibri" w:cs="Calibri"/>
                <w:color w:val="000000"/>
                <w:sz w:val="18"/>
                <w:szCs w:val="18"/>
              </w:rPr>
              <w:t xml:space="preserve">Recreation </w:t>
            </w:r>
            <w:r w:rsidR="00B77D83">
              <w:rPr>
                <w:rFonts w:ascii="Calibri" w:hAnsi="Calibri" w:cs="Calibri"/>
                <w:color w:val="000000"/>
                <w:sz w:val="18"/>
                <w:szCs w:val="18"/>
              </w:rPr>
              <w:t>and</w:t>
            </w:r>
            <w:r w:rsidRPr="00226205">
              <w:rPr>
                <w:rFonts w:ascii="Calibri" w:hAnsi="Calibri" w:cs="Calibri"/>
                <w:color w:val="000000"/>
                <w:sz w:val="18"/>
                <w:szCs w:val="18"/>
              </w:rPr>
              <w:t xml:space="preserve"> Open Space</w:t>
            </w:r>
          </w:p>
        </w:tc>
        <w:tc>
          <w:tcPr>
            <w:tcW w:w="1417" w:type="dxa"/>
            <w:shd w:val="clear" w:color="auto" w:fill="auto"/>
            <w:hideMark/>
          </w:tcPr>
          <w:p w:rsidR="00226205" w:rsidRPr="00226205" w:rsidRDefault="00226205" w:rsidP="00226205">
            <w:pPr>
              <w:jc w:val="center"/>
              <w:rPr>
                <w:rFonts w:ascii="Calibri" w:hAnsi="Calibri" w:cs="Calibri"/>
                <w:color w:val="000000"/>
                <w:sz w:val="18"/>
                <w:szCs w:val="18"/>
              </w:rPr>
            </w:pPr>
            <w:r w:rsidRPr="00226205">
              <w:rPr>
                <w:rFonts w:ascii="Calibri" w:hAnsi="Calibri" w:cs="Calibri"/>
                <w:color w:val="000000"/>
                <w:sz w:val="18"/>
                <w:szCs w:val="18"/>
              </w:rPr>
              <w:t>Pavilions / Clubrooms / Change rooms</w:t>
            </w:r>
          </w:p>
        </w:tc>
        <w:tc>
          <w:tcPr>
            <w:tcW w:w="2410" w:type="dxa"/>
            <w:shd w:val="clear" w:color="auto" w:fill="auto"/>
            <w:hideMark/>
          </w:tcPr>
          <w:p w:rsidR="00226205" w:rsidRPr="00226205" w:rsidRDefault="00226205" w:rsidP="00226205">
            <w:pPr>
              <w:jc w:val="left"/>
              <w:rPr>
                <w:rFonts w:ascii="Calibri" w:hAnsi="Calibri" w:cs="Calibri"/>
                <w:color w:val="000000"/>
                <w:sz w:val="18"/>
                <w:szCs w:val="18"/>
              </w:rPr>
            </w:pPr>
            <w:r w:rsidRPr="00226205">
              <w:rPr>
                <w:rFonts w:ascii="Calibri" w:hAnsi="Calibri" w:cs="Calibri"/>
                <w:color w:val="000000"/>
                <w:sz w:val="18"/>
                <w:szCs w:val="18"/>
              </w:rPr>
              <w:t xml:space="preserve">The building is generally in a good condition mechanical needs attention. </w:t>
            </w:r>
          </w:p>
        </w:tc>
        <w:tc>
          <w:tcPr>
            <w:tcW w:w="3118" w:type="dxa"/>
            <w:shd w:val="clear" w:color="auto" w:fill="auto"/>
            <w:hideMark/>
          </w:tcPr>
          <w:p w:rsidR="00226205" w:rsidRPr="00226205" w:rsidRDefault="00226205" w:rsidP="00226205">
            <w:pPr>
              <w:jc w:val="left"/>
              <w:rPr>
                <w:rFonts w:ascii="Calibri" w:hAnsi="Calibri" w:cs="Calibri"/>
                <w:color w:val="000000"/>
                <w:sz w:val="18"/>
                <w:szCs w:val="18"/>
              </w:rPr>
            </w:pPr>
            <w:r w:rsidRPr="00226205">
              <w:rPr>
                <w:rFonts w:ascii="Calibri" w:hAnsi="Calibri" w:cs="Calibri"/>
                <w:color w:val="000000"/>
                <w:sz w:val="18"/>
                <w:szCs w:val="18"/>
              </w:rPr>
              <w:t xml:space="preserve">There is a lack DDA parking. Change rooms and toilets could be improved to meet current standards. Parts of building have to be closed during use. Additional toilets for social rooms could be considered.  </w:t>
            </w:r>
          </w:p>
        </w:tc>
      </w:tr>
      <w:tr w:rsidR="00226205" w:rsidRPr="00226205" w:rsidTr="00B77D83">
        <w:trPr>
          <w:cantSplit/>
          <w:trHeight w:val="2112"/>
        </w:trPr>
        <w:tc>
          <w:tcPr>
            <w:tcW w:w="998" w:type="dxa"/>
            <w:shd w:val="clear" w:color="auto" w:fill="auto"/>
            <w:hideMark/>
          </w:tcPr>
          <w:p w:rsidR="00226205" w:rsidRPr="00226205" w:rsidRDefault="00226205" w:rsidP="006918D2">
            <w:pPr>
              <w:jc w:val="center"/>
              <w:rPr>
                <w:rFonts w:ascii="Calibri" w:hAnsi="Calibri" w:cs="Calibri"/>
                <w:color w:val="000000"/>
                <w:sz w:val="18"/>
                <w:szCs w:val="18"/>
              </w:rPr>
            </w:pPr>
            <w:r w:rsidRPr="00226205">
              <w:rPr>
                <w:rFonts w:ascii="Calibri" w:hAnsi="Calibri" w:cs="Calibri"/>
                <w:color w:val="000000"/>
                <w:sz w:val="18"/>
                <w:szCs w:val="18"/>
              </w:rPr>
              <w:t>B000067</w:t>
            </w:r>
          </w:p>
        </w:tc>
        <w:tc>
          <w:tcPr>
            <w:tcW w:w="2693" w:type="dxa"/>
            <w:shd w:val="clear" w:color="auto" w:fill="auto"/>
            <w:hideMark/>
          </w:tcPr>
          <w:p w:rsidR="00226205" w:rsidRPr="00226205" w:rsidRDefault="00226205" w:rsidP="00226205">
            <w:pPr>
              <w:rPr>
                <w:rFonts w:ascii="Calibri" w:hAnsi="Calibri" w:cs="Calibri"/>
                <w:color w:val="000000"/>
                <w:sz w:val="18"/>
                <w:szCs w:val="18"/>
              </w:rPr>
            </w:pPr>
            <w:r w:rsidRPr="00226205">
              <w:rPr>
                <w:rFonts w:ascii="Calibri" w:hAnsi="Calibri" w:cs="Calibri"/>
                <w:noProof/>
                <w:color w:val="000000"/>
                <w:sz w:val="18"/>
                <w:szCs w:val="18"/>
              </w:rPr>
              <w:drawing>
                <wp:anchor distT="0" distB="0" distL="114300" distR="114300" simplePos="0" relativeHeight="251767296" behindDoc="0" locked="0" layoutInCell="1" allowOverlap="1" wp14:anchorId="3495A093" wp14:editId="6B3DF2A1">
                  <wp:simplePos x="0" y="0"/>
                  <wp:positionH relativeFrom="column">
                    <wp:posOffset>-20955</wp:posOffset>
                  </wp:positionH>
                  <wp:positionV relativeFrom="paragraph">
                    <wp:posOffset>57980</wp:posOffset>
                  </wp:positionV>
                  <wp:extent cx="1630680" cy="1216660"/>
                  <wp:effectExtent l="0" t="0" r="0" b="0"/>
                  <wp:wrapNone/>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6"/>
                          <pic:cNvPicPr>
                            <a:picLocks noChangeAspect="1"/>
                          </pic:cNvPicPr>
                        </pic:nvPicPr>
                        <pic:blipFill>
                          <a:blip r:embed="rId122">
                            <a:extLst>
                              <a:ext uri="{28A0092B-C50C-407E-A947-70E740481C1C}">
                                <a14:useLocalDpi xmlns:a14="http://schemas.microsoft.com/office/drawing/2010/main" val="0"/>
                              </a:ext>
                            </a:extLst>
                          </a:blip>
                          <a:stretch>
                            <a:fillRect/>
                          </a:stretch>
                        </pic:blipFill>
                        <pic:spPr>
                          <a:xfrm>
                            <a:off x="0" y="0"/>
                            <a:ext cx="1630680" cy="1216660"/>
                          </a:xfrm>
                          <a:prstGeom prst="rect">
                            <a:avLst/>
                          </a:prstGeom>
                        </pic:spPr>
                      </pic:pic>
                    </a:graphicData>
                  </a:graphic>
                  <wp14:sizeRelH relativeFrom="page">
                    <wp14:pctWidth>0</wp14:pctWidth>
                  </wp14:sizeRelH>
                  <wp14:sizeRelV relativeFrom="page">
                    <wp14:pctHeight>0</wp14:pctHeight>
                  </wp14:sizeRelV>
                </wp:anchor>
              </w:drawing>
            </w:r>
          </w:p>
        </w:tc>
        <w:tc>
          <w:tcPr>
            <w:tcW w:w="2268" w:type="dxa"/>
            <w:shd w:val="clear" w:color="auto" w:fill="auto"/>
            <w:hideMark/>
          </w:tcPr>
          <w:p w:rsidR="00226205" w:rsidRPr="00226205" w:rsidRDefault="00226205" w:rsidP="00A54993">
            <w:pPr>
              <w:jc w:val="left"/>
              <w:rPr>
                <w:rFonts w:ascii="Calibri" w:hAnsi="Calibri" w:cs="Calibri"/>
                <w:color w:val="000000"/>
                <w:sz w:val="18"/>
                <w:szCs w:val="18"/>
              </w:rPr>
            </w:pPr>
            <w:r w:rsidRPr="00226205">
              <w:rPr>
                <w:rFonts w:ascii="Calibri" w:hAnsi="Calibri" w:cs="Calibri"/>
                <w:color w:val="000000"/>
                <w:sz w:val="18"/>
                <w:szCs w:val="18"/>
              </w:rPr>
              <w:t>Johnston</w:t>
            </w:r>
            <w:r w:rsidR="00A54993">
              <w:rPr>
                <w:rFonts w:ascii="Calibri" w:hAnsi="Calibri" w:cs="Calibri"/>
                <w:color w:val="000000"/>
                <w:sz w:val="18"/>
                <w:szCs w:val="18"/>
              </w:rPr>
              <w:t xml:space="preserve"> </w:t>
            </w:r>
            <w:r w:rsidRPr="00226205">
              <w:rPr>
                <w:rFonts w:ascii="Calibri" w:hAnsi="Calibri" w:cs="Calibri"/>
                <w:color w:val="000000"/>
                <w:sz w:val="18"/>
                <w:szCs w:val="18"/>
              </w:rPr>
              <w:t>/</w:t>
            </w:r>
            <w:r w:rsidR="00A54993">
              <w:rPr>
                <w:rFonts w:ascii="Calibri" w:hAnsi="Calibri" w:cs="Calibri"/>
                <w:color w:val="000000"/>
                <w:sz w:val="18"/>
                <w:szCs w:val="18"/>
              </w:rPr>
              <w:t xml:space="preserve"> </w:t>
            </w:r>
            <w:r w:rsidRPr="00226205">
              <w:rPr>
                <w:rFonts w:ascii="Calibri" w:hAnsi="Calibri" w:cs="Calibri"/>
                <w:color w:val="000000"/>
                <w:sz w:val="18"/>
                <w:szCs w:val="18"/>
              </w:rPr>
              <w:t>Saunders</w:t>
            </w:r>
            <w:r w:rsidR="00A54993">
              <w:rPr>
                <w:rFonts w:ascii="Calibri" w:hAnsi="Calibri" w:cs="Calibri"/>
                <w:color w:val="000000"/>
                <w:sz w:val="18"/>
                <w:szCs w:val="18"/>
              </w:rPr>
              <w:t xml:space="preserve"> </w:t>
            </w:r>
            <w:r w:rsidRPr="00226205">
              <w:rPr>
                <w:rFonts w:ascii="Calibri" w:hAnsi="Calibri" w:cs="Calibri"/>
                <w:color w:val="000000"/>
                <w:sz w:val="18"/>
                <w:szCs w:val="18"/>
              </w:rPr>
              <w:t>/</w:t>
            </w:r>
            <w:r w:rsidR="00A54993">
              <w:rPr>
                <w:rFonts w:ascii="Calibri" w:hAnsi="Calibri" w:cs="Calibri"/>
                <w:color w:val="000000"/>
                <w:sz w:val="18"/>
                <w:szCs w:val="18"/>
              </w:rPr>
              <w:t xml:space="preserve"> </w:t>
            </w:r>
            <w:r w:rsidRPr="00226205">
              <w:rPr>
                <w:rFonts w:ascii="Calibri" w:hAnsi="Calibri" w:cs="Calibri"/>
                <w:color w:val="000000"/>
                <w:sz w:val="18"/>
                <w:szCs w:val="18"/>
              </w:rPr>
              <w:t>Loughnan Pavilion, Kevin Bartlett Reserve- FR Smith Drive, Burnley</w:t>
            </w:r>
          </w:p>
        </w:tc>
        <w:tc>
          <w:tcPr>
            <w:tcW w:w="1276" w:type="dxa"/>
            <w:shd w:val="clear" w:color="auto" w:fill="auto"/>
            <w:hideMark/>
          </w:tcPr>
          <w:p w:rsidR="00226205" w:rsidRPr="00226205" w:rsidRDefault="00226205" w:rsidP="00B77D83">
            <w:pPr>
              <w:tabs>
                <w:tab w:val="decimal" w:pos="884"/>
              </w:tabs>
              <w:jc w:val="left"/>
              <w:rPr>
                <w:rFonts w:ascii="Calibri" w:hAnsi="Calibri" w:cs="Calibri"/>
                <w:color w:val="000000"/>
                <w:sz w:val="18"/>
                <w:szCs w:val="18"/>
              </w:rPr>
            </w:pPr>
            <w:r w:rsidRPr="00226205">
              <w:rPr>
                <w:rFonts w:ascii="Calibri" w:hAnsi="Calibri" w:cs="Calibri"/>
                <w:color w:val="000000"/>
                <w:sz w:val="18"/>
                <w:szCs w:val="18"/>
              </w:rPr>
              <w:t>$1,258,530</w:t>
            </w:r>
          </w:p>
        </w:tc>
        <w:tc>
          <w:tcPr>
            <w:tcW w:w="1134" w:type="dxa"/>
            <w:shd w:val="clear" w:color="auto" w:fill="auto"/>
            <w:hideMark/>
          </w:tcPr>
          <w:p w:rsidR="00226205" w:rsidRPr="00226205" w:rsidRDefault="00226205" w:rsidP="00226205">
            <w:pPr>
              <w:jc w:val="center"/>
              <w:rPr>
                <w:rFonts w:ascii="Calibri" w:hAnsi="Calibri" w:cs="Calibri"/>
                <w:color w:val="000000"/>
                <w:sz w:val="18"/>
                <w:szCs w:val="18"/>
              </w:rPr>
            </w:pPr>
            <w:r w:rsidRPr="00226205">
              <w:rPr>
                <w:rFonts w:ascii="Calibri" w:hAnsi="Calibri" w:cs="Calibri"/>
                <w:color w:val="000000"/>
                <w:sz w:val="18"/>
                <w:szCs w:val="18"/>
              </w:rPr>
              <w:t xml:space="preserve">Recreation </w:t>
            </w:r>
            <w:r w:rsidR="00B77D83">
              <w:rPr>
                <w:rFonts w:ascii="Calibri" w:hAnsi="Calibri" w:cs="Calibri"/>
                <w:color w:val="000000"/>
                <w:sz w:val="18"/>
                <w:szCs w:val="18"/>
              </w:rPr>
              <w:t>and</w:t>
            </w:r>
            <w:r w:rsidRPr="00226205">
              <w:rPr>
                <w:rFonts w:ascii="Calibri" w:hAnsi="Calibri" w:cs="Calibri"/>
                <w:color w:val="000000"/>
                <w:sz w:val="18"/>
                <w:szCs w:val="18"/>
              </w:rPr>
              <w:t xml:space="preserve"> Open Space</w:t>
            </w:r>
          </w:p>
        </w:tc>
        <w:tc>
          <w:tcPr>
            <w:tcW w:w="1417" w:type="dxa"/>
            <w:shd w:val="clear" w:color="auto" w:fill="auto"/>
            <w:hideMark/>
          </w:tcPr>
          <w:p w:rsidR="00226205" w:rsidRPr="00226205" w:rsidRDefault="00226205" w:rsidP="00226205">
            <w:pPr>
              <w:jc w:val="center"/>
              <w:rPr>
                <w:rFonts w:ascii="Calibri" w:hAnsi="Calibri" w:cs="Calibri"/>
                <w:color w:val="000000"/>
                <w:sz w:val="18"/>
                <w:szCs w:val="18"/>
              </w:rPr>
            </w:pPr>
            <w:r w:rsidRPr="00226205">
              <w:rPr>
                <w:rFonts w:ascii="Calibri" w:hAnsi="Calibri" w:cs="Calibri"/>
                <w:color w:val="000000"/>
                <w:sz w:val="18"/>
                <w:szCs w:val="18"/>
              </w:rPr>
              <w:t>Pavilions / Clubrooms / Change rooms</w:t>
            </w:r>
          </w:p>
        </w:tc>
        <w:tc>
          <w:tcPr>
            <w:tcW w:w="2410" w:type="dxa"/>
            <w:shd w:val="clear" w:color="auto" w:fill="auto"/>
            <w:hideMark/>
          </w:tcPr>
          <w:p w:rsidR="00226205" w:rsidRPr="00226205" w:rsidRDefault="00226205" w:rsidP="00226205">
            <w:pPr>
              <w:jc w:val="left"/>
              <w:rPr>
                <w:rFonts w:ascii="Calibri" w:hAnsi="Calibri" w:cs="Calibri"/>
                <w:color w:val="000000"/>
                <w:sz w:val="18"/>
                <w:szCs w:val="18"/>
              </w:rPr>
            </w:pPr>
            <w:r w:rsidRPr="00226205">
              <w:rPr>
                <w:rFonts w:ascii="Calibri" w:hAnsi="Calibri" w:cs="Calibri"/>
                <w:color w:val="000000"/>
                <w:sz w:val="18"/>
                <w:szCs w:val="18"/>
              </w:rPr>
              <w:t xml:space="preserve">The building is generally in a good condition. </w:t>
            </w:r>
          </w:p>
        </w:tc>
        <w:tc>
          <w:tcPr>
            <w:tcW w:w="3118" w:type="dxa"/>
            <w:shd w:val="clear" w:color="auto" w:fill="auto"/>
            <w:hideMark/>
          </w:tcPr>
          <w:p w:rsidR="00226205" w:rsidRPr="00226205" w:rsidRDefault="00226205" w:rsidP="00226205">
            <w:pPr>
              <w:jc w:val="left"/>
              <w:rPr>
                <w:rFonts w:ascii="Calibri" w:hAnsi="Calibri" w:cs="Calibri"/>
                <w:color w:val="000000"/>
                <w:sz w:val="18"/>
                <w:szCs w:val="18"/>
              </w:rPr>
            </w:pPr>
            <w:r w:rsidRPr="00226205">
              <w:rPr>
                <w:rFonts w:ascii="Calibri" w:hAnsi="Calibri" w:cs="Calibri"/>
                <w:color w:val="000000"/>
                <w:sz w:val="18"/>
                <w:szCs w:val="18"/>
              </w:rPr>
              <w:t xml:space="preserve">There is a lack of DDA parking. Requires new floor covering.  </w:t>
            </w:r>
          </w:p>
        </w:tc>
      </w:tr>
      <w:tr w:rsidR="00226205" w:rsidRPr="00226205" w:rsidTr="00B77D83">
        <w:trPr>
          <w:cantSplit/>
          <w:trHeight w:val="2065"/>
        </w:trPr>
        <w:tc>
          <w:tcPr>
            <w:tcW w:w="998" w:type="dxa"/>
            <w:shd w:val="clear" w:color="auto" w:fill="auto"/>
            <w:hideMark/>
          </w:tcPr>
          <w:p w:rsidR="00226205" w:rsidRPr="00226205" w:rsidRDefault="00226205" w:rsidP="006918D2">
            <w:pPr>
              <w:jc w:val="center"/>
              <w:rPr>
                <w:rFonts w:ascii="Calibri" w:hAnsi="Calibri" w:cs="Calibri"/>
                <w:color w:val="000000"/>
                <w:sz w:val="18"/>
                <w:szCs w:val="18"/>
              </w:rPr>
            </w:pPr>
            <w:r w:rsidRPr="00226205">
              <w:rPr>
                <w:rFonts w:ascii="Calibri" w:hAnsi="Calibri" w:cs="Calibri"/>
                <w:color w:val="000000"/>
                <w:sz w:val="18"/>
                <w:szCs w:val="18"/>
              </w:rPr>
              <w:t>B000068</w:t>
            </w:r>
          </w:p>
        </w:tc>
        <w:tc>
          <w:tcPr>
            <w:tcW w:w="2693" w:type="dxa"/>
            <w:shd w:val="clear" w:color="auto" w:fill="auto"/>
            <w:hideMark/>
          </w:tcPr>
          <w:p w:rsidR="00226205" w:rsidRPr="00226205" w:rsidRDefault="00226205" w:rsidP="00226205">
            <w:pPr>
              <w:rPr>
                <w:rFonts w:ascii="Calibri" w:hAnsi="Calibri" w:cs="Calibri"/>
                <w:color w:val="000000"/>
                <w:sz w:val="18"/>
                <w:szCs w:val="18"/>
              </w:rPr>
            </w:pPr>
            <w:r w:rsidRPr="00226205">
              <w:rPr>
                <w:rFonts w:ascii="Calibri" w:hAnsi="Calibri" w:cs="Calibri"/>
                <w:noProof/>
                <w:color w:val="000000"/>
                <w:sz w:val="18"/>
                <w:szCs w:val="18"/>
              </w:rPr>
              <w:drawing>
                <wp:anchor distT="0" distB="0" distL="114300" distR="114300" simplePos="0" relativeHeight="251768320" behindDoc="0" locked="0" layoutInCell="1" allowOverlap="1" wp14:anchorId="4291F26A" wp14:editId="740DA3F2">
                  <wp:simplePos x="0" y="0"/>
                  <wp:positionH relativeFrom="column">
                    <wp:posOffset>-20955</wp:posOffset>
                  </wp:positionH>
                  <wp:positionV relativeFrom="paragraph">
                    <wp:posOffset>28575</wp:posOffset>
                  </wp:positionV>
                  <wp:extent cx="1630680" cy="1241425"/>
                  <wp:effectExtent l="0" t="0" r="0" b="0"/>
                  <wp:wrapNone/>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107"/>
                          <pic:cNvPicPr>
                            <a:picLocks noChangeAspect="1"/>
                          </pic:cNvPicPr>
                        </pic:nvPicPr>
                        <pic:blipFill>
                          <a:blip r:embed="rId123">
                            <a:extLst>
                              <a:ext uri="{28A0092B-C50C-407E-A947-70E740481C1C}">
                                <a14:useLocalDpi xmlns:a14="http://schemas.microsoft.com/office/drawing/2010/main" val="0"/>
                              </a:ext>
                            </a:extLst>
                          </a:blip>
                          <a:stretch>
                            <a:fillRect/>
                          </a:stretch>
                        </pic:blipFill>
                        <pic:spPr>
                          <a:xfrm>
                            <a:off x="0" y="0"/>
                            <a:ext cx="1630680" cy="1241425"/>
                          </a:xfrm>
                          <a:prstGeom prst="rect">
                            <a:avLst/>
                          </a:prstGeom>
                        </pic:spPr>
                      </pic:pic>
                    </a:graphicData>
                  </a:graphic>
                  <wp14:sizeRelH relativeFrom="page">
                    <wp14:pctWidth>0</wp14:pctWidth>
                  </wp14:sizeRelH>
                  <wp14:sizeRelV relativeFrom="page">
                    <wp14:pctHeight>0</wp14:pctHeight>
                  </wp14:sizeRelV>
                </wp:anchor>
              </w:drawing>
            </w:r>
          </w:p>
        </w:tc>
        <w:tc>
          <w:tcPr>
            <w:tcW w:w="2268" w:type="dxa"/>
            <w:shd w:val="clear" w:color="auto" w:fill="auto"/>
            <w:hideMark/>
          </w:tcPr>
          <w:p w:rsidR="00226205" w:rsidRPr="00226205" w:rsidRDefault="00226205" w:rsidP="00A54993">
            <w:pPr>
              <w:jc w:val="left"/>
              <w:rPr>
                <w:rFonts w:ascii="Calibri" w:hAnsi="Calibri" w:cs="Calibri"/>
                <w:color w:val="000000"/>
                <w:sz w:val="18"/>
                <w:szCs w:val="18"/>
              </w:rPr>
            </w:pPr>
            <w:r w:rsidRPr="00226205">
              <w:rPr>
                <w:rFonts w:ascii="Calibri" w:hAnsi="Calibri" w:cs="Calibri"/>
                <w:color w:val="000000"/>
                <w:sz w:val="18"/>
                <w:szCs w:val="18"/>
              </w:rPr>
              <w:t>Malcolm Graham Pavilion, Kevin Bartlett Reserve- FR Smith Drive, Burnley</w:t>
            </w:r>
          </w:p>
        </w:tc>
        <w:tc>
          <w:tcPr>
            <w:tcW w:w="1276" w:type="dxa"/>
            <w:shd w:val="clear" w:color="auto" w:fill="auto"/>
            <w:hideMark/>
          </w:tcPr>
          <w:p w:rsidR="00226205" w:rsidRPr="00226205" w:rsidRDefault="00B77D83" w:rsidP="009965C5">
            <w:pPr>
              <w:tabs>
                <w:tab w:val="decimal" w:pos="884"/>
              </w:tabs>
              <w:jc w:val="left"/>
              <w:rPr>
                <w:rFonts w:ascii="Calibri" w:hAnsi="Calibri" w:cs="Calibri"/>
                <w:color w:val="000000"/>
                <w:sz w:val="18"/>
                <w:szCs w:val="18"/>
              </w:rPr>
            </w:pPr>
            <w:r>
              <w:rPr>
                <w:rFonts w:ascii="Calibri" w:hAnsi="Calibri" w:cs="Calibri"/>
                <w:color w:val="000000"/>
                <w:sz w:val="18"/>
                <w:szCs w:val="18"/>
              </w:rPr>
              <w:t>$</w:t>
            </w:r>
            <w:r w:rsidR="00226205" w:rsidRPr="00226205">
              <w:rPr>
                <w:rFonts w:ascii="Calibri" w:hAnsi="Calibri" w:cs="Calibri"/>
                <w:color w:val="000000"/>
                <w:sz w:val="18"/>
                <w:szCs w:val="18"/>
              </w:rPr>
              <w:t>1,378,390</w:t>
            </w:r>
          </w:p>
        </w:tc>
        <w:tc>
          <w:tcPr>
            <w:tcW w:w="1134" w:type="dxa"/>
            <w:shd w:val="clear" w:color="auto" w:fill="auto"/>
            <w:hideMark/>
          </w:tcPr>
          <w:p w:rsidR="00226205" w:rsidRPr="00226205" w:rsidRDefault="00226205" w:rsidP="00226205">
            <w:pPr>
              <w:jc w:val="center"/>
              <w:rPr>
                <w:rFonts w:ascii="Calibri" w:hAnsi="Calibri" w:cs="Calibri"/>
                <w:color w:val="000000"/>
                <w:sz w:val="18"/>
                <w:szCs w:val="18"/>
              </w:rPr>
            </w:pPr>
            <w:r w:rsidRPr="00226205">
              <w:rPr>
                <w:rFonts w:ascii="Calibri" w:hAnsi="Calibri" w:cs="Calibri"/>
                <w:color w:val="000000"/>
                <w:sz w:val="18"/>
                <w:szCs w:val="18"/>
              </w:rPr>
              <w:t xml:space="preserve">Recreation </w:t>
            </w:r>
            <w:r w:rsidR="00B77D83">
              <w:rPr>
                <w:rFonts w:ascii="Calibri" w:hAnsi="Calibri" w:cs="Calibri"/>
                <w:color w:val="000000"/>
                <w:sz w:val="18"/>
                <w:szCs w:val="18"/>
              </w:rPr>
              <w:t>and</w:t>
            </w:r>
            <w:r w:rsidRPr="00226205">
              <w:rPr>
                <w:rFonts w:ascii="Calibri" w:hAnsi="Calibri" w:cs="Calibri"/>
                <w:color w:val="000000"/>
                <w:sz w:val="18"/>
                <w:szCs w:val="18"/>
              </w:rPr>
              <w:t xml:space="preserve"> Open Space</w:t>
            </w:r>
          </w:p>
        </w:tc>
        <w:tc>
          <w:tcPr>
            <w:tcW w:w="1417" w:type="dxa"/>
            <w:shd w:val="clear" w:color="auto" w:fill="auto"/>
            <w:hideMark/>
          </w:tcPr>
          <w:p w:rsidR="00226205" w:rsidRPr="00226205" w:rsidRDefault="00226205" w:rsidP="00226205">
            <w:pPr>
              <w:jc w:val="center"/>
              <w:rPr>
                <w:rFonts w:ascii="Calibri" w:hAnsi="Calibri" w:cs="Calibri"/>
                <w:color w:val="000000"/>
                <w:sz w:val="18"/>
                <w:szCs w:val="18"/>
              </w:rPr>
            </w:pPr>
            <w:r w:rsidRPr="00226205">
              <w:rPr>
                <w:rFonts w:ascii="Calibri" w:hAnsi="Calibri" w:cs="Calibri"/>
                <w:color w:val="000000"/>
                <w:sz w:val="18"/>
                <w:szCs w:val="18"/>
              </w:rPr>
              <w:t>Pavilions / Clubrooms / Change rooms</w:t>
            </w:r>
          </w:p>
        </w:tc>
        <w:tc>
          <w:tcPr>
            <w:tcW w:w="2410" w:type="dxa"/>
            <w:shd w:val="clear" w:color="auto" w:fill="auto"/>
            <w:hideMark/>
          </w:tcPr>
          <w:p w:rsidR="00226205" w:rsidRPr="00226205" w:rsidRDefault="00226205" w:rsidP="00226205">
            <w:pPr>
              <w:jc w:val="left"/>
              <w:rPr>
                <w:rFonts w:ascii="Calibri" w:hAnsi="Calibri" w:cs="Calibri"/>
                <w:color w:val="000000"/>
                <w:sz w:val="18"/>
                <w:szCs w:val="18"/>
              </w:rPr>
            </w:pPr>
            <w:r w:rsidRPr="00226205">
              <w:rPr>
                <w:rFonts w:ascii="Calibri" w:hAnsi="Calibri" w:cs="Calibri"/>
                <w:color w:val="000000"/>
                <w:sz w:val="18"/>
                <w:szCs w:val="18"/>
              </w:rPr>
              <w:t xml:space="preserve">The building is generally in a good condition with some fitout requiring attention. </w:t>
            </w:r>
          </w:p>
        </w:tc>
        <w:tc>
          <w:tcPr>
            <w:tcW w:w="3118" w:type="dxa"/>
            <w:shd w:val="clear" w:color="auto" w:fill="auto"/>
            <w:hideMark/>
          </w:tcPr>
          <w:p w:rsidR="00226205" w:rsidRPr="00226205" w:rsidRDefault="00226205" w:rsidP="00226205">
            <w:pPr>
              <w:jc w:val="left"/>
              <w:rPr>
                <w:rFonts w:ascii="Calibri" w:hAnsi="Calibri" w:cs="Calibri"/>
                <w:color w:val="000000"/>
                <w:sz w:val="18"/>
                <w:szCs w:val="18"/>
              </w:rPr>
            </w:pPr>
            <w:r w:rsidRPr="00226205">
              <w:rPr>
                <w:rFonts w:ascii="Calibri" w:hAnsi="Calibri" w:cs="Calibri"/>
                <w:color w:val="000000"/>
                <w:sz w:val="18"/>
                <w:szCs w:val="18"/>
              </w:rPr>
              <w:t xml:space="preserve">DDA compliance is an issue there is no sealed pedestrian access to the pavilion. Extra change rooms, shower cubicles, social room and disabled toilets need to be considered as part of future redevelopment. There is inadequate storage and a need to be able to cater for women in sport. </w:t>
            </w:r>
          </w:p>
        </w:tc>
      </w:tr>
      <w:tr w:rsidR="00226205" w:rsidRPr="00226205" w:rsidTr="00B77D83">
        <w:trPr>
          <w:cantSplit/>
          <w:trHeight w:val="2082"/>
        </w:trPr>
        <w:tc>
          <w:tcPr>
            <w:tcW w:w="998" w:type="dxa"/>
            <w:shd w:val="clear" w:color="auto" w:fill="auto"/>
            <w:hideMark/>
          </w:tcPr>
          <w:p w:rsidR="00226205" w:rsidRPr="00226205" w:rsidRDefault="00226205" w:rsidP="006918D2">
            <w:pPr>
              <w:jc w:val="center"/>
              <w:rPr>
                <w:rFonts w:ascii="Calibri" w:hAnsi="Calibri" w:cs="Calibri"/>
                <w:color w:val="000000"/>
                <w:sz w:val="18"/>
                <w:szCs w:val="18"/>
              </w:rPr>
            </w:pPr>
            <w:r w:rsidRPr="00226205">
              <w:rPr>
                <w:rFonts w:ascii="Calibri" w:hAnsi="Calibri" w:cs="Calibri"/>
                <w:color w:val="000000"/>
                <w:sz w:val="18"/>
                <w:szCs w:val="18"/>
              </w:rPr>
              <w:t>B000069</w:t>
            </w:r>
          </w:p>
        </w:tc>
        <w:tc>
          <w:tcPr>
            <w:tcW w:w="2693" w:type="dxa"/>
            <w:shd w:val="clear" w:color="auto" w:fill="auto"/>
            <w:hideMark/>
          </w:tcPr>
          <w:p w:rsidR="00226205" w:rsidRPr="00226205" w:rsidRDefault="00226205" w:rsidP="00226205">
            <w:pPr>
              <w:rPr>
                <w:rFonts w:ascii="Calibri" w:hAnsi="Calibri" w:cs="Calibri"/>
                <w:color w:val="000000"/>
                <w:sz w:val="18"/>
                <w:szCs w:val="18"/>
              </w:rPr>
            </w:pPr>
            <w:r w:rsidRPr="00226205">
              <w:rPr>
                <w:rFonts w:ascii="Calibri" w:hAnsi="Calibri" w:cs="Calibri"/>
                <w:noProof/>
                <w:color w:val="000000"/>
                <w:sz w:val="18"/>
                <w:szCs w:val="18"/>
              </w:rPr>
              <w:drawing>
                <wp:anchor distT="0" distB="0" distL="114300" distR="114300" simplePos="0" relativeHeight="251814400" behindDoc="0" locked="0" layoutInCell="1" allowOverlap="1" wp14:anchorId="4A577A24" wp14:editId="18F5A141">
                  <wp:simplePos x="0" y="0"/>
                  <wp:positionH relativeFrom="column">
                    <wp:posOffset>-20955</wp:posOffset>
                  </wp:positionH>
                  <wp:positionV relativeFrom="paragraph">
                    <wp:posOffset>53340</wp:posOffset>
                  </wp:positionV>
                  <wp:extent cx="1630680" cy="1216660"/>
                  <wp:effectExtent l="0" t="0" r="0" b="0"/>
                  <wp:wrapNone/>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Picture 160"/>
                          <pic:cNvPicPr>
                            <a:picLocks noChangeAspect="1"/>
                          </pic:cNvPicPr>
                        </pic:nvPicPr>
                        <pic:blipFill>
                          <a:blip r:embed="rId124" cstate="print">
                            <a:extLst>
                              <a:ext uri="{28A0092B-C50C-407E-A947-70E740481C1C}">
                                <a14:useLocalDpi xmlns:a14="http://schemas.microsoft.com/office/drawing/2010/main" val="0"/>
                              </a:ext>
                            </a:extLst>
                          </a:blip>
                          <a:stretch>
                            <a:fillRect/>
                          </a:stretch>
                        </pic:blipFill>
                        <pic:spPr>
                          <a:xfrm>
                            <a:off x="0" y="0"/>
                            <a:ext cx="1630680" cy="1216660"/>
                          </a:xfrm>
                          <a:prstGeom prst="rect">
                            <a:avLst/>
                          </a:prstGeom>
                        </pic:spPr>
                      </pic:pic>
                    </a:graphicData>
                  </a:graphic>
                  <wp14:sizeRelH relativeFrom="page">
                    <wp14:pctWidth>0</wp14:pctWidth>
                  </wp14:sizeRelH>
                  <wp14:sizeRelV relativeFrom="page">
                    <wp14:pctHeight>0</wp14:pctHeight>
                  </wp14:sizeRelV>
                </wp:anchor>
              </w:drawing>
            </w:r>
          </w:p>
        </w:tc>
        <w:tc>
          <w:tcPr>
            <w:tcW w:w="2268" w:type="dxa"/>
            <w:shd w:val="clear" w:color="auto" w:fill="auto"/>
            <w:hideMark/>
          </w:tcPr>
          <w:p w:rsidR="00226205" w:rsidRPr="00226205" w:rsidRDefault="00226205" w:rsidP="00A54993">
            <w:pPr>
              <w:jc w:val="left"/>
              <w:rPr>
                <w:rFonts w:ascii="Calibri" w:hAnsi="Calibri" w:cs="Calibri"/>
                <w:color w:val="000000"/>
                <w:sz w:val="18"/>
                <w:szCs w:val="18"/>
              </w:rPr>
            </w:pPr>
            <w:r w:rsidRPr="00226205">
              <w:rPr>
                <w:rFonts w:ascii="Calibri" w:hAnsi="Calibri" w:cs="Calibri"/>
                <w:color w:val="000000"/>
                <w:sz w:val="18"/>
                <w:szCs w:val="18"/>
              </w:rPr>
              <w:t xml:space="preserve">Public Toilet and Treatment Works, Kevin Bartlett Reserve- FR Smith Drive, Burnley </w:t>
            </w:r>
          </w:p>
        </w:tc>
        <w:tc>
          <w:tcPr>
            <w:tcW w:w="1276" w:type="dxa"/>
            <w:shd w:val="clear" w:color="auto" w:fill="auto"/>
            <w:hideMark/>
          </w:tcPr>
          <w:p w:rsidR="00226205" w:rsidRPr="00226205" w:rsidRDefault="00226205" w:rsidP="00B77D83">
            <w:pPr>
              <w:tabs>
                <w:tab w:val="decimal" w:pos="884"/>
              </w:tabs>
              <w:jc w:val="left"/>
              <w:rPr>
                <w:rFonts w:ascii="Calibri" w:hAnsi="Calibri" w:cs="Calibri"/>
                <w:color w:val="000000"/>
                <w:sz w:val="18"/>
                <w:szCs w:val="18"/>
              </w:rPr>
            </w:pPr>
            <w:r w:rsidRPr="00226205">
              <w:rPr>
                <w:rFonts w:ascii="Calibri" w:hAnsi="Calibri" w:cs="Calibri"/>
                <w:color w:val="000000"/>
                <w:sz w:val="18"/>
                <w:szCs w:val="18"/>
              </w:rPr>
              <w:t>$196,400</w:t>
            </w:r>
          </w:p>
        </w:tc>
        <w:tc>
          <w:tcPr>
            <w:tcW w:w="1134" w:type="dxa"/>
            <w:shd w:val="clear" w:color="auto" w:fill="auto"/>
            <w:hideMark/>
          </w:tcPr>
          <w:p w:rsidR="00226205" w:rsidRPr="00226205" w:rsidRDefault="00226205" w:rsidP="00226205">
            <w:pPr>
              <w:jc w:val="center"/>
              <w:rPr>
                <w:rFonts w:ascii="Calibri" w:hAnsi="Calibri" w:cs="Calibri"/>
                <w:color w:val="000000"/>
                <w:sz w:val="18"/>
                <w:szCs w:val="18"/>
              </w:rPr>
            </w:pPr>
            <w:r w:rsidRPr="00226205">
              <w:rPr>
                <w:rFonts w:ascii="Calibri" w:hAnsi="Calibri" w:cs="Calibri"/>
                <w:color w:val="000000"/>
                <w:sz w:val="18"/>
                <w:szCs w:val="18"/>
              </w:rPr>
              <w:t xml:space="preserve">Recreation </w:t>
            </w:r>
            <w:r w:rsidR="00B77D83">
              <w:rPr>
                <w:rFonts w:ascii="Calibri" w:hAnsi="Calibri" w:cs="Calibri"/>
                <w:color w:val="000000"/>
                <w:sz w:val="18"/>
                <w:szCs w:val="18"/>
              </w:rPr>
              <w:t>and</w:t>
            </w:r>
            <w:r w:rsidRPr="00226205">
              <w:rPr>
                <w:rFonts w:ascii="Calibri" w:hAnsi="Calibri" w:cs="Calibri"/>
                <w:color w:val="000000"/>
                <w:sz w:val="18"/>
                <w:szCs w:val="18"/>
              </w:rPr>
              <w:t xml:space="preserve"> Open Space</w:t>
            </w:r>
          </w:p>
        </w:tc>
        <w:tc>
          <w:tcPr>
            <w:tcW w:w="1417" w:type="dxa"/>
            <w:shd w:val="clear" w:color="auto" w:fill="auto"/>
            <w:hideMark/>
          </w:tcPr>
          <w:p w:rsidR="00226205" w:rsidRPr="00226205" w:rsidRDefault="00226205" w:rsidP="00226205">
            <w:pPr>
              <w:jc w:val="center"/>
              <w:rPr>
                <w:rFonts w:ascii="Calibri" w:hAnsi="Calibri" w:cs="Calibri"/>
                <w:color w:val="000000"/>
                <w:sz w:val="18"/>
                <w:szCs w:val="18"/>
              </w:rPr>
            </w:pPr>
            <w:r w:rsidRPr="00226205">
              <w:rPr>
                <w:rFonts w:ascii="Calibri" w:hAnsi="Calibri" w:cs="Calibri"/>
                <w:color w:val="000000"/>
                <w:sz w:val="18"/>
                <w:szCs w:val="18"/>
              </w:rPr>
              <w:t>Public Toilets</w:t>
            </w:r>
          </w:p>
        </w:tc>
        <w:tc>
          <w:tcPr>
            <w:tcW w:w="2410" w:type="dxa"/>
            <w:shd w:val="clear" w:color="auto" w:fill="auto"/>
            <w:hideMark/>
          </w:tcPr>
          <w:p w:rsidR="00226205" w:rsidRPr="00226205" w:rsidRDefault="00226205" w:rsidP="00226205">
            <w:pPr>
              <w:jc w:val="left"/>
              <w:rPr>
                <w:rFonts w:ascii="Calibri" w:hAnsi="Calibri" w:cs="Calibri"/>
                <w:color w:val="000000"/>
                <w:sz w:val="18"/>
                <w:szCs w:val="18"/>
              </w:rPr>
            </w:pPr>
            <w:r w:rsidRPr="00226205">
              <w:rPr>
                <w:rFonts w:ascii="Calibri" w:hAnsi="Calibri" w:cs="Calibri"/>
                <w:color w:val="000000"/>
                <w:sz w:val="18"/>
                <w:szCs w:val="18"/>
              </w:rPr>
              <w:t>This toilet block is generally in a fair condition requiring work to the roof, mechanical, and fit out. Men</w:t>
            </w:r>
            <w:r w:rsidR="00DF0C54">
              <w:rPr>
                <w:rFonts w:ascii="Calibri" w:hAnsi="Calibri" w:cs="Calibri"/>
                <w:color w:val="000000"/>
                <w:sz w:val="18"/>
                <w:szCs w:val="18"/>
              </w:rPr>
              <w:t>`</w:t>
            </w:r>
            <w:r w:rsidRPr="00226205">
              <w:rPr>
                <w:rFonts w:ascii="Calibri" w:hAnsi="Calibri" w:cs="Calibri"/>
                <w:color w:val="000000"/>
                <w:sz w:val="18"/>
                <w:szCs w:val="18"/>
              </w:rPr>
              <w:t>s toilets are closed and female toilets have been made unisex.</w:t>
            </w:r>
          </w:p>
        </w:tc>
        <w:tc>
          <w:tcPr>
            <w:tcW w:w="3118" w:type="dxa"/>
            <w:shd w:val="clear" w:color="auto" w:fill="auto"/>
            <w:hideMark/>
          </w:tcPr>
          <w:p w:rsidR="00226205" w:rsidRPr="00226205" w:rsidRDefault="00226205" w:rsidP="00226205">
            <w:pPr>
              <w:jc w:val="left"/>
              <w:rPr>
                <w:rFonts w:ascii="Calibri" w:hAnsi="Calibri" w:cs="Calibri"/>
                <w:color w:val="000000"/>
                <w:sz w:val="18"/>
                <w:szCs w:val="18"/>
              </w:rPr>
            </w:pPr>
            <w:r w:rsidRPr="00226205">
              <w:rPr>
                <w:rFonts w:ascii="Calibri" w:hAnsi="Calibri" w:cs="Calibri"/>
                <w:color w:val="000000"/>
                <w:sz w:val="18"/>
                <w:szCs w:val="18"/>
              </w:rPr>
              <w:t>Toilet is isolated during periods of low use. When sport is occurring it is appropriat</w:t>
            </w:r>
            <w:r w:rsidR="00DF0C54">
              <w:rPr>
                <w:rFonts w:ascii="Calibri" w:hAnsi="Calibri" w:cs="Calibri"/>
                <w:color w:val="000000"/>
                <w:sz w:val="18"/>
                <w:szCs w:val="18"/>
              </w:rPr>
              <w:t>e but has been dogged by anti-</w:t>
            </w:r>
            <w:r w:rsidRPr="00226205">
              <w:rPr>
                <w:rFonts w:ascii="Calibri" w:hAnsi="Calibri" w:cs="Calibri"/>
                <w:color w:val="000000"/>
                <w:sz w:val="18"/>
                <w:szCs w:val="18"/>
              </w:rPr>
              <w:t>social behaviour. Minor reconfiguration occurred in 2012 to stop anti</w:t>
            </w:r>
            <w:r w:rsidR="00DF0C54">
              <w:rPr>
                <w:rFonts w:ascii="Calibri" w:hAnsi="Calibri" w:cs="Calibri"/>
                <w:color w:val="000000"/>
                <w:sz w:val="18"/>
                <w:szCs w:val="18"/>
              </w:rPr>
              <w:t>-</w:t>
            </w:r>
            <w:r w:rsidRPr="00226205">
              <w:rPr>
                <w:rFonts w:ascii="Calibri" w:hAnsi="Calibri" w:cs="Calibri"/>
                <w:color w:val="000000"/>
                <w:sz w:val="18"/>
                <w:szCs w:val="18"/>
              </w:rPr>
              <w:t xml:space="preserve"> social behaviour, with some success. Toilet has a worm farm connected and park is only serviced by septic system. </w:t>
            </w:r>
          </w:p>
        </w:tc>
      </w:tr>
      <w:tr w:rsidR="00226205" w:rsidRPr="00226205" w:rsidTr="00B77D83">
        <w:trPr>
          <w:cantSplit/>
          <w:trHeight w:val="2112"/>
        </w:trPr>
        <w:tc>
          <w:tcPr>
            <w:tcW w:w="998" w:type="dxa"/>
            <w:shd w:val="clear" w:color="auto" w:fill="auto"/>
            <w:hideMark/>
          </w:tcPr>
          <w:p w:rsidR="00226205" w:rsidRPr="00226205" w:rsidRDefault="00226205" w:rsidP="006918D2">
            <w:pPr>
              <w:jc w:val="center"/>
              <w:rPr>
                <w:rFonts w:ascii="Calibri" w:hAnsi="Calibri" w:cs="Calibri"/>
                <w:color w:val="000000"/>
                <w:sz w:val="18"/>
                <w:szCs w:val="18"/>
              </w:rPr>
            </w:pPr>
            <w:r w:rsidRPr="00226205">
              <w:rPr>
                <w:rFonts w:ascii="Calibri" w:hAnsi="Calibri" w:cs="Calibri"/>
                <w:color w:val="000000"/>
                <w:sz w:val="18"/>
                <w:szCs w:val="18"/>
              </w:rPr>
              <w:t>B000071</w:t>
            </w:r>
          </w:p>
        </w:tc>
        <w:tc>
          <w:tcPr>
            <w:tcW w:w="2693" w:type="dxa"/>
            <w:shd w:val="clear" w:color="auto" w:fill="auto"/>
            <w:hideMark/>
          </w:tcPr>
          <w:p w:rsidR="00226205" w:rsidRPr="00226205" w:rsidRDefault="00226205" w:rsidP="00226205">
            <w:pPr>
              <w:rPr>
                <w:rFonts w:ascii="Calibri" w:hAnsi="Calibri" w:cs="Calibri"/>
                <w:color w:val="000000"/>
                <w:sz w:val="18"/>
                <w:szCs w:val="18"/>
              </w:rPr>
            </w:pPr>
            <w:r w:rsidRPr="00226205">
              <w:rPr>
                <w:rFonts w:ascii="Calibri" w:hAnsi="Calibri" w:cs="Calibri"/>
                <w:noProof/>
                <w:color w:val="000000"/>
                <w:sz w:val="18"/>
                <w:szCs w:val="18"/>
              </w:rPr>
              <w:drawing>
                <wp:anchor distT="0" distB="0" distL="114300" distR="114300" simplePos="0" relativeHeight="251702784" behindDoc="0" locked="0" layoutInCell="1" allowOverlap="1" wp14:anchorId="2237FCDA" wp14:editId="58EC008D">
                  <wp:simplePos x="0" y="0"/>
                  <wp:positionH relativeFrom="column">
                    <wp:posOffset>-20955</wp:posOffset>
                  </wp:positionH>
                  <wp:positionV relativeFrom="paragraph">
                    <wp:posOffset>45720</wp:posOffset>
                  </wp:positionV>
                  <wp:extent cx="1630680" cy="1266825"/>
                  <wp:effectExtent l="0" t="0" r="0"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1"/>
                          <pic:cNvPicPr>
                            <a:picLocks noChangeAspect="1"/>
                          </pic:cNvPicPr>
                        </pic:nvPicPr>
                        <pic:blipFill>
                          <a:blip r:embed="rId125">
                            <a:extLst>
                              <a:ext uri="{28A0092B-C50C-407E-A947-70E740481C1C}">
                                <a14:useLocalDpi xmlns:a14="http://schemas.microsoft.com/office/drawing/2010/main" val="0"/>
                              </a:ext>
                            </a:extLst>
                          </a:blip>
                          <a:stretch>
                            <a:fillRect/>
                          </a:stretch>
                        </pic:blipFill>
                        <pic:spPr>
                          <a:xfrm>
                            <a:off x="0" y="0"/>
                            <a:ext cx="1630680" cy="1266825"/>
                          </a:xfrm>
                          <a:prstGeom prst="rect">
                            <a:avLst/>
                          </a:prstGeom>
                        </pic:spPr>
                      </pic:pic>
                    </a:graphicData>
                  </a:graphic>
                  <wp14:sizeRelH relativeFrom="page">
                    <wp14:pctWidth>0</wp14:pctWidth>
                  </wp14:sizeRelH>
                  <wp14:sizeRelV relativeFrom="page">
                    <wp14:pctHeight>0</wp14:pctHeight>
                  </wp14:sizeRelV>
                </wp:anchor>
              </w:drawing>
            </w:r>
          </w:p>
        </w:tc>
        <w:tc>
          <w:tcPr>
            <w:tcW w:w="2268" w:type="dxa"/>
            <w:shd w:val="clear" w:color="auto" w:fill="auto"/>
            <w:hideMark/>
          </w:tcPr>
          <w:p w:rsidR="00226205" w:rsidRPr="00226205" w:rsidRDefault="00226205" w:rsidP="00A54993">
            <w:pPr>
              <w:jc w:val="left"/>
              <w:rPr>
                <w:rFonts w:ascii="Calibri" w:hAnsi="Calibri" w:cs="Calibri"/>
                <w:color w:val="000000"/>
                <w:sz w:val="18"/>
                <w:szCs w:val="18"/>
              </w:rPr>
            </w:pPr>
            <w:r w:rsidRPr="00226205">
              <w:rPr>
                <w:rFonts w:ascii="Calibri" w:hAnsi="Calibri" w:cs="Calibri"/>
                <w:color w:val="000000"/>
                <w:sz w:val="18"/>
                <w:szCs w:val="18"/>
              </w:rPr>
              <w:t xml:space="preserve">North East Building, ex Burnley Child Health Centre (vacant)- 50 Westbank Terrace, Burnley </w:t>
            </w:r>
          </w:p>
        </w:tc>
        <w:tc>
          <w:tcPr>
            <w:tcW w:w="1276" w:type="dxa"/>
            <w:shd w:val="clear" w:color="auto" w:fill="auto"/>
            <w:hideMark/>
          </w:tcPr>
          <w:p w:rsidR="00226205" w:rsidRPr="00226205" w:rsidRDefault="00226205" w:rsidP="00B77D83">
            <w:pPr>
              <w:tabs>
                <w:tab w:val="decimal" w:pos="884"/>
              </w:tabs>
              <w:jc w:val="left"/>
              <w:rPr>
                <w:rFonts w:ascii="Calibri" w:hAnsi="Calibri" w:cs="Calibri"/>
                <w:color w:val="000000"/>
                <w:sz w:val="18"/>
                <w:szCs w:val="18"/>
              </w:rPr>
            </w:pPr>
            <w:r w:rsidRPr="00226205">
              <w:rPr>
                <w:rFonts w:ascii="Calibri" w:hAnsi="Calibri" w:cs="Calibri"/>
                <w:color w:val="000000"/>
                <w:sz w:val="18"/>
                <w:szCs w:val="18"/>
              </w:rPr>
              <w:t>$200,000</w:t>
            </w:r>
          </w:p>
        </w:tc>
        <w:tc>
          <w:tcPr>
            <w:tcW w:w="1134" w:type="dxa"/>
            <w:shd w:val="clear" w:color="auto" w:fill="auto"/>
            <w:hideMark/>
          </w:tcPr>
          <w:p w:rsidR="00226205" w:rsidRPr="00226205" w:rsidRDefault="00226205" w:rsidP="00226205">
            <w:pPr>
              <w:jc w:val="center"/>
              <w:rPr>
                <w:rFonts w:ascii="Calibri" w:hAnsi="Calibri" w:cs="Calibri"/>
                <w:color w:val="000000"/>
                <w:sz w:val="18"/>
                <w:szCs w:val="18"/>
              </w:rPr>
            </w:pPr>
            <w:r w:rsidRPr="00226205">
              <w:rPr>
                <w:rFonts w:ascii="Calibri" w:hAnsi="Calibri" w:cs="Calibri"/>
                <w:color w:val="000000"/>
                <w:sz w:val="18"/>
                <w:szCs w:val="18"/>
              </w:rPr>
              <w:t>Community Services</w:t>
            </w:r>
          </w:p>
        </w:tc>
        <w:tc>
          <w:tcPr>
            <w:tcW w:w="1417" w:type="dxa"/>
            <w:shd w:val="clear" w:color="auto" w:fill="auto"/>
            <w:hideMark/>
          </w:tcPr>
          <w:p w:rsidR="00226205" w:rsidRPr="00226205" w:rsidRDefault="00226205" w:rsidP="00226205">
            <w:pPr>
              <w:jc w:val="center"/>
              <w:rPr>
                <w:rFonts w:ascii="Calibri" w:hAnsi="Calibri" w:cs="Calibri"/>
                <w:color w:val="000000"/>
                <w:sz w:val="18"/>
                <w:szCs w:val="18"/>
              </w:rPr>
            </w:pPr>
            <w:r w:rsidRPr="00226205">
              <w:rPr>
                <w:rFonts w:ascii="Calibri" w:hAnsi="Calibri" w:cs="Calibri"/>
                <w:color w:val="000000"/>
                <w:sz w:val="18"/>
                <w:szCs w:val="18"/>
              </w:rPr>
              <w:t>Stores / Sheds / Garages</w:t>
            </w:r>
          </w:p>
        </w:tc>
        <w:tc>
          <w:tcPr>
            <w:tcW w:w="2410" w:type="dxa"/>
            <w:shd w:val="clear" w:color="auto" w:fill="auto"/>
            <w:hideMark/>
          </w:tcPr>
          <w:p w:rsidR="00226205" w:rsidRPr="00226205" w:rsidRDefault="00226205" w:rsidP="00226205">
            <w:pPr>
              <w:jc w:val="left"/>
              <w:rPr>
                <w:rFonts w:ascii="Calibri" w:hAnsi="Calibri" w:cs="Calibri"/>
                <w:color w:val="000000"/>
                <w:sz w:val="18"/>
                <w:szCs w:val="18"/>
              </w:rPr>
            </w:pPr>
            <w:r w:rsidRPr="00226205">
              <w:rPr>
                <w:rFonts w:ascii="Calibri" w:hAnsi="Calibri" w:cs="Calibri"/>
                <w:color w:val="000000"/>
                <w:sz w:val="18"/>
                <w:szCs w:val="18"/>
              </w:rPr>
              <w:t xml:space="preserve">The building is in a poor condition requiring work to the structure and roof, electrical and fitout. </w:t>
            </w:r>
          </w:p>
        </w:tc>
        <w:tc>
          <w:tcPr>
            <w:tcW w:w="3118" w:type="dxa"/>
            <w:shd w:val="clear" w:color="auto" w:fill="auto"/>
            <w:hideMark/>
          </w:tcPr>
          <w:p w:rsidR="00226205" w:rsidRPr="00226205" w:rsidRDefault="00226205" w:rsidP="00226205">
            <w:pPr>
              <w:jc w:val="left"/>
              <w:rPr>
                <w:rFonts w:ascii="Calibri" w:hAnsi="Calibri" w:cs="Calibri"/>
                <w:color w:val="000000"/>
                <w:sz w:val="18"/>
                <w:szCs w:val="18"/>
              </w:rPr>
            </w:pPr>
            <w:r w:rsidRPr="00226205">
              <w:rPr>
                <w:rFonts w:ascii="Calibri" w:hAnsi="Calibri" w:cs="Calibri"/>
                <w:color w:val="000000"/>
                <w:sz w:val="18"/>
                <w:szCs w:val="18"/>
              </w:rPr>
              <w:t>No service currently delivered through building. Due for redevelopment by Council and Richmond Community Learning Centre as part of the Burnley Backyard Project</w:t>
            </w:r>
          </w:p>
        </w:tc>
      </w:tr>
      <w:tr w:rsidR="00226205" w:rsidRPr="00226205" w:rsidTr="00B77D83">
        <w:trPr>
          <w:cantSplit/>
          <w:trHeight w:val="2012"/>
        </w:trPr>
        <w:tc>
          <w:tcPr>
            <w:tcW w:w="998" w:type="dxa"/>
            <w:shd w:val="clear" w:color="auto" w:fill="auto"/>
            <w:hideMark/>
          </w:tcPr>
          <w:p w:rsidR="00226205" w:rsidRPr="00226205" w:rsidRDefault="00226205" w:rsidP="006918D2">
            <w:pPr>
              <w:jc w:val="center"/>
              <w:rPr>
                <w:rFonts w:ascii="Calibri" w:hAnsi="Calibri" w:cs="Calibri"/>
                <w:color w:val="000000"/>
                <w:sz w:val="18"/>
                <w:szCs w:val="18"/>
              </w:rPr>
            </w:pPr>
            <w:r w:rsidRPr="00226205">
              <w:rPr>
                <w:rFonts w:ascii="Calibri" w:hAnsi="Calibri" w:cs="Calibri"/>
                <w:color w:val="000000"/>
                <w:sz w:val="18"/>
                <w:szCs w:val="18"/>
              </w:rPr>
              <w:t>B000072</w:t>
            </w:r>
          </w:p>
        </w:tc>
        <w:tc>
          <w:tcPr>
            <w:tcW w:w="2693" w:type="dxa"/>
            <w:shd w:val="clear" w:color="auto" w:fill="auto"/>
            <w:hideMark/>
          </w:tcPr>
          <w:p w:rsidR="00226205" w:rsidRPr="00226205" w:rsidRDefault="00226205" w:rsidP="00226205">
            <w:pPr>
              <w:rPr>
                <w:rFonts w:ascii="Calibri" w:hAnsi="Calibri" w:cs="Calibri"/>
                <w:color w:val="000000"/>
                <w:sz w:val="18"/>
                <w:szCs w:val="18"/>
              </w:rPr>
            </w:pPr>
            <w:r w:rsidRPr="00226205">
              <w:rPr>
                <w:rFonts w:ascii="Calibri" w:hAnsi="Calibri" w:cs="Calibri"/>
                <w:noProof/>
                <w:color w:val="000000"/>
                <w:sz w:val="18"/>
                <w:szCs w:val="18"/>
              </w:rPr>
              <w:drawing>
                <wp:anchor distT="0" distB="0" distL="114300" distR="114300" simplePos="0" relativeHeight="251809280" behindDoc="0" locked="0" layoutInCell="1" allowOverlap="1" wp14:anchorId="70DDF464" wp14:editId="0DF591FF">
                  <wp:simplePos x="0" y="0"/>
                  <wp:positionH relativeFrom="column">
                    <wp:posOffset>-20955</wp:posOffset>
                  </wp:positionH>
                  <wp:positionV relativeFrom="paragraph">
                    <wp:posOffset>44255</wp:posOffset>
                  </wp:positionV>
                  <wp:extent cx="1630680" cy="1187450"/>
                  <wp:effectExtent l="0" t="0" r="0" b="0"/>
                  <wp:wrapNone/>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Picture 154"/>
                          <pic:cNvPicPr>
                            <a:picLocks noChangeAspect="1"/>
                          </pic:cNvPicPr>
                        </pic:nvPicPr>
                        <pic:blipFill>
                          <a:blip r:embed="rId126" cstate="print">
                            <a:extLst>
                              <a:ext uri="{28A0092B-C50C-407E-A947-70E740481C1C}">
                                <a14:useLocalDpi xmlns:a14="http://schemas.microsoft.com/office/drawing/2010/main" val="0"/>
                              </a:ext>
                            </a:extLst>
                          </a:blip>
                          <a:stretch>
                            <a:fillRect/>
                          </a:stretch>
                        </pic:blipFill>
                        <pic:spPr>
                          <a:xfrm>
                            <a:off x="0" y="0"/>
                            <a:ext cx="1630680" cy="1187450"/>
                          </a:xfrm>
                          <a:prstGeom prst="rect">
                            <a:avLst/>
                          </a:prstGeom>
                        </pic:spPr>
                      </pic:pic>
                    </a:graphicData>
                  </a:graphic>
                  <wp14:sizeRelH relativeFrom="page">
                    <wp14:pctWidth>0</wp14:pctWidth>
                  </wp14:sizeRelH>
                  <wp14:sizeRelV relativeFrom="page">
                    <wp14:pctHeight>0</wp14:pctHeight>
                  </wp14:sizeRelV>
                </wp:anchor>
              </w:drawing>
            </w:r>
          </w:p>
        </w:tc>
        <w:tc>
          <w:tcPr>
            <w:tcW w:w="2268" w:type="dxa"/>
            <w:shd w:val="clear" w:color="auto" w:fill="auto"/>
            <w:hideMark/>
          </w:tcPr>
          <w:p w:rsidR="00226205" w:rsidRPr="00226205" w:rsidRDefault="00226205" w:rsidP="00A54993">
            <w:pPr>
              <w:jc w:val="left"/>
              <w:rPr>
                <w:rFonts w:ascii="Calibri" w:hAnsi="Calibri" w:cs="Calibri"/>
                <w:color w:val="000000"/>
                <w:sz w:val="18"/>
                <w:szCs w:val="18"/>
              </w:rPr>
            </w:pPr>
            <w:r w:rsidRPr="00226205">
              <w:rPr>
                <w:rFonts w:ascii="Calibri" w:hAnsi="Calibri" w:cs="Calibri"/>
                <w:color w:val="000000"/>
                <w:sz w:val="18"/>
                <w:szCs w:val="18"/>
              </w:rPr>
              <w:t>South West Building - Tudor Street, Richmond</w:t>
            </w:r>
          </w:p>
        </w:tc>
        <w:tc>
          <w:tcPr>
            <w:tcW w:w="1276" w:type="dxa"/>
            <w:shd w:val="clear" w:color="auto" w:fill="auto"/>
            <w:hideMark/>
          </w:tcPr>
          <w:p w:rsidR="00226205" w:rsidRPr="00226205" w:rsidRDefault="00226205" w:rsidP="00B77D83">
            <w:pPr>
              <w:tabs>
                <w:tab w:val="decimal" w:pos="884"/>
              </w:tabs>
              <w:jc w:val="left"/>
              <w:rPr>
                <w:rFonts w:ascii="Calibri" w:hAnsi="Calibri" w:cs="Calibri"/>
                <w:color w:val="000000"/>
                <w:sz w:val="18"/>
                <w:szCs w:val="18"/>
              </w:rPr>
            </w:pPr>
            <w:r w:rsidRPr="00226205">
              <w:rPr>
                <w:rFonts w:ascii="Calibri" w:hAnsi="Calibri" w:cs="Calibri"/>
                <w:color w:val="000000"/>
                <w:sz w:val="18"/>
                <w:szCs w:val="18"/>
              </w:rPr>
              <w:t>$189,499</w:t>
            </w:r>
          </w:p>
        </w:tc>
        <w:tc>
          <w:tcPr>
            <w:tcW w:w="1134" w:type="dxa"/>
            <w:shd w:val="clear" w:color="auto" w:fill="auto"/>
            <w:hideMark/>
          </w:tcPr>
          <w:p w:rsidR="00226205" w:rsidRPr="00226205" w:rsidRDefault="00226205" w:rsidP="00226205">
            <w:pPr>
              <w:jc w:val="center"/>
              <w:rPr>
                <w:rFonts w:ascii="Calibri" w:hAnsi="Calibri" w:cs="Calibri"/>
                <w:color w:val="000000"/>
                <w:sz w:val="18"/>
                <w:szCs w:val="18"/>
              </w:rPr>
            </w:pPr>
            <w:r w:rsidRPr="00226205">
              <w:rPr>
                <w:rFonts w:ascii="Calibri" w:hAnsi="Calibri" w:cs="Calibri"/>
                <w:color w:val="000000"/>
                <w:sz w:val="18"/>
                <w:szCs w:val="18"/>
              </w:rPr>
              <w:t>Community Services</w:t>
            </w:r>
          </w:p>
        </w:tc>
        <w:tc>
          <w:tcPr>
            <w:tcW w:w="1417" w:type="dxa"/>
            <w:shd w:val="clear" w:color="auto" w:fill="auto"/>
            <w:hideMark/>
          </w:tcPr>
          <w:p w:rsidR="00226205" w:rsidRPr="00226205" w:rsidRDefault="00226205" w:rsidP="00226205">
            <w:pPr>
              <w:jc w:val="center"/>
              <w:rPr>
                <w:rFonts w:ascii="Calibri" w:hAnsi="Calibri" w:cs="Calibri"/>
                <w:color w:val="000000"/>
                <w:sz w:val="18"/>
                <w:szCs w:val="18"/>
              </w:rPr>
            </w:pPr>
            <w:r w:rsidRPr="00226205">
              <w:rPr>
                <w:rFonts w:ascii="Calibri" w:hAnsi="Calibri" w:cs="Calibri"/>
                <w:color w:val="000000"/>
                <w:sz w:val="18"/>
                <w:szCs w:val="18"/>
              </w:rPr>
              <w:t>Stores / Sheds / Garages</w:t>
            </w:r>
          </w:p>
        </w:tc>
        <w:tc>
          <w:tcPr>
            <w:tcW w:w="2410" w:type="dxa"/>
            <w:shd w:val="clear" w:color="auto" w:fill="auto"/>
            <w:hideMark/>
          </w:tcPr>
          <w:p w:rsidR="00226205" w:rsidRPr="00226205" w:rsidRDefault="00226205" w:rsidP="00226205">
            <w:pPr>
              <w:jc w:val="left"/>
              <w:rPr>
                <w:rFonts w:ascii="Calibri" w:hAnsi="Calibri" w:cs="Calibri"/>
                <w:color w:val="000000"/>
                <w:sz w:val="18"/>
                <w:szCs w:val="18"/>
              </w:rPr>
            </w:pPr>
            <w:r w:rsidRPr="00226205">
              <w:rPr>
                <w:rFonts w:ascii="Calibri" w:hAnsi="Calibri" w:cs="Calibri"/>
                <w:color w:val="000000"/>
                <w:sz w:val="18"/>
                <w:szCs w:val="18"/>
              </w:rPr>
              <w:t xml:space="preserve">The building is in a poor condition requiring work to the structure and roof, electrical and fitout. </w:t>
            </w:r>
          </w:p>
        </w:tc>
        <w:tc>
          <w:tcPr>
            <w:tcW w:w="3118" w:type="dxa"/>
            <w:shd w:val="clear" w:color="auto" w:fill="auto"/>
            <w:hideMark/>
          </w:tcPr>
          <w:p w:rsidR="00226205" w:rsidRPr="00226205" w:rsidRDefault="00226205" w:rsidP="00226205">
            <w:pPr>
              <w:jc w:val="left"/>
              <w:rPr>
                <w:rFonts w:ascii="Calibri" w:hAnsi="Calibri" w:cs="Calibri"/>
                <w:color w:val="000000"/>
                <w:sz w:val="18"/>
                <w:szCs w:val="18"/>
              </w:rPr>
            </w:pPr>
            <w:r w:rsidRPr="00226205">
              <w:rPr>
                <w:rFonts w:ascii="Calibri" w:hAnsi="Calibri" w:cs="Calibri"/>
                <w:color w:val="000000"/>
                <w:sz w:val="18"/>
                <w:szCs w:val="18"/>
              </w:rPr>
              <w:t>No service currently delivered through building. Due for redevelopment by Council and Richmond Community Learning Centre as part of the Burnley Backyard Project</w:t>
            </w:r>
          </w:p>
        </w:tc>
      </w:tr>
      <w:tr w:rsidR="00226205" w:rsidRPr="00226205" w:rsidTr="00B77D83">
        <w:trPr>
          <w:cantSplit/>
          <w:trHeight w:val="2108"/>
        </w:trPr>
        <w:tc>
          <w:tcPr>
            <w:tcW w:w="998" w:type="dxa"/>
            <w:shd w:val="clear" w:color="auto" w:fill="auto"/>
            <w:hideMark/>
          </w:tcPr>
          <w:p w:rsidR="00226205" w:rsidRPr="00226205" w:rsidRDefault="00226205" w:rsidP="006918D2">
            <w:pPr>
              <w:jc w:val="center"/>
              <w:rPr>
                <w:rFonts w:ascii="Calibri" w:hAnsi="Calibri" w:cs="Calibri"/>
                <w:color w:val="000000"/>
                <w:sz w:val="18"/>
                <w:szCs w:val="18"/>
              </w:rPr>
            </w:pPr>
            <w:r w:rsidRPr="00226205">
              <w:rPr>
                <w:rFonts w:ascii="Calibri" w:hAnsi="Calibri" w:cs="Calibri"/>
                <w:color w:val="000000"/>
                <w:sz w:val="18"/>
                <w:szCs w:val="18"/>
              </w:rPr>
              <w:t>B000074</w:t>
            </w:r>
          </w:p>
        </w:tc>
        <w:tc>
          <w:tcPr>
            <w:tcW w:w="2693" w:type="dxa"/>
            <w:shd w:val="clear" w:color="auto" w:fill="auto"/>
            <w:hideMark/>
          </w:tcPr>
          <w:p w:rsidR="00226205" w:rsidRPr="00226205" w:rsidRDefault="00226205" w:rsidP="00226205">
            <w:pPr>
              <w:rPr>
                <w:rFonts w:ascii="Calibri" w:hAnsi="Calibri" w:cs="Calibri"/>
                <w:color w:val="000000"/>
                <w:sz w:val="18"/>
                <w:szCs w:val="18"/>
              </w:rPr>
            </w:pPr>
            <w:r w:rsidRPr="00226205">
              <w:rPr>
                <w:rFonts w:ascii="Calibri" w:hAnsi="Calibri" w:cs="Calibri"/>
                <w:noProof/>
                <w:color w:val="000000"/>
                <w:sz w:val="18"/>
                <w:szCs w:val="18"/>
              </w:rPr>
              <w:drawing>
                <wp:anchor distT="0" distB="0" distL="114300" distR="114300" simplePos="0" relativeHeight="251703808" behindDoc="0" locked="0" layoutInCell="1" allowOverlap="1" wp14:anchorId="20EEAC3F" wp14:editId="7F52A0BC">
                  <wp:simplePos x="0" y="0"/>
                  <wp:positionH relativeFrom="column">
                    <wp:posOffset>-20955</wp:posOffset>
                  </wp:positionH>
                  <wp:positionV relativeFrom="paragraph">
                    <wp:posOffset>27500</wp:posOffset>
                  </wp:positionV>
                  <wp:extent cx="1630680" cy="1281430"/>
                  <wp:effectExtent l="0" t="0" r="0"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3"/>
                          <pic:cNvPicPr>
                            <a:picLocks noChangeAspect="1"/>
                          </pic:cNvPicPr>
                        </pic:nvPicPr>
                        <pic:blipFill>
                          <a:blip r:embed="rId127">
                            <a:extLst>
                              <a:ext uri="{28A0092B-C50C-407E-A947-70E740481C1C}">
                                <a14:useLocalDpi xmlns:a14="http://schemas.microsoft.com/office/drawing/2010/main" val="0"/>
                              </a:ext>
                            </a:extLst>
                          </a:blip>
                          <a:stretch>
                            <a:fillRect/>
                          </a:stretch>
                        </pic:blipFill>
                        <pic:spPr>
                          <a:xfrm>
                            <a:off x="0" y="0"/>
                            <a:ext cx="1630680" cy="1281430"/>
                          </a:xfrm>
                          <a:prstGeom prst="rect">
                            <a:avLst/>
                          </a:prstGeom>
                        </pic:spPr>
                      </pic:pic>
                    </a:graphicData>
                  </a:graphic>
                  <wp14:sizeRelH relativeFrom="page">
                    <wp14:pctWidth>0</wp14:pctWidth>
                  </wp14:sizeRelH>
                  <wp14:sizeRelV relativeFrom="page">
                    <wp14:pctHeight>0</wp14:pctHeight>
                  </wp14:sizeRelV>
                </wp:anchor>
              </w:drawing>
            </w:r>
          </w:p>
        </w:tc>
        <w:tc>
          <w:tcPr>
            <w:tcW w:w="2268" w:type="dxa"/>
            <w:shd w:val="clear" w:color="auto" w:fill="auto"/>
            <w:hideMark/>
          </w:tcPr>
          <w:p w:rsidR="00226205" w:rsidRPr="00226205" w:rsidRDefault="00226205" w:rsidP="00A54993">
            <w:pPr>
              <w:jc w:val="left"/>
              <w:rPr>
                <w:rFonts w:ascii="Calibri" w:hAnsi="Calibri" w:cs="Calibri"/>
                <w:color w:val="000000"/>
                <w:sz w:val="18"/>
                <w:szCs w:val="18"/>
              </w:rPr>
            </w:pPr>
            <w:r w:rsidRPr="00226205">
              <w:rPr>
                <w:rFonts w:ascii="Calibri" w:hAnsi="Calibri" w:cs="Calibri"/>
                <w:color w:val="000000"/>
                <w:sz w:val="18"/>
                <w:szCs w:val="18"/>
              </w:rPr>
              <w:t>Carlton Library- 653 – 659 Rathdowne St, Carlton North</w:t>
            </w:r>
          </w:p>
        </w:tc>
        <w:tc>
          <w:tcPr>
            <w:tcW w:w="1276" w:type="dxa"/>
            <w:shd w:val="clear" w:color="auto" w:fill="auto"/>
            <w:hideMark/>
          </w:tcPr>
          <w:p w:rsidR="00226205" w:rsidRPr="00226205" w:rsidRDefault="00B77D83" w:rsidP="009965C5">
            <w:pPr>
              <w:tabs>
                <w:tab w:val="decimal" w:pos="884"/>
              </w:tabs>
              <w:jc w:val="left"/>
              <w:rPr>
                <w:rFonts w:ascii="Calibri" w:hAnsi="Calibri" w:cs="Calibri"/>
                <w:color w:val="000000"/>
                <w:sz w:val="18"/>
                <w:szCs w:val="18"/>
              </w:rPr>
            </w:pPr>
            <w:r>
              <w:rPr>
                <w:rFonts w:ascii="Calibri" w:hAnsi="Calibri" w:cs="Calibri"/>
                <w:color w:val="000000"/>
                <w:sz w:val="18"/>
                <w:szCs w:val="18"/>
              </w:rPr>
              <w:t>$</w:t>
            </w:r>
            <w:r w:rsidR="00226205" w:rsidRPr="00226205">
              <w:rPr>
                <w:rFonts w:ascii="Calibri" w:hAnsi="Calibri" w:cs="Calibri"/>
                <w:color w:val="000000"/>
                <w:sz w:val="18"/>
                <w:szCs w:val="18"/>
              </w:rPr>
              <w:t>1,729,000</w:t>
            </w:r>
          </w:p>
        </w:tc>
        <w:tc>
          <w:tcPr>
            <w:tcW w:w="1134" w:type="dxa"/>
            <w:shd w:val="clear" w:color="auto" w:fill="auto"/>
            <w:hideMark/>
          </w:tcPr>
          <w:p w:rsidR="00226205" w:rsidRPr="00226205" w:rsidRDefault="00226205" w:rsidP="00226205">
            <w:pPr>
              <w:jc w:val="center"/>
              <w:rPr>
                <w:rFonts w:ascii="Calibri" w:hAnsi="Calibri" w:cs="Calibri"/>
                <w:color w:val="000000"/>
                <w:sz w:val="18"/>
                <w:szCs w:val="18"/>
              </w:rPr>
            </w:pPr>
            <w:r w:rsidRPr="00226205">
              <w:rPr>
                <w:rFonts w:ascii="Calibri" w:hAnsi="Calibri" w:cs="Calibri"/>
                <w:color w:val="000000"/>
                <w:sz w:val="18"/>
                <w:szCs w:val="18"/>
              </w:rPr>
              <w:t>Community Services</w:t>
            </w:r>
          </w:p>
        </w:tc>
        <w:tc>
          <w:tcPr>
            <w:tcW w:w="1417" w:type="dxa"/>
            <w:shd w:val="clear" w:color="auto" w:fill="auto"/>
            <w:hideMark/>
          </w:tcPr>
          <w:p w:rsidR="00226205" w:rsidRPr="00226205" w:rsidRDefault="00226205" w:rsidP="00226205">
            <w:pPr>
              <w:jc w:val="center"/>
              <w:rPr>
                <w:rFonts w:ascii="Calibri" w:hAnsi="Calibri" w:cs="Calibri"/>
                <w:color w:val="000000"/>
                <w:sz w:val="18"/>
                <w:szCs w:val="18"/>
              </w:rPr>
            </w:pPr>
            <w:r w:rsidRPr="00226205">
              <w:rPr>
                <w:rFonts w:ascii="Calibri" w:hAnsi="Calibri" w:cs="Calibri"/>
                <w:color w:val="000000"/>
                <w:sz w:val="18"/>
                <w:szCs w:val="18"/>
              </w:rPr>
              <w:t>Libraries</w:t>
            </w:r>
          </w:p>
        </w:tc>
        <w:tc>
          <w:tcPr>
            <w:tcW w:w="2410" w:type="dxa"/>
            <w:shd w:val="clear" w:color="auto" w:fill="auto"/>
            <w:hideMark/>
          </w:tcPr>
          <w:p w:rsidR="00226205" w:rsidRPr="00226205" w:rsidRDefault="00226205" w:rsidP="00226205">
            <w:pPr>
              <w:jc w:val="left"/>
              <w:rPr>
                <w:rFonts w:ascii="Calibri" w:hAnsi="Calibri" w:cs="Calibri"/>
                <w:color w:val="000000"/>
                <w:sz w:val="18"/>
                <w:szCs w:val="18"/>
              </w:rPr>
            </w:pPr>
            <w:r w:rsidRPr="00226205">
              <w:rPr>
                <w:rFonts w:ascii="Calibri" w:hAnsi="Calibri" w:cs="Calibri"/>
                <w:color w:val="000000"/>
                <w:sz w:val="18"/>
                <w:szCs w:val="18"/>
              </w:rPr>
              <w:t xml:space="preserve">The building is generally in a good condition. </w:t>
            </w:r>
          </w:p>
        </w:tc>
        <w:tc>
          <w:tcPr>
            <w:tcW w:w="3118" w:type="dxa"/>
            <w:shd w:val="clear" w:color="auto" w:fill="auto"/>
            <w:hideMark/>
          </w:tcPr>
          <w:p w:rsidR="00226205" w:rsidRPr="00226205" w:rsidRDefault="00DF0C54" w:rsidP="00DF0C54">
            <w:pPr>
              <w:jc w:val="left"/>
              <w:rPr>
                <w:rFonts w:ascii="Calibri" w:hAnsi="Calibri" w:cs="Calibri"/>
                <w:color w:val="000000"/>
                <w:sz w:val="18"/>
                <w:szCs w:val="18"/>
              </w:rPr>
            </w:pPr>
            <w:r>
              <w:rPr>
                <w:rFonts w:ascii="Calibri" w:hAnsi="Calibri" w:cs="Calibri"/>
                <w:color w:val="000000"/>
                <w:sz w:val="18"/>
                <w:szCs w:val="18"/>
              </w:rPr>
              <w:t>The b</w:t>
            </w:r>
            <w:r w:rsidR="00226205" w:rsidRPr="00226205">
              <w:rPr>
                <w:rFonts w:ascii="Calibri" w:hAnsi="Calibri" w:cs="Calibri"/>
                <w:color w:val="000000"/>
                <w:sz w:val="18"/>
                <w:szCs w:val="18"/>
              </w:rPr>
              <w:t xml:space="preserve">uilding  needs a second meeting room/space. More display space to hold a larger collection would be good. Foyer needs upgrading to be made more welcoming. Quiet study area, local history room, more areas for community use (not meeting room) and proper staff room is required. </w:t>
            </w:r>
          </w:p>
        </w:tc>
      </w:tr>
      <w:tr w:rsidR="00226205" w:rsidRPr="00226205" w:rsidTr="00B77D83">
        <w:trPr>
          <w:cantSplit/>
          <w:trHeight w:val="2124"/>
        </w:trPr>
        <w:tc>
          <w:tcPr>
            <w:tcW w:w="998" w:type="dxa"/>
            <w:shd w:val="clear" w:color="auto" w:fill="auto"/>
            <w:hideMark/>
          </w:tcPr>
          <w:p w:rsidR="00226205" w:rsidRPr="00226205" w:rsidRDefault="00226205" w:rsidP="006918D2">
            <w:pPr>
              <w:jc w:val="center"/>
              <w:rPr>
                <w:rFonts w:ascii="Calibri" w:hAnsi="Calibri" w:cs="Calibri"/>
                <w:color w:val="000000"/>
                <w:sz w:val="18"/>
                <w:szCs w:val="18"/>
              </w:rPr>
            </w:pPr>
            <w:r w:rsidRPr="00226205">
              <w:rPr>
                <w:rFonts w:ascii="Calibri" w:hAnsi="Calibri" w:cs="Calibri"/>
                <w:color w:val="000000"/>
                <w:sz w:val="18"/>
                <w:szCs w:val="18"/>
              </w:rPr>
              <w:t>B000076</w:t>
            </w:r>
          </w:p>
        </w:tc>
        <w:tc>
          <w:tcPr>
            <w:tcW w:w="2693" w:type="dxa"/>
            <w:shd w:val="clear" w:color="auto" w:fill="auto"/>
            <w:hideMark/>
          </w:tcPr>
          <w:p w:rsidR="00226205" w:rsidRPr="00226205" w:rsidRDefault="00226205" w:rsidP="00226205">
            <w:pPr>
              <w:rPr>
                <w:rFonts w:ascii="Calibri" w:hAnsi="Calibri" w:cs="Calibri"/>
                <w:color w:val="000000"/>
                <w:sz w:val="18"/>
                <w:szCs w:val="18"/>
              </w:rPr>
            </w:pPr>
            <w:r w:rsidRPr="00226205">
              <w:rPr>
                <w:rFonts w:ascii="Calibri" w:hAnsi="Calibri" w:cs="Calibri"/>
                <w:noProof/>
                <w:color w:val="000000"/>
                <w:sz w:val="18"/>
                <w:szCs w:val="18"/>
              </w:rPr>
              <w:drawing>
                <wp:anchor distT="0" distB="0" distL="114300" distR="114300" simplePos="0" relativeHeight="251769344" behindDoc="0" locked="0" layoutInCell="1" allowOverlap="1" wp14:anchorId="1FED40D0" wp14:editId="6BDC306B">
                  <wp:simplePos x="0" y="0"/>
                  <wp:positionH relativeFrom="column">
                    <wp:posOffset>-20955</wp:posOffset>
                  </wp:positionH>
                  <wp:positionV relativeFrom="paragraph">
                    <wp:posOffset>59250</wp:posOffset>
                  </wp:positionV>
                  <wp:extent cx="1630680" cy="1212850"/>
                  <wp:effectExtent l="0" t="0" r="0" b="0"/>
                  <wp:wrapNone/>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09"/>
                          <pic:cNvPicPr>
                            <a:picLocks noChangeAspect="1"/>
                          </pic:cNvPicPr>
                        </pic:nvPicPr>
                        <pic:blipFill>
                          <a:blip r:embed="rId128">
                            <a:extLst>
                              <a:ext uri="{28A0092B-C50C-407E-A947-70E740481C1C}">
                                <a14:useLocalDpi xmlns:a14="http://schemas.microsoft.com/office/drawing/2010/main" val="0"/>
                              </a:ext>
                            </a:extLst>
                          </a:blip>
                          <a:stretch>
                            <a:fillRect/>
                          </a:stretch>
                        </pic:blipFill>
                        <pic:spPr>
                          <a:xfrm>
                            <a:off x="0" y="0"/>
                            <a:ext cx="1630680" cy="1212850"/>
                          </a:xfrm>
                          <a:prstGeom prst="rect">
                            <a:avLst/>
                          </a:prstGeom>
                        </pic:spPr>
                      </pic:pic>
                    </a:graphicData>
                  </a:graphic>
                  <wp14:sizeRelH relativeFrom="page">
                    <wp14:pctWidth>0</wp14:pctWidth>
                  </wp14:sizeRelH>
                  <wp14:sizeRelV relativeFrom="page">
                    <wp14:pctHeight>0</wp14:pctHeight>
                  </wp14:sizeRelV>
                </wp:anchor>
              </w:drawing>
            </w:r>
          </w:p>
        </w:tc>
        <w:tc>
          <w:tcPr>
            <w:tcW w:w="2268" w:type="dxa"/>
            <w:shd w:val="clear" w:color="auto" w:fill="auto"/>
            <w:hideMark/>
          </w:tcPr>
          <w:p w:rsidR="00226205" w:rsidRPr="00226205" w:rsidRDefault="00226205" w:rsidP="00A54993">
            <w:pPr>
              <w:jc w:val="left"/>
              <w:rPr>
                <w:rFonts w:ascii="Calibri" w:hAnsi="Calibri" w:cs="Calibri"/>
                <w:color w:val="000000"/>
                <w:sz w:val="18"/>
                <w:szCs w:val="18"/>
              </w:rPr>
            </w:pPr>
            <w:r w:rsidRPr="00226205">
              <w:rPr>
                <w:rFonts w:ascii="Calibri" w:hAnsi="Calibri" w:cs="Calibri"/>
                <w:color w:val="000000"/>
                <w:sz w:val="18"/>
                <w:szCs w:val="18"/>
              </w:rPr>
              <w:t xml:space="preserve">Public Toilets, Curtain Square- Corner Newry and Rathdowne Streets, Carlton North </w:t>
            </w:r>
          </w:p>
        </w:tc>
        <w:tc>
          <w:tcPr>
            <w:tcW w:w="1276" w:type="dxa"/>
            <w:shd w:val="clear" w:color="auto" w:fill="auto"/>
            <w:hideMark/>
          </w:tcPr>
          <w:p w:rsidR="00226205" w:rsidRPr="00226205" w:rsidRDefault="00226205" w:rsidP="00B77D83">
            <w:pPr>
              <w:tabs>
                <w:tab w:val="decimal" w:pos="884"/>
              </w:tabs>
              <w:jc w:val="left"/>
              <w:rPr>
                <w:rFonts w:ascii="Calibri" w:hAnsi="Calibri" w:cs="Calibri"/>
                <w:color w:val="000000"/>
                <w:sz w:val="18"/>
                <w:szCs w:val="18"/>
              </w:rPr>
            </w:pPr>
            <w:r w:rsidRPr="00226205">
              <w:rPr>
                <w:rFonts w:ascii="Calibri" w:hAnsi="Calibri" w:cs="Calibri"/>
                <w:color w:val="000000"/>
                <w:sz w:val="18"/>
                <w:szCs w:val="18"/>
              </w:rPr>
              <w:t>$132,570</w:t>
            </w:r>
          </w:p>
        </w:tc>
        <w:tc>
          <w:tcPr>
            <w:tcW w:w="1134" w:type="dxa"/>
            <w:shd w:val="clear" w:color="auto" w:fill="auto"/>
            <w:hideMark/>
          </w:tcPr>
          <w:p w:rsidR="00226205" w:rsidRPr="00226205" w:rsidRDefault="00226205" w:rsidP="00226205">
            <w:pPr>
              <w:jc w:val="center"/>
              <w:rPr>
                <w:rFonts w:ascii="Calibri" w:hAnsi="Calibri" w:cs="Calibri"/>
                <w:color w:val="000000"/>
                <w:sz w:val="18"/>
                <w:szCs w:val="18"/>
              </w:rPr>
            </w:pPr>
            <w:r w:rsidRPr="00226205">
              <w:rPr>
                <w:rFonts w:ascii="Calibri" w:hAnsi="Calibri" w:cs="Calibri"/>
                <w:color w:val="000000"/>
                <w:sz w:val="18"/>
                <w:szCs w:val="18"/>
              </w:rPr>
              <w:t xml:space="preserve">Recreation </w:t>
            </w:r>
            <w:r w:rsidR="00B77D83">
              <w:rPr>
                <w:rFonts w:ascii="Calibri" w:hAnsi="Calibri" w:cs="Calibri"/>
                <w:color w:val="000000"/>
                <w:sz w:val="18"/>
                <w:szCs w:val="18"/>
              </w:rPr>
              <w:t>and</w:t>
            </w:r>
            <w:r w:rsidRPr="00226205">
              <w:rPr>
                <w:rFonts w:ascii="Calibri" w:hAnsi="Calibri" w:cs="Calibri"/>
                <w:color w:val="000000"/>
                <w:sz w:val="18"/>
                <w:szCs w:val="18"/>
              </w:rPr>
              <w:t xml:space="preserve"> Open Space</w:t>
            </w:r>
          </w:p>
        </w:tc>
        <w:tc>
          <w:tcPr>
            <w:tcW w:w="1417" w:type="dxa"/>
            <w:shd w:val="clear" w:color="auto" w:fill="auto"/>
            <w:hideMark/>
          </w:tcPr>
          <w:p w:rsidR="00226205" w:rsidRPr="00226205" w:rsidRDefault="00226205" w:rsidP="00226205">
            <w:pPr>
              <w:jc w:val="center"/>
              <w:rPr>
                <w:rFonts w:ascii="Calibri" w:hAnsi="Calibri" w:cs="Calibri"/>
                <w:color w:val="000000"/>
                <w:sz w:val="18"/>
                <w:szCs w:val="18"/>
              </w:rPr>
            </w:pPr>
            <w:r w:rsidRPr="00226205">
              <w:rPr>
                <w:rFonts w:ascii="Calibri" w:hAnsi="Calibri" w:cs="Calibri"/>
                <w:color w:val="000000"/>
                <w:sz w:val="18"/>
                <w:szCs w:val="18"/>
              </w:rPr>
              <w:t>Public Toilets</w:t>
            </w:r>
          </w:p>
        </w:tc>
        <w:tc>
          <w:tcPr>
            <w:tcW w:w="2410" w:type="dxa"/>
            <w:shd w:val="clear" w:color="auto" w:fill="auto"/>
            <w:hideMark/>
          </w:tcPr>
          <w:p w:rsidR="00226205" w:rsidRPr="00226205" w:rsidRDefault="00226205" w:rsidP="00226205">
            <w:pPr>
              <w:jc w:val="left"/>
              <w:rPr>
                <w:rFonts w:ascii="Calibri" w:hAnsi="Calibri" w:cs="Calibri"/>
                <w:color w:val="000000"/>
                <w:sz w:val="18"/>
                <w:szCs w:val="18"/>
              </w:rPr>
            </w:pPr>
            <w:r w:rsidRPr="00226205">
              <w:rPr>
                <w:rFonts w:ascii="Calibri" w:hAnsi="Calibri" w:cs="Calibri"/>
                <w:color w:val="000000"/>
                <w:sz w:val="18"/>
                <w:szCs w:val="18"/>
              </w:rPr>
              <w:t xml:space="preserve">The building is generally in a good condition fit out could be improved. </w:t>
            </w:r>
          </w:p>
        </w:tc>
        <w:tc>
          <w:tcPr>
            <w:tcW w:w="3118" w:type="dxa"/>
            <w:shd w:val="clear" w:color="auto" w:fill="auto"/>
            <w:hideMark/>
          </w:tcPr>
          <w:p w:rsidR="00226205" w:rsidRPr="00226205" w:rsidRDefault="00226205" w:rsidP="00226205">
            <w:pPr>
              <w:jc w:val="left"/>
              <w:rPr>
                <w:rFonts w:ascii="Calibri" w:hAnsi="Calibri" w:cs="Calibri"/>
                <w:color w:val="000000"/>
                <w:sz w:val="18"/>
                <w:szCs w:val="18"/>
              </w:rPr>
            </w:pPr>
            <w:r w:rsidRPr="00226205">
              <w:rPr>
                <w:rFonts w:ascii="Calibri" w:hAnsi="Calibri" w:cs="Calibri"/>
                <w:color w:val="000000"/>
                <w:sz w:val="18"/>
                <w:szCs w:val="18"/>
              </w:rPr>
              <w:t>Cast iron faux heritage building that cannot meet DDA requirements with very heavy doors.</w:t>
            </w:r>
          </w:p>
        </w:tc>
      </w:tr>
      <w:tr w:rsidR="00226205" w:rsidRPr="00226205" w:rsidTr="00B77D83">
        <w:trPr>
          <w:cantSplit/>
          <w:trHeight w:val="2348"/>
        </w:trPr>
        <w:tc>
          <w:tcPr>
            <w:tcW w:w="998" w:type="dxa"/>
            <w:shd w:val="clear" w:color="auto" w:fill="auto"/>
            <w:hideMark/>
          </w:tcPr>
          <w:p w:rsidR="00226205" w:rsidRPr="00226205" w:rsidRDefault="00226205" w:rsidP="006918D2">
            <w:pPr>
              <w:jc w:val="center"/>
              <w:rPr>
                <w:rFonts w:ascii="Calibri" w:hAnsi="Calibri" w:cs="Calibri"/>
                <w:color w:val="000000"/>
                <w:sz w:val="18"/>
                <w:szCs w:val="18"/>
              </w:rPr>
            </w:pPr>
            <w:r w:rsidRPr="00226205">
              <w:rPr>
                <w:rFonts w:ascii="Calibri" w:hAnsi="Calibri" w:cs="Calibri"/>
                <w:color w:val="000000"/>
                <w:sz w:val="18"/>
                <w:szCs w:val="18"/>
              </w:rPr>
              <w:t>B000077</w:t>
            </w:r>
          </w:p>
        </w:tc>
        <w:tc>
          <w:tcPr>
            <w:tcW w:w="2693" w:type="dxa"/>
            <w:shd w:val="clear" w:color="auto" w:fill="auto"/>
            <w:hideMark/>
          </w:tcPr>
          <w:p w:rsidR="00226205" w:rsidRPr="00226205" w:rsidRDefault="00226205" w:rsidP="00226205">
            <w:pPr>
              <w:rPr>
                <w:rFonts w:ascii="Calibri" w:hAnsi="Calibri" w:cs="Calibri"/>
                <w:color w:val="000000"/>
                <w:sz w:val="18"/>
                <w:szCs w:val="18"/>
              </w:rPr>
            </w:pPr>
            <w:r w:rsidRPr="00226205">
              <w:rPr>
                <w:rFonts w:ascii="Calibri" w:hAnsi="Calibri" w:cs="Calibri"/>
                <w:noProof/>
                <w:color w:val="000000"/>
                <w:sz w:val="18"/>
                <w:szCs w:val="18"/>
              </w:rPr>
              <w:drawing>
                <wp:anchor distT="0" distB="0" distL="114300" distR="114300" simplePos="0" relativeHeight="251704832" behindDoc="0" locked="0" layoutInCell="1" allowOverlap="1" wp14:anchorId="793A764C" wp14:editId="52D9445C">
                  <wp:simplePos x="0" y="0"/>
                  <wp:positionH relativeFrom="column">
                    <wp:posOffset>-20955</wp:posOffset>
                  </wp:positionH>
                  <wp:positionV relativeFrom="paragraph">
                    <wp:posOffset>68775</wp:posOffset>
                  </wp:positionV>
                  <wp:extent cx="1630680" cy="1342390"/>
                  <wp:effectExtent l="0" t="0" r="0" b="0"/>
                  <wp:wrapNone/>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4"/>
                          <pic:cNvPicPr>
                            <a:picLocks noChangeAspect="1"/>
                          </pic:cNvPicPr>
                        </pic:nvPicPr>
                        <pic:blipFill>
                          <a:blip r:embed="rId129">
                            <a:extLst>
                              <a:ext uri="{28A0092B-C50C-407E-A947-70E740481C1C}">
                                <a14:useLocalDpi xmlns:a14="http://schemas.microsoft.com/office/drawing/2010/main" val="0"/>
                              </a:ext>
                            </a:extLst>
                          </a:blip>
                          <a:stretch>
                            <a:fillRect/>
                          </a:stretch>
                        </pic:blipFill>
                        <pic:spPr>
                          <a:xfrm>
                            <a:off x="0" y="0"/>
                            <a:ext cx="1630680" cy="1342390"/>
                          </a:xfrm>
                          <a:prstGeom prst="rect">
                            <a:avLst/>
                          </a:prstGeom>
                        </pic:spPr>
                      </pic:pic>
                    </a:graphicData>
                  </a:graphic>
                  <wp14:sizeRelH relativeFrom="page">
                    <wp14:pctWidth>0</wp14:pctWidth>
                  </wp14:sizeRelH>
                  <wp14:sizeRelV relativeFrom="page">
                    <wp14:pctHeight>0</wp14:pctHeight>
                  </wp14:sizeRelV>
                </wp:anchor>
              </w:drawing>
            </w:r>
          </w:p>
        </w:tc>
        <w:tc>
          <w:tcPr>
            <w:tcW w:w="2268" w:type="dxa"/>
            <w:shd w:val="clear" w:color="auto" w:fill="auto"/>
            <w:hideMark/>
          </w:tcPr>
          <w:p w:rsidR="00226205" w:rsidRPr="00226205" w:rsidRDefault="00226205" w:rsidP="00A54993">
            <w:pPr>
              <w:jc w:val="left"/>
              <w:rPr>
                <w:rFonts w:ascii="Calibri" w:hAnsi="Calibri" w:cs="Calibri"/>
                <w:color w:val="000000"/>
                <w:sz w:val="18"/>
                <w:szCs w:val="18"/>
              </w:rPr>
            </w:pPr>
            <w:r w:rsidRPr="00226205">
              <w:rPr>
                <w:rFonts w:ascii="Calibri" w:hAnsi="Calibri" w:cs="Calibri"/>
                <w:color w:val="000000"/>
                <w:sz w:val="18"/>
                <w:szCs w:val="18"/>
              </w:rPr>
              <w:t xml:space="preserve">Dancehouse - Carlton Hall-150 – 154 Princes Street, Carlton North </w:t>
            </w:r>
          </w:p>
        </w:tc>
        <w:tc>
          <w:tcPr>
            <w:tcW w:w="1276" w:type="dxa"/>
            <w:shd w:val="clear" w:color="auto" w:fill="auto"/>
            <w:hideMark/>
          </w:tcPr>
          <w:p w:rsidR="00226205" w:rsidRPr="00226205" w:rsidRDefault="00B77D83" w:rsidP="009965C5">
            <w:pPr>
              <w:tabs>
                <w:tab w:val="decimal" w:pos="884"/>
              </w:tabs>
              <w:jc w:val="left"/>
              <w:rPr>
                <w:rFonts w:ascii="Calibri" w:hAnsi="Calibri" w:cs="Calibri"/>
                <w:color w:val="000000"/>
                <w:sz w:val="18"/>
                <w:szCs w:val="18"/>
              </w:rPr>
            </w:pPr>
            <w:r>
              <w:rPr>
                <w:rFonts w:ascii="Calibri" w:hAnsi="Calibri" w:cs="Calibri"/>
                <w:color w:val="000000"/>
                <w:sz w:val="18"/>
                <w:szCs w:val="18"/>
              </w:rPr>
              <w:t>$</w:t>
            </w:r>
            <w:r w:rsidR="00226205" w:rsidRPr="00226205">
              <w:rPr>
                <w:rFonts w:ascii="Calibri" w:hAnsi="Calibri" w:cs="Calibri"/>
                <w:color w:val="000000"/>
                <w:sz w:val="18"/>
                <w:szCs w:val="18"/>
              </w:rPr>
              <w:t>1,771,350</w:t>
            </w:r>
          </w:p>
        </w:tc>
        <w:tc>
          <w:tcPr>
            <w:tcW w:w="1134" w:type="dxa"/>
            <w:shd w:val="clear" w:color="auto" w:fill="auto"/>
            <w:hideMark/>
          </w:tcPr>
          <w:p w:rsidR="00226205" w:rsidRPr="00226205" w:rsidRDefault="00226205" w:rsidP="00226205">
            <w:pPr>
              <w:jc w:val="center"/>
              <w:rPr>
                <w:rFonts w:ascii="Calibri" w:hAnsi="Calibri" w:cs="Calibri"/>
                <w:color w:val="000000"/>
                <w:sz w:val="18"/>
                <w:szCs w:val="18"/>
              </w:rPr>
            </w:pPr>
            <w:r w:rsidRPr="00226205">
              <w:rPr>
                <w:rFonts w:ascii="Calibri" w:hAnsi="Calibri" w:cs="Calibri"/>
                <w:color w:val="000000"/>
                <w:sz w:val="18"/>
                <w:szCs w:val="18"/>
              </w:rPr>
              <w:t>Community Services</w:t>
            </w:r>
          </w:p>
        </w:tc>
        <w:tc>
          <w:tcPr>
            <w:tcW w:w="1417" w:type="dxa"/>
            <w:shd w:val="clear" w:color="auto" w:fill="auto"/>
            <w:hideMark/>
          </w:tcPr>
          <w:p w:rsidR="00226205" w:rsidRPr="00226205" w:rsidRDefault="00226205" w:rsidP="00226205">
            <w:pPr>
              <w:jc w:val="center"/>
              <w:rPr>
                <w:rFonts w:ascii="Calibri" w:hAnsi="Calibri" w:cs="Calibri"/>
                <w:color w:val="000000"/>
                <w:sz w:val="18"/>
                <w:szCs w:val="18"/>
              </w:rPr>
            </w:pPr>
            <w:r w:rsidRPr="00226205">
              <w:rPr>
                <w:rFonts w:ascii="Calibri" w:hAnsi="Calibri" w:cs="Calibri"/>
                <w:color w:val="000000"/>
                <w:sz w:val="18"/>
                <w:szCs w:val="18"/>
              </w:rPr>
              <w:t>Theatre</w:t>
            </w:r>
          </w:p>
        </w:tc>
        <w:tc>
          <w:tcPr>
            <w:tcW w:w="2410" w:type="dxa"/>
            <w:shd w:val="clear" w:color="auto" w:fill="auto"/>
            <w:hideMark/>
          </w:tcPr>
          <w:p w:rsidR="00226205" w:rsidRPr="00226205" w:rsidRDefault="00226205" w:rsidP="00226205">
            <w:pPr>
              <w:jc w:val="left"/>
              <w:rPr>
                <w:rFonts w:ascii="Calibri" w:hAnsi="Calibri" w:cs="Calibri"/>
                <w:color w:val="000000"/>
                <w:sz w:val="18"/>
                <w:szCs w:val="18"/>
              </w:rPr>
            </w:pPr>
            <w:r w:rsidRPr="00226205">
              <w:rPr>
                <w:rFonts w:ascii="Calibri" w:hAnsi="Calibri" w:cs="Calibri"/>
                <w:color w:val="000000"/>
                <w:sz w:val="18"/>
                <w:szCs w:val="18"/>
              </w:rPr>
              <w:t>The building is generally in a good condition, structure and fitout renewal will be required in the future.</w:t>
            </w:r>
          </w:p>
        </w:tc>
        <w:tc>
          <w:tcPr>
            <w:tcW w:w="3118" w:type="dxa"/>
            <w:shd w:val="clear" w:color="auto" w:fill="auto"/>
            <w:hideMark/>
          </w:tcPr>
          <w:p w:rsidR="00226205" w:rsidRPr="00226205" w:rsidRDefault="00226205" w:rsidP="00226205">
            <w:pPr>
              <w:jc w:val="left"/>
              <w:rPr>
                <w:rFonts w:ascii="Calibri" w:hAnsi="Calibri" w:cs="Calibri"/>
                <w:color w:val="000000"/>
                <w:sz w:val="18"/>
                <w:szCs w:val="18"/>
              </w:rPr>
            </w:pPr>
            <w:r w:rsidRPr="00226205">
              <w:rPr>
                <w:rFonts w:ascii="Calibri" w:hAnsi="Calibri" w:cs="Calibri"/>
                <w:color w:val="000000"/>
                <w:sz w:val="18"/>
                <w:szCs w:val="18"/>
              </w:rPr>
              <w:t xml:space="preserve">Full assessment not yet carried out. </w:t>
            </w:r>
            <w:r w:rsidRPr="00226205">
              <w:rPr>
                <w:rFonts w:ascii="Calibri" w:hAnsi="Calibri" w:cs="Calibri"/>
                <w:color w:val="000000"/>
                <w:sz w:val="18"/>
                <w:szCs w:val="18"/>
              </w:rPr>
              <w:br/>
              <w:t>Requires more detailed review.  The building is leased to Dancehouse Inc.</w:t>
            </w:r>
          </w:p>
        </w:tc>
      </w:tr>
      <w:tr w:rsidR="00226205" w:rsidRPr="00226205" w:rsidTr="00B77D83">
        <w:trPr>
          <w:cantSplit/>
          <w:trHeight w:val="2112"/>
        </w:trPr>
        <w:tc>
          <w:tcPr>
            <w:tcW w:w="998" w:type="dxa"/>
            <w:shd w:val="clear" w:color="auto" w:fill="auto"/>
            <w:hideMark/>
          </w:tcPr>
          <w:p w:rsidR="00226205" w:rsidRPr="00226205" w:rsidRDefault="00226205" w:rsidP="006918D2">
            <w:pPr>
              <w:jc w:val="center"/>
              <w:rPr>
                <w:rFonts w:ascii="Calibri" w:hAnsi="Calibri" w:cs="Calibri"/>
                <w:color w:val="000000"/>
                <w:sz w:val="18"/>
                <w:szCs w:val="18"/>
              </w:rPr>
            </w:pPr>
            <w:r w:rsidRPr="00226205">
              <w:rPr>
                <w:rFonts w:ascii="Calibri" w:hAnsi="Calibri" w:cs="Calibri"/>
                <w:color w:val="000000"/>
                <w:sz w:val="18"/>
                <w:szCs w:val="18"/>
              </w:rPr>
              <w:t>B000079</w:t>
            </w:r>
          </w:p>
        </w:tc>
        <w:tc>
          <w:tcPr>
            <w:tcW w:w="2693" w:type="dxa"/>
            <w:shd w:val="clear" w:color="auto" w:fill="auto"/>
            <w:hideMark/>
          </w:tcPr>
          <w:p w:rsidR="00226205" w:rsidRPr="00226205" w:rsidRDefault="00226205" w:rsidP="00226205">
            <w:pPr>
              <w:rPr>
                <w:rFonts w:ascii="Calibri" w:hAnsi="Calibri" w:cs="Calibri"/>
                <w:color w:val="000000"/>
                <w:sz w:val="18"/>
                <w:szCs w:val="18"/>
              </w:rPr>
            </w:pPr>
            <w:r w:rsidRPr="00226205">
              <w:rPr>
                <w:rFonts w:ascii="Calibri" w:hAnsi="Calibri" w:cs="Calibri"/>
                <w:noProof/>
                <w:color w:val="000000"/>
                <w:sz w:val="18"/>
                <w:szCs w:val="18"/>
              </w:rPr>
              <w:drawing>
                <wp:anchor distT="0" distB="0" distL="114300" distR="114300" simplePos="0" relativeHeight="251687424" behindDoc="0" locked="0" layoutInCell="1" allowOverlap="1" wp14:anchorId="742055E9" wp14:editId="178CB958">
                  <wp:simplePos x="0" y="0"/>
                  <wp:positionH relativeFrom="column">
                    <wp:posOffset>-20955</wp:posOffset>
                  </wp:positionH>
                  <wp:positionV relativeFrom="paragraph">
                    <wp:posOffset>44890</wp:posOffset>
                  </wp:positionV>
                  <wp:extent cx="1630680" cy="1263015"/>
                  <wp:effectExtent l="0" t="0" r="0" b="0"/>
                  <wp:wrapNone/>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0"/>
                          <pic:cNvPicPr>
                            <a:picLocks noChangeAspect="1"/>
                          </pic:cNvPicPr>
                        </pic:nvPicPr>
                        <pic:blipFill>
                          <a:blip r:embed="rId130">
                            <a:extLst>
                              <a:ext uri="{28A0092B-C50C-407E-A947-70E740481C1C}">
                                <a14:useLocalDpi xmlns:a14="http://schemas.microsoft.com/office/drawing/2010/main" val="0"/>
                              </a:ext>
                            </a:extLst>
                          </a:blip>
                          <a:stretch>
                            <a:fillRect/>
                          </a:stretch>
                        </pic:blipFill>
                        <pic:spPr>
                          <a:xfrm>
                            <a:off x="0" y="0"/>
                            <a:ext cx="1630680" cy="1263015"/>
                          </a:xfrm>
                          <a:prstGeom prst="rect">
                            <a:avLst/>
                          </a:prstGeom>
                        </pic:spPr>
                      </pic:pic>
                    </a:graphicData>
                  </a:graphic>
                  <wp14:sizeRelH relativeFrom="page">
                    <wp14:pctWidth>0</wp14:pctWidth>
                  </wp14:sizeRelH>
                  <wp14:sizeRelV relativeFrom="page">
                    <wp14:pctHeight>0</wp14:pctHeight>
                  </wp14:sizeRelV>
                </wp:anchor>
              </w:drawing>
            </w:r>
          </w:p>
        </w:tc>
        <w:tc>
          <w:tcPr>
            <w:tcW w:w="2268" w:type="dxa"/>
            <w:shd w:val="clear" w:color="auto" w:fill="auto"/>
            <w:hideMark/>
          </w:tcPr>
          <w:p w:rsidR="00226205" w:rsidRPr="00226205" w:rsidRDefault="00226205" w:rsidP="00A54993">
            <w:pPr>
              <w:jc w:val="left"/>
              <w:rPr>
                <w:rFonts w:ascii="Calibri" w:hAnsi="Calibri" w:cs="Calibri"/>
                <w:color w:val="000000"/>
                <w:sz w:val="18"/>
                <w:szCs w:val="18"/>
              </w:rPr>
            </w:pPr>
            <w:r w:rsidRPr="00226205">
              <w:rPr>
                <w:rFonts w:ascii="Calibri" w:hAnsi="Calibri" w:cs="Calibri"/>
                <w:color w:val="000000"/>
                <w:sz w:val="18"/>
                <w:szCs w:val="18"/>
              </w:rPr>
              <w:t xml:space="preserve">Lady Gowrie Child Health Administration Building- 30 Newry Street , Carlton North </w:t>
            </w:r>
          </w:p>
        </w:tc>
        <w:tc>
          <w:tcPr>
            <w:tcW w:w="1276" w:type="dxa"/>
            <w:shd w:val="clear" w:color="auto" w:fill="auto"/>
            <w:hideMark/>
          </w:tcPr>
          <w:p w:rsidR="00226205" w:rsidRPr="00226205" w:rsidRDefault="00226205" w:rsidP="00B77D83">
            <w:pPr>
              <w:tabs>
                <w:tab w:val="decimal" w:pos="884"/>
              </w:tabs>
              <w:jc w:val="left"/>
              <w:rPr>
                <w:rFonts w:ascii="Calibri" w:hAnsi="Calibri" w:cs="Calibri"/>
                <w:color w:val="000000"/>
                <w:sz w:val="18"/>
                <w:szCs w:val="18"/>
              </w:rPr>
            </w:pPr>
            <w:r w:rsidRPr="00226205">
              <w:rPr>
                <w:rFonts w:ascii="Calibri" w:hAnsi="Calibri" w:cs="Calibri"/>
                <w:color w:val="000000"/>
                <w:sz w:val="18"/>
                <w:szCs w:val="18"/>
              </w:rPr>
              <w:t>$516,839</w:t>
            </w:r>
          </w:p>
        </w:tc>
        <w:tc>
          <w:tcPr>
            <w:tcW w:w="1134" w:type="dxa"/>
            <w:shd w:val="clear" w:color="auto" w:fill="auto"/>
            <w:hideMark/>
          </w:tcPr>
          <w:p w:rsidR="00226205" w:rsidRPr="00226205" w:rsidRDefault="00226205" w:rsidP="00226205">
            <w:pPr>
              <w:jc w:val="center"/>
              <w:rPr>
                <w:rFonts w:ascii="Calibri" w:hAnsi="Calibri" w:cs="Calibri"/>
                <w:color w:val="000000"/>
                <w:sz w:val="18"/>
                <w:szCs w:val="18"/>
              </w:rPr>
            </w:pPr>
            <w:r w:rsidRPr="00226205">
              <w:rPr>
                <w:rFonts w:ascii="Calibri" w:hAnsi="Calibri" w:cs="Calibri"/>
                <w:color w:val="000000"/>
                <w:sz w:val="18"/>
                <w:szCs w:val="18"/>
              </w:rPr>
              <w:t>Commercial</w:t>
            </w:r>
          </w:p>
        </w:tc>
        <w:tc>
          <w:tcPr>
            <w:tcW w:w="1417" w:type="dxa"/>
            <w:shd w:val="clear" w:color="auto" w:fill="auto"/>
            <w:hideMark/>
          </w:tcPr>
          <w:p w:rsidR="00226205" w:rsidRPr="00226205" w:rsidRDefault="00226205" w:rsidP="00226205">
            <w:pPr>
              <w:jc w:val="center"/>
              <w:rPr>
                <w:rFonts w:ascii="Calibri" w:hAnsi="Calibri" w:cs="Calibri"/>
                <w:color w:val="000000"/>
                <w:sz w:val="18"/>
                <w:szCs w:val="18"/>
              </w:rPr>
            </w:pPr>
            <w:r w:rsidRPr="00226205">
              <w:rPr>
                <w:rFonts w:ascii="Calibri" w:hAnsi="Calibri" w:cs="Calibri"/>
                <w:color w:val="000000"/>
                <w:sz w:val="18"/>
                <w:szCs w:val="18"/>
              </w:rPr>
              <w:t>Offices /Administration</w:t>
            </w:r>
          </w:p>
        </w:tc>
        <w:tc>
          <w:tcPr>
            <w:tcW w:w="2410" w:type="dxa"/>
            <w:shd w:val="clear" w:color="auto" w:fill="auto"/>
            <w:hideMark/>
          </w:tcPr>
          <w:p w:rsidR="00226205" w:rsidRPr="00226205" w:rsidRDefault="00226205" w:rsidP="00226205">
            <w:pPr>
              <w:jc w:val="left"/>
              <w:rPr>
                <w:rFonts w:ascii="Calibri" w:hAnsi="Calibri" w:cs="Calibri"/>
                <w:color w:val="000000"/>
                <w:sz w:val="18"/>
                <w:szCs w:val="18"/>
              </w:rPr>
            </w:pPr>
            <w:r w:rsidRPr="00226205">
              <w:rPr>
                <w:rFonts w:ascii="Calibri" w:hAnsi="Calibri" w:cs="Calibri"/>
                <w:color w:val="000000"/>
                <w:sz w:val="18"/>
                <w:szCs w:val="18"/>
              </w:rPr>
              <w:t>This building is in very poor and has passed the point for renewal.</w:t>
            </w:r>
          </w:p>
        </w:tc>
        <w:tc>
          <w:tcPr>
            <w:tcW w:w="3118" w:type="dxa"/>
            <w:shd w:val="clear" w:color="auto" w:fill="auto"/>
            <w:hideMark/>
          </w:tcPr>
          <w:p w:rsidR="00226205" w:rsidRPr="00226205" w:rsidRDefault="00226205" w:rsidP="00226205">
            <w:pPr>
              <w:jc w:val="left"/>
              <w:rPr>
                <w:rFonts w:ascii="Calibri" w:hAnsi="Calibri" w:cs="Calibri"/>
                <w:color w:val="000000"/>
                <w:sz w:val="18"/>
                <w:szCs w:val="18"/>
              </w:rPr>
            </w:pPr>
            <w:r w:rsidRPr="00226205">
              <w:rPr>
                <w:rFonts w:ascii="Calibri" w:hAnsi="Calibri" w:cs="Calibri"/>
                <w:color w:val="000000"/>
                <w:sz w:val="18"/>
                <w:szCs w:val="18"/>
              </w:rPr>
              <w:t>No Council service currently delivered through building. Due for demolition as part of redevelopment of the site.  Building is leased to Lady Gowrie Child Care.</w:t>
            </w:r>
          </w:p>
        </w:tc>
      </w:tr>
      <w:tr w:rsidR="00226205" w:rsidRPr="00226205" w:rsidTr="00B77D83">
        <w:trPr>
          <w:cantSplit/>
          <w:trHeight w:val="2128"/>
        </w:trPr>
        <w:tc>
          <w:tcPr>
            <w:tcW w:w="998" w:type="dxa"/>
            <w:shd w:val="clear" w:color="auto" w:fill="auto"/>
            <w:hideMark/>
          </w:tcPr>
          <w:p w:rsidR="00226205" w:rsidRPr="00226205" w:rsidRDefault="00226205" w:rsidP="006918D2">
            <w:pPr>
              <w:jc w:val="center"/>
              <w:rPr>
                <w:rFonts w:ascii="Calibri" w:hAnsi="Calibri" w:cs="Calibri"/>
                <w:color w:val="000000"/>
                <w:sz w:val="18"/>
                <w:szCs w:val="18"/>
              </w:rPr>
            </w:pPr>
            <w:r w:rsidRPr="00226205">
              <w:rPr>
                <w:rFonts w:ascii="Calibri" w:hAnsi="Calibri" w:cs="Calibri"/>
                <w:color w:val="000000"/>
                <w:sz w:val="18"/>
                <w:szCs w:val="18"/>
              </w:rPr>
              <w:t>B000081</w:t>
            </w:r>
          </w:p>
        </w:tc>
        <w:tc>
          <w:tcPr>
            <w:tcW w:w="2693" w:type="dxa"/>
            <w:shd w:val="clear" w:color="auto" w:fill="auto"/>
            <w:hideMark/>
          </w:tcPr>
          <w:p w:rsidR="00226205" w:rsidRPr="00226205" w:rsidRDefault="00226205" w:rsidP="00226205">
            <w:pPr>
              <w:rPr>
                <w:rFonts w:ascii="Calibri" w:hAnsi="Calibri" w:cs="Calibri"/>
                <w:color w:val="000000"/>
                <w:sz w:val="18"/>
                <w:szCs w:val="18"/>
              </w:rPr>
            </w:pPr>
            <w:r w:rsidRPr="00226205">
              <w:rPr>
                <w:rFonts w:ascii="Calibri" w:hAnsi="Calibri" w:cs="Calibri"/>
                <w:noProof/>
                <w:color w:val="000000"/>
                <w:sz w:val="18"/>
                <w:szCs w:val="18"/>
              </w:rPr>
              <w:drawing>
                <wp:anchor distT="0" distB="0" distL="114300" distR="114300" simplePos="0" relativeHeight="251705856" behindDoc="0" locked="0" layoutInCell="1" allowOverlap="1" wp14:anchorId="0CAF1573" wp14:editId="33D6A443">
                  <wp:simplePos x="0" y="0"/>
                  <wp:positionH relativeFrom="column">
                    <wp:posOffset>-20955</wp:posOffset>
                  </wp:positionH>
                  <wp:positionV relativeFrom="paragraph">
                    <wp:posOffset>35755</wp:posOffset>
                  </wp:positionV>
                  <wp:extent cx="1630680" cy="1281430"/>
                  <wp:effectExtent l="0" t="0" r="0" b="0"/>
                  <wp:wrapNone/>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5"/>
                          <pic:cNvPicPr>
                            <a:picLocks noChangeAspect="1"/>
                          </pic:cNvPicPr>
                        </pic:nvPicPr>
                        <pic:blipFill>
                          <a:blip r:embed="rId131" cstate="print">
                            <a:extLst>
                              <a:ext uri="{28A0092B-C50C-407E-A947-70E740481C1C}">
                                <a14:useLocalDpi xmlns:a14="http://schemas.microsoft.com/office/drawing/2010/main" val="0"/>
                              </a:ext>
                            </a:extLst>
                          </a:blip>
                          <a:stretch>
                            <a:fillRect/>
                          </a:stretch>
                        </pic:blipFill>
                        <pic:spPr>
                          <a:xfrm>
                            <a:off x="0" y="0"/>
                            <a:ext cx="1630680" cy="1281430"/>
                          </a:xfrm>
                          <a:prstGeom prst="rect">
                            <a:avLst/>
                          </a:prstGeom>
                        </pic:spPr>
                      </pic:pic>
                    </a:graphicData>
                  </a:graphic>
                  <wp14:sizeRelH relativeFrom="page">
                    <wp14:pctWidth>0</wp14:pctWidth>
                  </wp14:sizeRelH>
                  <wp14:sizeRelV relativeFrom="page">
                    <wp14:pctHeight>0</wp14:pctHeight>
                  </wp14:sizeRelV>
                </wp:anchor>
              </w:drawing>
            </w:r>
          </w:p>
        </w:tc>
        <w:tc>
          <w:tcPr>
            <w:tcW w:w="2268" w:type="dxa"/>
            <w:shd w:val="clear" w:color="auto" w:fill="auto"/>
            <w:hideMark/>
          </w:tcPr>
          <w:p w:rsidR="00226205" w:rsidRPr="00226205" w:rsidRDefault="00226205" w:rsidP="00A54993">
            <w:pPr>
              <w:jc w:val="left"/>
              <w:rPr>
                <w:rFonts w:ascii="Calibri" w:hAnsi="Calibri" w:cs="Calibri"/>
                <w:color w:val="000000"/>
                <w:sz w:val="18"/>
                <w:szCs w:val="18"/>
              </w:rPr>
            </w:pPr>
            <w:r w:rsidRPr="00226205">
              <w:rPr>
                <w:rFonts w:ascii="Calibri" w:hAnsi="Calibri" w:cs="Calibri"/>
                <w:color w:val="000000"/>
                <w:sz w:val="18"/>
                <w:szCs w:val="18"/>
              </w:rPr>
              <w:t xml:space="preserve">Flat- 2/690 Lygon Street, Carlton North  </w:t>
            </w:r>
          </w:p>
        </w:tc>
        <w:tc>
          <w:tcPr>
            <w:tcW w:w="1276" w:type="dxa"/>
            <w:shd w:val="clear" w:color="auto" w:fill="auto"/>
            <w:hideMark/>
          </w:tcPr>
          <w:p w:rsidR="00226205" w:rsidRPr="00226205" w:rsidRDefault="00226205" w:rsidP="00B77D83">
            <w:pPr>
              <w:tabs>
                <w:tab w:val="decimal" w:pos="884"/>
              </w:tabs>
              <w:jc w:val="left"/>
              <w:rPr>
                <w:rFonts w:ascii="Calibri" w:hAnsi="Calibri" w:cs="Calibri"/>
                <w:color w:val="000000"/>
                <w:sz w:val="18"/>
                <w:szCs w:val="18"/>
              </w:rPr>
            </w:pPr>
            <w:r w:rsidRPr="00226205">
              <w:rPr>
                <w:rFonts w:ascii="Calibri" w:hAnsi="Calibri" w:cs="Calibri"/>
                <w:color w:val="000000"/>
                <w:sz w:val="18"/>
                <w:szCs w:val="18"/>
              </w:rPr>
              <w:t>$166,980</w:t>
            </w:r>
          </w:p>
        </w:tc>
        <w:tc>
          <w:tcPr>
            <w:tcW w:w="1134" w:type="dxa"/>
            <w:shd w:val="clear" w:color="auto" w:fill="auto"/>
            <w:hideMark/>
          </w:tcPr>
          <w:p w:rsidR="00226205" w:rsidRPr="00226205" w:rsidRDefault="00226205" w:rsidP="00226205">
            <w:pPr>
              <w:jc w:val="center"/>
              <w:rPr>
                <w:rFonts w:ascii="Calibri" w:hAnsi="Calibri" w:cs="Calibri"/>
                <w:color w:val="000000"/>
                <w:sz w:val="18"/>
                <w:szCs w:val="18"/>
              </w:rPr>
            </w:pPr>
            <w:r w:rsidRPr="00226205">
              <w:rPr>
                <w:rFonts w:ascii="Calibri" w:hAnsi="Calibri" w:cs="Calibri"/>
                <w:color w:val="000000"/>
                <w:sz w:val="18"/>
                <w:szCs w:val="18"/>
              </w:rPr>
              <w:t>Community Services</w:t>
            </w:r>
          </w:p>
        </w:tc>
        <w:tc>
          <w:tcPr>
            <w:tcW w:w="1417" w:type="dxa"/>
            <w:shd w:val="clear" w:color="auto" w:fill="auto"/>
            <w:hideMark/>
          </w:tcPr>
          <w:p w:rsidR="00226205" w:rsidRPr="00226205" w:rsidRDefault="00226205" w:rsidP="00226205">
            <w:pPr>
              <w:jc w:val="center"/>
              <w:rPr>
                <w:rFonts w:ascii="Calibri" w:hAnsi="Calibri" w:cs="Calibri"/>
                <w:color w:val="000000"/>
                <w:sz w:val="18"/>
                <w:szCs w:val="18"/>
              </w:rPr>
            </w:pPr>
            <w:r w:rsidRPr="00226205">
              <w:rPr>
                <w:rFonts w:ascii="Calibri" w:hAnsi="Calibri" w:cs="Calibri"/>
                <w:color w:val="000000"/>
                <w:sz w:val="18"/>
                <w:szCs w:val="18"/>
              </w:rPr>
              <w:t>Residences</w:t>
            </w:r>
          </w:p>
        </w:tc>
        <w:tc>
          <w:tcPr>
            <w:tcW w:w="2410" w:type="dxa"/>
            <w:shd w:val="clear" w:color="auto" w:fill="auto"/>
            <w:hideMark/>
          </w:tcPr>
          <w:p w:rsidR="00226205" w:rsidRPr="00226205" w:rsidRDefault="00226205" w:rsidP="00226205">
            <w:pPr>
              <w:jc w:val="left"/>
              <w:rPr>
                <w:rFonts w:ascii="Calibri" w:hAnsi="Calibri" w:cs="Calibri"/>
                <w:color w:val="000000"/>
                <w:sz w:val="18"/>
                <w:szCs w:val="18"/>
              </w:rPr>
            </w:pPr>
            <w:r w:rsidRPr="00226205">
              <w:rPr>
                <w:rFonts w:ascii="Calibri" w:hAnsi="Calibri" w:cs="Calibri"/>
                <w:color w:val="000000"/>
                <w:sz w:val="18"/>
                <w:szCs w:val="18"/>
              </w:rPr>
              <w:t xml:space="preserve">The building is generally in a good condition. </w:t>
            </w:r>
          </w:p>
        </w:tc>
        <w:tc>
          <w:tcPr>
            <w:tcW w:w="3118" w:type="dxa"/>
            <w:shd w:val="clear" w:color="auto" w:fill="auto"/>
            <w:hideMark/>
          </w:tcPr>
          <w:p w:rsidR="00226205" w:rsidRPr="00226205" w:rsidRDefault="00226205" w:rsidP="00226205">
            <w:pPr>
              <w:jc w:val="left"/>
              <w:rPr>
                <w:rFonts w:ascii="Calibri" w:hAnsi="Calibri" w:cs="Calibri"/>
                <w:color w:val="000000"/>
                <w:sz w:val="18"/>
                <w:szCs w:val="18"/>
              </w:rPr>
            </w:pPr>
            <w:r w:rsidRPr="00226205">
              <w:rPr>
                <w:rFonts w:ascii="Calibri" w:hAnsi="Calibri" w:cs="Calibri"/>
                <w:color w:val="000000"/>
                <w:sz w:val="18"/>
                <w:szCs w:val="18"/>
              </w:rPr>
              <w:t xml:space="preserve">Full assessment not yet carried out. </w:t>
            </w:r>
            <w:r w:rsidRPr="00226205">
              <w:rPr>
                <w:rFonts w:ascii="Calibri" w:hAnsi="Calibri" w:cs="Calibri"/>
                <w:color w:val="000000"/>
                <w:sz w:val="18"/>
                <w:szCs w:val="18"/>
              </w:rPr>
              <w:br/>
              <w:t>Requires more detailed review.  Flat is subject to a management agreement with Good Shepherd Family and Youth Services</w:t>
            </w:r>
            <w:r w:rsidR="00DF0C54">
              <w:rPr>
                <w:rFonts w:ascii="Calibri" w:hAnsi="Calibri" w:cs="Calibri"/>
                <w:color w:val="000000"/>
                <w:sz w:val="18"/>
                <w:szCs w:val="18"/>
              </w:rPr>
              <w:t>.</w:t>
            </w:r>
          </w:p>
        </w:tc>
      </w:tr>
      <w:tr w:rsidR="00226205" w:rsidRPr="00226205" w:rsidTr="00B77D83">
        <w:trPr>
          <w:cantSplit/>
          <w:trHeight w:val="2856"/>
        </w:trPr>
        <w:tc>
          <w:tcPr>
            <w:tcW w:w="998" w:type="dxa"/>
            <w:shd w:val="clear" w:color="auto" w:fill="auto"/>
            <w:hideMark/>
          </w:tcPr>
          <w:p w:rsidR="00226205" w:rsidRPr="00226205" w:rsidRDefault="00226205" w:rsidP="006918D2">
            <w:pPr>
              <w:jc w:val="center"/>
              <w:rPr>
                <w:rFonts w:ascii="Calibri" w:hAnsi="Calibri" w:cs="Calibri"/>
                <w:color w:val="000000"/>
                <w:sz w:val="18"/>
                <w:szCs w:val="18"/>
              </w:rPr>
            </w:pPr>
            <w:r w:rsidRPr="00226205">
              <w:rPr>
                <w:rFonts w:ascii="Calibri" w:hAnsi="Calibri" w:cs="Calibri"/>
                <w:color w:val="000000"/>
                <w:sz w:val="18"/>
                <w:szCs w:val="18"/>
              </w:rPr>
              <w:t>B000083</w:t>
            </w:r>
          </w:p>
        </w:tc>
        <w:tc>
          <w:tcPr>
            <w:tcW w:w="2693" w:type="dxa"/>
            <w:shd w:val="clear" w:color="auto" w:fill="auto"/>
            <w:hideMark/>
          </w:tcPr>
          <w:p w:rsidR="00226205" w:rsidRPr="00226205" w:rsidRDefault="00226205" w:rsidP="00226205">
            <w:pPr>
              <w:rPr>
                <w:rFonts w:ascii="Calibri" w:hAnsi="Calibri" w:cs="Calibri"/>
                <w:color w:val="000000"/>
                <w:sz w:val="18"/>
                <w:szCs w:val="18"/>
              </w:rPr>
            </w:pPr>
            <w:r w:rsidRPr="00226205">
              <w:rPr>
                <w:rFonts w:ascii="Calibri" w:hAnsi="Calibri" w:cs="Calibri"/>
                <w:noProof/>
                <w:color w:val="000000"/>
                <w:sz w:val="18"/>
                <w:szCs w:val="18"/>
              </w:rPr>
              <w:drawing>
                <wp:anchor distT="0" distB="0" distL="114300" distR="114300" simplePos="0" relativeHeight="251706880" behindDoc="0" locked="0" layoutInCell="1" allowOverlap="1" wp14:anchorId="4C685CC1" wp14:editId="5ABB3DB7">
                  <wp:simplePos x="0" y="0"/>
                  <wp:positionH relativeFrom="column">
                    <wp:posOffset>-20955</wp:posOffset>
                  </wp:positionH>
                  <wp:positionV relativeFrom="paragraph">
                    <wp:posOffset>53340</wp:posOffset>
                  </wp:positionV>
                  <wp:extent cx="1630680" cy="1259840"/>
                  <wp:effectExtent l="0" t="0" r="0" b="0"/>
                  <wp:wrapNone/>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6"/>
                          <pic:cNvPicPr>
                            <a:picLocks noChangeAspect="1"/>
                          </pic:cNvPicPr>
                        </pic:nvPicPr>
                        <pic:blipFill>
                          <a:blip r:embed="rId132">
                            <a:extLst>
                              <a:ext uri="{28A0092B-C50C-407E-A947-70E740481C1C}">
                                <a14:useLocalDpi xmlns:a14="http://schemas.microsoft.com/office/drawing/2010/main" val="0"/>
                              </a:ext>
                            </a:extLst>
                          </a:blip>
                          <a:stretch>
                            <a:fillRect/>
                          </a:stretch>
                        </pic:blipFill>
                        <pic:spPr>
                          <a:xfrm>
                            <a:off x="0" y="0"/>
                            <a:ext cx="1630680" cy="1259840"/>
                          </a:xfrm>
                          <a:prstGeom prst="rect">
                            <a:avLst/>
                          </a:prstGeom>
                        </pic:spPr>
                      </pic:pic>
                    </a:graphicData>
                  </a:graphic>
                  <wp14:sizeRelH relativeFrom="page">
                    <wp14:pctWidth>0</wp14:pctWidth>
                  </wp14:sizeRelH>
                  <wp14:sizeRelV relativeFrom="page">
                    <wp14:pctHeight>0</wp14:pctHeight>
                  </wp14:sizeRelV>
                </wp:anchor>
              </w:drawing>
            </w:r>
          </w:p>
        </w:tc>
        <w:tc>
          <w:tcPr>
            <w:tcW w:w="2268" w:type="dxa"/>
            <w:shd w:val="clear" w:color="auto" w:fill="auto"/>
            <w:hideMark/>
          </w:tcPr>
          <w:p w:rsidR="00226205" w:rsidRPr="00226205" w:rsidRDefault="00226205" w:rsidP="00A54993">
            <w:pPr>
              <w:jc w:val="left"/>
              <w:rPr>
                <w:rFonts w:ascii="Calibri" w:hAnsi="Calibri" w:cs="Calibri"/>
                <w:color w:val="000000"/>
                <w:sz w:val="18"/>
                <w:szCs w:val="18"/>
              </w:rPr>
            </w:pPr>
            <w:r w:rsidRPr="00226205">
              <w:rPr>
                <w:rFonts w:ascii="Calibri" w:hAnsi="Calibri" w:cs="Calibri"/>
                <w:color w:val="000000"/>
                <w:sz w:val="18"/>
                <w:szCs w:val="18"/>
              </w:rPr>
              <w:t xml:space="preserve">North Carlton Child Care Centre- 481 Canning Street, Carlton North </w:t>
            </w:r>
          </w:p>
        </w:tc>
        <w:tc>
          <w:tcPr>
            <w:tcW w:w="1276" w:type="dxa"/>
            <w:shd w:val="clear" w:color="auto" w:fill="auto"/>
            <w:hideMark/>
          </w:tcPr>
          <w:p w:rsidR="00226205" w:rsidRPr="00226205" w:rsidRDefault="00B77D83" w:rsidP="009965C5">
            <w:pPr>
              <w:tabs>
                <w:tab w:val="decimal" w:pos="884"/>
              </w:tabs>
              <w:jc w:val="left"/>
              <w:rPr>
                <w:rFonts w:ascii="Calibri" w:hAnsi="Calibri" w:cs="Calibri"/>
                <w:color w:val="000000"/>
                <w:sz w:val="18"/>
                <w:szCs w:val="18"/>
              </w:rPr>
            </w:pPr>
            <w:r>
              <w:rPr>
                <w:rFonts w:ascii="Calibri" w:hAnsi="Calibri" w:cs="Calibri"/>
                <w:color w:val="000000"/>
                <w:sz w:val="18"/>
                <w:szCs w:val="18"/>
              </w:rPr>
              <w:t>$</w:t>
            </w:r>
            <w:r w:rsidR="00226205" w:rsidRPr="00226205">
              <w:rPr>
                <w:rFonts w:ascii="Calibri" w:hAnsi="Calibri" w:cs="Calibri"/>
                <w:color w:val="000000"/>
                <w:sz w:val="18"/>
                <w:szCs w:val="18"/>
              </w:rPr>
              <w:t>1,647,540</w:t>
            </w:r>
          </w:p>
        </w:tc>
        <w:tc>
          <w:tcPr>
            <w:tcW w:w="1134" w:type="dxa"/>
            <w:shd w:val="clear" w:color="auto" w:fill="auto"/>
            <w:hideMark/>
          </w:tcPr>
          <w:p w:rsidR="00226205" w:rsidRPr="00226205" w:rsidRDefault="00226205" w:rsidP="00226205">
            <w:pPr>
              <w:jc w:val="center"/>
              <w:rPr>
                <w:rFonts w:ascii="Calibri" w:hAnsi="Calibri" w:cs="Calibri"/>
                <w:color w:val="000000"/>
                <w:sz w:val="18"/>
                <w:szCs w:val="18"/>
              </w:rPr>
            </w:pPr>
            <w:r w:rsidRPr="00226205">
              <w:rPr>
                <w:rFonts w:ascii="Calibri" w:hAnsi="Calibri" w:cs="Calibri"/>
                <w:color w:val="000000"/>
                <w:sz w:val="18"/>
                <w:szCs w:val="18"/>
              </w:rPr>
              <w:t>Community Services</w:t>
            </w:r>
          </w:p>
        </w:tc>
        <w:tc>
          <w:tcPr>
            <w:tcW w:w="1417" w:type="dxa"/>
            <w:shd w:val="clear" w:color="auto" w:fill="auto"/>
            <w:hideMark/>
          </w:tcPr>
          <w:p w:rsidR="00226205" w:rsidRPr="00226205" w:rsidRDefault="00226205" w:rsidP="00226205">
            <w:pPr>
              <w:jc w:val="center"/>
              <w:rPr>
                <w:rFonts w:ascii="Calibri" w:hAnsi="Calibri" w:cs="Calibri"/>
                <w:color w:val="000000"/>
                <w:sz w:val="18"/>
                <w:szCs w:val="18"/>
              </w:rPr>
            </w:pPr>
            <w:r w:rsidRPr="00226205">
              <w:rPr>
                <w:rFonts w:ascii="Calibri" w:hAnsi="Calibri" w:cs="Calibri"/>
                <w:color w:val="000000"/>
                <w:sz w:val="18"/>
                <w:szCs w:val="18"/>
              </w:rPr>
              <w:t>Child Care Centres</w:t>
            </w:r>
          </w:p>
        </w:tc>
        <w:tc>
          <w:tcPr>
            <w:tcW w:w="2410" w:type="dxa"/>
            <w:shd w:val="clear" w:color="auto" w:fill="auto"/>
            <w:hideMark/>
          </w:tcPr>
          <w:p w:rsidR="00226205" w:rsidRPr="00226205" w:rsidRDefault="00226205" w:rsidP="00226205">
            <w:pPr>
              <w:jc w:val="left"/>
              <w:rPr>
                <w:rFonts w:ascii="Calibri" w:hAnsi="Calibri" w:cs="Calibri"/>
                <w:color w:val="000000"/>
                <w:sz w:val="18"/>
                <w:szCs w:val="18"/>
              </w:rPr>
            </w:pPr>
            <w:r w:rsidRPr="00226205">
              <w:rPr>
                <w:rFonts w:ascii="Calibri" w:hAnsi="Calibri" w:cs="Calibri"/>
                <w:color w:val="000000"/>
                <w:sz w:val="18"/>
                <w:szCs w:val="18"/>
              </w:rPr>
              <w:t xml:space="preserve">The building is generally in a good condition roof, mechanical and fitout requires attention. </w:t>
            </w:r>
          </w:p>
        </w:tc>
        <w:tc>
          <w:tcPr>
            <w:tcW w:w="3118" w:type="dxa"/>
            <w:shd w:val="clear" w:color="auto" w:fill="auto"/>
            <w:hideMark/>
          </w:tcPr>
          <w:p w:rsidR="00226205" w:rsidRPr="00226205" w:rsidRDefault="00226205" w:rsidP="00DF0C54">
            <w:pPr>
              <w:jc w:val="left"/>
              <w:rPr>
                <w:rFonts w:ascii="Calibri" w:hAnsi="Calibri" w:cs="Calibri"/>
                <w:color w:val="000000"/>
                <w:sz w:val="18"/>
                <w:szCs w:val="18"/>
              </w:rPr>
            </w:pPr>
            <w:r w:rsidRPr="00226205">
              <w:rPr>
                <w:rFonts w:ascii="Calibri" w:hAnsi="Calibri" w:cs="Calibri"/>
                <w:color w:val="000000"/>
                <w:sz w:val="18"/>
                <w:szCs w:val="18"/>
              </w:rPr>
              <w:t>Busy at drop off/pick up times. There is no bike or pram storage. In future will be unable to deliver integrated service (MYWP) as kinder space is very aged.  Building is segregated and has limited storage. There are currently plans for expansion due to service growth.  MCH requires changes to the building require a roster to manage utilisation of the outdoor area for children.  Required services cannot be deliv</w:t>
            </w:r>
            <w:r w:rsidR="00DF0C54">
              <w:rPr>
                <w:rFonts w:ascii="Calibri" w:hAnsi="Calibri" w:cs="Calibri"/>
                <w:color w:val="000000"/>
                <w:sz w:val="18"/>
                <w:szCs w:val="18"/>
              </w:rPr>
              <w:t xml:space="preserve">ered.  Current location of </w:t>
            </w:r>
            <w:r w:rsidRPr="00226205">
              <w:rPr>
                <w:rFonts w:ascii="Calibri" w:hAnsi="Calibri" w:cs="Calibri"/>
                <w:color w:val="000000"/>
                <w:sz w:val="18"/>
                <w:szCs w:val="18"/>
              </w:rPr>
              <w:t xml:space="preserve"> the substation is an issue.  A lift required to access upstairs.  Building is tired.  A redevelopment proposal is being developed.</w:t>
            </w:r>
          </w:p>
        </w:tc>
      </w:tr>
      <w:tr w:rsidR="00226205" w:rsidRPr="00226205" w:rsidTr="00B77D83">
        <w:trPr>
          <w:cantSplit/>
          <w:trHeight w:val="2072"/>
        </w:trPr>
        <w:tc>
          <w:tcPr>
            <w:tcW w:w="998" w:type="dxa"/>
            <w:shd w:val="clear" w:color="auto" w:fill="auto"/>
            <w:hideMark/>
          </w:tcPr>
          <w:p w:rsidR="00226205" w:rsidRPr="00226205" w:rsidRDefault="00226205" w:rsidP="006918D2">
            <w:pPr>
              <w:jc w:val="center"/>
              <w:rPr>
                <w:rFonts w:ascii="Calibri" w:hAnsi="Calibri" w:cs="Calibri"/>
                <w:color w:val="000000"/>
                <w:sz w:val="18"/>
                <w:szCs w:val="18"/>
              </w:rPr>
            </w:pPr>
            <w:r w:rsidRPr="00226205">
              <w:rPr>
                <w:rFonts w:ascii="Calibri" w:hAnsi="Calibri" w:cs="Calibri"/>
                <w:color w:val="000000"/>
                <w:sz w:val="18"/>
                <w:szCs w:val="18"/>
              </w:rPr>
              <w:t>B000084</w:t>
            </w:r>
          </w:p>
        </w:tc>
        <w:tc>
          <w:tcPr>
            <w:tcW w:w="2693" w:type="dxa"/>
            <w:shd w:val="clear" w:color="auto" w:fill="auto"/>
            <w:hideMark/>
          </w:tcPr>
          <w:p w:rsidR="00226205" w:rsidRPr="00226205" w:rsidRDefault="00226205" w:rsidP="00226205">
            <w:pPr>
              <w:rPr>
                <w:rFonts w:ascii="Calibri" w:hAnsi="Calibri" w:cs="Calibri"/>
                <w:color w:val="000000"/>
                <w:sz w:val="18"/>
                <w:szCs w:val="18"/>
              </w:rPr>
            </w:pPr>
            <w:r w:rsidRPr="00226205">
              <w:rPr>
                <w:rFonts w:ascii="Calibri" w:hAnsi="Calibri" w:cs="Calibri"/>
                <w:noProof/>
                <w:color w:val="000000"/>
                <w:sz w:val="18"/>
                <w:szCs w:val="18"/>
              </w:rPr>
              <w:drawing>
                <wp:anchor distT="0" distB="0" distL="114300" distR="114300" simplePos="0" relativeHeight="251810304" behindDoc="0" locked="0" layoutInCell="1" allowOverlap="1" wp14:anchorId="5C3B7B02" wp14:editId="70EADA49">
                  <wp:simplePos x="0" y="0"/>
                  <wp:positionH relativeFrom="column">
                    <wp:posOffset>-20955</wp:posOffset>
                  </wp:positionH>
                  <wp:positionV relativeFrom="paragraph">
                    <wp:posOffset>52510</wp:posOffset>
                  </wp:positionV>
                  <wp:extent cx="1630680" cy="1223645"/>
                  <wp:effectExtent l="0" t="0" r="0" b="0"/>
                  <wp:wrapNone/>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Picture 155"/>
                          <pic:cNvPicPr>
                            <a:picLocks noChangeAspect="1"/>
                          </pic:cNvPicPr>
                        </pic:nvPicPr>
                        <pic:blipFill>
                          <a:blip r:embed="rId133" cstate="print">
                            <a:extLst>
                              <a:ext uri="{28A0092B-C50C-407E-A947-70E740481C1C}">
                                <a14:useLocalDpi xmlns:a14="http://schemas.microsoft.com/office/drawing/2010/main" val="0"/>
                              </a:ext>
                            </a:extLst>
                          </a:blip>
                          <a:stretch>
                            <a:fillRect/>
                          </a:stretch>
                        </pic:blipFill>
                        <pic:spPr>
                          <a:xfrm>
                            <a:off x="0" y="0"/>
                            <a:ext cx="1630680" cy="1223645"/>
                          </a:xfrm>
                          <a:prstGeom prst="rect">
                            <a:avLst/>
                          </a:prstGeom>
                        </pic:spPr>
                      </pic:pic>
                    </a:graphicData>
                  </a:graphic>
                  <wp14:sizeRelH relativeFrom="page">
                    <wp14:pctWidth>0</wp14:pctWidth>
                  </wp14:sizeRelH>
                  <wp14:sizeRelV relativeFrom="page">
                    <wp14:pctHeight>0</wp14:pctHeight>
                  </wp14:sizeRelV>
                </wp:anchor>
              </w:drawing>
            </w:r>
          </w:p>
        </w:tc>
        <w:tc>
          <w:tcPr>
            <w:tcW w:w="2268" w:type="dxa"/>
            <w:shd w:val="clear" w:color="auto" w:fill="auto"/>
            <w:hideMark/>
          </w:tcPr>
          <w:p w:rsidR="00226205" w:rsidRPr="00226205" w:rsidRDefault="00226205" w:rsidP="00A54993">
            <w:pPr>
              <w:jc w:val="left"/>
              <w:rPr>
                <w:rFonts w:ascii="Calibri" w:hAnsi="Calibri" w:cs="Calibri"/>
                <w:color w:val="000000"/>
                <w:sz w:val="18"/>
                <w:szCs w:val="18"/>
              </w:rPr>
            </w:pPr>
            <w:r w:rsidRPr="00226205">
              <w:rPr>
                <w:rFonts w:ascii="Calibri" w:hAnsi="Calibri" w:cs="Calibri"/>
                <w:color w:val="000000"/>
                <w:sz w:val="18"/>
                <w:szCs w:val="18"/>
              </w:rPr>
              <w:t xml:space="preserve">North Carlton Preschool- 481 Canning Street, Carlton North </w:t>
            </w:r>
          </w:p>
        </w:tc>
        <w:tc>
          <w:tcPr>
            <w:tcW w:w="1276" w:type="dxa"/>
            <w:shd w:val="clear" w:color="auto" w:fill="auto"/>
            <w:hideMark/>
          </w:tcPr>
          <w:p w:rsidR="00226205" w:rsidRPr="00226205" w:rsidRDefault="00226205" w:rsidP="00B77D83">
            <w:pPr>
              <w:tabs>
                <w:tab w:val="decimal" w:pos="884"/>
              </w:tabs>
              <w:jc w:val="left"/>
              <w:rPr>
                <w:rFonts w:ascii="Calibri" w:hAnsi="Calibri" w:cs="Calibri"/>
                <w:color w:val="000000"/>
                <w:sz w:val="18"/>
                <w:szCs w:val="18"/>
              </w:rPr>
            </w:pPr>
            <w:r w:rsidRPr="00226205">
              <w:rPr>
                <w:rFonts w:ascii="Calibri" w:hAnsi="Calibri" w:cs="Calibri"/>
                <w:color w:val="000000"/>
                <w:sz w:val="18"/>
                <w:szCs w:val="18"/>
              </w:rPr>
              <w:t>$425,106</w:t>
            </w:r>
          </w:p>
        </w:tc>
        <w:tc>
          <w:tcPr>
            <w:tcW w:w="1134" w:type="dxa"/>
            <w:shd w:val="clear" w:color="auto" w:fill="auto"/>
            <w:hideMark/>
          </w:tcPr>
          <w:p w:rsidR="00226205" w:rsidRPr="00226205" w:rsidRDefault="00226205" w:rsidP="00226205">
            <w:pPr>
              <w:jc w:val="center"/>
              <w:rPr>
                <w:rFonts w:ascii="Calibri" w:hAnsi="Calibri" w:cs="Calibri"/>
                <w:color w:val="000000"/>
                <w:sz w:val="18"/>
                <w:szCs w:val="18"/>
              </w:rPr>
            </w:pPr>
            <w:r w:rsidRPr="00226205">
              <w:rPr>
                <w:rFonts w:ascii="Calibri" w:hAnsi="Calibri" w:cs="Calibri"/>
                <w:color w:val="000000"/>
                <w:sz w:val="18"/>
                <w:szCs w:val="18"/>
              </w:rPr>
              <w:t>Community Services</w:t>
            </w:r>
          </w:p>
        </w:tc>
        <w:tc>
          <w:tcPr>
            <w:tcW w:w="1417" w:type="dxa"/>
            <w:shd w:val="clear" w:color="auto" w:fill="auto"/>
            <w:hideMark/>
          </w:tcPr>
          <w:p w:rsidR="00226205" w:rsidRPr="00226205" w:rsidRDefault="00226205" w:rsidP="00226205">
            <w:pPr>
              <w:jc w:val="center"/>
              <w:rPr>
                <w:rFonts w:ascii="Calibri" w:hAnsi="Calibri" w:cs="Calibri"/>
                <w:color w:val="000000"/>
                <w:sz w:val="18"/>
                <w:szCs w:val="18"/>
              </w:rPr>
            </w:pPr>
            <w:r w:rsidRPr="00226205">
              <w:rPr>
                <w:rFonts w:ascii="Calibri" w:hAnsi="Calibri" w:cs="Calibri"/>
                <w:color w:val="000000"/>
                <w:sz w:val="18"/>
                <w:szCs w:val="18"/>
              </w:rPr>
              <w:t>Kindergartens</w:t>
            </w:r>
          </w:p>
        </w:tc>
        <w:tc>
          <w:tcPr>
            <w:tcW w:w="2410" w:type="dxa"/>
            <w:shd w:val="clear" w:color="auto" w:fill="auto"/>
            <w:hideMark/>
          </w:tcPr>
          <w:p w:rsidR="00226205" w:rsidRPr="00226205" w:rsidRDefault="00226205" w:rsidP="00226205">
            <w:pPr>
              <w:jc w:val="left"/>
              <w:rPr>
                <w:rFonts w:ascii="Calibri" w:hAnsi="Calibri" w:cs="Calibri"/>
                <w:color w:val="000000"/>
                <w:sz w:val="18"/>
                <w:szCs w:val="18"/>
              </w:rPr>
            </w:pPr>
            <w:r w:rsidRPr="00226205">
              <w:rPr>
                <w:rFonts w:ascii="Calibri" w:hAnsi="Calibri" w:cs="Calibri"/>
                <w:color w:val="000000"/>
                <w:sz w:val="18"/>
                <w:szCs w:val="18"/>
              </w:rPr>
              <w:t xml:space="preserve">The building is generally in a good condition. </w:t>
            </w:r>
          </w:p>
        </w:tc>
        <w:tc>
          <w:tcPr>
            <w:tcW w:w="3118" w:type="dxa"/>
            <w:shd w:val="clear" w:color="auto" w:fill="auto"/>
            <w:hideMark/>
          </w:tcPr>
          <w:p w:rsidR="00226205" w:rsidRPr="00226205" w:rsidRDefault="00226205" w:rsidP="00DF0C54">
            <w:pPr>
              <w:jc w:val="left"/>
              <w:rPr>
                <w:rFonts w:ascii="Calibri" w:hAnsi="Calibri" w:cs="Calibri"/>
                <w:color w:val="000000"/>
                <w:sz w:val="18"/>
                <w:szCs w:val="18"/>
              </w:rPr>
            </w:pPr>
            <w:r w:rsidRPr="00226205">
              <w:rPr>
                <w:rFonts w:ascii="Calibri" w:hAnsi="Calibri" w:cs="Calibri"/>
                <w:color w:val="000000"/>
                <w:sz w:val="18"/>
                <w:szCs w:val="18"/>
              </w:rPr>
              <w:t>There is no</w:t>
            </w:r>
            <w:r w:rsidR="00DF0C54">
              <w:rPr>
                <w:rFonts w:ascii="Calibri" w:hAnsi="Calibri" w:cs="Calibri"/>
                <w:color w:val="000000"/>
                <w:sz w:val="18"/>
                <w:szCs w:val="18"/>
              </w:rPr>
              <w:t xml:space="preserve"> </w:t>
            </w:r>
            <w:r w:rsidRPr="00226205">
              <w:rPr>
                <w:rFonts w:ascii="Calibri" w:hAnsi="Calibri" w:cs="Calibri"/>
                <w:color w:val="000000"/>
                <w:sz w:val="18"/>
                <w:szCs w:val="18"/>
              </w:rPr>
              <w:t>staff planning space or a separate lunchroom (a requirement of Children's Regs). Staff need to leave licensed space to go to bathroom.  Building is cold in winter.</w:t>
            </w:r>
          </w:p>
        </w:tc>
      </w:tr>
      <w:tr w:rsidR="00226205" w:rsidRPr="00226205" w:rsidTr="00B77D83">
        <w:trPr>
          <w:cantSplit/>
          <w:trHeight w:val="1423"/>
        </w:trPr>
        <w:tc>
          <w:tcPr>
            <w:tcW w:w="998" w:type="dxa"/>
            <w:shd w:val="clear" w:color="auto" w:fill="auto"/>
            <w:hideMark/>
          </w:tcPr>
          <w:p w:rsidR="00226205" w:rsidRPr="00226205" w:rsidRDefault="00226205" w:rsidP="006918D2">
            <w:pPr>
              <w:jc w:val="center"/>
              <w:rPr>
                <w:rFonts w:ascii="Calibri" w:hAnsi="Calibri" w:cs="Calibri"/>
                <w:color w:val="000000"/>
                <w:sz w:val="18"/>
                <w:szCs w:val="18"/>
              </w:rPr>
            </w:pPr>
            <w:r w:rsidRPr="00226205">
              <w:rPr>
                <w:rFonts w:ascii="Calibri" w:hAnsi="Calibri" w:cs="Calibri"/>
                <w:color w:val="000000"/>
                <w:sz w:val="18"/>
                <w:szCs w:val="18"/>
              </w:rPr>
              <w:t>B000087</w:t>
            </w:r>
          </w:p>
        </w:tc>
        <w:tc>
          <w:tcPr>
            <w:tcW w:w="2693" w:type="dxa"/>
            <w:shd w:val="clear" w:color="auto" w:fill="auto"/>
            <w:hideMark/>
          </w:tcPr>
          <w:p w:rsidR="00226205" w:rsidRPr="00226205" w:rsidRDefault="00226205" w:rsidP="00226205">
            <w:pPr>
              <w:rPr>
                <w:rFonts w:ascii="Calibri" w:hAnsi="Calibri" w:cs="Calibri"/>
                <w:color w:val="000000"/>
                <w:sz w:val="18"/>
                <w:szCs w:val="18"/>
              </w:rPr>
            </w:pPr>
            <w:r w:rsidRPr="00226205">
              <w:rPr>
                <w:rFonts w:ascii="Calibri" w:hAnsi="Calibri" w:cs="Calibri"/>
                <w:noProof/>
                <w:color w:val="000000"/>
                <w:sz w:val="18"/>
                <w:szCs w:val="18"/>
              </w:rPr>
              <w:drawing>
                <wp:anchor distT="0" distB="0" distL="114300" distR="114300" simplePos="0" relativeHeight="251736576" behindDoc="0" locked="0" layoutInCell="1" allowOverlap="1" wp14:anchorId="7CC50532" wp14:editId="2D6557E9">
                  <wp:simplePos x="0" y="0"/>
                  <wp:positionH relativeFrom="column">
                    <wp:posOffset>-20955</wp:posOffset>
                  </wp:positionH>
                  <wp:positionV relativeFrom="paragraph">
                    <wp:posOffset>61155</wp:posOffset>
                  </wp:positionV>
                  <wp:extent cx="1630680" cy="1130300"/>
                  <wp:effectExtent l="0" t="0" r="0" b="0"/>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0"/>
                          <pic:cNvPicPr>
                            <a:picLocks noChangeAspect="1"/>
                          </pic:cNvPicPr>
                        </pic:nvPicPr>
                        <pic:blipFill>
                          <a:blip r:embed="rId134">
                            <a:extLst>
                              <a:ext uri="{28A0092B-C50C-407E-A947-70E740481C1C}">
                                <a14:useLocalDpi xmlns:a14="http://schemas.microsoft.com/office/drawing/2010/main" val="0"/>
                              </a:ext>
                            </a:extLst>
                          </a:blip>
                          <a:stretch>
                            <a:fillRect/>
                          </a:stretch>
                        </pic:blipFill>
                        <pic:spPr>
                          <a:xfrm>
                            <a:off x="0" y="0"/>
                            <a:ext cx="1630680" cy="1130300"/>
                          </a:xfrm>
                          <a:prstGeom prst="rect">
                            <a:avLst/>
                          </a:prstGeom>
                        </pic:spPr>
                      </pic:pic>
                    </a:graphicData>
                  </a:graphic>
                  <wp14:sizeRelH relativeFrom="page">
                    <wp14:pctWidth>0</wp14:pctWidth>
                  </wp14:sizeRelH>
                  <wp14:sizeRelV relativeFrom="page">
                    <wp14:pctHeight>0</wp14:pctHeight>
                  </wp14:sizeRelV>
                </wp:anchor>
              </w:drawing>
            </w:r>
          </w:p>
        </w:tc>
        <w:tc>
          <w:tcPr>
            <w:tcW w:w="2268" w:type="dxa"/>
            <w:shd w:val="clear" w:color="auto" w:fill="auto"/>
            <w:hideMark/>
          </w:tcPr>
          <w:p w:rsidR="00226205" w:rsidRPr="00226205" w:rsidRDefault="00226205" w:rsidP="00A54993">
            <w:pPr>
              <w:jc w:val="left"/>
              <w:rPr>
                <w:rFonts w:ascii="Calibri" w:hAnsi="Calibri" w:cs="Calibri"/>
                <w:color w:val="000000"/>
                <w:sz w:val="18"/>
                <w:szCs w:val="18"/>
              </w:rPr>
            </w:pPr>
            <w:r w:rsidRPr="00226205">
              <w:rPr>
                <w:rFonts w:ascii="Calibri" w:hAnsi="Calibri" w:cs="Calibri"/>
                <w:color w:val="000000"/>
                <w:sz w:val="18"/>
                <w:szCs w:val="18"/>
              </w:rPr>
              <w:t xml:space="preserve">Lunchroom, Collingwood Depot- Roseneath Street, Clifton Hill </w:t>
            </w:r>
          </w:p>
        </w:tc>
        <w:tc>
          <w:tcPr>
            <w:tcW w:w="1276" w:type="dxa"/>
            <w:shd w:val="clear" w:color="auto" w:fill="auto"/>
            <w:hideMark/>
          </w:tcPr>
          <w:p w:rsidR="00226205" w:rsidRPr="00226205" w:rsidRDefault="00B77D83" w:rsidP="00B77D83">
            <w:pPr>
              <w:tabs>
                <w:tab w:val="decimal" w:pos="884"/>
              </w:tabs>
              <w:jc w:val="left"/>
              <w:rPr>
                <w:rFonts w:ascii="Calibri" w:hAnsi="Calibri" w:cs="Calibri"/>
                <w:color w:val="000000"/>
                <w:sz w:val="18"/>
                <w:szCs w:val="18"/>
              </w:rPr>
            </w:pPr>
            <w:r>
              <w:rPr>
                <w:rFonts w:ascii="Calibri" w:hAnsi="Calibri" w:cs="Calibri"/>
                <w:color w:val="000000"/>
                <w:sz w:val="18"/>
                <w:szCs w:val="18"/>
              </w:rPr>
              <w:t>$</w:t>
            </w:r>
            <w:r w:rsidR="00226205" w:rsidRPr="00226205">
              <w:rPr>
                <w:rFonts w:ascii="Calibri" w:hAnsi="Calibri" w:cs="Calibri"/>
                <w:color w:val="000000"/>
                <w:sz w:val="18"/>
                <w:szCs w:val="18"/>
              </w:rPr>
              <w:t>258,258</w:t>
            </w:r>
          </w:p>
        </w:tc>
        <w:tc>
          <w:tcPr>
            <w:tcW w:w="1134" w:type="dxa"/>
            <w:shd w:val="clear" w:color="auto" w:fill="auto"/>
            <w:hideMark/>
          </w:tcPr>
          <w:p w:rsidR="00226205" w:rsidRPr="00226205" w:rsidRDefault="00226205" w:rsidP="00226205">
            <w:pPr>
              <w:jc w:val="center"/>
              <w:rPr>
                <w:rFonts w:ascii="Calibri" w:hAnsi="Calibri" w:cs="Calibri"/>
                <w:color w:val="000000"/>
                <w:sz w:val="18"/>
                <w:szCs w:val="18"/>
              </w:rPr>
            </w:pPr>
            <w:r w:rsidRPr="00226205">
              <w:rPr>
                <w:rFonts w:ascii="Calibri" w:hAnsi="Calibri" w:cs="Calibri"/>
                <w:color w:val="000000"/>
                <w:sz w:val="18"/>
                <w:szCs w:val="18"/>
              </w:rPr>
              <w:t>Council Operations</w:t>
            </w:r>
          </w:p>
        </w:tc>
        <w:tc>
          <w:tcPr>
            <w:tcW w:w="1417" w:type="dxa"/>
            <w:shd w:val="clear" w:color="auto" w:fill="auto"/>
            <w:hideMark/>
          </w:tcPr>
          <w:p w:rsidR="00226205" w:rsidRPr="00226205" w:rsidRDefault="00226205" w:rsidP="00226205">
            <w:pPr>
              <w:jc w:val="center"/>
              <w:rPr>
                <w:rFonts w:ascii="Calibri" w:hAnsi="Calibri" w:cs="Calibri"/>
                <w:color w:val="000000"/>
                <w:sz w:val="18"/>
                <w:szCs w:val="18"/>
              </w:rPr>
            </w:pPr>
            <w:r w:rsidRPr="00226205">
              <w:rPr>
                <w:rFonts w:ascii="Calibri" w:hAnsi="Calibri" w:cs="Calibri"/>
                <w:color w:val="000000"/>
                <w:sz w:val="18"/>
                <w:szCs w:val="18"/>
              </w:rPr>
              <w:t>Offices /Administration</w:t>
            </w:r>
          </w:p>
        </w:tc>
        <w:tc>
          <w:tcPr>
            <w:tcW w:w="2410" w:type="dxa"/>
            <w:shd w:val="clear" w:color="auto" w:fill="auto"/>
            <w:hideMark/>
          </w:tcPr>
          <w:p w:rsidR="00226205" w:rsidRPr="00226205" w:rsidRDefault="00226205" w:rsidP="00226205">
            <w:pPr>
              <w:jc w:val="left"/>
              <w:rPr>
                <w:rFonts w:ascii="Calibri" w:hAnsi="Calibri" w:cs="Calibri"/>
                <w:color w:val="000000"/>
                <w:sz w:val="18"/>
                <w:szCs w:val="18"/>
              </w:rPr>
            </w:pPr>
            <w:r w:rsidRPr="00226205">
              <w:rPr>
                <w:rFonts w:ascii="Calibri" w:hAnsi="Calibri" w:cs="Calibri"/>
                <w:color w:val="000000"/>
                <w:sz w:val="18"/>
                <w:szCs w:val="18"/>
              </w:rPr>
              <w:t xml:space="preserve">The building is generally in a good condition fitout could be improved. </w:t>
            </w:r>
          </w:p>
        </w:tc>
        <w:tc>
          <w:tcPr>
            <w:tcW w:w="3118" w:type="dxa"/>
            <w:shd w:val="clear" w:color="auto" w:fill="auto"/>
            <w:hideMark/>
          </w:tcPr>
          <w:p w:rsidR="00226205" w:rsidRPr="00226205" w:rsidRDefault="00226205" w:rsidP="00226205">
            <w:pPr>
              <w:jc w:val="left"/>
              <w:rPr>
                <w:rFonts w:ascii="Calibri" w:hAnsi="Calibri" w:cs="Calibri"/>
                <w:color w:val="000000"/>
                <w:sz w:val="18"/>
                <w:szCs w:val="18"/>
              </w:rPr>
            </w:pPr>
            <w:r w:rsidRPr="00226205">
              <w:rPr>
                <w:rFonts w:ascii="Calibri" w:hAnsi="Calibri" w:cs="Calibri"/>
                <w:color w:val="000000"/>
                <w:sz w:val="18"/>
                <w:szCs w:val="18"/>
              </w:rPr>
              <w:t xml:space="preserve">Space has multi functions used also for toolbox meetings.  Entry is adjacent to heavy traffic within depot.  There is a need for improved amenity of this facility.  Functionality as a MECC (emergency management)  could be improved both for layout and also functionality.  A kitchen upgrade is also required. </w:t>
            </w:r>
          </w:p>
        </w:tc>
      </w:tr>
      <w:tr w:rsidR="00226205" w:rsidRPr="00226205" w:rsidTr="00B77D83">
        <w:trPr>
          <w:cantSplit/>
          <w:trHeight w:val="2206"/>
        </w:trPr>
        <w:tc>
          <w:tcPr>
            <w:tcW w:w="998" w:type="dxa"/>
            <w:shd w:val="clear" w:color="auto" w:fill="auto"/>
            <w:hideMark/>
          </w:tcPr>
          <w:p w:rsidR="00226205" w:rsidRPr="00226205" w:rsidRDefault="00226205" w:rsidP="006918D2">
            <w:pPr>
              <w:jc w:val="center"/>
              <w:rPr>
                <w:rFonts w:ascii="Calibri" w:hAnsi="Calibri" w:cs="Calibri"/>
                <w:color w:val="000000"/>
                <w:sz w:val="18"/>
                <w:szCs w:val="18"/>
              </w:rPr>
            </w:pPr>
            <w:r w:rsidRPr="00226205">
              <w:rPr>
                <w:rFonts w:ascii="Calibri" w:hAnsi="Calibri" w:cs="Calibri"/>
                <w:color w:val="000000"/>
                <w:sz w:val="18"/>
                <w:szCs w:val="18"/>
              </w:rPr>
              <w:t>B000088</w:t>
            </w:r>
          </w:p>
        </w:tc>
        <w:tc>
          <w:tcPr>
            <w:tcW w:w="2693" w:type="dxa"/>
            <w:shd w:val="clear" w:color="auto" w:fill="auto"/>
            <w:hideMark/>
          </w:tcPr>
          <w:p w:rsidR="00226205" w:rsidRPr="00226205" w:rsidRDefault="00226205" w:rsidP="00226205">
            <w:pPr>
              <w:rPr>
                <w:rFonts w:ascii="Calibri" w:hAnsi="Calibri" w:cs="Calibri"/>
                <w:color w:val="000000"/>
                <w:sz w:val="18"/>
                <w:szCs w:val="18"/>
              </w:rPr>
            </w:pPr>
            <w:r w:rsidRPr="00226205">
              <w:rPr>
                <w:rFonts w:ascii="Calibri" w:hAnsi="Calibri" w:cs="Calibri"/>
                <w:noProof/>
                <w:color w:val="000000"/>
                <w:sz w:val="18"/>
                <w:szCs w:val="18"/>
              </w:rPr>
              <w:drawing>
                <wp:anchor distT="0" distB="0" distL="114300" distR="114300" simplePos="0" relativeHeight="251738624" behindDoc="0" locked="0" layoutInCell="1" allowOverlap="1" wp14:anchorId="23EA4C27" wp14:editId="6E784B15">
                  <wp:simplePos x="0" y="0"/>
                  <wp:positionH relativeFrom="column">
                    <wp:posOffset>-20955</wp:posOffset>
                  </wp:positionH>
                  <wp:positionV relativeFrom="paragraph">
                    <wp:posOffset>47820</wp:posOffset>
                  </wp:positionV>
                  <wp:extent cx="1630680" cy="1303020"/>
                  <wp:effectExtent l="0" t="0" r="0" b="0"/>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2"/>
                          <pic:cNvPicPr>
                            <a:picLocks noChangeAspect="1"/>
                          </pic:cNvPicPr>
                        </pic:nvPicPr>
                        <pic:blipFill>
                          <a:blip r:embed="rId135">
                            <a:extLst>
                              <a:ext uri="{28A0092B-C50C-407E-A947-70E740481C1C}">
                                <a14:useLocalDpi xmlns:a14="http://schemas.microsoft.com/office/drawing/2010/main" val="0"/>
                              </a:ext>
                            </a:extLst>
                          </a:blip>
                          <a:stretch>
                            <a:fillRect/>
                          </a:stretch>
                        </pic:blipFill>
                        <pic:spPr>
                          <a:xfrm>
                            <a:off x="0" y="0"/>
                            <a:ext cx="1630680" cy="1303020"/>
                          </a:xfrm>
                          <a:prstGeom prst="rect">
                            <a:avLst/>
                          </a:prstGeom>
                        </pic:spPr>
                      </pic:pic>
                    </a:graphicData>
                  </a:graphic>
                  <wp14:sizeRelH relativeFrom="page">
                    <wp14:pctWidth>0</wp14:pctWidth>
                  </wp14:sizeRelH>
                  <wp14:sizeRelV relativeFrom="page">
                    <wp14:pctHeight>0</wp14:pctHeight>
                  </wp14:sizeRelV>
                </wp:anchor>
              </w:drawing>
            </w:r>
          </w:p>
        </w:tc>
        <w:tc>
          <w:tcPr>
            <w:tcW w:w="2268" w:type="dxa"/>
            <w:shd w:val="clear" w:color="auto" w:fill="auto"/>
            <w:hideMark/>
          </w:tcPr>
          <w:p w:rsidR="00226205" w:rsidRPr="00226205" w:rsidRDefault="00226205" w:rsidP="00A54993">
            <w:pPr>
              <w:jc w:val="left"/>
              <w:rPr>
                <w:rFonts w:ascii="Calibri" w:hAnsi="Calibri" w:cs="Calibri"/>
                <w:color w:val="000000"/>
                <w:sz w:val="18"/>
                <w:szCs w:val="18"/>
              </w:rPr>
            </w:pPr>
            <w:r w:rsidRPr="00226205">
              <w:rPr>
                <w:rFonts w:ascii="Calibri" w:hAnsi="Calibri" w:cs="Calibri"/>
                <w:color w:val="000000"/>
                <w:sz w:val="18"/>
                <w:szCs w:val="18"/>
              </w:rPr>
              <w:t xml:space="preserve">Vehicle Parking and Storage Sheds South, Collingwood Depot- Roseneath Street, Clifton Hill </w:t>
            </w:r>
          </w:p>
        </w:tc>
        <w:tc>
          <w:tcPr>
            <w:tcW w:w="1276" w:type="dxa"/>
            <w:shd w:val="clear" w:color="auto" w:fill="auto"/>
            <w:hideMark/>
          </w:tcPr>
          <w:p w:rsidR="00226205" w:rsidRPr="00226205" w:rsidRDefault="00226205" w:rsidP="00B77D83">
            <w:pPr>
              <w:tabs>
                <w:tab w:val="decimal" w:pos="884"/>
              </w:tabs>
              <w:jc w:val="left"/>
              <w:rPr>
                <w:rFonts w:ascii="Calibri" w:hAnsi="Calibri" w:cs="Calibri"/>
                <w:color w:val="000000"/>
                <w:sz w:val="18"/>
                <w:szCs w:val="18"/>
              </w:rPr>
            </w:pPr>
            <w:r w:rsidRPr="00226205">
              <w:rPr>
                <w:rFonts w:ascii="Calibri" w:hAnsi="Calibri" w:cs="Calibri"/>
                <w:color w:val="000000"/>
                <w:sz w:val="18"/>
                <w:szCs w:val="18"/>
              </w:rPr>
              <w:t>$100,000</w:t>
            </w:r>
          </w:p>
        </w:tc>
        <w:tc>
          <w:tcPr>
            <w:tcW w:w="1134" w:type="dxa"/>
            <w:shd w:val="clear" w:color="auto" w:fill="auto"/>
            <w:hideMark/>
          </w:tcPr>
          <w:p w:rsidR="00226205" w:rsidRPr="00226205" w:rsidRDefault="00226205" w:rsidP="00226205">
            <w:pPr>
              <w:jc w:val="center"/>
              <w:rPr>
                <w:rFonts w:ascii="Calibri" w:hAnsi="Calibri" w:cs="Calibri"/>
                <w:color w:val="000000"/>
                <w:sz w:val="18"/>
                <w:szCs w:val="18"/>
              </w:rPr>
            </w:pPr>
            <w:r w:rsidRPr="00226205">
              <w:rPr>
                <w:rFonts w:ascii="Calibri" w:hAnsi="Calibri" w:cs="Calibri"/>
                <w:color w:val="000000"/>
                <w:sz w:val="18"/>
                <w:szCs w:val="18"/>
              </w:rPr>
              <w:t>Council Operations</w:t>
            </w:r>
          </w:p>
        </w:tc>
        <w:tc>
          <w:tcPr>
            <w:tcW w:w="1417" w:type="dxa"/>
            <w:shd w:val="clear" w:color="auto" w:fill="auto"/>
            <w:hideMark/>
          </w:tcPr>
          <w:p w:rsidR="00226205" w:rsidRPr="00226205" w:rsidRDefault="00226205" w:rsidP="00226205">
            <w:pPr>
              <w:jc w:val="center"/>
              <w:rPr>
                <w:rFonts w:ascii="Calibri" w:hAnsi="Calibri" w:cs="Calibri"/>
                <w:color w:val="000000"/>
                <w:sz w:val="18"/>
                <w:szCs w:val="18"/>
              </w:rPr>
            </w:pPr>
            <w:r w:rsidRPr="00226205">
              <w:rPr>
                <w:rFonts w:ascii="Calibri" w:hAnsi="Calibri" w:cs="Calibri"/>
                <w:color w:val="000000"/>
                <w:sz w:val="18"/>
                <w:szCs w:val="18"/>
              </w:rPr>
              <w:t>Stores / Sheds / Garages</w:t>
            </w:r>
          </w:p>
        </w:tc>
        <w:tc>
          <w:tcPr>
            <w:tcW w:w="2410" w:type="dxa"/>
            <w:shd w:val="clear" w:color="auto" w:fill="auto"/>
            <w:hideMark/>
          </w:tcPr>
          <w:p w:rsidR="00226205" w:rsidRPr="00226205" w:rsidRDefault="00226205" w:rsidP="00226205">
            <w:pPr>
              <w:jc w:val="left"/>
              <w:rPr>
                <w:rFonts w:ascii="Calibri" w:hAnsi="Calibri" w:cs="Calibri"/>
                <w:color w:val="000000"/>
                <w:sz w:val="18"/>
                <w:szCs w:val="18"/>
              </w:rPr>
            </w:pPr>
            <w:r w:rsidRPr="00226205">
              <w:rPr>
                <w:rFonts w:ascii="Calibri" w:hAnsi="Calibri" w:cs="Calibri"/>
                <w:color w:val="000000"/>
                <w:sz w:val="18"/>
                <w:szCs w:val="18"/>
              </w:rPr>
              <w:t xml:space="preserve">The building is generally in a fair condition. </w:t>
            </w:r>
          </w:p>
        </w:tc>
        <w:tc>
          <w:tcPr>
            <w:tcW w:w="3118" w:type="dxa"/>
            <w:shd w:val="clear" w:color="auto" w:fill="auto"/>
            <w:hideMark/>
          </w:tcPr>
          <w:p w:rsidR="00226205" w:rsidRPr="00226205" w:rsidRDefault="00226205" w:rsidP="00226205">
            <w:pPr>
              <w:jc w:val="left"/>
              <w:rPr>
                <w:rFonts w:ascii="Calibri" w:hAnsi="Calibri" w:cs="Calibri"/>
                <w:color w:val="000000"/>
                <w:sz w:val="18"/>
                <w:szCs w:val="18"/>
              </w:rPr>
            </w:pPr>
            <w:r w:rsidRPr="00226205">
              <w:rPr>
                <w:rFonts w:ascii="Calibri" w:hAnsi="Calibri" w:cs="Calibri"/>
                <w:color w:val="000000"/>
                <w:sz w:val="18"/>
                <w:szCs w:val="18"/>
              </w:rPr>
              <w:t>Vehicle storage is at capacity. Depth of some bays limits the type vehicle stored.</w:t>
            </w:r>
          </w:p>
        </w:tc>
      </w:tr>
      <w:tr w:rsidR="00226205" w:rsidRPr="00226205" w:rsidTr="00B77D83">
        <w:trPr>
          <w:cantSplit/>
          <w:trHeight w:val="2133"/>
        </w:trPr>
        <w:tc>
          <w:tcPr>
            <w:tcW w:w="998" w:type="dxa"/>
            <w:shd w:val="clear" w:color="auto" w:fill="auto"/>
            <w:hideMark/>
          </w:tcPr>
          <w:p w:rsidR="00226205" w:rsidRPr="00226205" w:rsidRDefault="00226205" w:rsidP="006918D2">
            <w:pPr>
              <w:jc w:val="center"/>
              <w:rPr>
                <w:rFonts w:ascii="Calibri" w:hAnsi="Calibri" w:cs="Calibri"/>
                <w:color w:val="000000"/>
                <w:sz w:val="18"/>
                <w:szCs w:val="18"/>
              </w:rPr>
            </w:pPr>
            <w:r w:rsidRPr="00226205">
              <w:rPr>
                <w:rFonts w:ascii="Calibri" w:hAnsi="Calibri" w:cs="Calibri"/>
                <w:color w:val="000000"/>
                <w:sz w:val="18"/>
                <w:szCs w:val="18"/>
              </w:rPr>
              <w:t>B000089</w:t>
            </w:r>
          </w:p>
        </w:tc>
        <w:tc>
          <w:tcPr>
            <w:tcW w:w="2693" w:type="dxa"/>
            <w:shd w:val="clear" w:color="auto" w:fill="auto"/>
            <w:hideMark/>
          </w:tcPr>
          <w:p w:rsidR="00226205" w:rsidRPr="00226205" w:rsidRDefault="00226205" w:rsidP="00226205">
            <w:pPr>
              <w:rPr>
                <w:rFonts w:ascii="Calibri" w:hAnsi="Calibri" w:cs="Calibri"/>
                <w:color w:val="000000"/>
                <w:sz w:val="18"/>
                <w:szCs w:val="18"/>
              </w:rPr>
            </w:pPr>
            <w:r w:rsidRPr="00226205">
              <w:rPr>
                <w:rFonts w:ascii="Calibri" w:hAnsi="Calibri" w:cs="Calibri"/>
                <w:noProof/>
                <w:color w:val="000000"/>
                <w:sz w:val="18"/>
                <w:szCs w:val="18"/>
              </w:rPr>
              <w:drawing>
                <wp:anchor distT="0" distB="0" distL="114300" distR="114300" simplePos="0" relativeHeight="251737600" behindDoc="0" locked="0" layoutInCell="1" allowOverlap="1" wp14:anchorId="17E55972" wp14:editId="54A524C8">
                  <wp:simplePos x="0" y="0"/>
                  <wp:positionH relativeFrom="column">
                    <wp:posOffset>-20955</wp:posOffset>
                  </wp:positionH>
                  <wp:positionV relativeFrom="paragraph">
                    <wp:posOffset>61155</wp:posOffset>
                  </wp:positionV>
                  <wp:extent cx="1630680" cy="1234440"/>
                  <wp:effectExtent l="0" t="0" r="0" b="0"/>
                  <wp:wrapNone/>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1"/>
                          <pic:cNvPicPr>
                            <a:picLocks noChangeAspect="1"/>
                          </pic:cNvPicPr>
                        </pic:nvPicPr>
                        <pic:blipFill>
                          <a:blip r:embed="rId136">
                            <a:extLst>
                              <a:ext uri="{28A0092B-C50C-407E-A947-70E740481C1C}">
                                <a14:useLocalDpi xmlns:a14="http://schemas.microsoft.com/office/drawing/2010/main" val="0"/>
                              </a:ext>
                            </a:extLst>
                          </a:blip>
                          <a:stretch>
                            <a:fillRect/>
                          </a:stretch>
                        </pic:blipFill>
                        <pic:spPr>
                          <a:xfrm>
                            <a:off x="0" y="0"/>
                            <a:ext cx="1630680" cy="1234440"/>
                          </a:xfrm>
                          <a:prstGeom prst="rect">
                            <a:avLst/>
                          </a:prstGeom>
                        </pic:spPr>
                      </pic:pic>
                    </a:graphicData>
                  </a:graphic>
                  <wp14:sizeRelH relativeFrom="page">
                    <wp14:pctWidth>0</wp14:pctWidth>
                  </wp14:sizeRelH>
                  <wp14:sizeRelV relativeFrom="page">
                    <wp14:pctHeight>0</wp14:pctHeight>
                  </wp14:sizeRelV>
                </wp:anchor>
              </w:drawing>
            </w:r>
          </w:p>
        </w:tc>
        <w:tc>
          <w:tcPr>
            <w:tcW w:w="2268" w:type="dxa"/>
            <w:shd w:val="clear" w:color="auto" w:fill="auto"/>
            <w:hideMark/>
          </w:tcPr>
          <w:p w:rsidR="00226205" w:rsidRPr="00226205" w:rsidRDefault="00226205" w:rsidP="00A54993">
            <w:pPr>
              <w:jc w:val="left"/>
              <w:rPr>
                <w:rFonts w:ascii="Calibri" w:hAnsi="Calibri" w:cs="Calibri"/>
                <w:color w:val="000000"/>
                <w:sz w:val="18"/>
                <w:szCs w:val="18"/>
              </w:rPr>
            </w:pPr>
            <w:r w:rsidRPr="00226205">
              <w:rPr>
                <w:rFonts w:ascii="Calibri" w:hAnsi="Calibri" w:cs="Calibri"/>
                <w:color w:val="000000"/>
                <w:sz w:val="18"/>
                <w:szCs w:val="18"/>
              </w:rPr>
              <w:t xml:space="preserve">Vehicle Parking and Storage Sheds West, Collingwood Depot- Roseneath Street, Clifton Hill </w:t>
            </w:r>
          </w:p>
        </w:tc>
        <w:tc>
          <w:tcPr>
            <w:tcW w:w="1276" w:type="dxa"/>
            <w:shd w:val="clear" w:color="auto" w:fill="auto"/>
            <w:hideMark/>
          </w:tcPr>
          <w:p w:rsidR="00226205" w:rsidRPr="00226205" w:rsidRDefault="00226205" w:rsidP="00B77D83">
            <w:pPr>
              <w:tabs>
                <w:tab w:val="decimal" w:pos="884"/>
              </w:tabs>
              <w:jc w:val="left"/>
              <w:rPr>
                <w:rFonts w:ascii="Calibri" w:hAnsi="Calibri" w:cs="Calibri"/>
                <w:color w:val="000000"/>
                <w:sz w:val="18"/>
                <w:szCs w:val="18"/>
              </w:rPr>
            </w:pPr>
            <w:r w:rsidRPr="00226205">
              <w:rPr>
                <w:rFonts w:ascii="Calibri" w:hAnsi="Calibri" w:cs="Calibri"/>
                <w:color w:val="000000"/>
                <w:sz w:val="18"/>
                <w:szCs w:val="18"/>
              </w:rPr>
              <w:t>$100,000</w:t>
            </w:r>
          </w:p>
        </w:tc>
        <w:tc>
          <w:tcPr>
            <w:tcW w:w="1134" w:type="dxa"/>
            <w:shd w:val="clear" w:color="auto" w:fill="auto"/>
            <w:hideMark/>
          </w:tcPr>
          <w:p w:rsidR="00226205" w:rsidRPr="00226205" w:rsidRDefault="00226205" w:rsidP="00226205">
            <w:pPr>
              <w:jc w:val="center"/>
              <w:rPr>
                <w:rFonts w:ascii="Calibri" w:hAnsi="Calibri" w:cs="Calibri"/>
                <w:color w:val="000000"/>
                <w:sz w:val="18"/>
                <w:szCs w:val="18"/>
              </w:rPr>
            </w:pPr>
            <w:r w:rsidRPr="00226205">
              <w:rPr>
                <w:rFonts w:ascii="Calibri" w:hAnsi="Calibri" w:cs="Calibri"/>
                <w:color w:val="000000"/>
                <w:sz w:val="18"/>
                <w:szCs w:val="18"/>
              </w:rPr>
              <w:t>Council Operations</w:t>
            </w:r>
          </w:p>
        </w:tc>
        <w:tc>
          <w:tcPr>
            <w:tcW w:w="1417" w:type="dxa"/>
            <w:shd w:val="clear" w:color="auto" w:fill="auto"/>
            <w:hideMark/>
          </w:tcPr>
          <w:p w:rsidR="00226205" w:rsidRPr="00226205" w:rsidRDefault="00226205" w:rsidP="00226205">
            <w:pPr>
              <w:jc w:val="center"/>
              <w:rPr>
                <w:rFonts w:ascii="Calibri" w:hAnsi="Calibri" w:cs="Calibri"/>
                <w:color w:val="000000"/>
                <w:sz w:val="18"/>
                <w:szCs w:val="18"/>
              </w:rPr>
            </w:pPr>
            <w:r w:rsidRPr="00226205">
              <w:rPr>
                <w:rFonts w:ascii="Calibri" w:hAnsi="Calibri" w:cs="Calibri"/>
                <w:color w:val="000000"/>
                <w:sz w:val="18"/>
                <w:szCs w:val="18"/>
              </w:rPr>
              <w:t>Stores / Sheds / Garages</w:t>
            </w:r>
          </w:p>
        </w:tc>
        <w:tc>
          <w:tcPr>
            <w:tcW w:w="2410" w:type="dxa"/>
            <w:shd w:val="clear" w:color="auto" w:fill="auto"/>
            <w:hideMark/>
          </w:tcPr>
          <w:p w:rsidR="00226205" w:rsidRPr="00226205" w:rsidRDefault="00226205" w:rsidP="00226205">
            <w:pPr>
              <w:jc w:val="left"/>
              <w:rPr>
                <w:rFonts w:ascii="Calibri" w:hAnsi="Calibri" w:cs="Calibri"/>
                <w:color w:val="000000"/>
                <w:sz w:val="18"/>
                <w:szCs w:val="18"/>
              </w:rPr>
            </w:pPr>
            <w:r w:rsidRPr="00226205">
              <w:rPr>
                <w:rFonts w:ascii="Calibri" w:hAnsi="Calibri" w:cs="Calibri"/>
                <w:color w:val="000000"/>
                <w:sz w:val="18"/>
                <w:szCs w:val="18"/>
              </w:rPr>
              <w:t xml:space="preserve">The building is generally in a fair condition. </w:t>
            </w:r>
          </w:p>
        </w:tc>
        <w:tc>
          <w:tcPr>
            <w:tcW w:w="3118" w:type="dxa"/>
            <w:shd w:val="clear" w:color="auto" w:fill="auto"/>
            <w:hideMark/>
          </w:tcPr>
          <w:p w:rsidR="00226205" w:rsidRPr="00226205" w:rsidRDefault="00226205" w:rsidP="00226205">
            <w:pPr>
              <w:jc w:val="left"/>
              <w:rPr>
                <w:rFonts w:ascii="Calibri" w:hAnsi="Calibri" w:cs="Calibri"/>
                <w:color w:val="000000"/>
                <w:sz w:val="18"/>
                <w:szCs w:val="18"/>
              </w:rPr>
            </w:pPr>
            <w:r w:rsidRPr="00226205">
              <w:rPr>
                <w:rFonts w:ascii="Calibri" w:hAnsi="Calibri" w:cs="Calibri"/>
                <w:color w:val="000000"/>
                <w:sz w:val="18"/>
                <w:szCs w:val="18"/>
              </w:rPr>
              <w:t>Vehicle storage is at capacity. Depth of some bays limits the type vehicle stored.</w:t>
            </w:r>
          </w:p>
        </w:tc>
      </w:tr>
      <w:tr w:rsidR="00226205" w:rsidRPr="00226205" w:rsidTr="00B77D83">
        <w:trPr>
          <w:cantSplit/>
          <w:trHeight w:val="2098"/>
        </w:trPr>
        <w:tc>
          <w:tcPr>
            <w:tcW w:w="998" w:type="dxa"/>
            <w:shd w:val="clear" w:color="auto" w:fill="auto"/>
            <w:hideMark/>
          </w:tcPr>
          <w:p w:rsidR="00226205" w:rsidRPr="00226205" w:rsidRDefault="00226205" w:rsidP="006918D2">
            <w:pPr>
              <w:jc w:val="center"/>
              <w:rPr>
                <w:rFonts w:ascii="Calibri" w:hAnsi="Calibri" w:cs="Calibri"/>
                <w:color w:val="000000"/>
                <w:sz w:val="18"/>
                <w:szCs w:val="18"/>
              </w:rPr>
            </w:pPr>
            <w:r w:rsidRPr="00226205">
              <w:rPr>
                <w:rFonts w:ascii="Calibri" w:hAnsi="Calibri" w:cs="Calibri"/>
                <w:color w:val="000000"/>
                <w:sz w:val="18"/>
                <w:szCs w:val="18"/>
              </w:rPr>
              <w:t>B000090</w:t>
            </w:r>
          </w:p>
        </w:tc>
        <w:tc>
          <w:tcPr>
            <w:tcW w:w="2693" w:type="dxa"/>
            <w:shd w:val="clear" w:color="auto" w:fill="auto"/>
            <w:hideMark/>
          </w:tcPr>
          <w:p w:rsidR="00226205" w:rsidRPr="00226205" w:rsidRDefault="00226205" w:rsidP="00226205">
            <w:pPr>
              <w:rPr>
                <w:rFonts w:ascii="Calibri" w:hAnsi="Calibri" w:cs="Calibri"/>
                <w:color w:val="000000"/>
                <w:sz w:val="18"/>
                <w:szCs w:val="18"/>
              </w:rPr>
            </w:pPr>
            <w:r w:rsidRPr="00226205">
              <w:rPr>
                <w:rFonts w:ascii="Calibri" w:hAnsi="Calibri" w:cs="Calibri"/>
                <w:noProof/>
                <w:color w:val="000000"/>
                <w:sz w:val="18"/>
                <w:szCs w:val="18"/>
              </w:rPr>
              <w:drawing>
                <wp:anchor distT="0" distB="0" distL="114300" distR="114300" simplePos="0" relativeHeight="251741696" behindDoc="0" locked="0" layoutInCell="1" allowOverlap="1" wp14:anchorId="5E80F99A" wp14:editId="14F466D5">
                  <wp:simplePos x="0" y="0"/>
                  <wp:positionH relativeFrom="column">
                    <wp:posOffset>-20955</wp:posOffset>
                  </wp:positionH>
                  <wp:positionV relativeFrom="paragraph">
                    <wp:posOffset>22030</wp:posOffset>
                  </wp:positionV>
                  <wp:extent cx="1630680" cy="1273810"/>
                  <wp:effectExtent l="0" t="0" r="0" b="0"/>
                  <wp:wrapNone/>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5"/>
                          <pic:cNvPicPr>
                            <a:picLocks noChangeAspect="1"/>
                          </pic:cNvPicPr>
                        </pic:nvPicPr>
                        <pic:blipFill>
                          <a:blip r:embed="rId137">
                            <a:extLst>
                              <a:ext uri="{28A0092B-C50C-407E-A947-70E740481C1C}">
                                <a14:useLocalDpi xmlns:a14="http://schemas.microsoft.com/office/drawing/2010/main" val="0"/>
                              </a:ext>
                            </a:extLst>
                          </a:blip>
                          <a:stretch>
                            <a:fillRect/>
                          </a:stretch>
                        </pic:blipFill>
                        <pic:spPr>
                          <a:xfrm>
                            <a:off x="0" y="0"/>
                            <a:ext cx="1630680" cy="1273810"/>
                          </a:xfrm>
                          <a:prstGeom prst="rect">
                            <a:avLst/>
                          </a:prstGeom>
                        </pic:spPr>
                      </pic:pic>
                    </a:graphicData>
                  </a:graphic>
                  <wp14:sizeRelH relativeFrom="page">
                    <wp14:pctWidth>0</wp14:pctWidth>
                  </wp14:sizeRelH>
                  <wp14:sizeRelV relativeFrom="page">
                    <wp14:pctHeight>0</wp14:pctHeight>
                  </wp14:sizeRelV>
                </wp:anchor>
              </w:drawing>
            </w:r>
          </w:p>
        </w:tc>
        <w:tc>
          <w:tcPr>
            <w:tcW w:w="2268" w:type="dxa"/>
            <w:shd w:val="clear" w:color="auto" w:fill="auto"/>
            <w:hideMark/>
          </w:tcPr>
          <w:p w:rsidR="00226205" w:rsidRPr="00226205" w:rsidRDefault="00226205" w:rsidP="00A54993">
            <w:pPr>
              <w:jc w:val="left"/>
              <w:rPr>
                <w:rFonts w:ascii="Calibri" w:hAnsi="Calibri" w:cs="Calibri"/>
                <w:color w:val="000000"/>
                <w:sz w:val="18"/>
                <w:szCs w:val="18"/>
              </w:rPr>
            </w:pPr>
            <w:r w:rsidRPr="00226205">
              <w:rPr>
                <w:rFonts w:ascii="Calibri" w:hAnsi="Calibri" w:cs="Calibri"/>
                <w:color w:val="000000"/>
                <w:sz w:val="18"/>
                <w:szCs w:val="18"/>
              </w:rPr>
              <w:t xml:space="preserve">Vehicle Parking and Storage Sheds North East, Collingwood Depot- Roseneath Street, Clifton Hill </w:t>
            </w:r>
          </w:p>
        </w:tc>
        <w:tc>
          <w:tcPr>
            <w:tcW w:w="1276" w:type="dxa"/>
            <w:shd w:val="clear" w:color="auto" w:fill="auto"/>
            <w:hideMark/>
          </w:tcPr>
          <w:p w:rsidR="00226205" w:rsidRPr="00226205" w:rsidRDefault="00226205" w:rsidP="00B77D83">
            <w:pPr>
              <w:tabs>
                <w:tab w:val="decimal" w:pos="884"/>
              </w:tabs>
              <w:jc w:val="left"/>
              <w:rPr>
                <w:rFonts w:ascii="Calibri" w:hAnsi="Calibri" w:cs="Calibri"/>
                <w:color w:val="000000"/>
                <w:sz w:val="18"/>
                <w:szCs w:val="18"/>
              </w:rPr>
            </w:pPr>
            <w:r w:rsidRPr="00226205">
              <w:rPr>
                <w:rFonts w:ascii="Calibri" w:hAnsi="Calibri" w:cs="Calibri"/>
                <w:color w:val="000000"/>
                <w:sz w:val="18"/>
                <w:szCs w:val="18"/>
              </w:rPr>
              <w:t>$280,253</w:t>
            </w:r>
          </w:p>
        </w:tc>
        <w:tc>
          <w:tcPr>
            <w:tcW w:w="1134" w:type="dxa"/>
            <w:shd w:val="clear" w:color="auto" w:fill="auto"/>
            <w:hideMark/>
          </w:tcPr>
          <w:p w:rsidR="00226205" w:rsidRPr="00226205" w:rsidRDefault="00226205" w:rsidP="00226205">
            <w:pPr>
              <w:jc w:val="center"/>
              <w:rPr>
                <w:rFonts w:ascii="Calibri" w:hAnsi="Calibri" w:cs="Calibri"/>
                <w:color w:val="000000"/>
                <w:sz w:val="18"/>
                <w:szCs w:val="18"/>
              </w:rPr>
            </w:pPr>
            <w:r w:rsidRPr="00226205">
              <w:rPr>
                <w:rFonts w:ascii="Calibri" w:hAnsi="Calibri" w:cs="Calibri"/>
                <w:color w:val="000000"/>
                <w:sz w:val="18"/>
                <w:szCs w:val="18"/>
              </w:rPr>
              <w:t>Council Operations</w:t>
            </w:r>
          </w:p>
        </w:tc>
        <w:tc>
          <w:tcPr>
            <w:tcW w:w="1417" w:type="dxa"/>
            <w:shd w:val="clear" w:color="auto" w:fill="auto"/>
            <w:hideMark/>
          </w:tcPr>
          <w:p w:rsidR="00226205" w:rsidRPr="00226205" w:rsidRDefault="00226205" w:rsidP="00226205">
            <w:pPr>
              <w:jc w:val="center"/>
              <w:rPr>
                <w:rFonts w:ascii="Calibri" w:hAnsi="Calibri" w:cs="Calibri"/>
                <w:color w:val="000000"/>
                <w:sz w:val="18"/>
                <w:szCs w:val="18"/>
              </w:rPr>
            </w:pPr>
            <w:r w:rsidRPr="00226205">
              <w:rPr>
                <w:rFonts w:ascii="Calibri" w:hAnsi="Calibri" w:cs="Calibri"/>
                <w:color w:val="000000"/>
                <w:sz w:val="18"/>
                <w:szCs w:val="18"/>
              </w:rPr>
              <w:t>Stores / Sheds / Garages</w:t>
            </w:r>
          </w:p>
        </w:tc>
        <w:tc>
          <w:tcPr>
            <w:tcW w:w="2410" w:type="dxa"/>
            <w:shd w:val="clear" w:color="auto" w:fill="auto"/>
            <w:hideMark/>
          </w:tcPr>
          <w:p w:rsidR="00226205" w:rsidRPr="00226205" w:rsidRDefault="00226205" w:rsidP="00226205">
            <w:pPr>
              <w:jc w:val="left"/>
              <w:rPr>
                <w:rFonts w:ascii="Calibri" w:hAnsi="Calibri" w:cs="Calibri"/>
                <w:color w:val="000000"/>
                <w:sz w:val="18"/>
                <w:szCs w:val="18"/>
              </w:rPr>
            </w:pPr>
            <w:r w:rsidRPr="00226205">
              <w:rPr>
                <w:rFonts w:ascii="Calibri" w:hAnsi="Calibri" w:cs="Calibri"/>
                <w:color w:val="000000"/>
                <w:sz w:val="18"/>
                <w:szCs w:val="18"/>
              </w:rPr>
              <w:t xml:space="preserve">The building is generally in a fair condition. </w:t>
            </w:r>
          </w:p>
        </w:tc>
        <w:tc>
          <w:tcPr>
            <w:tcW w:w="3118" w:type="dxa"/>
            <w:shd w:val="clear" w:color="auto" w:fill="auto"/>
            <w:hideMark/>
          </w:tcPr>
          <w:p w:rsidR="00226205" w:rsidRPr="00226205" w:rsidRDefault="00226205" w:rsidP="00226205">
            <w:pPr>
              <w:jc w:val="left"/>
              <w:rPr>
                <w:rFonts w:ascii="Calibri" w:hAnsi="Calibri" w:cs="Calibri"/>
                <w:color w:val="000000"/>
                <w:sz w:val="18"/>
                <w:szCs w:val="18"/>
              </w:rPr>
            </w:pPr>
            <w:r w:rsidRPr="00226205">
              <w:rPr>
                <w:rFonts w:ascii="Calibri" w:hAnsi="Calibri" w:cs="Calibri"/>
                <w:color w:val="000000"/>
                <w:sz w:val="18"/>
                <w:szCs w:val="18"/>
              </w:rPr>
              <w:t>Vehicle storage is at capacity. Depth of some bays limits the type vehicle stored.</w:t>
            </w:r>
          </w:p>
        </w:tc>
      </w:tr>
      <w:tr w:rsidR="00226205" w:rsidRPr="00226205" w:rsidTr="00B77D83">
        <w:trPr>
          <w:cantSplit/>
          <w:trHeight w:val="2064"/>
        </w:trPr>
        <w:tc>
          <w:tcPr>
            <w:tcW w:w="998" w:type="dxa"/>
            <w:shd w:val="clear" w:color="auto" w:fill="auto"/>
            <w:hideMark/>
          </w:tcPr>
          <w:p w:rsidR="00226205" w:rsidRPr="00226205" w:rsidRDefault="00226205" w:rsidP="006918D2">
            <w:pPr>
              <w:jc w:val="center"/>
              <w:rPr>
                <w:rFonts w:ascii="Calibri" w:hAnsi="Calibri" w:cs="Calibri"/>
                <w:color w:val="000000"/>
                <w:sz w:val="18"/>
                <w:szCs w:val="18"/>
              </w:rPr>
            </w:pPr>
            <w:r w:rsidRPr="00226205">
              <w:rPr>
                <w:rFonts w:ascii="Calibri" w:hAnsi="Calibri" w:cs="Calibri"/>
                <w:color w:val="000000"/>
                <w:sz w:val="18"/>
                <w:szCs w:val="18"/>
              </w:rPr>
              <w:t>B000091</w:t>
            </w:r>
          </w:p>
        </w:tc>
        <w:tc>
          <w:tcPr>
            <w:tcW w:w="2693" w:type="dxa"/>
            <w:shd w:val="clear" w:color="auto" w:fill="auto"/>
            <w:hideMark/>
          </w:tcPr>
          <w:p w:rsidR="00226205" w:rsidRPr="00226205" w:rsidRDefault="00226205" w:rsidP="00226205">
            <w:pPr>
              <w:rPr>
                <w:rFonts w:ascii="Calibri" w:hAnsi="Calibri" w:cs="Calibri"/>
                <w:color w:val="000000"/>
                <w:sz w:val="18"/>
                <w:szCs w:val="18"/>
              </w:rPr>
            </w:pPr>
            <w:r w:rsidRPr="00226205">
              <w:rPr>
                <w:rFonts w:ascii="Calibri" w:hAnsi="Calibri" w:cs="Calibri"/>
                <w:noProof/>
                <w:color w:val="000000"/>
                <w:sz w:val="18"/>
                <w:szCs w:val="18"/>
              </w:rPr>
              <w:drawing>
                <wp:anchor distT="0" distB="0" distL="114300" distR="114300" simplePos="0" relativeHeight="251739648" behindDoc="0" locked="0" layoutInCell="1" allowOverlap="1" wp14:anchorId="7F19C3B4" wp14:editId="1A75D7CA">
                  <wp:simplePos x="0" y="0"/>
                  <wp:positionH relativeFrom="column">
                    <wp:posOffset>-20955</wp:posOffset>
                  </wp:positionH>
                  <wp:positionV relativeFrom="paragraph">
                    <wp:posOffset>45720</wp:posOffset>
                  </wp:positionV>
                  <wp:extent cx="1630680" cy="1234440"/>
                  <wp:effectExtent l="0" t="0" r="0" b="0"/>
                  <wp:wrapNone/>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3"/>
                          <pic:cNvPicPr>
                            <a:picLocks noChangeAspect="1"/>
                          </pic:cNvPicPr>
                        </pic:nvPicPr>
                        <pic:blipFill>
                          <a:blip r:embed="rId138">
                            <a:extLst>
                              <a:ext uri="{28A0092B-C50C-407E-A947-70E740481C1C}">
                                <a14:useLocalDpi xmlns:a14="http://schemas.microsoft.com/office/drawing/2010/main" val="0"/>
                              </a:ext>
                            </a:extLst>
                          </a:blip>
                          <a:stretch>
                            <a:fillRect/>
                          </a:stretch>
                        </pic:blipFill>
                        <pic:spPr>
                          <a:xfrm>
                            <a:off x="0" y="0"/>
                            <a:ext cx="1630680" cy="1234440"/>
                          </a:xfrm>
                          <a:prstGeom prst="rect">
                            <a:avLst/>
                          </a:prstGeom>
                        </pic:spPr>
                      </pic:pic>
                    </a:graphicData>
                  </a:graphic>
                  <wp14:sizeRelH relativeFrom="page">
                    <wp14:pctWidth>0</wp14:pctWidth>
                  </wp14:sizeRelH>
                  <wp14:sizeRelV relativeFrom="page">
                    <wp14:pctHeight>0</wp14:pctHeight>
                  </wp14:sizeRelV>
                </wp:anchor>
              </w:drawing>
            </w:r>
          </w:p>
        </w:tc>
        <w:tc>
          <w:tcPr>
            <w:tcW w:w="2268" w:type="dxa"/>
            <w:shd w:val="clear" w:color="auto" w:fill="auto"/>
            <w:hideMark/>
          </w:tcPr>
          <w:p w:rsidR="00226205" w:rsidRPr="00226205" w:rsidRDefault="00226205" w:rsidP="00A54993">
            <w:pPr>
              <w:jc w:val="left"/>
              <w:rPr>
                <w:rFonts w:ascii="Calibri" w:hAnsi="Calibri" w:cs="Calibri"/>
                <w:color w:val="000000"/>
                <w:sz w:val="18"/>
                <w:szCs w:val="18"/>
              </w:rPr>
            </w:pPr>
            <w:r w:rsidRPr="00226205">
              <w:rPr>
                <w:rFonts w:ascii="Calibri" w:hAnsi="Calibri" w:cs="Calibri"/>
                <w:color w:val="000000"/>
                <w:sz w:val="18"/>
                <w:szCs w:val="18"/>
              </w:rPr>
              <w:t xml:space="preserve">Vehicle Parking and Storage Sheds North West, Collingwood Depot- Roseneath Street, Clifton Hill </w:t>
            </w:r>
          </w:p>
        </w:tc>
        <w:tc>
          <w:tcPr>
            <w:tcW w:w="1276" w:type="dxa"/>
            <w:shd w:val="clear" w:color="auto" w:fill="auto"/>
            <w:hideMark/>
          </w:tcPr>
          <w:p w:rsidR="00226205" w:rsidRPr="00226205" w:rsidRDefault="00226205" w:rsidP="00B77D83">
            <w:pPr>
              <w:tabs>
                <w:tab w:val="decimal" w:pos="884"/>
              </w:tabs>
              <w:jc w:val="left"/>
              <w:rPr>
                <w:rFonts w:ascii="Calibri" w:hAnsi="Calibri" w:cs="Calibri"/>
                <w:color w:val="000000"/>
                <w:sz w:val="18"/>
                <w:szCs w:val="18"/>
              </w:rPr>
            </w:pPr>
            <w:r w:rsidRPr="00226205">
              <w:rPr>
                <w:rFonts w:ascii="Calibri" w:hAnsi="Calibri" w:cs="Calibri"/>
                <w:color w:val="000000"/>
                <w:sz w:val="18"/>
                <w:szCs w:val="18"/>
              </w:rPr>
              <w:t>$100,000</w:t>
            </w:r>
          </w:p>
        </w:tc>
        <w:tc>
          <w:tcPr>
            <w:tcW w:w="1134" w:type="dxa"/>
            <w:shd w:val="clear" w:color="auto" w:fill="auto"/>
            <w:hideMark/>
          </w:tcPr>
          <w:p w:rsidR="00226205" w:rsidRPr="00226205" w:rsidRDefault="00226205" w:rsidP="00226205">
            <w:pPr>
              <w:jc w:val="center"/>
              <w:rPr>
                <w:rFonts w:ascii="Calibri" w:hAnsi="Calibri" w:cs="Calibri"/>
                <w:color w:val="000000"/>
                <w:sz w:val="18"/>
                <w:szCs w:val="18"/>
              </w:rPr>
            </w:pPr>
            <w:r w:rsidRPr="00226205">
              <w:rPr>
                <w:rFonts w:ascii="Calibri" w:hAnsi="Calibri" w:cs="Calibri"/>
                <w:color w:val="000000"/>
                <w:sz w:val="18"/>
                <w:szCs w:val="18"/>
              </w:rPr>
              <w:t>Council Operations</w:t>
            </w:r>
          </w:p>
        </w:tc>
        <w:tc>
          <w:tcPr>
            <w:tcW w:w="1417" w:type="dxa"/>
            <w:shd w:val="clear" w:color="auto" w:fill="auto"/>
            <w:hideMark/>
          </w:tcPr>
          <w:p w:rsidR="00226205" w:rsidRPr="00226205" w:rsidRDefault="00226205" w:rsidP="00226205">
            <w:pPr>
              <w:jc w:val="center"/>
              <w:rPr>
                <w:rFonts w:ascii="Calibri" w:hAnsi="Calibri" w:cs="Calibri"/>
                <w:color w:val="000000"/>
                <w:sz w:val="18"/>
                <w:szCs w:val="18"/>
              </w:rPr>
            </w:pPr>
            <w:r w:rsidRPr="00226205">
              <w:rPr>
                <w:rFonts w:ascii="Calibri" w:hAnsi="Calibri" w:cs="Calibri"/>
                <w:color w:val="000000"/>
                <w:sz w:val="18"/>
                <w:szCs w:val="18"/>
              </w:rPr>
              <w:t>Stores / Sheds / Garages</w:t>
            </w:r>
          </w:p>
        </w:tc>
        <w:tc>
          <w:tcPr>
            <w:tcW w:w="2410" w:type="dxa"/>
            <w:shd w:val="clear" w:color="auto" w:fill="auto"/>
            <w:hideMark/>
          </w:tcPr>
          <w:p w:rsidR="00226205" w:rsidRPr="00226205" w:rsidRDefault="00226205" w:rsidP="00226205">
            <w:pPr>
              <w:jc w:val="left"/>
              <w:rPr>
                <w:rFonts w:ascii="Calibri" w:hAnsi="Calibri" w:cs="Calibri"/>
                <w:color w:val="000000"/>
                <w:sz w:val="18"/>
                <w:szCs w:val="18"/>
              </w:rPr>
            </w:pPr>
            <w:r w:rsidRPr="00226205">
              <w:rPr>
                <w:rFonts w:ascii="Calibri" w:hAnsi="Calibri" w:cs="Calibri"/>
                <w:color w:val="000000"/>
                <w:sz w:val="18"/>
                <w:szCs w:val="18"/>
              </w:rPr>
              <w:t xml:space="preserve">The building is generally in a good condition. </w:t>
            </w:r>
          </w:p>
        </w:tc>
        <w:tc>
          <w:tcPr>
            <w:tcW w:w="3118" w:type="dxa"/>
            <w:shd w:val="clear" w:color="auto" w:fill="auto"/>
            <w:hideMark/>
          </w:tcPr>
          <w:p w:rsidR="00226205" w:rsidRPr="00226205" w:rsidRDefault="00226205" w:rsidP="00226205">
            <w:pPr>
              <w:jc w:val="left"/>
              <w:rPr>
                <w:rFonts w:ascii="Calibri" w:hAnsi="Calibri" w:cs="Calibri"/>
                <w:color w:val="000000"/>
                <w:sz w:val="18"/>
                <w:szCs w:val="18"/>
              </w:rPr>
            </w:pPr>
            <w:r w:rsidRPr="00226205">
              <w:rPr>
                <w:rFonts w:ascii="Calibri" w:hAnsi="Calibri" w:cs="Calibri"/>
                <w:color w:val="000000"/>
                <w:sz w:val="18"/>
                <w:szCs w:val="18"/>
              </w:rPr>
              <w:t>There is generally a lack of storage. Space is currently not functional as it currently operates as sign storage area.</w:t>
            </w:r>
          </w:p>
        </w:tc>
      </w:tr>
      <w:tr w:rsidR="00226205" w:rsidRPr="00226205" w:rsidTr="00B77D83">
        <w:trPr>
          <w:cantSplit/>
          <w:trHeight w:val="2460"/>
        </w:trPr>
        <w:tc>
          <w:tcPr>
            <w:tcW w:w="998" w:type="dxa"/>
            <w:shd w:val="clear" w:color="auto" w:fill="auto"/>
            <w:hideMark/>
          </w:tcPr>
          <w:p w:rsidR="00226205" w:rsidRPr="00226205" w:rsidRDefault="00226205" w:rsidP="006918D2">
            <w:pPr>
              <w:jc w:val="center"/>
              <w:rPr>
                <w:rFonts w:ascii="Calibri" w:hAnsi="Calibri" w:cs="Calibri"/>
                <w:color w:val="000000"/>
                <w:sz w:val="18"/>
                <w:szCs w:val="18"/>
              </w:rPr>
            </w:pPr>
            <w:r w:rsidRPr="00226205">
              <w:rPr>
                <w:rFonts w:ascii="Calibri" w:hAnsi="Calibri" w:cs="Calibri"/>
                <w:color w:val="000000"/>
                <w:sz w:val="18"/>
                <w:szCs w:val="18"/>
              </w:rPr>
              <w:t>B000093</w:t>
            </w:r>
          </w:p>
        </w:tc>
        <w:tc>
          <w:tcPr>
            <w:tcW w:w="2693" w:type="dxa"/>
            <w:shd w:val="clear" w:color="auto" w:fill="auto"/>
            <w:hideMark/>
          </w:tcPr>
          <w:p w:rsidR="00226205" w:rsidRPr="00226205" w:rsidRDefault="00226205" w:rsidP="00226205">
            <w:pPr>
              <w:rPr>
                <w:rFonts w:ascii="Calibri" w:hAnsi="Calibri" w:cs="Calibri"/>
                <w:color w:val="000000"/>
                <w:sz w:val="18"/>
                <w:szCs w:val="18"/>
              </w:rPr>
            </w:pPr>
            <w:r w:rsidRPr="00226205">
              <w:rPr>
                <w:rFonts w:ascii="Calibri" w:hAnsi="Calibri" w:cs="Calibri"/>
                <w:noProof/>
                <w:color w:val="000000"/>
                <w:sz w:val="18"/>
                <w:szCs w:val="18"/>
              </w:rPr>
              <w:drawing>
                <wp:anchor distT="0" distB="0" distL="114300" distR="114300" simplePos="0" relativeHeight="251740672" behindDoc="0" locked="0" layoutInCell="1" allowOverlap="1" wp14:anchorId="35E41C8D" wp14:editId="0B282198">
                  <wp:simplePos x="0" y="0"/>
                  <wp:positionH relativeFrom="column">
                    <wp:posOffset>-20955</wp:posOffset>
                  </wp:positionH>
                  <wp:positionV relativeFrom="paragraph">
                    <wp:posOffset>60130</wp:posOffset>
                  </wp:positionV>
                  <wp:extent cx="1630680" cy="1281430"/>
                  <wp:effectExtent l="0" t="0" r="0" b="0"/>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4"/>
                          <pic:cNvPicPr>
                            <a:picLocks noChangeAspect="1"/>
                          </pic:cNvPicPr>
                        </pic:nvPicPr>
                        <pic:blipFill>
                          <a:blip r:embed="rId139">
                            <a:extLst>
                              <a:ext uri="{28A0092B-C50C-407E-A947-70E740481C1C}">
                                <a14:useLocalDpi xmlns:a14="http://schemas.microsoft.com/office/drawing/2010/main" val="0"/>
                              </a:ext>
                            </a:extLst>
                          </a:blip>
                          <a:stretch>
                            <a:fillRect/>
                          </a:stretch>
                        </pic:blipFill>
                        <pic:spPr>
                          <a:xfrm>
                            <a:off x="0" y="0"/>
                            <a:ext cx="1630680" cy="1281430"/>
                          </a:xfrm>
                          <a:prstGeom prst="rect">
                            <a:avLst/>
                          </a:prstGeom>
                        </pic:spPr>
                      </pic:pic>
                    </a:graphicData>
                  </a:graphic>
                  <wp14:sizeRelH relativeFrom="page">
                    <wp14:pctWidth>0</wp14:pctWidth>
                  </wp14:sizeRelH>
                  <wp14:sizeRelV relativeFrom="page">
                    <wp14:pctHeight>0</wp14:pctHeight>
                  </wp14:sizeRelV>
                </wp:anchor>
              </w:drawing>
            </w:r>
          </w:p>
        </w:tc>
        <w:tc>
          <w:tcPr>
            <w:tcW w:w="2268" w:type="dxa"/>
            <w:shd w:val="clear" w:color="auto" w:fill="auto"/>
            <w:hideMark/>
          </w:tcPr>
          <w:p w:rsidR="00226205" w:rsidRPr="00226205" w:rsidRDefault="00226205" w:rsidP="00A54993">
            <w:pPr>
              <w:jc w:val="left"/>
              <w:rPr>
                <w:rFonts w:ascii="Calibri" w:hAnsi="Calibri" w:cs="Calibri"/>
                <w:color w:val="000000"/>
                <w:sz w:val="18"/>
                <w:szCs w:val="18"/>
              </w:rPr>
            </w:pPr>
            <w:r w:rsidRPr="00226205">
              <w:rPr>
                <w:rFonts w:ascii="Calibri" w:hAnsi="Calibri" w:cs="Calibri"/>
                <w:color w:val="000000"/>
                <w:sz w:val="18"/>
                <w:szCs w:val="18"/>
              </w:rPr>
              <w:t>Workshop and Administration, Collingwood Depot- Roseneath Street, Clifton Hill</w:t>
            </w:r>
          </w:p>
        </w:tc>
        <w:tc>
          <w:tcPr>
            <w:tcW w:w="1276" w:type="dxa"/>
            <w:shd w:val="clear" w:color="auto" w:fill="auto"/>
            <w:hideMark/>
          </w:tcPr>
          <w:p w:rsidR="00226205" w:rsidRPr="00226205" w:rsidRDefault="00226205" w:rsidP="00B77D83">
            <w:pPr>
              <w:tabs>
                <w:tab w:val="decimal" w:pos="884"/>
              </w:tabs>
              <w:jc w:val="left"/>
              <w:rPr>
                <w:rFonts w:ascii="Calibri" w:hAnsi="Calibri" w:cs="Calibri"/>
                <w:color w:val="000000"/>
                <w:sz w:val="18"/>
                <w:szCs w:val="18"/>
              </w:rPr>
            </w:pPr>
            <w:r w:rsidRPr="00226205">
              <w:rPr>
                <w:rFonts w:ascii="Calibri" w:hAnsi="Calibri" w:cs="Calibri"/>
                <w:color w:val="000000"/>
                <w:sz w:val="18"/>
                <w:szCs w:val="18"/>
              </w:rPr>
              <w:t>$697,068</w:t>
            </w:r>
          </w:p>
        </w:tc>
        <w:tc>
          <w:tcPr>
            <w:tcW w:w="1134" w:type="dxa"/>
            <w:shd w:val="clear" w:color="auto" w:fill="auto"/>
            <w:hideMark/>
          </w:tcPr>
          <w:p w:rsidR="00226205" w:rsidRPr="00226205" w:rsidRDefault="00226205" w:rsidP="00226205">
            <w:pPr>
              <w:jc w:val="center"/>
              <w:rPr>
                <w:rFonts w:ascii="Calibri" w:hAnsi="Calibri" w:cs="Calibri"/>
                <w:color w:val="000000"/>
                <w:sz w:val="18"/>
                <w:szCs w:val="18"/>
              </w:rPr>
            </w:pPr>
            <w:r w:rsidRPr="00226205">
              <w:rPr>
                <w:rFonts w:ascii="Calibri" w:hAnsi="Calibri" w:cs="Calibri"/>
                <w:color w:val="000000"/>
                <w:sz w:val="18"/>
                <w:szCs w:val="18"/>
              </w:rPr>
              <w:t>Council Operations</w:t>
            </w:r>
          </w:p>
        </w:tc>
        <w:tc>
          <w:tcPr>
            <w:tcW w:w="1417" w:type="dxa"/>
            <w:shd w:val="clear" w:color="auto" w:fill="auto"/>
            <w:hideMark/>
          </w:tcPr>
          <w:p w:rsidR="00226205" w:rsidRPr="00226205" w:rsidRDefault="00226205" w:rsidP="00226205">
            <w:pPr>
              <w:jc w:val="center"/>
              <w:rPr>
                <w:rFonts w:ascii="Calibri" w:hAnsi="Calibri" w:cs="Calibri"/>
                <w:color w:val="000000"/>
                <w:sz w:val="18"/>
                <w:szCs w:val="18"/>
              </w:rPr>
            </w:pPr>
            <w:r w:rsidRPr="00226205">
              <w:rPr>
                <w:rFonts w:ascii="Calibri" w:hAnsi="Calibri" w:cs="Calibri"/>
                <w:color w:val="000000"/>
                <w:sz w:val="18"/>
                <w:szCs w:val="18"/>
              </w:rPr>
              <w:t>Depot</w:t>
            </w:r>
          </w:p>
        </w:tc>
        <w:tc>
          <w:tcPr>
            <w:tcW w:w="2410" w:type="dxa"/>
            <w:shd w:val="clear" w:color="auto" w:fill="auto"/>
            <w:hideMark/>
          </w:tcPr>
          <w:p w:rsidR="00226205" w:rsidRPr="00226205" w:rsidRDefault="00226205" w:rsidP="00226205">
            <w:pPr>
              <w:jc w:val="left"/>
              <w:rPr>
                <w:rFonts w:ascii="Calibri" w:hAnsi="Calibri" w:cs="Calibri"/>
                <w:color w:val="000000"/>
                <w:sz w:val="18"/>
                <w:szCs w:val="18"/>
              </w:rPr>
            </w:pPr>
            <w:r w:rsidRPr="00226205">
              <w:rPr>
                <w:rFonts w:ascii="Calibri" w:hAnsi="Calibri" w:cs="Calibri"/>
                <w:color w:val="000000"/>
                <w:sz w:val="18"/>
                <w:szCs w:val="18"/>
              </w:rPr>
              <w:t>The building is generally in a good condition. There are structural issues resulting from ground movement.</w:t>
            </w:r>
          </w:p>
        </w:tc>
        <w:tc>
          <w:tcPr>
            <w:tcW w:w="3118" w:type="dxa"/>
            <w:shd w:val="clear" w:color="auto" w:fill="auto"/>
            <w:hideMark/>
          </w:tcPr>
          <w:p w:rsidR="00226205" w:rsidRPr="00226205" w:rsidRDefault="00226205" w:rsidP="00226205">
            <w:pPr>
              <w:jc w:val="left"/>
              <w:rPr>
                <w:rFonts w:ascii="Calibri" w:hAnsi="Calibri" w:cs="Calibri"/>
                <w:color w:val="000000"/>
                <w:sz w:val="18"/>
                <w:szCs w:val="18"/>
              </w:rPr>
            </w:pPr>
            <w:r w:rsidRPr="00226205">
              <w:rPr>
                <w:rFonts w:ascii="Calibri" w:hAnsi="Calibri" w:cs="Calibri"/>
                <w:color w:val="000000"/>
                <w:sz w:val="18"/>
                <w:szCs w:val="18"/>
              </w:rPr>
              <w:t>Lacks adequate parking for staff, visitors and for servicing of vehicles which impact on local residents. Location f</w:t>
            </w:r>
            <w:r w:rsidR="00A54993">
              <w:rPr>
                <w:rFonts w:ascii="Calibri" w:hAnsi="Calibri" w:cs="Calibri"/>
                <w:color w:val="000000"/>
                <w:sz w:val="18"/>
                <w:szCs w:val="18"/>
              </w:rPr>
              <w:t>or recycling and waste services</w:t>
            </w:r>
            <w:r w:rsidRPr="00226205">
              <w:rPr>
                <w:rFonts w:ascii="Calibri" w:hAnsi="Calibri" w:cs="Calibri"/>
                <w:color w:val="000000"/>
                <w:sz w:val="18"/>
                <w:szCs w:val="18"/>
              </w:rPr>
              <w:t xml:space="preserve">, hard waste collection. Current building has minor impact on service delivery. Workplace layout not conducive there is a lack of storage, access to reception is across traffic within depot to the administration area. The men's toilets tired and the building lacks adequate women's showers </w:t>
            </w:r>
            <w:r w:rsidR="00B77D83">
              <w:rPr>
                <w:rFonts w:ascii="Calibri" w:hAnsi="Calibri" w:cs="Calibri"/>
                <w:color w:val="000000"/>
                <w:sz w:val="18"/>
                <w:szCs w:val="18"/>
              </w:rPr>
              <w:t>and</w:t>
            </w:r>
            <w:r w:rsidRPr="00226205">
              <w:rPr>
                <w:rFonts w:ascii="Calibri" w:hAnsi="Calibri" w:cs="Calibri"/>
                <w:color w:val="000000"/>
                <w:sz w:val="18"/>
                <w:szCs w:val="18"/>
              </w:rPr>
              <w:t xml:space="preserve"> facilities.</w:t>
            </w:r>
          </w:p>
        </w:tc>
      </w:tr>
      <w:tr w:rsidR="00226205" w:rsidRPr="00226205" w:rsidTr="00B77D83">
        <w:trPr>
          <w:cantSplit/>
          <w:trHeight w:val="2280"/>
        </w:trPr>
        <w:tc>
          <w:tcPr>
            <w:tcW w:w="998" w:type="dxa"/>
            <w:shd w:val="clear" w:color="auto" w:fill="auto"/>
            <w:hideMark/>
          </w:tcPr>
          <w:p w:rsidR="00226205" w:rsidRPr="00226205" w:rsidRDefault="00226205" w:rsidP="006918D2">
            <w:pPr>
              <w:jc w:val="center"/>
              <w:rPr>
                <w:rFonts w:ascii="Calibri" w:hAnsi="Calibri" w:cs="Calibri"/>
                <w:color w:val="000000"/>
                <w:sz w:val="18"/>
                <w:szCs w:val="18"/>
              </w:rPr>
            </w:pPr>
            <w:r w:rsidRPr="00226205">
              <w:rPr>
                <w:rFonts w:ascii="Calibri" w:hAnsi="Calibri" w:cs="Calibri"/>
                <w:color w:val="000000"/>
                <w:sz w:val="18"/>
                <w:szCs w:val="18"/>
              </w:rPr>
              <w:t>B000094</w:t>
            </w:r>
          </w:p>
        </w:tc>
        <w:tc>
          <w:tcPr>
            <w:tcW w:w="2693" w:type="dxa"/>
            <w:shd w:val="clear" w:color="auto" w:fill="auto"/>
            <w:hideMark/>
          </w:tcPr>
          <w:p w:rsidR="00226205" w:rsidRPr="00226205" w:rsidRDefault="00226205" w:rsidP="00226205">
            <w:pPr>
              <w:rPr>
                <w:rFonts w:ascii="Calibri" w:hAnsi="Calibri" w:cs="Calibri"/>
                <w:color w:val="000000"/>
                <w:sz w:val="18"/>
                <w:szCs w:val="18"/>
              </w:rPr>
            </w:pPr>
            <w:r w:rsidRPr="00226205">
              <w:rPr>
                <w:rFonts w:ascii="Calibri" w:hAnsi="Calibri" w:cs="Calibri"/>
                <w:noProof/>
                <w:color w:val="000000"/>
                <w:sz w:val="18"/>
                <w:szCs w:val="18"/>
              </w:rPr>
              <w:drawing>
                <wp:anchor distT="0" distB="0" distL="114300" distR="114300" simplePos="0" relativeHeight="251770368" behindDoc="0" locked="0" layoutInCell="1" allowOverlap="1" wp14:anchorId="1D9D8BED" wp14:editId="400DD66B">
                  <wp:simplePos x="0" y="0"/>
                  <wp:positionH relativeFrom="column">
                    <wp:posOffset>-20955</wp:posOffset>
                  </wp:positionH>
                  <wp:positionV relativeFrom="paragraph">
                    <wp:posOffset>45720</wp:posOffset>
                  </wp:positionV>
                  <wp:extent cx="1630680" cy="1245235"/>
                  <wp:effectExtent l="0" t="0" r="0" b="0"/>
                  <wp:wrapNone/>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Picture 110"/>
                          <pic:cNvPicPr>
                            <a:picLocks noChangeAspect="1"/>
                          </pic:cNvPicPr>
                        </pic:nvPicPr>
                        <pic:blipFill>
                          <a:blip r:embed="rId140">
                            <a:extLst>
                              <a:ext uri="{28A0092B-C50C-407E-A947-70E740481C1C}">
                                <a14:useLocalDpi xmlns:a14="http://schemas.microsoft.com/office/drawing/2010/main" val="0"/>
                              </a:ext>
                            </a:extLst>
                          </a:blip>
                          <a:stretch>
                            <a:fillRect/>
                          </a:stretch>
                        </pic:blipFill>
                        <pic:spPr>
                          <a:xfrm>
                            <a:off x="0" y="0"/>
                            <a:ext cx="1630680" cy="1245235"/>
                          </a:xfrm>
                          <a:prstGeom prst="rect">
                            <a:avLst/>
                          </a:prstGeom>
                        </pic:spPr>
                      </pic:pic>
                    </a:graphicData>
                  </a:graphic>
                  <wp14:sizeRelH relativeFrom="page">
                    <wp14:pctWidth>0</wp14:pctWidth>
                  </wp14:sizeRelH>
                  <wp14:sizeRelV relativeFrom="page">
                    <wp14:pctHeight>0</wp14:pctHeight>
                  </wp14:sizeRelV>
                </wp:anchor>
              </w:drawing>
            </w:r>
          </w:p>
        </w:tc>
        <w:tc>
          <w:tcPr>
            <w:tcW w:w="2268" w:type="dxa"/>
            <w:shd w:val="clear" w:color="auto" w:fill="auto"/>
            <w:hideMark/>
          </w:tcPr>
          <w:p w:rsidR="00226205" w:rsidRPr="00226205" w:rsidRDefault="00226205" w:rsidP="00A54993">
            <w:pPr>
              <w:jc w:val="left"/>
              <w:rPr>
                <w:rFonts w:ascii="Calibri" w:hAnsi="Calibri" w:cs="Calibri"/>
                <w:color w:val="000000"/>
                <w:sz w:val="18"/>
                <w:szCs w:val="18"/>
              </w:rPr>
            </w:pPr>
            <w:r w:rsidRPr="00226205">
              <w:rPr>
                <w:rFonts w:ascii="Calibri" w:hAnsi="Calibri" w:cs="Calibri"/>
                <w:color w:val="000000"/>
                <w:sz w:val="18"/>
                <w:szCs w:val="18"/>
              </w:rPr>
              <w:t xml:space="preserve">Pavilion, Coulson Reserve- 1 Heidelberg Road, Clifton Hill </w:t>
            </w:r>
          </w:p>
        </w:tc>
        <w:tc>
          <w:tcPr>
            <w:tcW w:w="1276" w:type="dxa"/>
            <w:shd w:val="clear" w:color="auto" w:fill="auto"/>
            <w:hideMark/>
          </w:tcPr>
          <w:p w:rsidR="00226205" w:rsidRPr="00226205" w:rsidRDefault="00226205" w:rsidP="00B77D83">
            <w:pPr>
              <w:tabs>
                <w:tab w:val="decimal" w:pos="884"/>
              </w:tabs>
              <w:jc w:val="left"/>
              <w:rPr>
                <w:rFonts w:ascii="Calibri" w:hAnsi="Calibri" w:cs="Calibri"/>
                <w:color w:val="000000"/>
                <w:sz w:val="18"/>
                <w:szCs w:val="18"/>
              </w:rPr>
            </w:pPr>
            <w:r w:rsidRPr="00226205">
              <w:rPr>
                <w:rFonts w:ascii="Calibri" w:hAnsi="Calibri" w:cs="Calibri"/>
                <w:color w:val="000000"/>
                <w:sz w:val="18"/>
                <w:szCs w:val="18"/>
              </w:rPr>
              <w:t>$668,819</w:t>
            </w:r>
          </w:p>
        </w:tc>
        <w:tc>
          <w:tcPr>
            <w:tcW w:w="1134" w:type="dxa"/>
            <w:shd w:val="clear" w:color="auto" w:fill="auto"/>
            <w:hideMark/>
          </w:tcPr>
          <w:p w:rsidR="00226205" w:rsidRPr="00226205" w:rsidRDefault="00226205" w:rsidP="00226205">
            <w:pPr>
              <w:jc w:val="center"/>
              <w:rPr>
                <w:rFonts w:ascii="Calibri" w:hAnsi="Calibri" w:cs="Calibri"/>
                <w:color w:val="000000"/>
                <w:sz w:val="18"/>
                <w:szCs w:val="18"/>
              </w:rPr>
            </w:pPr>
            <w:r w:rsidRPr="00226205">
              <w:rPr>
                <w:rFonts w:ascii="Calibri" w:hAnsi="Calibri" w:cs="Calibri"/>
                <w:color w:val="000000"/>
                <w:sz w:val="18"/>
                <w:szCs w:val="18"/>
              </w:rPr>
              <w:t xml:space="preserve">Recreation </w:t>
            </w:r>
            <w:r w:rsidR="00B77D83">
              <w:rPr>
                <w:rFonts w:ascii="Calibri" w:hAnsi="Calibri" w:cs="Calibri"/>
                <w:color w:val="000000"/>
                <w:sz w:val="18"/>
                <w:szCs w:val="18"/>
              </w:rPr>
              <w:t>and</w:t>
            </w:r>
            <w:r w:rsidRPr="00226205">
              <w:rPr>
                <w:rFonts w:ascii="Calibri" w:hAnsi="Calibri" w:cs="Calibri"/>
                <w:color w:val="000000"/>
                <w:sz w:val="18"/>
                <w:szCs w:val="18"/>
              </w:rPr>
              <w:t xml:space="preserve"> Open Space</w:t>
            </w:r>
          </w:p>
        </w:tc>
        <w:tc>
          <w:tcPr>
            <w:tcW w:w="1417" w:type="dxa"/>
            <w:shd w:val="clear" w:color="auto" w:fill="auto"/>
            <w:hideMark/>
          </w:tcPr>
          <w:p w:rsidR="00226205" w:rsidRPr="00226205" w:rsidRDefault="00226205" w:rsidP="00226205">
            <w:pPr>
              <w:jc w:val="center"/>
              <w:rPr>
                <w:rFonts w:ascii="Calibri" w:hAnsi="Calibri" w:cs="Calibri"/>
                <w:color w:val="000000"/>
                <w:sz w:val="18"/>
                <w:szCs w:val="18"/>
              </w:rPr>
            </w:pPr>
            <w:r w:rsidRPr="00226205">
              <w:rPr>
                <w:rFonts w:ascii="Calibri" w:hAnsi="Calibri" w:cs="Calibri"/>
                <w:color w:val="000000"/>
                <w:sz w:val="18"/>
                <w:szCs w:val="18"/>
              </w:rPr>
              <w:t>Pavilions / Clubrooms / Change rooms</w:t>
            </w:r>
          </w:p>
        </w:tc>
        <w:tc>
          <w:tcPr>
            <w:tcW w:w="2410" w:type="dxa"/>
            <w:shd w:val="clear" w:color="auto" w:fill="auto"/>
            <w:hideMark/>
          </w:tcPr>
          <w:p w:rsidR="00226205" w:rsidRPr="00226205" w:rsidRDefault="00226205" w:rsidP="00226205">
            <w:pPr>
              <w:jc w:val="left"/>
              <w:rPr>
                <w:rFonts w:ascii="Calibri" w:hAnsi="Calibri" w:cs="Calibri"/>
                <w:color w:val="000000"/>
                <w:sz w:val="18"/>
                <w:szCs w:val="18"/>
              </w:rPr>
            </w:pPr>
            <w:r w:rsidRPr="00226205">
              <w:rPr>
                <w:rFonts w:ascii="Calibri" w:hAnsi="Calibri" w:cs="Calibri"/>
                <w:color w:val="000000"/>
                <w:sz w:val="18"/>
                <w:szCs w:val="18"/>
              </w:rPr>
              <w:t xml:space="preserve">The building is generally in a fair condition with structure, electrical and fitout requiring renewal works. </w:t>
            </w:r>
          </w:p>
        </w:tc>
        <w:tc>
          <w:tcPr>
            <w:tcW w:w="3118" w:type="dxa"/>
            <w:shd w:val="clear" w:color="auto" w:fill="auto"/>
            <w:hideMark/>
          </w:tcPr>
          <w:p w:rsidR="00226205" w:rsidRPr="00226205" w:rsidRDefault="00226205" w:rsidP="00226205">
            <w:pPr>
              <w:jc w:val="left"/>
              <w:rPr>
                <w:rFonts w:ascii="Calibri" w:hAnsi="Calibri" w:cs="Calibri"/>
                <w:color w:val="000000"/>
                <w:sz w:val="18"/>
                <w:szCs w:val="18"/>
              </w:rPr>
            </w:pPr>
            <w:r w:rsidRPr="00226205">
              <w:rPr>
                <w:rFonts w:ascii="Calibri" w:hAnsi="Calibri" w:cs="Calibri"/>
                <w:color w:val="000000"/>
                <w:sz w:val="18"/>
                <w:szCs w:val="18"/>
              </w:rPr>
              <w:t>There is a lack of direct parking access and there are no disabled bays. Building needs 2 additional changing rooms, the kitchen upgraded and additional storage is required. The building also lacks proper first aid room. There are graffiti issues with this building and there is regular tagging. The mural is due to be upgraded, currently investigating screening. Access is from beneath the underpass poor and unattractive to users.</w:t>
            </w:r>
          </w:p>
        </w:tc>
      </w:tr>
      <w:tr w:rsidR="00226205" w:rsidRPr="00226205" w:rsidTr="00B77D83">
        <w:trPr>
          <w:cantSplit/>
          <w:trHeight w:val="4308"/>
        </w:trPr>
        <w:tc>
          <w:tcPr>
            <w:tcW w:w="998" w:type="dxa"/>
            <w:shd w:val="clear" w:color="auto" w:fill="auto"/>
            <w:hideMark/>
          </w:tcPr>
          <w:p w:rsidR="00226205" w:rsidRPr="00226205" w:rsidRDefault="00226205" w:rsidP="006918D2">
            <w:pPr>
              <w:jc w:val="center"/>
              <w:rPr>
                <w:rFonts w:ascii="Calibri" w:hAnsi="Calibri" w:cs="Calibri"/>
                <w:color w:val="000000"/>
                <w:sz w:val="18"/>
                <w:szCs w:val="18"/>
              </w:rPr>
            </w:pPr>
            <w:r w:rsidRPr="00226205">
              <w:rPr>
                <w:rFonts w:ascii="Calibri" w:hAnsi="Calibri" w:cs="Calibri"/>
                <w:color w:val="000000"/>
                <w:sz w:val="18"/>
                <w:szCs w:val="18"/>
              </w:rPr>
              <w:t>B000095</w:t>
            </w:r>
          </w:p>
        </w:tc>
        <w:tc>
          <w:tcPr>
            <w:tcW w:w="2693" w:type="dxa"/>
            <w:shd w:val="clear" w:color="auto" w:fill="auto"/>
            <w:hideMark/>
          </w:tcPr>
          <w:p w:rsidR="00226205" w:rsidRPr="00226205" w:rsidRDefault="00226205" w:rsidP="00226205">
            <w:pPr>
              <w:rPr>
                <w:rFonts w:ascii="Calibri" w:hAnsi="Calibri" w:cs="Calibri"/>
                <w:color w:val="000000"/>
                <w:sz w:val="18"/>
                <w:szCs w:val="18"/>
              </w:rPr>
            </w:pPr>
            <w:r w:rsidRPr="00226205">
              <w:rPr>
                <w:rFonts w:ascii="Calibri" w:hAnsi="Calibri" w:cs="Calibri"/>
                <w:noProof/>
                <w:color w:val="000000"/>
                <w:sz w:val="18"/>
                <w:szCs w:val="18"/>
              </w:rPr>
              <w:drawing>
                <wp:anchor distT="0" distB="0" distL="114300" distR="114300" simplePos="0" relativeHeight="251707904" behindDoc="0" locked="0" layoutInCell="1" allowOverlap="1" wp14:anchorId="6DE7A01C" wp14:editId="69F638D2">
                  <wp:simplePos x="0" y="0"/>
                  <wp:positionH relativeFrom="column">
                    <wp:posOffset>-20955</wp:posOffset>
                  </wp:positionH>
                  <wp:positionV relativeFrom="paragraph">
                    <wp:posOffset>59250</wp:posOffset>
                  </wp:positionV>
                  <wp:extent cx="1630680" cy="1349375"/>
                  <wp:effectExtent l="0" t="0" r="0" b="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8"/>
                          <pic:cNvPicPr>
                            <a:picLocks noChangeAspect="1"/>
                          </pic:cNvPicPr>
                        </pic:nvPicPr>
                        <pic:blipFill>
                          <a:blip r:embed="rId141">
                            <a:extLst>
                              <a:ext uri="{28A0092B-C50C-407E-A947-70E740481C1C}">
                                <a14:useLocalDpi xmlns:a14="http://schemas.microsoft.com/office/drawing/2010/main" val="0"/>
                              </a:ext>
                            </a:extLst>
                          </a:blip>
                          <a:stretch>
                            <a:fillRect/>
                          </a:stretch>
                        </pic:blipFill>
                        <pic:spPr>
                          <a:xfrm>
                            <a:off x="0" y="0"/>
                            <a:ext cx="1630680" cy="1349375"/>
                          </a:xfrm>
                          <a:prstGeom prst="rect">
                            <a:avLst/>
                          </a:prstGeom>
                        </pic:spPr>
                      </pic:pic>
                    </a:graphicData>
                  </a:graphic>
                  <wp14:sizeRelH relativeFrom="page">
                    <wp14:pctWidth>0</wp14:pctWidth>
                  </wp14:sizeRelH>
                  <wp14:sizeRelV relativeFrom="page">
                    <wp14:pctHeight>0</wp14:pctHeight>
                  </wp14:sizeRelV>
                </wp:anchor>
              </w:drawing>
            </w:r>
          </w:p>
        </w:tc>
        <w:tc>
          <w:tcPr>
            <w:tcW w:w="2268" w:type="dxa"/>
            <w:shd w:val="clear" w:color="auto" w:fill="auto"/>
            <w:hideMark/>
          </w:tcPr>
          <w:p w:rsidR="00226205" w:rsidRPr="00226205" w:rsidRDefault="00226205" w:rsidP="00A54993">
            <w:pPr>
              <w:jc w:val="left"/>
              <w:rPr>
                <w:rFonts w:ascii="Calibri" w:hAnsi="Calibri" w:cs="Calibri"/>
                <w:color w:val="000000"/>
                <w:sz w:val="18"/>
                <w:szCs w:val="18"/>
              </w:rPr>
            </w:pPr>
            <w:r w:rsidRPr="00226205">
              <w:rPr>
                <w:rFonts w:ascii="Calibri" w:hAnsi="Calibri" w:cs="Calibri"/>
                <w:color w:val="000000"/>
                <w:sz w:val="18"/>
                <w:szCs w:val="18"/>
              </w:rPr>
              <w:t>Clifton Hill Maternal Child and Health Centre, Darling Gardens- Hoddle Street, Clifton Hill</w:t>
            </w:r>
          </w:p>
        </w:tc>
        <w:tc>
          <w:tcPr>
            <w:tcW w:w="1276" w:type="dxa"/>
            <w:shd w:val="clear" w:color="auto" w:fill="auto"/>
            <w:hideMark/>
          </w:tcPr>
          <w:p w:rsidR="00226205" w:rsidRPr="00226205" w:rsidRDefault="00226205" w:rsidP="00B77D83">
            <w:pPr>
              <w:tabs>
                <w:tab w:val="decimal" w:pos="884"/>
              </w:tabs>
              <w:jc w:val="left"/>
              <w:rPr>
                <w:rFonts w:ascii="Calibri" w:hAnsi="Calibri" w:cs="Calibri"/>
                <w:color w:val="000000"/>
                <w:sz w:val="18"/>
                <w:szCs w:val="18"/>
              </w:rPr>
            </w:pPr>
            <w:r w:rsidRPr="00226205">
              <w:rPr>
                <w:rFonts w:ascii="Calibri" w:hAnsi="Calibri" w:cs="Calibri"/>
                <w:color w:val="000000"/>
                <w:sz w:val="18"/>
                <w:szCs w:val="18"/>
              </w:rPr>
              <w:t>$296,862</w:t>
            </w:r>
          </w:p>
        </w:tc>
        <w:tc>
          <w:tcPr>
            <w:tcW w:w="1134" w:type="dxa"/>
            <w:shd w:val="clear" w:color="auto" w:fill="auto"/>
            <w:hideMark/>
          </w:tcPr>
          <w:p w:rsidR="00226205" w:rsidRPr="00226205" w:rsidRDefault="00226205" w:rsidP="00226205">
            <w:pPr>
              <w:jc w:val="center"/>
              <w:rPr>
                <w:rFonts w:ascii="Calibri" w:hAnsi="Calibri" w:cs="Calibri"/>
                <w:color w:val="000000"/>
                <w:sz w:val="18"/>
                <w:szCs w:val="18"/>
              </w:rPr>
            </w:pPr>
            <w:r w:rsidRPr="00226205">
              <w:rPr>
                <w:rFonts w:ascii="Calibri" w:hAnsi="Calibri" w:cs="Calibri"/>
                <w:color w:val="000000"/>
                <w:sz w:val="18"/>
                <w:szCs w:val="18"/>
              </w:rPr>
              <w:t>Community Services</w:t>
            </w:r>
          </w:p>
        </w:tc>
        <w:tc>
          <w:tcPr>
            <w:tcW w:w="1417" w:type="dxa"/>
            <w:shd w:val="clear" w:color="auto" w:fill="auto"/>
            <w:hideMark/>
          </w:tcPr>
          <w:p w:rsidR="00226205" w:rsidRPr="00226205" w:rsidRDefault="00226205" w:rsidP="00226205">
            <w:pPr>
              <w:jc w:val="center"/>
              <w:rPr>
                <w:rFonts w:ascii="Calibri" w:hAnsi="Calibri" w:cs="Calibri"/>
                <w:color w:val="000000"/>
                <w:sz w:val="18"/>
                <w:szCs w:val="18"/>
              </w:rPr>
            </w:pPr>
            <w:r w:rsidRPr="00226205">
              <w:rPr>
                <w:rFonts w:ascii="Calibri" w:hAnsi="Calibri" w:cs="Calibri"/>
                <w:color w:val="000000"/>
                <w:sz w:val="18"/>
                <w:szCs w:val="18"/>
              </w:rPr>
              <w:t xml:space="preserve">Maternal </w:t>
            </w:r>
            <w:r w:rsidR="00B77D83">
              <w:rPr>
                <w:rFonts w:ascii="Calibri" w:hAnsi="Calibri" w:cs="Calibri"/>
                <w:color w:val="000000"/>
                <w:sz w:val="18"/>
                <w:szCs w:val="18"/>
              </w:rPr>
              <w:t>and</w:t>
            </w:r>
            <w:r w:rsidRPr="00226205">
              <w:rPr>
                <w:rFonts w:ascii="Calibri" w:hAnsi="Calibri" w:cs="Calibri"/>
                <w:color w:val="000000"/>
                <w:sz w:val="18"/>
                <w:szCs w:val="18"/>
              </w:rPr>
              <w:t xml:space="preserve"> Child Health Centres</w:t>
            </w:r>
          </w:p>
        </w:tc>
        <w:tc>
          <w:tcPr>
            <w:tcW w:w="2410" w:type="dxa"/>
            <w:shd w:val="clear" w:color="auto" w:fill="auto"/>
            <w:hideMark/>
          </w:tcPr>
          <w:p w:rsidR="00226205" w:rsidRPr="00226205" w:rsidRDefault="00226205" w:rsidP="00226205">
            <w:pPr>
              <w:jc w:val="left"/>
              <w:rPr>
                <w:rFonts w:ascii="Calibri" w:hAnsi="Calibri" w:cs="Calibri"/>
                <w:color w:val="000000"/>
                <w:sz w:val="18"/>
                <w:szCs w:val="18"/>
              </w:rPr>
            </w:pPr>
            <w:r w:rsidRPr="00226205">
              <w:rPr>
                <w:rFonts w:ascii="Calibri" w:hAnsi="Calibri" w:cs="Calibri"/>
                <w:color w:val="000000"/>
                <w:sz w:val="18"/>
                <w:szCs w:val="18"/>
              </w:rPr>
              <w:t xml:space="preserve">The building is generally in a fair condition with, electrical and fitout requiring renewal works. </w:t>
            </w:r>
          </w:p>
        </w:tc>
        <w:tc>
          <w:tcPr>
            <w:tcW w:w="3118" w:type="dxa"/>
            <w:shd w:val="clear" w:color="auto" w:fill="auto"/>
            <w:hideMark/>
          </w:tcPr>
          <w:p w:rsidR="00226205" w:rsidRPr="00226205" w:rsidRDefault="00226205" w:rsidP="00DF0C54">
            <w:pPr>
              <w:jc w:val="left"/>
              <w:rPr>
                <w:rFonts w:ascii="Calibri" w:hAnsi="Calibri" w:cs="Calibri"/>
                <w:color w:val="000000"/>
                <w:sz w:val="18"/>
                <w:szCs w:val="18"/>
              </w:rPr>
            </w:pPr>
            <w:r w:rsidRPr="00226205">
              <w:rPr>
                <w:rFonts w:ascii="Calibri" w:hAnsi="Calibri" w:cs="Calibri"/>
                <w:color w:val="000000"/>
                <w:sz w:val="18"/>
                <w:szCs w:val="18"/>
              </w:rPr>
              <w:t>The centre is isolated in the Darling Gardens. Street parking is provided</w:t>
            </w:r>
            <w:r w:rsidR="00DF0C54">
              <w:rPr>
                <w:rFonts w:ascii="Calibri" w:hAnsi="Calibri" w:cs="Calibri"/>
                <w:color w:val="000000"/>
                <w:sz w:val="18"/>
                <w:szCs w:val="18"/>
              </w:rPr>
              <w:t>.I</w:t>
            </w:r>
            <w:r w:rsidRPr="00226205">
              <w:rPr>
                <w:rFonts w:ascii="Calibri" w:hAnsi="Calibri" w:cs="Calibri"/>
                <w:color w:val="000000"/>
                <w:sz w:val="18"/>
                <w:szCs w:val="18"/>
              </w:rPr>
              <w:t>t is located in a quiet area so no difficulty in obtaining a parking place. MCH nurse is working on</w:t>
            </w:r>
            <w:r w:rsidR="00DF0C54">
              <w:rPr>
                <w:rFonts w:ascii="Calibri" w:hAnsi="Calibri" w:cs="Calibri"/>
                <w:color w:val="000000"/>
                <w:sz w:val="18"/>
                <w:szCs w:val="18"/>
              </w:rPr>
              <w:t xml:space="preserve"> </w:t>
            </w:r>
            <w:r w:rsidRPr="00226205">
              <w:rPr>
                <w:rFonts w:ascii="Calibri" w:hAnsi="Calibri" w:cs="Calibri"/>
                <w:color w:val="000000"/>
                <w:sz w:val="18"/>
                <w:szCs w:val="18"/>
              </w:rPr>
              <w:t>her own. Id</w:t>
            </w:r>
            <w:r w:rsidR="00DF0C54">
              <w:rPr>
                <w:rFonts w:ascii="Calibri" w:hAnsi="Calibri" w:cs="Calibri"/>
                <w:color w:val="000000"/>
                <w:sz w:val="18"/>
                <w:szCs w:val="18"/>
              </w:rPr>
              <w:t>eally the centre needs to be co-</w:t>
            </w:r>
            <w:r w:rsidRPr="00226205">
              <w:rPr>
                <w:rFonts w:ascii="Calibri" w:hAnsi="Calibri" w:cs="Calibri"/>
                <w:color w:val="000000"/>
                <w:sz w:val="18"/>
                <w:szCs w:val="18"/>
              </w:rPr>
              <w:t xml:space="preserve">located over the next five years. Centre requires an additional office to meet increasing service demands and to limit risk of a single nurse working in Centre. There is also a need a second meeting room. Isolation, limited office space, and small meeting spaces are key issues. Additional bookable meeting space is needed and current playgroup spaces are small. Building has a very poor visual connection to outdoor play spaces. Makes it a less than ideal environment for playgroups. Larger space is required for playgroups, new parent's groups. No disabled toilet access. Dated but adequate. Will require updating if remaining in current location. </w:t>
            </w:r>
          </w:p>
        </w:tc>
      </w:tr>
      <w:tr w:rsidR="00226205" w:rsidRPr="00226205" w:rsidTr="00B77D83">
        <w:trPr>
          <w:cantSplit/>
          <w:trHeight w:val="2168"/>
        </w:trPr>
        <w:tc>
          <w:tcPr>
            <w:tcW w:w="998" w:type="dxa"/>
            <w:shd w:val="clear" w:color="auto" w:fill="auto"/>
            <w:hideMark/>
          </w:tcPr>
          <w:p w:rsidR="00226205" w:rsidRPr="00226205" w:rsidRDefault="00226205" w:rsidP="006918D2">
            <w:pPr>
              <w:jc w:val="center"/>
              <w:rPr>
                <w:rFonts w:ascii="Calibri" w:hAnsi="Calibri" w:cs="Calibri"/>
                <w:color w:val="000000"/>
                <w:sz w:val="18"/>
                <w:szCs w:val="18"/>
              </w:rPr>
            </w:pPr>
            <w:r w:rsidRPr="00226205">
              <w:rPr>
                <w:rFonts w:ascii="Calibri" w:hAnsi="Calibri" w:cs="Calibri"/>
                <w:color w:val="000000"/>
                <w:sz w:val="18"/>
                <w:szCs w:val="18"/>
              </w:rPr>
              <w:t>B000097</w:t>
            </w:r>
          </w:p>
        </w:tc>
        <w:tc>
          <w:tcPr>
            <w:tcW w:w="2693" w:type="dxa"/>
            <w:shd w:val="clear" w:color="auto" w:fill="auto"/>
            <w:hideMark/>
          </w:tcPr>
          <w:p w:rsidR="00226205" w:rsidRPr="00226205" w:rsidRDefault="00226205" w:rsidP="00226205">
            <w:pPr>
              <w:rPr>
                <w:rFonts w:ascii="Calibri" w:hAnsi="Calibri" w:cs="Calibri"/>
                <w:color w:val="000000"/>
                <w:sz w:val="18"/>
                <w:szCs w:val="18"/>
              </w:rPr>
            </w:pPr>
            <w:r w:rsidRPr="00226205">
              <w:rPr>
                <w:rFonts w:ascii="Calibri" w:hAnsi="Calibri" w:cs="Calibri"/>
                <w:noProof/>
                <w:color w:val="000000"/>
                <w:sz w:val="18"/>
                <w:szCs w:val="18"/>
              </w:rPr>
              <w:drawing>
                <wp:anchor distT="0" distB="0" distL="114300" distR="114300" simplePos="0" relativeHeight="251771392" behindDoc="0" locked="0" layoutInCell="1" allowOverlap="1" wp14:anchorId="25EECAA6" wp14:editId="54E10D88">
                  <wp:simplePos x="0" y="0"/>
                  <wp:positionH relativeFrom="column">
                    <wp:posOffset>-20955</wp:posOffset>
                  </wp:positionH>
                  <wp:positionV relativeFrom="paragraph">
                    <wp:posOffset>66870</wp:posOffset>
                  </wp:positionV>
                  <wp:extent cx="1630680" cy="1223645"/>
                  <wp:effectExtent l="0" t="0" r="0" b="0"/>
                  <wp:wrapNone/>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111"/>
                          <pic:cNvPicPr>
                            <a:picLocks noChangeAspect="1"/>
                          </pic:cNvPicPr>
                        </pic:nvPicPr>
                        <pic:blipFill>
                          <a:blip r:embed="rId142">
                            <a:extLst>
                              <a:ext uri="{28A0092B-C50C-407E-A947-70E740481C1C}">
                                <a14:useLocalDpi xmlns:a14="http://schemas.microsoft.com/office/drawing/2010/main" val="0"/>
                              </a:ext>
                            </a:extLst>
                          </a:blip>
                          <a:stretch>
                            <a:fillRect/>
                          </a:stretch>
                        </pic:blipFill>
                        <pic:spPr>
                          <a:xfrm>
                            <a:off x="0" y="0"/>
                            <a:ext cx="1630680" cy="1223645"/>
                          </a:xfrm>
                          <a:prstGeom prst="rect">
                            <a:avLst/>
                          </a:prstGeom>
                        </pic:spPr>
                      </pic:pic>
                    </a:graphicData>
                  </a:graphic>
                  <wp14:sizeRelH relativeFrom="page">
                    <wp14:pctWidth>0</wp14:pctWidth>
                  </wp14:sizeRelH>
                  <wp14:sizeRelV relativeFrom="page">
                    <wp14:pctHeight>0</wp14:pctHeight>
                  </wp14:sizeRelV>
                </wp:anchor>
              </w:drawing>
            </w:r>
          </w:p>
        </w:tc>
        <w:tc>
          <w:tcPr>
            <w:tcW w:w="2268" w:type="dxa"/>
            <w:shd w:val="clear" w:color="auto" w:fill="auto"/>
            <w:hideMark/>
          </w:tcPr>
          <w:p w:rsidR="00226205" w:rsidRPr="00226205" w:rsidRDefault="00226205" w:rsidP="00A54993">
            <w:pPr>
              <w:jc w:val="left"/>
              <w:rPr>
                <w:rFonts w:ascii="Calibri" w:hAnsi="Calibri" w:cs="Calibri"/>
                <w:color w:val="000000"/>
                <w:sz w:val="18"/>
                <w:szCs w:val="18"/>
              </w:rPr>
            </w:pPr>
            <w:r w:rsidRPr="00226205">
              <w:rPr>
                <w:rFonts w:ascii="Calibri" w:hAnsi="Calibri" w:cs="Calibri"/>
                <w:color w:val="000000"/>
                <w:sz w:val="18"/>
                <w:szCs w:val="18"/>
              </w:rPr>
              <w:t>Public Toilet, Darling Gardens-  Hoddle Street, Clifton Hill</w:t>
            </w:r>
          </w:p>
        </w:tc>
        <w:tc>
          <w:tcPr>
            <w:tcW w:w="1276" w:type="dxa"/>
            <w:shd w:val="clear" w:color="auto" w:fill="auto"/>
            <w:hideMark/>
          </w:tcPr>
          <w:p w:rsidR="00226205" w:rsidRPr="00226205" w:rsidRDefault="00226205" w:rsidP="00B77D83">
            <w:pPr>
              <w:tabs>
                <w:tab w:val="decimal" w:pos="884"/>
              </w:tabs>
              <w:jc w:val="left"/>
              <w:rPr>
                <w:rFonts w:ascii="Calibri" w:hAnsi="Calibri" w:cs="Calibri"/>
                <w:color w:val="000000"/>
                <w:sz w:val="18"/>
                <w:szCs w:val="18"/>
              </w:rPr>
            </w:pPr>
            <w:r w:rsidRPr="00226205">
              <w:rPr>
                <w:rFonts w:ascii="Calibri" w:hAnsi="Calibri" w:cs="Calibri"/>
                <w:color w:val="000000"/>
                <w:sz w:val="18"/>
                <w:szCs w:val="18"/>
              </w:rPr>
              <w:t>$147,300</w:t>
            </w:r>
          </w:p>
        </w:tc>
        <w:tc>
          <w:tcPr>
            <w:tcW w:w="1134" w:type="dxa"/>
            <w:shd w:val="clear" w:color="auto" w:fill="auto"/>
            <w:hideMark/>
          </w:tcPr>
          <w:p w:rsidR="00226205" w:rsidRPr="00226205" w:rsidRDefault="00226205" w:rsidP="00226205">
            <w:pPr>
              <w:jc w:val="center"/>
              <w:rPr>
                <w:rFonts w:ascii="Calibri" w:hAnsi="Calibri" w:cs="Calibri"/>
                <w:color w:val="000000"/>
                <w:sz w:val="18"/>
                <w:szCs w:val="18"/>
              </w:rPr>
            </w:pPr>
            <w:r w:rsidRPr="00226205">
              <w:rPr>
                <w:rFonts w:ascii="Calibri" w:hAnsi="Calibri" w:cs="Calibri"/>
                <w:color w:val="000000"/>
                <w:sz w:val="18"/>
                <w:szCs w:val="18"/>
              </w:rPr>
              <w:t xml:space="preserve">Recreation </w:t>
            </w:r>
            <w:r w:rsidR="00B77D83">
              <w:rPr>
                <w:rFonts w:ascii="Calibri" w:hAnsi="Calibri" w:cs="Calibri"/>
                <w:color w:val="000000"/>
                <w:sz w:val="18"/>
                <w:szCs w:val="18"/>
              </w:rPr>
              <w:t>and</w:t>
            </w:r>
            <w:r w:rsidRPr="00226205">
              <w:rPr>
                <w:rFonts w:ascii="Calibri" w:hAnsi="Calibri" w:cs="Calibri"/>
                <w:color w:val="000000"/>
                <w:sz w:val="18"/>
                <w:szCs w:val="18"/>
              </w:rPr>
              <w:t xml:space="preserve"> Open Space</w:t>
            </w:r>
          </w:p>
        </w:tc>
        <w:tc>
          <w:tcPr>
            <w:tcW w:w="1417" w:type="dxa"/>
            <w:shd w:val="clear" w:color="auto" w:fill="auto"/>
            <w:hideMark/>
          </w:tcPr>
          <w:p w:rsidR="00226205" w:rsidRPr="00226205" w:rsidRDefault="00226205" w:rsidP="00226205">
            <w:pPr>
              <w:jc w:val="center"/>
              <w:rPr>
                <w:rFonts w:ascii="Calibri" w:hAnsi="Calibri" w:cs="Calibri"/>
                <w:color w:val="000000"/>
                <w:sz w:val="18"/>
                <w:szCs w:val="18"/>
              </w:rPr>
            </w:pPr>
            <w:r w:rsidRPr="00226205">
              <w:rPr>
                <w:rFonts w:ascii="Calibri" w:hAnsi="Calibri" w:cs="Calibri"/>
                <w:color w:val="000000"/>
                <w:sz w:val="18"/>
                <w:szCs w:val="18"/>
              </w:rPr>
              <w:t>Public Toilets</w:t>
            </w:r>
          </w:p>
        </w:tc>
        <w:tc>
          <w:tcPr>
            <w:tcW w:w="2410" w:type="dxa"/>
            <w:shd w:val="clear" w:color="auto" w:fill="auto"/>
            <w:hideMark/>
          </w:tcPr>
          <w:p w:rsidR="00226205" w:rsidRPr="00226205" w:rsidRDefault="00226205" w:rsidP="00226205">
            <w:pPr>
              <w:jc w:val="left"/>
              <w:rPr>
                <w:rFonts w:ascii="Calibri" w:hAnsi="Calibri" w:cs="Calibri"/>
                <w:color w:val="000000"/>
                <w:sz w:val="18"/>
                <w:szCs w:val="18"/>
              </w:rPr>
            </w:pPr>
            <w:r w:rsidRPr="00226205">
              <w:rPr>
                <w:rFonts w:ascii="Calibri" w:hAnsi="Calibri" w:cs="Calibri"/>
                <w:color w:val="000000"/>
                <w:sz w:val="18"/>
                <w:szCs w:val="18"/>
              </w:rPr>
              <w:t>The building is generally in a good condition. Male and female toilets closed now operated as an easy access toilet only.</w:t>
            </w:r>
          </w:p>
        </w:tc>
        <w:tc>
          <w:tcPr>
            <w:tcW w:w="3118" w:type="dxa"/>
            <w:shd w:val="clear" w:color="auto" w:fill="auto"/>
            <w:hideMark/>
          </w:tcPr>
          <w:p w:rsidR="00226205" w:rsidRPr="00226205" w:rsidRDefault="00226205" w:rsidP="00226205">
            <w:pPr>
              <w:jc w:val="left"/>
              <w:rPr>
                <w:rFonts w:ascii="Calibri" w:hAnsi="Calibri" w:cs="Calibri"/>
                <w:color w:val="000000"/>
                <w:sz w:val="18"/>
                <w:szCs w:val="18"/>
              </w:rPr>
            </w:pPr>
            <w:r w:rsidRPr="00226205">
              <w:rPr>
                <w:rFonts w:ascii="Calibri" w:hAnsi="Calibri" w:cs="Calibri"/>
                <w:color w:val="000000"/>
                <w:sz w:val="18"/>
                <w:szCs w:val="18"/>
              </w:rPr>
              <w:t>Ideally toilet should be in NW corner of the park. This may be considered at the time if it is replaced but is unlikely to be supported by residents. Building is far too big for current use as public toilets. Toilet is tired and not welcoming.</w:t>
            </w:r>
          </w:p>
        </w:tc>
      </w:tr>
      <w:tr w:rsidR="00226205" w:rsidRPr="00226205" w:rsidTr="00B77D83">
        <w:trPr>
          <w:cantSplit/>
          <w:trHeight w:val="2065"/>
        </w:trPr>
        <w:tc>
          <w:tcPr>
            <w:tcW w:w="998" w:type="dxa"/>
            <w:shd w:val="clear" w:color="auto" w:fill="auto"/>
            <w:hideMark/>
          </w:tcPr>
          <w:p w:rsidR="00226205" w:rsidRPr="00226205" w:rsidRDefault="00226205" w:rsidP="006918D2">
            <w:pPr>
              <w:jc w:val="center"/>
              <w:rPr>
                <w:rFonts w:ascii="Calibri" w:hAnsi="Calibri" w:cs="Calibri"/>
                <w:color w:val="000000"/>
                <w:sz w:val="18"/>
                <w:szCs w:val="18"/>
              </w:rPr>
            </w:pPr>
            <w:r w:rsidRPr="00226205">
              <w:rPr>
                <w:rFonts w:ascii="Calibri" w:hAnsi="Calibri" w:cs="Calibri"/>
                <w:color w:val="000000"/>
                <w:sz w:val="18"/>
                <w:szCs w:val="18"/>
              </w:rPr>
              <w:t>B000099</w:t>
            </w:r>
          </w:p>
        </w:tc>
        <w:tc>
          <w:tcPr>
            <w:tcW w:w="2693" w:type="dxa"/>
            <w:shd w:val="clear" w:color="auto" w:fill="auto"/>
            <w:hideMark/>
          </w:tcPr>
          <w:p w:rsidR="00226205" w:rsidRPr="00226205" w:rsidRDefault="00226205" w:rsidP="00226205">
            <w:pPr>
              <w:rPr>
                <w:rFonts w:ascii="Calibri" w:hAnsi="Calibri" w:cs="Calibri"/>
                <w:color w:val="000000"/>
                <w:sz w:val="18"/>
                <w:szCs w:val="18"/>
              </w:rPr>
            </w:pPr>
            <w:r w:rsidRPr="00226205">
              <w:rPr>
                <w:rFonts w:ascii="Calibri" w:hAnsi="Calibri" w:cs="Calibri"/>
                <w:noProof/>
                <w:color w:val="000000"/>
                <w:sz w:val="18"/>
                <w:szCs w:val="18"/>
              </w:rPr>
              <w:drawing>
                <wp:anchor distT="0" distB="0" distL="114300" distR="114300" simplePos="0" relativeHeight="251772416" behindDoc="0" locked="0" layoutInCell="1" allowOverlap="1" wp14:anchorId="58D10255" wp14:editId="65534E3E">
                  <wp:simplePos x="0" y="0"/>
                  <wp:positionH relativeFrom="column">
                    <wp:posOffset>-20955</wp:posOffset>
                  </wp:positionH>
                  <wp:positionV relativeFrom="paragraph">
                    <wp:posOffset>82110</wp:posOffset>
                  </wp:positionV>
                  <wp:extent cx="1630680" cy="1173480"/>
                  <wp:effectExtent l="0" t="0" r="0" b="0"/>
                  <wp:wrapNone/>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2"/>
                          <pic:cNvPicPr>
                            <a:picLocks noChangeAspect="1"/>
                          </pic:cNvPicPr>
                        </pic:nvPicPr>
                        <pic:blipFill>
                          <a:blip r:embed="rId143">
                            <a:extLst>
                              <a:ext uri="{28A0092B-C50C-407E-A947-70E740481C1C}">
                                <a14:useLocalDpi xmlns:a14="http://schemas.microsoft.com/office/drawing/2010/main" val="0"/>
                              </a:ext>
                            </a:extLst>
                          </a:blip>
                          <a:stretch>
                            <a:fillRect/>
                          </a:stretch>
                        </pic:blipFill>
                        <pic:spPr>
                          <a:xfrm>
                            <a:off x="0" y="0"/>
                            <a:ext cx="1630680" cy="1173480"/>
                          </a:xfrm>
                          <a:prstGeom prst="rect">
                            <a:avLst/>
                          </a:prstGeom>
                        </pic:spPr>
                      </pic:pic>
                    </a:graphicData>
                  </a:graphic>
                  <wp14:sizeRelH relativeFrom="page">
                    <wp14:pctWidth>0</wp14:pctWidth>
                  </wp14:sizeRelH>
                  <wp14:sizeRelV relativeFrom="page">
                    <wp14:pctHeight>0</wp14:pctHeight>
                  </wp14:sizeRelV>
                </wp:anchor>
              </w:drawing>
            </w:r>
          </w:p>
        </w:tc>
        <w:tc>
          <w:tcPr>
            <w:tcW w:w="2268" w:type="dxa"/>
            <w:shd w:val="clear" w:color="auto" w:fill="auto"/>
            <w:hideMark/>
          </w:tcPr>
          <w:p w:rsidR="00226205" w:rsidRPr="00226205" w:rsidRDefault="00226205" w:rsidP="00A54993">
            <w:pPr>
              <w:jc w:val="left"/>
              <w:rPr>
                <w:rFonts w:ascii="Calibri" w:hAnsi="Calibri" w:cs="Calibri"/>
                <w:color w:val="000000"/>
                <w:sz w:val="18"/>
                <w:szCs w:val="18"/>
              </w:rPr>
            </w:pPr>
            <w:r w:rsidRPr="00226205">
              <w:rPr>
                <w:rFonts w:ascii="Calibri" w:hAnsi="Calibri" w:cs="Calibri"/>
                <w:color w:val="000000"/>
                <w:sz w:val="18"/>
                <w:szCs w:val="18"/>
              </w:rPr>
              <w:t>Stone Gardeners Store, Hall Reserve- The Esplanade, Clifton Hill</w:t>
            </w:r>
          </w:p>
        </w:tc>
        <w:tc>
          <w:tcPr>
            <w:tcW w:w="1276" w:type="dxa"/>
            <w:shd w:val="clear" w:color="auto" w:fill="auto"/>
            <w:hideMark/>
          </w:tcPr>
          <w:p w:rsidR="00226205" w:rsidRPr="00226205" w:rsidRDefault="00226205" w:rsidP="00B77D83">
            <w:pPr>
              <w:tabs>
                <w:tab w:val="decimal" w:pos="884"/>
              </w:tabs>
              <w:jc w:val="left"/>
              <w:rPr>
                <w:rFonts w:ascii="Calibri" w:hAnsi="Calibri" w:cs="Calibri"/>
                <w:color w:val="000000"/>
                <w:sz w:val="18"/>
                <w:szCs w:val="18"/>
              </w:rPr>
            </w:pPr>
            <w:r w:rsidRPr="00226205">
              <w:rPr>
                <w:rFonts w:ascii="Calibri" w:hAnsi="Calibri" w:cs="Calibri"/>
                <w:color w:val="000000"/>
                <w:sz w:val="18"/>
                <w:szCs w:val="18"/>
              </w:rPr>
              <w:t>$20,000</w:t>
            </w:r>
          </w:p>
        </w:tc>
        <w:tc>
          <w:tcPr>
            <w:tcW w:w="1134" w:type="dxa"/>
            <w:shd w:val="clear" w:color="auto" w:fill="auto"/>
            <w:hideMark/>
          </w:tcPr>
          <w:p w:rsidR="00226205" w:rsidRPr="00226205" w:rsidRDefault="00226205" w:rsidP="00226205">
            <w:pPr>
              <w:jc w:val="center"/>
              <w:rPr>
                <w:rFonts w:ascii="Calibri" w:hAnsi="Calibri" w:cs="Calibri"/>
                <w:color w:val="000000"/>
                <w:sz w:val="18"/>
                <w:szCs w:val="18"/>
              </w:rPr>
            </w:pPr>
            <w:r w:rsidRPr="00226205">
              <w:rPr>
                <w:rFonts w:ascii="Calibri" w:hAnsi="Calibri" w:cs="Calibri"/>
                <w:color w:val="000000"/>
                <w:sz w:val="18"/>
                <w:szCs w:val="18"/>
              </w:rPr>
              <w:t xml:space="preserve">Recreation </w:t>
            </w:r>
            <w:r w:rsidR="00B77D83">
              <w:rPr>
                <w:rFonts w:ascii="Calibri" w:hAnsi="Calibri" w:cs="Calibri"/>
                <w:color w:val="000000"/>
                <w:sz w:val="18"/>
                <w:szCs w:val="18"/>
              </w:rPr>
              <w:t>and</w:t>
            </w:r>
            <w:r w:rsidRPr="00226205">
              <w:rPr>
                <w:rFonts w:ascii="Calibri" w:hAnsi="Calibri" w:cs="Calibri"/>
                <w:color w:val="000000"/>
                <w:sz w:val="18"/>
                <w:szCs w:val="18"/>
              </w:rPr>
              <w:t xml:space="preserve"> Open Space</w:t>
            </w:r>
          </w:p>
        </w:tc>
        <w:tc>
          <w:tcPr>
            <w:tcW w:w="1417" w:type="dxa"/>
            <w:shd w:val="clear" w:color="auto" w:fill="auto"/>
            <w:hideMark/>
          </w:tcPr>
          <w:p w:rsidR="00226205" w:rsidRPr="00226205" w:rsidRDefault="00226205" w:rsidP="00226205">
            <w:pPr>
              <w:jc w:val="center"/>
              <w:rPr>
                <w:rFonts w:ascii="Calibri" w:hAnsi="Calibri" w:cs="Calibri"/>
                <w:color w:val="000000"/>
                <w:sz w:val="18"/>
                <w:szCs w:val="18"/>
              </w:rPr>
            </w:pPr>
            <w:r w:rsidRPr="00226205">
              <w:rPr>
                <w:rFonts w:ascii="Calibri" w:hAnsi="Calibri" w:cs="Calibri"/>
                <w:color w:val="000000"/>
                <w:sz w:val="18"/>
                <w:szCs w:val="18"/>
              </w:rPr>
              <w:t>Stores / Sheds / Garages</w:t>
            </w:r>
          </w:p>
        </w:tc>
        <w:tc>
          <w:tcPr>
            <w:tcW w:w="2410" w:type="dxa"/>
            <w:shd w:val="clear" w:color="auto" w:fill="auto"/>
            <w:hideMark/>
          </w:tcPr>
          <w:p w:rsidR="00226205" w:rsidRPr="00226205" w:rsidRDefault="00226205" w:rsidP="00226205">
            <w:pPr>
              <w:jc w:val="left"/>
              <w:rPr>
                <w:rFonts w:ascii="Calibri" w:hAnsi="Calibri" w:cs="Calibri"/>
                <w:color w:val="000000"/>
                <w:sz w:val="18"/>
                <w:szCs w:val="18"/>
              </w:rPr>
            </w:pPr>
            <w:r w:rsidRPr="00226205">
              <w:rPr>
                <w:rFonts w:ascii="Calibri" w:hAnsi="Calibri" w:cs="Calibri"/>
                <w:color w:val="000000"/>
                <w:sz w:val="18"/>
                <w:szCs w:val="18"/>
              </w:rPr>
              <w:t xml:space="preserve">The building is generally in a poor condition with structural work required. </w:t>
            </w:r>
          </w:p>
        </w:tc>
        <w:tc>
          <w:tcPr>
            <w:tcW w:w="3118" w:type="dxa"/>
            <w:shd w:val="clear" w:color="auto" w:fill="auto"/>
            <w:hideMark/>
          </w:tcPr>
          <w:p w:rsidR="00226205" w:rsidRPr="00226205" w:rsidRDefault="00226205" w:rsidP="00226205">
            <w:pPr>
              <w:jc w:val="left"/>
              <w:rPr>
                <w:rFonts w:ascii="Calibri" w:hAnsi="Calibri" w:cs="Calibri"/>
                <w:color w:val="000000"/>
                <w:sz w:val="18"/>
                <w:szCs w:val="18"/>
              </w:rPr>
            </w:pPr>
            <w:r w:rsidRPr="00226205">
              <w:rPr>
                <w:rFonts w:ascii="Calibri" w:hAnsi="Calibri" w:cs="Calibri"/>
                <w:color w:val="000000"/>
                <w:sz w:val="18"/>
                <w:szCs w:val="18"/>
              </w:rPr>
              <w:t>Used by operational maintenance vehicles only. Parkland surrounds the building but this bluestone shed does not provide direct service.                                                   Identified for demolition 2013/2014</w:t>
            </w:r>
          </w:p>
        </w:tc>
      </w:tr>
      <w:tr w:rsidR="00226205" w:rsidRPr="00226205" w:rsidTr="00B77D83">
        <w:trPr>
          <w:cantSplit/>
          <w:trHeight w:val="2108"/>
        </w:trPr>
        <w:tc>
          <w:tcPr>
            <w:tcW w:w="998" w:type="dxa"/>
            <w:shd w:val="clear" w:color="auto" w:fill="auto"/>
            <w:hideMark/>
          </w:tcPr>
          <w:p w:rsidR="00226205" w:rsidRPr="00226205" w:rsidRDefault="00226205" w:rsidP="006918D2">
            <w:pPr>
              <w:jc w:val="center"/>
              <w:rPr>
                <w:rFonts w:ascii="Calibri" w:hAnsi="Calibri" w:cs="Calibri"/>
                <w:color w:val="000000"/>
                <w:sz w:val="18"/>
                <w:szCs w:val="18"/>
              </w:rPr>
            </w:pPr>
            <w:r w:rsidRPr="00226205">
              <w:rPr>
                <w:rFonts w:ascii="Calibri" w:hAnsi="Calibri" w:cs="Calibri"/>
                <w:color w:val="000000"/>
                <w:sz w:val="18"/>
                <w:szCs w:val="18"/>
              </w:rPr>
              <w:t>B000100</w:t>
            </w:r>
          </w:p>
        </w:tc>
        <w:tc>
          <w:tcPr>
            <w:tcW w:w="2693" w:type="dxa"/>
            <w:shd w:val="clear" w:color="auto" w:fill="auto"/>
            <w:hideMark/>
          </w:tcPr>
          <w:p w:rsidR="00226205" w:rsidRPr="00226205" w:rsidRDefault="00226205" w:rsidP="00226205">
            <w:pPr>
              <w:rPr>
                <w:rFonts w:ascii="Calibri" w:hAnsi="Calibri" w:cs="Calibri"/>
                <w:color w:val="000000"/>
                <w:sz w:val="18"/>
                <w:szCs w:val="18"/>
              </w:rPr>
            </w:pPr>
            <w:r w:rsidRPr="00226205">
              <w:rPr>
                <w:rFonts w:ascii="Calibri" w:hAnsi="Calibri" w:cs="Calibri"/>
                <w:noProof/>
                <w:color w:val="000000"/>
                <w:sz w:val="18"/>
                <w:szCs w:val="18"/>
              </w:rPr>
              <w:drawing>
                <wp:anchor distT="0" distB="0" distL="114300" distR="114300" simplePos="0" relativeHeight="251791872" behindDoc="0" locked="0" layoutInCell="1" allowOverlap="1" wp14:anchorId="47ED98C8" wp14:editId="010B1EF4">
                  <wp:simplePos x="0" y="0"/>
                  <wp:positionH relativeFrom="column">
                    <wp:posOffset>-20955</wp:posOffset>
                  </wp:positionH>
                  <wp:positionV relativeFrom="paragraph">
                    <wp:posOffset>53145</wp:posOffset>
                  </wp:positionV>
                  <wp:extent cx="1630680" cy="1227455"/>
                  <wp:effectExtent l="0" t="0" r="0" b="0"/>
                  <wp:wrapNone/>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Picture 137"/>
                          <pic:cNvPicPr>
                            <a:picLocks noChangeAspect="1"/>
                          </pic:cNvPicPr>
                        </pic:nvPicPr>
                        <pic:blipFill>
                          <a:blip r:embed="rId144">
                            <a:extLst>
                              <a:ext uri="{28A0092B-C50C-407E-A947-70E740481C1C}">
                                <a14:useLocalDpi xmlns:a14="http://schemas.microsoft.com/office/drawing/2010/main" val="0"/>
                              </a:ext>
                            </a:extLst>
                          </a:blip>
                          <a:stretch>
                            <a:fillRect/>
                          </a:stretch>
                        </pic:blipFill>
                        <pic:spPr>
                          <a:xfrm>
                            <a:off x="0" y="0"/>
                            <a:ext cx="1630680" cy="1227455"/>
                          </a:xfrm>
                          <a:prstGeom prst="rect">
                            <a:avLst/>
                          </a:prstGeom>
                        </pic:spPr>
                      </pic:pic>
                    </a:graphicData>
                  </a:graphic>
                  <wp14:sizeRelH relativeFrom="page">
                    <wp14:pctWidth>0</wp14:pctWidth>
                  </wp14:sizeRelH>
                  <wp14:sizeRelV relativeFrom="page">
                    <wp14:pctHeight>0</wp14:pctHeight>
                  </wp14:sizeRelV>
                </wp:anchor>
              </w:drawing>
            </w:r>
          </w:p>
        </w:tc>
        <w:tc>
          <w:tcPr>
            <w:tcW w:w="2268" w:type="dxa"/>
            <w:shd w:val="clear" w:color="auto" w:fill="auto"/>
            <w:hideMark/>
          </w:tcPr>
          <w:p w:rsidR="00226205" w:rsidRPr="00226205" w:rsidRDefault="00226205" w:rsidP="00A54993">
            <w:pPr>
              <w:jc w:val="left"/>
              <w:rPr>
                <w:rFonts w:ascii="Calibri" w:hAnsi="Calibri" w:cs="Calibri"/>
                <w:color w:val="000000"/>
                <w:sz w:val="18"/>
                <w:szCs w:val="18"/>
              </w:rPr>
            </w:pPr>
            <w:r w:rsidRPr="00226205">
              <w:rPr>
                <w:rFonts w:ascii="Calibri" w:hAnsi="Calibri" w:cs="Calibri"/>
                <w:color w:val="000000"/>
                <w:sz w:val="18"/>
                <w:szCs w:val="18"/>
              </w:rPr>
              <w:t xml:space="preserve">Ray Coverdale Pavilion, George Knott Reserve- Heidelberg Road, Clifton Hill </w:t>
            </w:r>
          </w:p>
        </w:tc>
        <w:tc>
          <w:tcPr>
            <w:tcW w:w="1276" w:type="dxa"/>
            <w:shd w:val="clear" w:color="auto" w:fill="auto"/>
            <w:hideMark/>
          </w:tcPr>
          <w:p w:rsidR="00226205" w:rsidRPr="00226205" w:rsidRDefault="00226205" w:rsidP="00B77D83">
            <w:pPr>
              <w:tabs>
                <w:tab w:val="decimal" w:pos="884"/>
              </w:tabs>
              <w:jc w:val="left"/>
              <w:rPr>
                <w:rFonts w:ascii="Calibri" w:hAnsi="Calibri" w:cs="Calibri"/>
                <w:color w:val="000000"/>
                <w:sz w:val="18"/>
                <w:szCs w:val="18"/>
              </w:rPr>
            </w:pPr>
            <w:r w:rsidRPr="00226205">
              <w:rPr>
                <w:rFonts w:ascii="Calibri" w:hAnsi="Calibri" w:cs="Calibri"/>
                <w:color w:val="000000"/>
                <w:sz w:val="18"/>
                <w:szCs w:val="18"/>
              </w:rPr>
              <w:t>$937,365</w:t>
            </w:r>
          </w:p>
        </w:tc>
        <w:tc>
          <w:tcPr>
            <w:tcW w:w="1134" w:type="dxa"/>
            <w:shd w:val="clear" w:color="auto" w:fill="auto"/>
            <w:hideMark/>
          </w:tcPr>
          <w:p w:rsidR="00226205" w:rsidRPr="00226205" w:rsidRDefault="00226205" w:rsidP="00226205">
            <w:pPr>
              <w:jc w:val="center"/>
              <w:rPr>
                <w:rFonts w:ascii="Calibri" w:hAnsi="Calibri" w:cs="Calibri"/>
                <w:color w:val="000000"/>
                <w:sz w:val="18"/>
                <w:szCs w:val="18"/>
              </w:rPr>
            </w:pPr>
            <w:r w:rsidRPr="00226205">
              <w:rPr>
                <w:rFonts w:ascii="Calibri" w:hAnsi="Calibri" w:cs="Calibri"/>
                <w:color w:val="000000"/>
                <w:sz w:val="18"/>
                <w:szCs w:val="18"/>
              </w:rPr>
              <w:t xml:space="preserve">Recreation </w:t>
            </w:r>
            <w:r w:rsidR="00B77D83">
              <w:rPr>
                <w:rFonts w:ascii="Calibri" w:hAnsi="Calibri" w:cs="Calibri"/>
                <w:color w:val="000000"/>
                <w:sz w:val="18"/>
                <w:szCs w:val="18"/>
              </w:rPr>
              <w:t>and</w:t>
            </w:r>
            <w:r w:rsidRPr="00226205">
              <w:rPr>
                <w:rFonts w:ascii="Calibri" w:hAnsi="Calibri" w:cs="Calibri"/>
                <w:color w:val="000000"/>
                <w:sz w:val="18"/>
                <w:szCs w:val="18"/>
              </w:rPr>
              <w:t xml:space="preserve"> Open Space</w:t>
            </w:r>
          </w:p>
        </w:tc>
        <w:tc>
          <w:tcPr>
            <w:tcW w:w="1417" w:type="dxa"/>
            <w:shd w:val="clear" w:color="auto" w:fill="auto"/>
            <w:hideMark/>
          </w:tcPr>
          <w:p w:rsidR="00226205" w:rsidRPr="00226205" w:rsidRDefault="00226205" w:rsidP="00226205">
            <w:pPr>
              <w:jc w:val="center"/>
              <w:rPr>
                <w:rFonts w:ascii="Calibri" w:hAnsi="Calibri" w:cs="Calibri"/>
                <w:color w:val="000000"/>
                <w:sz w:val="18"/>
                <w:szCs w:val="18"/>
              </w:rPr>
            </w:pPr>
            <w:r w:rsidRPr="00226205">
              <w:rPr>
                <w:rFonts w:ascii="Calibri" w:hAnsi="Calibri" w:cs="Calibri"/>
                <w:color w:val="000000"/>
                <w:sz w:val="18"/>
                <w:szCs w:val="18"/>
              </w:rPr>
              <w:t>Pavilions / Clubrooms / Change rooms</w:t>
            </w:r>
          </w:p>
        </w:tc>
        <w:tc>
          <w:tcPr>
            <w:tcW w:w="2410" w:type="dxa"/>
            <w:shd w:val="clear" w:color="auto" w:fill="auto"/>
            <w:hideMark/>
          </w:tcPr>
          <w:p w:rsidR="00226205" w:rsidRPr="00226205" w:rsidRDefault="00226205" w:rsidP="00226205">
            <w:pPr>
              <w:jc w:val="left"/>
              <w:rPr>
                <w:rFonts w:ascii="Calibri" w:hAnsi="Calibri" w:cs="Calibri"/>
                <w:color w:val="000000"/>
                <w:sz w:val="18"/>
                <w:szCs w:val="18"/>
              </w:rPr>
            </w:pPr>
            <w:r w:rsidRPr="00226205">
              <w:rPr>
                <w:rFonts w:ascii="Calibri" w:hAnsi="Calibri" w:cs="Calibri"/>
                <w:color w:val="000000"/>
                <w:sz w:val="18"/>
                <w:szCs w:val="18"/>
              </w:rPr>
              <w:t xml:space="preserve">The building is in a good condition. </w:t>
            </w:r>
          </w:p>
        </w:tc>
        <w:tc>
          <w:tcPr>
            <w:tcW w:w="3118" w:type="dxa"/>
            <w:shd w:val="clear" w:color="auto" w:fill="auto"/>
            <w:hideMark/>
          </w:tcPr>
          <w:p w:rsidR="00226205" w:rsidRPr="00226205" w:rsidRDefault="00226205" w:rsidP="00840CD9">
            <w:pPr>
              <w:jc w:val="left"/>
              <w:rPr>
                <w:rFonts w:ascii="Calibri" w:hAnsi="Calibri" w:cs="Calibri"/>
                <w:color w:val="000000"/>
                <w:sz w:val="18"/>
                <w:szCs w:val="18"/>
              </w:rPr>
            </w:pPr>
            <w:r w:rsidRPr="00226205">
              <w:rPr>
                <w:rFonts w:ascii="Calibri" w:hAnsi="Calibri" w:cs="Calibri"/>
                <w:color w:val="000000"/>
                <w:sz w:val="18"/>
                <w:szCs w:val="18"/>
              </w:rPr>
              <w:t>There are only 2 changerooms which can lead to shortage of space during times of high use. It was not designed for current purpose of storage and changing rooms. A shipping container is in use to meet storage requirements.  The concrete apron has some appearance issues due to deteriorating surfaces.  Building is licensed to Collingwood Harriers.</w:t>
            </w:r>
          </w:p>
        </w:tc>
      </w:tr>
      <w:tr w:rsidR="00226205" w:rsidRPr="00226205" w:rsidTr="00B77D83">
        <w:trPr>
          <w:cantSplit/>
          <w:trHeight w:val="1992"/>
        </w:trPr>
        <w:tc>
          <w:tcPr>
            <w:tcW w:w="998" w:type="dxa"/>
            <w:shd w:val="clear" w:color="auto" w:fill="auto"/>
            <w:hideMark/>
          </w:tcPr>
          <w:p w:rsidR="00226205" w:rsidRPr="00226205" w:rsidRDefault="00226205" w:rsidP="006918D2">
            <w:pPr>
              <w:jc w:val="center"/>
              <w:rPr>
                <w:rFonts w:ascii="Calibri" w:hAnsi="Calibri" w:cs="Calibri"/>
                <w:color w:val="000000"/>
                <w:sz w:val="18"/>
                <w:szCs w:val="18"/>
              </w:rPr>
            </w:pPr>
            <w:r w:rsidRPr="00226205">
              <w:rPr>
                <w:rFonts w:ascii="Calibri" w:hAnsi="Calibri" w:cs="Calibri"/>
                <w:color w:val="000000"/>
                <w:sz w:val="18"/>
                <w:szCs w:val="18"/>
              </w:rPr>
              <w:t>B000101</w:t>
            </w:r>
          </w:p>
        </w:tc>
        <w:tc>
          <w:tcPr>
            <w:tcW w:w="2693" w:type="dxa"/>
            <w:shd w:val="clear" w:color="auto" w:fill="auto"/>
            <w:hideMark/>
          </w:tcPr>
          <w:p w:rsidR="00226205" w:rsidRPr="00226205" w:rsidRDefault="00226205" w:rsidP="00226205">
            <w:pPr>
              <w:rPr>
                <w:rFonts w:ascii="Calibri" w:hAnsi="Calibri" w:cs="Calibri"/>
                <w:color w:val="000000"/>
                <w:sz w:val="18"/>
                <w:szCs w:val="18"/>
              </w:rPr>
            </w:pPr>
            <w:r w:rsidRPr="00226205">
              <w:rPr>
                <w:rFonts w:ascii="Calibri" w:hAnsi="Calibri" w:cs="Calibri"/>
                <w:noProof/>
                <w:color w:val="000000"/>
                <w:sz w:val="18"/>
                <w:szCs w:val="18"/>
              </w:rPr>
              <w:drawing>
                <wp:anchor distT="0" distB="0" distL="114300" distR="114300" simplePos="0" relativeHeight="251790848" behindDoc="0" locked="0" layoutInCell="1" allowOverlap="1" wp14:anchorId="22AF3881" wp14:editId="371779BE">
                  <wp:simplePos x="0" y="0"/>
                  <wp:positionH relativeFrom="column">
                    <wp:posOffset>-20955</wp:posOffset>
                  </wp:positionH>
                  <wp:positionV relativeFrom="paragraph">
                    <wp:posOffset>53535</wp:posOffset>
                  </wp:positionV>
                  <wp:extent cx="1630680" cy="1148080"/>
                  <wp:effectExtent l="0" t="0" r="0" b="0"/>
                  <wp:wrapNone/>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Picture 136"/>
                          <pic:cNvPicPr>
                            <a:picLocks noChangeAspect="1"/>
                          </pic:cNvPicPr>
                        </pic:nvPicPr>
                        <pic:blipFill>
                          <a:blip r:embed="rId145">
                            <a:extLst>
                              <a:ext uri="{28A0092B-C50C-407E-A947-70E740481C1C}">
                                <a14:useLocalDpi xmlns:a14="http://schemas.microsoft.com/office/drawing/2010/main" val="0"/>
                              </a:ext>
                            </a:extLst>
                          </a:blip>
                          <a:stretch>
                            <a:fillRect/>
                          </a:stretch>
                        </pic:blipFill>
                        <pic:spPr>
                          <a:xfrm>
                            <a:off x="0" y="0"/>
                            <a:ext cx="1630680" cy="1148080"/>
                          </a:xfrm>
                          <a:prstGeom prst="rect">
                            <a:avLst/>
                          </a:prstGeom>
                        </pic:spPr>
                      </pic:pic>
                    </a:graphicData>
                  </a:graphic>
                  <wp14:sizeRelH relativeFrom="page">
                    <wp14:pctWidth>0</wp14:pctWidth>
                  </wp14:sizeRelH>
                  <wp14:sizeRelV relativeFrom="page">
                    <wp14:pctHeight>0</wp14:pctHeight>
                  </wp14:sizeRelV>
                </wp:anchor>
              </w:drawing>
            </w:r>
          </w:p>
        </w:tc>
        <w:tc>
          <w:tcPr>
            <w:tcW w:w="2268" w:type="dxa"/>
            <w:shd w:val="clear" w:color="auto" w:fill="auto"/>
            <w:hideMark/>
          </w:tcPr>
          <w:p w:rsidR="00226205" w:rsidRPr="00226205" w:rsidRDefault="00226205" w:rsidP="00A54993">
            <w:pPr>
              <w:jc w:val="left"/>
              <w:rPr>
                <w:rFonts w:ascii="Calibri" w:hAnsi="Calibri" w:cs="Calibri"/>
                <w:color w:val="000000"/>
                <w:sz w:val="18"/>
                <w:szCs w:val="18"/>
              </w:rPr>
            </w:pPr>
            <w:r w:rsidRPr="00226205">
              <w:rPr>
                <w:rFonts w:ascii="Calibri" w:hAnsi="Calibri" w:cs="Calibri"/>
                <w:color w:val="000000"/>
                <w:sz w:val="18"/>
                <w:szCs w:val="18"/>
              </w:rPr>
              <w:t xml:space="preserve">Storage Shed, Knott Reserve- Heidelberg Road, Clifton Hill </w:t>
            </w:r>
          </w:p>
        </w:tc>
        <w:tc>
          <w:tcPr>
            <w:tcW w:w="1276" w:type="dxa"/>
            <w:shd w:val="clear" w:color="auto" w:fill="auto"/>
            <w:hideMark/>
          </w:tcPr>
          <w:p w:rsidR="00226205" w:rsidRPr="00226205" w:rsidRDefault="00B77D83" w:rsidP="00B77D83">
            <w:pPr>
              <w:tabs>
                <w:tab w:val="decimal" w:pos="884"/>
              </w:tabs>
              <w:jc w:val="left"/>
              <w:rPr>
                <w:rFonts w:ascii="Calibri" w:hAnsi="Calibri" w:cs="Calibri"/>
                <w:color w:val="000000"/>
                <w:sz w:val="18"/>
                <w:szCs w:val="18"/>
              </w:rPr>
            </w:pPr>
            <w:r>
              <w:rPr>
                <w:rFonts w:ascii="Calibri" w:hAnsi="Calibri" w:cs="Calibri"/>
                <w:color w:val="000000"/>
                <w:sz w:val="18"/>
                <w:szCs w:val="18"/>
              </w:rPr>
              <w:t>$</w:t>
            </w:r>
            <w:r w:rsidR="00226205" w:rsidRPr="00226205">
              <w:rPr>
                <w:rFonts w:ascii="Calibri" w:hAnsi="Calibri" w:cs="Calibri"/>
                <w:color w:val="000000"/>
                <w:sz w:val="18"/>
                <w:szCs w:val="18"/>
              </w:rPr>
              <w:t>150,000</w:t>
            </w:r>
          </w:p>
        </w:tc>
        <w:tc>
          <w:tcPr>
            <w:tcW w:w="1134" w:type="dxa"/>
            <w:shd w:val="clear" w:color="auto" w:fill="auto"/>
            <w:hideMark/>
          </w:tcPr>
          <w:p w:rsidR="00226205" w:rsidRPr="00226205" w:rsidRDefault="00226205" w:rsidP="00226205">
            <w:pPr>
              <w:jc w:val="center"/>
              <w:rPr>
                <w:rFonts w:ascii="Calibri" w:hAnsi="Calibri" w:cs="Calibri"/>
                <w:color w:val="000000"/>
                <w:sz w:val="18"/>
                <w:szCs w:val="18"/>
              </w:rPr>
            </w:pPr>
            <w:r w:rsidRPr="00226205">
              <w:rPr>
                <w:rFonts w:ascii="Calibri" w:hAnsi="Calibri" w:cs="Calibri"/>
                <w:color w:val="000000"/>
                <w:sz w:val="18"/>
                <w:szCs w:val="18"/>
              </w:rPr>
              <w:t xml:space="preserve">Recreation </w:t>
            </w:r>
            <w:r w:rsidR="00B77D83">
              <w:rPr>
                <w:rFonts w:ascii="Calibri" w:hAnsi="Calibri" w:cs="Calibri"/>
                <w:color w:val="000000"/>
                <w:sz w:val="18"/>
                <w:szCs w:val="18"/>
              </w:rPr>
              <w:t>and</w:t>
            </w:r>
            <w:r w:rsidRPr="00226205">
              <w:rPr>
                <w:rFonts w:ascii="Calibri" w:hAnsi="Calibri" w:cs="Calibri"/>
                <w:color w:val="000000"/>
                <w:sz w:val="18"/>
                <w:szCs w:val="18"/>
              </w:rPr>
              <w:t xml:space="preserve"> Open Space</w:t>
            </w:r>
          </w:p>
        </w:tc>
        <w:tc>
          <w:tcPr>
            <w:tcW w:w="1417" w:type="dxa"/>
            <w:shd w:val="clear" w:color="auto" w:fill="auto"/>
            <w:hideMark/>
          </w:tcPr>
          <w:p w:rsidR="00226205" w:rsidRPr="00226205" w:rsidRDefault="00226205" w:rsidP="00226205">
            <w:pPr>
              <w:jc w:val="center"/>
              <w:rPr>
                <w:rFonts w:ascii="Calibri" w:hAnsi="Calibri" w:cs="Calibri"/>
                <w:color w:val="000000"/>
                <w:sz w:val="18"/>
                <w:szCs w:val="18"/>
              </w:rPr>
            </w:pPr>
            <w:r w:rsidRPr="00226205">
              <w:rPr>
                <w:rFonts w:ascii="Calibri" w:hAnsi="Calibri" w:cs="Calibri"/>
                <w:color w:val="000000"/>
                <w:sz w:val="18"/>
                <w:szCs w:val="18"/>
              </w:rPr>
              <w:t>Stores / Sheds / Garages</w:t>
            </w:r>
          </w:p>
        </w:tc>
        <w:tc>
          <w:tcPr>
            <w:tcW w:w="2410" w:type="dxa"/>
            <w:shd w:val="clear" w:color="auto" w:fill="auto"/>
            <w:hideMark/>
          </w:tcPr>
          <w:p w:rsidR="00226205" w:rsidRPr="00226205" w:rsidRDefault="00226205" w:rsidP="00226205">
            <w:pPr>
              <w:jc w:val="left"/>
              <w:rPr>
                <w:rFonts w:ascii="Calibri" w:hAnsi="Calibri" w:cs="Calibri"/>
                <w:color w:val="000000"/>
                <w:sz w:val="18"/>
                <w:szCs w:val="18"/>
              </w:rPr>
            </w:pPr>
            <w:r w:rsidRPr="00226205">
              <w:rPr>
                <w:rFonts w:ascii="Calibri" w:hAnsi="Calibri" w:cs="Calibri"/>
                <w:color w:val="000000"/>
                <w:sz w:val="18"/>
                <w:szCs w:val="18"/>
              </w:rPr>
              <w:t xml:space="preserve">The building is in a good condition. </w:t>
            </w:r>
          </w:p>
        </w:tc>
        <w:tc>
          <w:tcPr>
            <w:tcW w:w="3118" w:type="dxa"/>
            <w:shd w:val="clear" w:color="auto" w:fill="auto"/>
            <w:hideMark/>
          </w:tcPr>
          <w:p w:rsidR="00226205" w:rsidRPr="00226205" w:rsidRDefault="00226205" w:rsidP="00226205">
            <w:pPr>
              <w:jc w:val="left"/>
              <w:rPr>
                <w:rFonts w:ascii="Calibri" w:hAnsi="Calibri" w:cs="Calibri"/>
                <w:color w:val="000000"/>
                <w:sz w:val="18"/>
                <w:szCs w:val="18"/>
              </w:rPr>
            </w:pPr>
            <w:r w:rsidRPr="00226205">
              <w:rPr>
                <w:rFonts w:ascii="Calibri" w:hAnsi="Calibri" w:cs="Calibri"/>
                <w:color w:val="000000"/>
                <w:sz w:val="18"/>
                <w:szCs w:val="18"/>
              </w:rPr>
              <w:t>More storage needed. Existing facility could be extended</w:t>
            </w:r>
          </w:p>
        </w:tc>
      </w:tr>
      <w:tr w:rsidR="00226205" w:rsidRPr="00226205" w:rsidTr="00B77D83">
        <w:trPr>
          <w:cantSplit/>
          <w:trHeight w:val="4032"/>
        </w:trPr>
        <w:tc>
          <w:tcPr>
            <w:tcW w:w="998" w:type="dxa"/>
            <w:shd w:val="clear" w:color="auto" w:fill="auto"/>
            <w:hideMark/>
          </w:tcPr>
          <w:p w:rsidR="00226205" w:rsidRPr="00226205" w:rsidRDefault="00226205" w:rsidP="006918D2">
            <w:pPr>
              <w:jc w:val="center"/>
              <w:rPr>
                <w:rFonts w:ascii="Calibri" w:hAnsi="Calibri" w:cs="Calibri"/>
                <w:color w:val="000000"/>
                <w:sz w:val="18"/>
                <w:szCs w:val="18"/>
              </w:rPr>
            </w:pPr>
            <w:r w:rsidRPr="00226205">
              <w:rPr>
                <w:rFonts w:ascii="Calibri" w:hAnsi="Calibri" w:cs="Calibri"/>
                <w:color w:val="000000"/>
                <w:sz w:val="18"/>
                <w:szCs w:val="18"/>
              </w:rPr>
              <w:t>B000103</w:t>
            </w:r>
          </w:p>
        </w:tc>
        <w:tc>
          <w:tcPr>
            <w:tcW w:w="2693" w:type="dxa"/>
            <w:shd w:val="clear" w:color="auto" w:fill="auto"/>
            <w:noWrap/>
            <w:hideMark/>
          </w:tcPr>
          <w:p w:rsidR="00226205" w:rsidRPr="00226205" w:rsidRDefault="00226205" w:rsidP="00226205">
            <w:pPr>
              <w:rPr>
                <w:rFonts w:ascii="Calibri" w:hAnsi="Calibri" w:cs="Calibri"/>
                <w:color w:val="000000"/>
                <w:sz w:val="18"/>
                <w:szCs w:val="18"/>
              </w:rPr>
            </w:pPr>
            <w:r w:rsidRPr="00226205">
              <w:rPr>
                <w:rFonts w:ascii="Calibri" w:hAnsi="Calibri" w:cs="Calibri"/>
                <w:noProof/>
                <w:color w:val="000000"/>
                <w:sz w:val="18"/>
                <w:szCs w:val="18"/>
              </w:rPr>
              <w:drawing>
                <wp:anchor distT="0" distB="0" distL="114300" distR="114300" simplePos="0" relativeHeight="251756032" behindDoc="0" locked="0" layoutInCell="1" allowOverlap="1" wp14:anchorId="1AA63AF1" wp14:editId="762FE14D">
                  <wp:simplePos x="0" y="0"/>
                  <wp:positionH relativeFrom="column">
                    <wp:posOffset>-20955</wp:posOffset>
                  </wp:positionH>
                  <wp:positionV relativeFrom="paragraph">
                    <wp:posOffset>67115</wp:posOffset>
                  </wp:positionV>
                  <wp:extent cx="1630680" cy="1277620"/>
                  <wp:effectExtent l="0" t="0" r="0" b="0"/>
                  <wp:wrapNone/>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90"/>
                          <pic:cNvPicPr>
                            <a:picLocks noChangeAspect="1"/>
                          </pic:cNvPicPr>
                        </pic:nvPicPr>
                        <pic:blipFill>
                          <a:blip r:embed="rId146">
                            <a:extLst>
                              <a:ext uri="{28A0092B-C50C-407E-A947-70E740481C1C}">
                                <a14:useLocalDpi xmlns:a14="http://schemas.microsoft.com/office/drawing/2010/main" val="0"/>
                              </a:ext>
                            </a:extLst>
                          </a:blip>
                          <a:stretch>
                            <a:fillRect/>
                          </a:stretch>
                        </pic:blipFill>
                        <pic:spPr>
                          <a:xfrm>
                            <a:off x="0" y="0"/>
                            <a:ext cx="1630680" cy="1277620"/>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Layout w:type="fixed"/>
              <w:tblCellMar>
                <w:left w:w="0" w:type="dxa"/>
                <w:right w:w="0" w:type="dxa"/>
              </w:tblCellMar>
              <w:tblLook w:val="04A0" w:firstRow="1" w:lastRow="0" w:firstColumn="1" w:lastColumn="0" w:noHBand="0" w:noVBand="1"/>
            </w:tblPr>
            <w:tblGrid>
              <w:gridCol w:w="2780"/>
            </w:tblGrid>
            <w:tr w:rsidR="00226205" w:rsidRPr="00226205" w:rsidTr="00226205">
              <w:trPr>
                <w:trHeight w:val="4032"/>
                <w:tblCellSpacing w:w="0" w:type="dxa"/>
              </w:trPr>
              <w:tc>
                <w:tcPr>
                  <w:tcW w:w="2780" w:type="dxa"/>
                  <w:tcBorders>
                    <w:top w:val="nil"/>
                    <w:left w:val="nil"/>
                    <w:bottom w:val="single" w:sz="4" w:space="0" w:color="auto"/>
                    <w:right w:val="single" w:sz="4" w:space="0" w:color="auto"/>
                  </w:tcBorders>
                  <w:shd w:val="clear" w:color="auto" w:fill="auto"/>
                  <w:hideMark/>
                </w:tcPr>
                <w:p w:rsidR="00226205" w:rsidRPr="00226205" w:rsidRDefault="00226205" w:rsidP="00226205">
                  <w:pPr>
                    <w:rPr>
                      <w:rFonts w:ascii="Calibri" w:hAnsi="Calibri" w:cs="Calibri"/>
                      <w:color w:val="000000"/>
                      <w:sz w:val="18"/>
                      <w:szCs w:val="18"/>
                    </w:rPr>
                  </w:pPr>
                </w:p>
              </w:tc>
            </w:tr>
          </w:tbl>
          <w:p w:rsidR="00226205" w:rsidRPr="00226205" w:rsidRDefault="00226205" w:rsidP="00226205">
            <w:pPr>
              <w:rPr>
                <w:rFonts w:ascii="Calibri" w:hAnsi="Calibri" w:cs="Calibri"/>
                <w:color w:val="000000"/>
                <w:sz w:val="18"/>
                <w:szCs w:val="18"/>
              </w:rPr>
            </w:pPr>
          </w:p>
        </w:tc>
        <w:tc>
          <w:tcPr>
            <w:tcW w:w="2268" w:type="dxa"/>
            <w:shd w:val="clear" w:color="auto" w:fill="auto"/>
            <w:hideMark/>
          </w:tcPr>
          <w:p w:rsidR="00226205" w:rsidRPr="00226205" w:rsidRDefault="00226205" w:rsidP="00A54993">
            <w:pPr>
              <w:jc w:val="left"/>
              <w:rPr>
                <w:rFonts w:ascii="Calibri" w:hAnsi="Calibri" w:cs="Calibri"/>
                <w:color w:val="000000"/>
                <w:sz w:val="18"/>
                <w:szCs w:val="18"/>
              </w:rPr>
            </w:pPr>
            <w:r w:rsidRPr="00226205">
              <w:rPr>
                <w:rFonts w:ascii="Calibri" w:hAnsi="Calibri" w:cs="Calibri"/>
                <w:color w:val="000000"/>
                <w:sz w:val="18"/>
                <w:szCs w:val="18"/>
              </w:rPr>
              <w:t xml:space="preserve">Collingwood Leisure Centre, Mayor's Park- Turnbull St, Clifton Hill </w:t>
            </w:r>
          </w:p>
        </w:tc>
        <w:tc>
          <w:tcPr>
            <w:tcW w:w="1276" w:type="dxa"/>
            <w:shd w:val="clear" w:color="auto" w:fill="auto"/>
            <w:hideMark/>
          </w:tcPr>
          <w:p w:rsidR="00226205" w:rsidRPr="00226205" w:rsidRDefault="00B77D83" w:rsidP="009965C5">
            <w:pPr>
              <w:tabs>
                <w:tab w:val="decimal" w:pos="884"/>
              </w:tabs>
              <w:jc w:val="left"/>
              <w:rPr>
                <w:rFonts w:ascii="Calibri" w:hAnsi="Calibri" w:cs="Calibri"/>
                <w:color w:val="000000"/>
                <w:sz w:val="18"/>
                <w:szCs w:val="18"/>
              </w:rPr>
            </w:pPr>
            <w:r>
              <w:rPr>
                <w:rFonts w:ascii="Calibri" w:hAnsi="Calibri" w:cs="Calibri"/>
                <w:color w:val="000000"/>
                <w:sz w:val="18"/>
                <w:szCs w:val="18"/>
              </w:rPr>
              <w:t>$</w:t>
            </w:r>
            <w:r w:rsidR="00226205" w:rsidRPr="00226205">
              <w:rPr>
                <w:rFonts w:ascii="Calibri" w:hAnsi="Calibri" w:cs="Calibri"/>
                <w:color w:val="000000"/>
                <w:sz w:val="18"/>
                <w:szCs w:val="18"/>
              </w:rPr>
              <w:t>7,906,080</w:t>
            </w:r>
          </w:p>
        </w:tc>
        <w:tc>
          <w:tcPr>
            <w:tcW w:w="1134" w:type="dxa"/>
            <w:shd w:val="clear" w:color="auto" w:fill="auto"/>
            <w:hideMark/>
          </w:tcPr>
          <w:p w:rsidR="00226205" w:rsidRPr="00226205" w:rsidRDefault="00226205" w:rsidP="00226205">
            <w:pPr>
              <w:jc w:val="center"/>
              <w:rPr>
                <w:rFonts w:ascii="Calibri" w:hAnsi="Calibri" w:cs="Calibri"/>
                <w:color w:val="000000"/>
                <w:sz w:val="18"/>
                <w:szCs w:val="18"/>
              </w:rPr>
            </w:pPr>
            <w:r w:rsidRPr="00226205">
              <w:rPr>
                <w:rFonts w:ascii="Calibri" w:hAnsi="Calibri" w:cs="Calibri"/>
                <w:color w:val="000000"/>
                <w:sz w:val="18"/>
                <w:szCs w:val="18"/>
              </w:rPr>
              <w:t>Leisure Services</w:t>
            </w:r>
          </w:p>
        </w:tc>
        <w:tc>
          <w:tcPr>
            <w:tcW w:w="1417" w:type="dxa"/>
            <w:shd w:val="clear" w:color="auto" w:fill="auto"/>
            <w:hideMark/>
          </w:tcPr>
          <w:p w:rsidR="00226205" w:rsidRPr="00226205" w:rsidRDefault="00226205" w:rsidP="00226205">
            <w:pPr>
              <w:jc w:val="center"/>
              <w:rPr>
                <w:rFonts w:ascii="Calibri" w:hAnsi="Calibri" w:cs="Calibri"/>
                <w:color w:val="000000"/>
                <w:sz w:val="18"/>
                <w:szCs w:val="18"/>
              </w:rPr>
            </w:pPr>
            <w:r w:rsidRPr="00226205">
              <w:rPr>
                <w:rFonts w:ascii="Calibri" w:hAnsi="Calibri" w:cs="Calibri"/>
                <w:color w:val="000000"/>
                <w:sz w:val="18"/>
                <w:szCs w:val="18"/>
              </w:rPr>
              <w:t>Leisure Centres</w:t>
            </w:r>
          </w:p>
        </w:tc>
        <w:tc>
          <w:tcPr>
            <w:tcW w:w="2410" w:type="dxa"/>
            <w:shd w:val="clear" w:color="auto" w:fill="auto"/>
            <w:hideMark/>
          </w:tcPr>
          <w:p w:rsidR="00226205" w:rsidRPr="00226205" w:rsidRDefault="00226205" w:rsidP="00226205">
            <w:pPr>
              <w:jc w:val="left"/>
              <w:rPr>
                <w:rFonts w:ascii="Calibri" w:hAnsi="Calibri" w:cs="Calibri"/>
                <w:color w:val="000000"/>
                <w:sz w:val="18"/>
                <w:szCs w:val="18"/>
              </w:rPr>
            </w:pPr>
            <w:r w:rsidRPr="00226205">
              <w:rPr>
                <w:rFonts w:ascii="Calibri" w:hAnsi="Calibri" w:cs="Calibri"/>
                <w:color w:val="000000"/>
                <w:sz w:val="18"/>
                <w:szCs w:val="18"/>
              </w:rPr>
              <w:t xml:space="preserve">The building is in a good condition. </w:t>
            </w:r>
          </w:p>
        </w:tc>
        <w:tc>
          <w:tcPr>
            <w:tcW w:w="3118" w:type="dxa"/>
            <w:shd w:val="clear" w:color="auto" w:fill="auto"/>
            <w:hideMark/>
          </w:tcPr>
          <w:p w:rsidR="00226205" w:rsidRPr="00226205" w:rsidRDefault="00226205" w:rsidP="00226205">
            <w:pPr>
              <w:jc w:val="left"/>
              <w:rPr>
                <w:rFonts w:ascii="Calibri" w:hAnsi="Calibri" w:cs="Calibri"/>
                <w:color w:val="000000"/>
                <w:sz w:val="18"/>
                <w:szCs w:val="18"/>
              </w:rPr>
            </w:pPr>
            <w:r w:rsidRPr="00226205">
              <w:rPr>
                <w:rFonts w:ascii="Calibri" w:hAnsi="Calibri" w:cs="Calibri"/>
                <w:color w:val="000000"/>
                <w:sz w:val="18"/>
                <w:szCs w:val="18"/>
              </w:rPr>
              <w:t>There is insufficient space at peak times, the building is too small to meet current demand. There is limited storage in the Occasional Care room. Future expansion highly limited . Currently the layout hinders secure management of access to wet/dry side, gym and group fitness. Learn to swim and warm water exercise programs require dedicated spaces there are currently too few for patrons. Staff in Occasional Care Room have to leave room, affecting ratios.  Kitchenette in Occasional Care means that staff need to be vigilant. Plans being developed to expand dry side to meet growing demand. Review of occasional care services will be undertaken in March-May 2013. Review will consider facilities and physical space requirements in conjunction with service requirements to meet community needs.</w:t>
            </w:r>
          </w:p>
        </w:tc>
      </w:tr>
      <w:tr w:rsidR="00226205" w:rsidRPr="00226205" w:rsidTr="00B77D83">
        <w:trPr>
          <w:cantSplit/>
          <w:trHeight w:val="1966"/>
        </w:trPr>
        <w:tc>
          <w:tcPr>
            <w:tcW w:w="998" w:type="dxa"/>
            <w:shd w:val="clear" w:color="auto" w:fill="auto"/>
            <w:hideMark/>
          </w:tcPr>
          <w:p w:rsidR="00226205" w:rsidRPr="00226205" w:rsidRDefault="00226205" w:rsidP="006918D2">
            <w:pPr>
              <w:jc w:val="center"/>
              <w:rPr>
                <w:rFonts w:ascii="Calibri" w:hAnsi="Calibri" w:cs="Calibri"/>
                <w:color w:val="000000"/>
                <w:sz w:val="18"/>
                <w:szCs w:val="18"/>
              </w:rPr>
            </w:pPr>
            <w:r w:rsidRPr="00226205">
              <w:rPr>
                <w:rFonts w:ascii="Calibri" w:hAnsi="Calibri" w:cs="Calibri"/>
                <w:color w:val="000000"/>
                <w:sz w:val="18"/>
                <w:szCs w:val="18"/>
              </w:rPr>
              <w:t>B000104</w:t>
            </w:r>
          </w:p>
        </w:tc>
        <w:tc>
          <w:tcPr>
            <w:tcW w:w="2693" w:type="dxa"/>
            <w:shd w:val="clear" w:color="auto" w:fill="auto"/>
            <w:hideMark/>
          </w:tcPr>
          <w:p w:rsidR="00226205" w:rsidRPr="00226205" w:rsidRDefault="00226205" w:rsidP="00226205">
            <w:pPr>
              <w:rPr>
                <w:rFonts w:ascii="Calibri" w:hAnsi="Calibri" w:cs="Calibri"/>
                <w:color w:val="000000"/>
                <w:sz w:val="18"/>
                <w:szCs w:val="18"/>
              </w:rPr>
            </w:pPr>
            <w:r w:rsidRPr="00226205">
              <w:rPr>
                <w:rFonts w:ascii="Calibri" w:hAnsi="Calibri" w:cs="Calibri"/>
                <w:noProof/>
                <w:color w:val="000000"/>
                <w:sz w:val="18"/>
                <w:szCs w:val="18"/>
              </w:rPr>
              <w:drawing>
                <wp:anchor distT="0" distB="0" distL="114300" distR="114300" simplePos="0" relativeHeight="251773440" behindDoc="0" locked="0" layoutInCell="1" allowOverlap="1" wp14:anchorId="25E33831" wp14:editId="18EF74F6">
                  <wp:simplePos x="0" y="0"/>
                  <wp:positionH relativeFrom="column">
                    <wp:posOffset>-20955</wp:posOffset>
                  </wp:positionH>
                  <wp:positionV relativeFrom="paragraph">
                    <wp:posOffset>66870</wp:posOffset>
                  </wp:positionV>
                  <wp:extent cx="1630680" cy="1119505"/>
                  <wp:effectExtent l="0" t="0" r="0" b="0"/>
                  <wp:wrapNone/>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Picture 115"/>
                          <pic:cNvPicPr>
                            <a:picLocks noChangeAspect="1"/>
                          </pic:cNvPicPr>
                        </pic:nvPicPr>
                        <pic:blipFill>
                          <a:blip r:embed="rId147">
                            <a:extLst>
                              <a:ext uri="{28A0092B-C50C-407E-A947-70E740481C1C}">
                                <a14:useLocalDpi xmlns:a14="http://schemas.microsoft.com/office/drawing/2010/main" val="0"/>
                              </a:ext>
                            </a:extLst>
                          </a:blip>
                          <a:stretch>
                            <a:fillRect/>
                          </a:stretch>
                        </pic:blipFill>
                        <pic:spPr>
                          <a:xfrm>
                            <a:off x="0" y="0"/>
                            <a:ext cx="1630680" cy="1119505"/>
                          </a:xfrm>
                          <a:prstGeom prst="rect">
                            <a:avLst/>
                          </a:prstGeom>
                        </pic:spPr>
                      </pic:pic>
                    </a:graphicData>
                  </a:graphic>
                  <wp14:sizeRelH relativeFrom="page">
                    <wp14:pctWidth>0</wp14:pctWidth>
                  </wp14:sizeRelH>
                  <wp14:sizeRelV relativeFrom="page">
                    <wp14:pctHeight>0</wp14:pctHeight>
                  </wp14:sizeRelV>
                </wp:anchor>
              </w:drawing>
            </w:r>
          </w:p>
        </w:tc>
        <w:tc>
          <w:tcPr>
            <w:tcW w:w="2268" w:type="dxa"/>
            <w:shd w:val="clear" w:color="auto" w:fill="auto"/>
            <w:hideMark/>
          </w:tcPr>
          <w:p w:rsidR="00226205" w:rsidRPr="00226205" w:rsidRDefault="00226205" w:rsidP="00A54993">
            <w:pPr>
              <w:jc w:val="left"/>
              <w:rPr>
                <w:rFonts w:ascii="Calibri" w:hAnsi="Calibri" w:cs="Calibri"/>
                <w:color w:val="000000"/>
                <w:sz w:val="18"/>
                <w:szCs w:val="18"/>
              </w:rPr>
            </w:pPr>
            <w:r w:rsidRPr="00226205">
              <w:rPr>
                <w:rFonts w:ascii="Calibri" w:hAnsi="Calibri" w:cs="Calibri"/>
                <w:color w:val="000000"/>
                <w:sz w:val="18"/>
                <w:szCs w:val="18"/>
              </w:rPr>
              <w:t>Clifton Hill Tennis Club, Mayor's Park- Turnbull Street, Clifton Hill</w:t>
            </w:r>
          </w:p>
        </w:tc>
        <w:tc>
          <w:tcPr>
            <w:tcW w:w="1276" w:type="dxa"/>
            <w:shd w:val="clear" w:color="auto" w:fill="auto"/>
            <w:hideMark/>
          </w:tcPr>
          <w:p w:rsidR="00226205" w:rsidRPr="00226205" w:rsidRDefault="00226205" w:rsidP="00B77D83">
            <w:pPr>
              <w:tabs>
                <w:tab w:val="decimal" w:pos="884"/>
              </w:tabs>
              <w:jc w:val="left"/>
              <w:rPr>
                <w:rFonts w:ascii="Calibri" w:hAnsi="Calibri" w:cs="Calibri"/>
                <w:color w:val="000000"/>
                <w:sz w:val="18"/>
                <w:szCs w:val="18"/>
              </w:rPr>
            </w:pPr>
            <w:r w:rsidRPr="00226205">
              <w:rPr>
                <w:rFonts w:ascii="Calibri" w:hAnsi="Calibri" w:cs="Calibri"/>
                <w:color w:val="000000"/>
                <w:sz w:val="18"/>
                <w:szCs w:val="18"/>
              </w:rPr>
              <w:t>$478,991</w:t>
            </w:r>
          </w:p>
        </w:tc>
        <w:tc>
          <w:tcPr>
            <w:tcW w:w="1134" w:type="dxa"/>
            <w:shd w:val="clear" w:color="auto" w:fill="auto"/>
            <w:hideMark/>
          </w:tcPr>
          <w:p w:rsidR="00226205" w:rsidRPr="00226205" w:rsidRDefault="00226205" w:rsidP="00226205">
            <w:pPr>
              <w:jc w:val="center"/>
              <w:rPr>
                <w:rFonts w:ascii="Calibri" w:hAnsi="Calibri" w:cs="Calibri"/>
                <w:color w:val="000000"/>
                <w:sz w:val="18"/>
                <w:szCs w:val="18"/>
              </w:rPr>
            </w:pPr>
            <w:r w:rsidRPr="00226205">
              <w:rPr>
                <w:rFonts w:ascii="Calibri" w:hAnsi="Calibri" w:cs="Calibri"/>
                <w:color w:val="000000"/>
                <w:sz w:val="18"/>
                <w:szCs w:val="18"/>
              </w:rPr>
              <w:t xml:space="preserve">Recreation </w:t>
            </w:r>
            <w:r w:rsidR="00B77D83">
              <w:rPr>
                <w:rFonts w:ascii="Calibri" w:hAnsi="Calibri" w:cs="Calibri"/>
                <w:color w:val="000000"/>
                <w:sz w:val="18"/>
                <w:szCs w:val="18"/>
              </w:rPr>
              <w:t>and</w:t>
            </w:r>
            <w:r w:rsidRPr="00226205">
              <w:rPr>
                <w:rFonts w:ascii="Calibri" w:hAnsi="Calibri" w:cs="Calibri"/>
                <w:color w:val="000000"/>
                <w:sz w:val="18"/>
                <w:szCs w:val="18"/>
              </w:rPr>
              <w:t xml:space="preserve"> Open Space</w:t>
            </w:r>
          </w:p>
        </w:tc>
        <w:tc>
          <w:tcPr>
            <w:tcW w:w="1417" w:type="dxa"/>
            <w:shd w:val="clear" w:color="auto" w:fill="auto"/>
            <w:hideMark/>
          </w:tcPr>
          <w:p w:rsidR="00226205" w:rsidRPr="00226205" w:rsidRDefault="00226205" w:rsidP="00226205">
            <w:pPr>
              <w:jc w:val="center"/>
              <w:rPr>
                <w:rFonts w:ascii="Calibri" w:hAnsi="Calibri" w:cs="Calibri"/>
                <w:color w:val="000000"/>
                <w:sz w:val="18"/>
                <w:szCs w:val="18"/>
              </w:rPr>
            </w:pPr>
            <w:r w:rsidRPr="00226205">
              <w:rPr>
                <w:rFonts w:ascii="Calibri" w:hAnsi="Calibri" w:cs="Calibri"/>
                <w:color w:val="000000"/>
                <w:sz w:val="18"/>
                <w:szCs w:val="18"/>
              </w:rPr>
              <w:t>Pavilions / Clubrooms / Change rooms</w:t>
            </w:r>
          </w:p>
        </w:tc>
        <w:tc>
          <w:tcPr>
            <w:tcW w:w="2410" w:type="dxa"/>
            <w:shd w:val="clear" w:color="auto" w:fill="auto"/>
            <w:hideMark/>
          </w:tcPr>
          <w:p w:rsidR="00226205" w:rsidRPr="00226205" w:rsidRDefault="00226205" w:rsidP="00226205">
            <w:pPr>
              <w:jc w:val="left"/>
              <w:rPr>
                <w:rFonts w:ascii="Calibri" w:hAnsi="Calibri" w:cs="Calibri"/>
                <w:color w:val="000000"/>
                <w:sz w:val="18"/>
                <w:szCs w:val="18"/>
              </w:rPr>
            </w:pPr>
            <w:r w:rsidRPr="00226205">
              <w:rPr>
                <w:rFonts w:ascii="Calibri" w:hAnsi="Calibri" w:cs="Calibri"/>
                <w:color w:val="000000"/>
                <w:sz w:val="18"/>
                <w:szCs w:val="18"/>
              </w:rPr>
              <w:t xml:space="preserve">The building is in a generally good condition. Floor requires renewal work. </w:t>
            </w:r>
          </w:p>
        </w:tc>
        <w:tc>
          <w:tcPr>
            <w:tcW w:w="3118" w:type="dxa"/>
            <w:shd w:val="clear" w:color="auto" w:fill="auto"/>
            <w:hideMark/>
          </w:tcPr>
          <w:p w:rsidR="00226205" w:rsidRPr="00226205" w:rsidRDefault="00226205" w:rsidP="00226205">
            <w:pPr>
              <w:jc w:val="left"/>
              <w:rPr>
                <w:rFonts w:ascii="Calibri" w:hAnsi="Calibri" w:cs="Calibri"/>
                <w:color w:val="000000"/>
                <w:sz w:val="18"/>
                <w:szCs w:val="18"/>
              </w:rPr>
            </w:pPr>
            <w:r w:rsidRPr="00226205">
              <w:rPr>
                <w:rFonts w:ascii="Calibri" w:hAnsi="Calibri" w:cs="Calibri"/>
                <w:color w:val="000000"/>
                <w:sz w:val="18"/>
                <w:szCs w:val="18"/>
              </w:rPr>
              <w:t>There is more storage required and outside toilet is also required.  The site is licensed to Jeff Baldassare</w:t>
            </w:r>
            <w:r w:rsidR="00DC7882">
              <w:rPr>
                <w:rFonts w:ascii="Calibri" w:hAnsi="Calibri" w:cs="Calibri"/>
                <w:color w:val="000000"/>
                <w:sz w:val="18"/>
                <w:szCs w:val="18"/>
              </w:rPr>
              <w:t>.</w:t>
            </w:r>
          </w:p>
        </w:tc>
      </w:tr>
      <w:tr w:rsidR="00226205" w:rsidRPr="00226205" w:rsidTr="00B77D83">
        <w:trPr>
          <w:cantSplit/>
          <w:trHeight w:val="2206"/>
        </w:trPr>
        <w:tc>
          <w:tcPr>
            <w:tcW w:w="998" w:type="dxa"/>
            <w:shd w:val="clear" w:color="auto" w:fill="auto"/>
            <w:hideMark/>
          </w:tcPr>
          <w:p w:rsidR="00226205" w:rsidRPr="00226205" w:rsidRDefault="00226205" w:rsidP="006918D2">
            <w:pPr>
              <w:jc w:val="center"/>
              <w:rPr>
                <w:rFonts w:ascii="Calibri" w:hAnsi="Calibri" w:cs="Calibri"/>
                <w:color w:val="000000"/>
                <w:sz w:val="18"/>
                <w:szCs w:val="18"/>
              </w:rPr>
            </w:pPr>
            <w:r w:rsidRPr="00226205">
              <w:rPr>
                <w:rFonts w:ascii="Calibri" w:hAnsi="Calibri" w:cs="Calibri"/>
                <w:color w:val="000000"/>
                <w:sz w:val="18"/>
                <w:szCs w:val="18"/>
              </w:rPr>
              <w:t>B000105</w:t>
            </w:r>
          </w:p>
        </w:tc>
        <w:tc>
          <w:tcPr>
            <w:tcW w:w="2693" w:type="dxa"/>
            <w:shd w:val="clear" w:color="auto" w:fill="auto"/>
            <w:hideMark/>
          </w:tcPr>
          <w:p w:rsidR="00226205" w:rsidRPr="00226205" w:rsidRDefault="00226205" w:rsidP="00226205">
            <w:pPr>
              <w:rPr>
                <w:rFonts w:ascii="Calibri" w:hAnsi="Calibri" w:cs="Calibri"/>
                <w:color w:val="000000"/>
                <w:sz w:val="18"/>
                <w:szCs w:val="18"/>
              </w:rPr>
            </w:pPr>
            <w:r w:rsidRPr="00226205">
              <w:rPr>
                <w:rFonts w:ascii="Calibri" w:hAnsi="Calibri" w:cs="Calibri"/>
                <w:noProof/>
                <w:color w:val="000000"/>
                <w:sz w:val="18"/>
                <w:szCs w:val="18"/>
              </w:rPr>
              <w:drawing>
                <wp:anchor distT="0" distB="0" distL="114300" distR="114300" simplePos="0" relativeHeight="251774464" behindDoc="0" locked="0" layoutInCell="1" allowOverlap="1" wp14:anchorId="3566CDF2" wp14:editId="43F788D1">
                  <wp:simplePos x="0" y="0"/>
                  <wp:positionH relativeFrom="column">
                    <wp:posOffset>-20955</wp:posOffset>
                  </wp:positionH>
                  <wp:positionV relativeFrom="paragraph">
                    <wp:posOffset>76395</wp:posOffset>
                  </wp:positionV>
                  <wp:extent cx="1630680" cy="1245235"/>
                  <wp:effectExtent l="0" t="0" r="0" b="0"/>
                  <wp:wrapNone/>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Picture 116"/>
                          <pic:cNvPicPr>
                            <a:picLocks noChangeAspect="1"/>
                          </pic:cNvPicPr>
                        </pic:nvPicPr>
                        <pic:blipFill>
                          <a:blip r:embed="rId148">
                            <a:extLst>
                              <a:ext uri="{28A0092B-C50C-407E-A947-70E740481C1C}">
                                <a14:useLocalDpi xmlns:a14="http://schemas.microsoft.com/office/drawing/2010/main" val="0"/>
                              </a:ext>
                            </a:extLst>
                          </a:blip>
                          <a:stretch>
                            <a:fillRect/>
                          </a:stretch>
                        </pic:blipFill>
                        <pic:spPr>
                          <a:xfrm>
                            <a:off x="0" y="0"/>
                            <a:ext cx="1630680" cy="1245235"/>
                          </a:xfrm>
                          <a:prstGeom prst="rect">
                            <a:avLst/>
                          </a:prstGeom>
                        </pic:spPr>
                      </pic:pic>
                    </a:graphicData>
                  </a:graphic>
                  <wp14:sizeRelH relativeFrom="page">
                    <wp14:pctWidth>0</wp14:pctWidth>
                  </wp14:sizeRelH>
                  <wp14:sizeRelV relativeFrom="page">
                    <wp14:pctHeight>0</wp14:pctHeight>
                  </wp14:sizeRelV>
                </wp:anchor>
              </w:drawing>
            </w:r>
          </w:p>
        </w:tc>
        <w:tc>
          <w:tcPr>
            <w:tcW w:w="2268" w:type="dxa"/>
            <w:shd w:val="clear" w:color="auto" w:fill="auto"/>
            <w:hideMark/>
          </w:tcPr>
          <w:p w:rsidR="00226205" w:rsidRPr="00226205" w:rsidRDefault="00226205" w:rsidP="00A54993">
            <w:pPr>
              <w:jc w:val="left"/>
              <w:rPr>
                <w:rFonts w:ascii="Calibri" w:hAnsi="Calibri" w:cs="Calibri"/>
                <w:color w:val="000000"/>
                <w:sz w:val="18"/>
                <w:szCs w:val="18"/>
              </w:rPr>
            </w:pPr>
            <w:r w:rsidRPr="00226205">
              <w:rPr>
                <w:rFonts w:ascii="Calibri" w:hAnsi="Calibri" w:cs="Calibri"/>
                <w:color w:val="000000"/>
                <w:sz w:val="18"/>
                <w:szCs w:val="18"/>
              </w:rPr>
              <w:t xml:space="preserve">Public Toilets and Pavilion, Quarries Park- Yambla St, Clifton Hill </w:t>
            </w:r>
          </w:p>
        </w:tc>
        <w:tc>
          <w:tcPr>
            <w:tcW w:w="1276" w:type="dxa"/>
            <w:shd w:val="clear" w:color="auto" w:fill="auto"/>
            <w:hideMark/>
          </w:tcPr>
          <w:p w:rsidR="00226205" w:rsidRPr="00226205" w:rsidRDefault="00226205" w:rsidP="00B77D83">
            <w:pPr>
              <w:tabs>
                <w:tab w:val="decimal" w:pos="884"/>
              </w:tabs>
              <w:jc w:val="left"/>
              <w:rPr>
                <w:rFonts w:ascii="Calibri" w:hAnsi="Calibri" w:cs="Calibri"/>
                <w:color w:val="000000"/>
                <w:sz w:val="18"/>
                <w:szCs w:val="18"/>
              </w:rPr>
            </w:pPr>
            <w:r w:rsidRPr="00226205">
              <w:rPr>
                <w:rFonts w:ascii="Calibri" w:hAnsi="Calibri" w:cs="Calibri"/>
                <w:color w:val="000000"/>
                <w:sz w:val="18"/>
                <w:szCs w:val="18"/>
              </w:rPr>
              <w:t>$579,150</w:t>
            </w:r>
          </w:p>
        </w:tc>
        <w:tc>
          <w:tcPr>
            <w:tcW w:w="1134" w:type="dxa"/>
            <w:shd w:val="clear" w:color="auto" w:fill="auto"/>
            <w:hideMark/>
          </w:tcPr>
          <w:p w:rsidR="00226205" w:rsidRPr="00226205" w:rsidRDefault="00226205" w:rsidP="00226205">
            <w:pPr>
              <w:jc w:val="center"/>
              <w:rPr>
                <w:rFonts w:ascii="Calibri" w:hAnsi="Calibri" w:cs="Calibri"/>
                <w:color w:val="000000"/>
                <w:sz w:val="18"/>
                <w:szCs w:val="18"/>
              </w:rPr>
            </w:pPr>
            <w:r w:rsidRPr="00226205">
              <w:rPr>
                <w:rFonts w:ascii="Calibri" w:hAnsi="Calibri" w:cs="Calibri"/>
                <w:color w:val="000000"/>
                <w:sz w:val="18"/>
                <w:szCs w:val="18"/>
              </w:rPr>
              <w:t xml:space="preserve">Recreation </w:t>
            </w:r>
            <w:r w:rsidR="00B77D83">
              <w:rPr>
                <w:rFonts w:ascii="Calibri" w:hAnsi="Calibri" w:cs="Calibri"/>
                <w:color w:val="000000"/>
                <w:sz w:val="18"/>
                <w:szCs w:val="18"/>
              </w:rPr>
              <w:t>and</w:t>
            </w:r>
            <w:r w:rsidRPr="00226205">
              <w:rPr>
                <w:rFonts w:ascii="Calibri" w:hAnsi="Calibri" w:cs="Calibri"/>
                <w:color w:val="000000"/>
                <w:sz w:val="18"/>
                <w:szCs w:val="18"/>
              </w:rPr>
              <w:t xml:space="preserve"> Open Space</w:t>
            </w:r>
          </w:p>
        </w:tc>
        <w:tc>
          <w:tcPr>
            <w:tcW w:w="1417" w:type="dxa"/>
            <w:shd w:val="clear" w:color="auto" w:fill="auto"/>
            <w:hideMark/>
          </w:tcPr>
          <w:p w:rsidR="00226205" w:rsidRPr="00226205" w:rsidRDefault="00226205" w:rsidP="00226205">
            <w:pPr>
              <w:jc w:val="center"/>
              <w:rPr>
                <w:rFonts w:ascii="Calibri" w:hAnsi="Calibri" w:cs="Calibri"/>
                <w:color w:val="000000"/>
                <w:sz w:val="18"/>
                <w:szCs w:val="18"/>
              </w:rPr>
            </w:pPr>
            <w:r w:rsidRPr="00226205">
              <w:rPr>
                <w:rFonts w:ascii="Calibri" w:hAnsi="Calibri" w:cs="Calibri"/>
                <w:color w:val="000000"/>
                <w:sz w:val="18"/>
                <w:szCs w:val="18"/>
              </w:rPr>
              <w:t>Pavilions / Clubrooms / Change rooms</w:t>
            </w:r>
          </w:p>
        </w:tc>
        <w:tc>
          <w:tcPr>
            <w:tcW w:w="2410" w:type="dxa"/>
            <w:shd w:val="clear" w:color="auto" w:fill="auto"/>
            <w:hideMark/>
          </w:tcPr>
          <w:p w:rsidR="00226205" w:rsidRPr="00226205" w:rsidRDefault="00226205" w:rsidP="00226205">
            <w:pPr>
              <w:jc w:val="left"/>
              <w:rPr>
                <w:rFonts w:ascii="Calibri" w:hAnsi="Calibri" w:cs="Calibri"/>
                <w:color w:val="000000"/>
                <w:sz w:val="18"/>
                <w:szCs w:val="18"/>
              </w:rPr>
            </w:pPr>
            <w:r w:rsidRPr="00226205">
              <w:rPr>
                <w:rFonts w:ascii="Calibri" w:hAnsi="Calibri" w:cs="Calibri"/>
                <w:color w:val="000000"/>
                <w:sz w:val="18"/>
                <w:szCs w:val="18"/>
              </w:rPr>
              <w:t xml:space="preserve">The building is in a good condition. </w:t>
            </w:r>
          </w:p>
        </w:tc>
        <w:tc>
          <w:tcPr>
            <w:tcW w:w="3118" w:type="dxa"/>
            <w:shd w:val="clear" w:color="auto" w:fill="auto"/>
            <w:hideMark/>
          </w:tcPr>
          <w:p w:rsidR="00226205" w:rsidRPr="00226205" w:rsidRDefault="00226205" w:rsidP="00226205">
            <w:pPr>
              <w:jc w:val="left"/>
              <w:rPr>
                <w:rFonts w:ascii="Calibri" w:hAnsi="Calibri" w:cs="Calibri"/>
                <w:color w:val="000000"/>
                <w:sz w:val="18"/>
                <w:szCs w:val="18"/>
              </w:rPr>
            </w:pPr>
            <w:r w:rsidRPr="00226205">
              <w:rPr>
                <w:rFonts w:ascii="Calibri" w:hAnsi="Calibri" w:cs="Calibri"/>
                <w:color w:val="000000"/>
                <w:sz w:val="18"/>
                <w:szCs w:val="18"/>
              </w:rPr>
              <w:t xml:space="preserve">Full assessment not yet carried out. </w:t>
            </w:r>
            <w:r w:rsidRPr="00226205">
              <w:rPr>
                <w:rFonts w:ascii="Calibri" w:hAnsi="Calibri" w:cs="Calibri"/>
                <w:color w:val="000000"/>
                <w:sz w:val="18"/>
                <w:szCs w:val="18"/>
              </w:rPr>
              <w:br/>
              <w:t>Requires more detailed review.</w:t>
            </w:r>
          </w:p>
        </w:tc>
      </w:tr>
      <w:tr w:rsidR="00226205" w:rsidRPr="00226205" w:rsidTr="00B77D83">
        <w:trPr>
          <w:cantSplit/>
          <w:trHeight w:val="2265"/>
        </w:trPr>
        <w:tc>
          <w:tcPr>
            <w:tcW w:w="998" w:type="dxa"/>
            <w:shd w:val="clear" w:color="auto" w:fill="auto"/>
            <w:hideMark/>
          </w:tcPr>
          <w:p w:rsidR="00226205" w:rsidRPr="00226205" w:rsidRDefault="00226205" w:rsidP="006918D2">
            <w:pPr>
              <w:jc w:val="center"/>
              <w:rPr>
                <w:rFonts w:ascii="Calibri" w:hAnsi="Calibri" w:cs="Calibri"/>
                <w:color w:val="000000"/>
                <w:sz w:val="18"/>
                <w:szCs w:val="18"/>
              </w:rPr>
            </w:pPr>
            <w:r w:rsidRPr="00226205">
              <w:rPr>
                <w:rFonts w:ascii="Calibri" w:hAnsi="Calibri" w:cs="Calibri"/>
                <w:color w:val="000000"/>
                <w:sz w:val="18"/>
                <w:szCs w:val="18"/>
              </w:rPr>
              <w:t>B000107</w:t>
            </w:r>
          </w:p>
        </w:tc>
        <w:tc>
          <w:tcPr>
            <w:tcW w:w="2693" w:type="dxa"/>
            <w:shd w:val="clear" w:color="auto" w:fill="auto"/>
            <w:hideMark/>
          </w:tcPr>
          <w:p w:rsidR="00226205" w:rsidRPr="00226205" w:rsidRDefault="00226205" w:rsidP="00226205">
            <w:pPr>
              <w:rPr>
                <w:rFonts w:ascii="Calibri" w:hAnsi="Calibri" w:cs="Calibri"/>
                <w:color w:val="000000"/>
                <w:sz w:val="18"/>
                <w:szCs w:val="18"/>
              </w:rPr>
            </w:pPr>
            <w:r w:rsidRPr="00226205">
              <w:rPr>
                <w:rFonts w:ascii="Calibri" w:hAnsi="Calibri" w:cs="Calibri"/>
                <w:noProof/>
                <w:color w:val="000000"/>
                <w:sz w:val="18"/>
                <w:szCs w:val="18"/>
              </w:rPr>
              <w:drawing>
                <wp:anchor distT="0" distB="0" distL="114300" distR="114300" simplePos="0" relativeHeight="251819520" behindDoc="0" locked="0" layoutInCell="1" allowOverlap="1" wp14:anchorId="0A4893D8" wp14:editId="1D5C77C0">
                  <wp:simplePos x="0" y="0"/>
                  <wp:positionH relativeFrom="column">
                    <wp:posOffset>-20955</wp:posOffset>
                  </wp:positionH>
                  <wp:positionV relativeFrom="paragraph">
                    <wp:posOffset>51875</wp:posOffset>
                  </wp:positionV>
                  <wp:extent cx="1630680" cy="1331595"/>
                  <wp:effectExtent l="0" t="0" r="0" b="0"/>
                  <wp:wrapNone/>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49" cstate="print">
                            <a:extLst>
                              <a:ext uri="{28A0092B-C50C-407E-A947-70E740481C1C}">
                                <a14:useLocalDpi xmlns:a14="http://schemas.microsoft.com/office/drawing/2010/main" val="0"/>
                              </a:ext>
                            </a:extLst>
                          </a:blip>
                          <a:stretch>
                            <a:fillRect/>
                          </a:stretch>
                        </pic:blipFill>
                        <pic:spPr>
                          <a:xfrm>
                            <a:off x="0" y="0"/>
                            <a:ext cx="1630680" cy="1331595"/>
                          </a:xfrm>
                          <a:prstGeom prst="rect">
                            <a:avLst/>
                          </a:prstGeom>
                        </pic:spPr>
                      </pic:pic>
                    </a:graphicData>
                  </a:graphic>
                  <wp14:sizeRelH relativeFrom="page">
                    <wp14:pctWidth>0</wp14:pctWidth>
                  </wp14:sizeRelH>
                  <wp14:sizeRelV relativeFrom="page">
                    <wp14:pctHeight>0</wp14:pctHeight>
                  </wp14:sizeRelV>
                </wp:anchor>
              </w:drawing>
            </w:r>
          </w:p>
        </w:tc>
        <w:tc>
          <w:tcPr>
            <w:tcW w:w="2268" w:type="dxa"/>
            <w:shd w:val="clear" w:color="auto" w:fill="auto"/>
            <w:hideMark/>
          </w:tcPr>
          <w:p w:rsidR="00226205" w:rsidRPr="00226205" w:rsidRDefault="00226205" w:rsidP="00A54993">
            <w:pPr>
              <w:jc w:val="left"/>
              <w:rPr>
                <w:rFonts w:ascii="Calibri" w:hAnsi="Calibri" w:cs="Calibri"/>
                <w:color w:val="000000"/>
                <w:sz w:val="18"/>
                <w:szCs w:val="18"/>
              </w:rPr>
            </w:pPr>
            <w:r w:rsidRPr="00226205">
              <w:rPr>
                <w:rFonts w:ascii="Calibri" w:hAnsi="Calibri" w:cs="Calibri"/>
                <w:color w:val="000000"/>
                <w:sz w:val="18"/>
                <w:szCs w:val="18"/>
              </w:rPr>
              <w:t xml:space="preserve">Pavilion </w:t>
            </w:r>
            <w:r w:rsidR="00B77D83">
              <w:rPr>
                <w:rFonts w:ascii="Calibri" w:hAnsi="Calibri" w:cs="Calibri"/>
                <w:color w:val="000000"/>
                <w:sz w:val="18"/>
                <w:szCs w:val="18"/>
              </w:rPr>
              <w:t>and</w:t>
            </w:r>
            <w:r w:rsidRPr="00226205">
              <w:rPr>
                <w:rFonts w:ascii="Calibri" w:hAnsi="Calibri" w:cs="Calibri"/>
                <w:color w:val="000000"/>
                <w:sz w:val="18"/>
                <w:szCs w:val="18"/>
              </w:rPr>
              <w:t xml:space="preserve"> Public Toilets, Ramsden Reserve- Ramsden Street, Clifton Hill</w:t>
            </w:r>
          </w:p>
        </w:tc>
        <w:tc>
          <w:tcPr>
            <w:tcW w:w="1276" w:type="dxa"/>
            <w:shd w:val="clear" w:color="auto" w:fill="auto"/>
            <w:hideMark/>
          </w:tcPr>
          <w:p w:rsidR="00226205" w:rsidRPr="00226205" w:rsidRDefault="00226205" w:rsidP="00B77D83">
            <w:pPr>
              <w:tabs>
                <w:tab w:val="decimal" w:pos="884"/>
              </w:tabs>
              <w:jc w:val="left"/>
              <w:rPr>
                <w:rFonts w:ascii="Calibri" w:hAnsi="Calibri" w:cs="Calibri"/>
                <w:color w:val="000000"/>
                <w:sz w:val="18"/>
                <w:szCs w:val="18"/>
              </w:rPr>
            </w:pPr>
            <w:r w:rsidRPr="00226205">
              <w:rPr>
                <w:rFonts w:ascii="Calibri" w:hAnsi="Calibri" w:cs="Calibri"/>
                <w:color w:val="000000"/>
                <w:sz w:val="18"/>
                <w:szCs w:val="18"/>
              </w:rPr>
              <w:t>$840,758</w:t>
            </w:r>
          </w:p>
        </w:tc>
        <w:tc>
          <w:tcPr>
            <w:tcW w:w="1134" w:type="dxa"/>
            <w:shd w:val="clear" w:color="auto" w:fill="auto"/>
            <w:hideMark/>
          </w:tcPr>
          <w:p w:rsidR="00226205" w:rsidRPr="00226205" w:rsidRDefault="00226205" w:rsidP="00226205">
            <w:pPr>
              <w:jc w:val="center"/>
              <w:rPr>
                <w:rFonts w:ascii="Calibri" w:hAnsi="Calibri" w:cs="Calibri"/>
                <w:color w:val="000000"/>
                <w:sz w:val="18"/>
                <w:szCs w:val="18"/>
              </w:rPr>
            </w:pPr>
            <w:r w:rsidRPr="00226205">
              <w:rPr>
                <w:rFonts w:ascii="Calibri" w:hAnsi="Calibri" w:cs="Calibri"/>
                <w:color w:val="000000"/>
                <w:sz w:val="18"/>
                <w:szCs w:val="18"/>
              </w:rPr>
              <w:t xml:space="preserve">Recreation </w:t>
            </w:r>
            <w:r w:rsidR="00B77D83">
              <w:rPr>
                <w:rFonts w:ascii="Calibri" w:hAnsi="Calibri" w:cs="Calibri"/>
                <w:color w:val="000000"/>
                <w:sz w:val="18"/>
                <w:szCs w:val="18"/>
              </w:rPr>
              <w:t>and</w:t>
            </w:r>
            <w:r w:rsidRPr="00226205">
              <w:rPr>
                <w:rFonts w:ascii="Calibri" w:hAnsi="Calibri" w:cs="Calibri"/>
                <w:color w:val="000000"/>
                <w:sz w:val="18"/>
                <w:szCs w:val="18"/>
              </w:rPr>
              <w:t xml:space="preserve"> Open Space</w:t>
            </w:r>
          </w:p>
        </w:tc>
        <w:tc>
          <w:tcPr>
            <w:tcW w:w="1417" w:type="dxa"/>
            <w:shd w:val="clear" w:color="auto" w:fill="auto"/>
            <w:hideMark/>
          </w:tcPr>
          <w:p w:rsidR="00226205" w:rsidRPr="00226205" w:rsidRDefault="00226205" w:rsidP="00226205">
            <w:pPr>
              <w:jc w:val="center"/>
              <w:rPr>
                <w:rFonts w:ascii="Calibri" w:hAnsi="Calibri" w:cs="Calibri"/>
                <w:color w:val="000000"/>
                <w:sz w:val="18"/>
                <w:szCs w:val="18"/>
              </w:rPr>
            </w:pPr>
            <w:r w:rsidRPr="00226205">
              <w:rPr>
                <w:rFonts w:ascii="Calibri" w:hAnsi="Calibri" w:cs="Calibri"/>
                <w:color w:val="000000"/>
                <w:sz w:val="18"/>
                <w:szCs w:val="18"/>
              </w:rPr>
              <w:t>Pavilions / Clubrooms / Change rooms</w:t>
            </w:r>
          </w:p>
        </w:tc>
        <w:tc>
          <w:tcPr>
            <w:tcW w:w="2410" w:type="dxa"/>
            <w:shd w:val="clear" w:color="auto" w:fill="auto"/>
            <w:hideMark/>
          </w:tcPr>
          <w:p w:rsidR="00226205" w:rsidRPr="00226205" w:rsidRDefault="00226205" w:rsidP="00226205">
            <w:pPr>
              <w:jc w:val="left"/>
              <w:rPr>
                <w:rFonts w:ascii="Calibri" w:hAnsi="Calibri" w:cs="Calibri"/>
                <w:color w:val="000000"/>
                <w:sz w:val="18"/>
                <w:szCs w:val="18"/>
              </w:rPr>
            </w:pPr>
            <w:r w:rsidRPr="00226205">
              <w:rPr>
                <w:rFonts w:ascii="Calibri" w:hAnsi="Calibri" w:cs="Calibri"/>
                <w:color w:val="000000"/>
                <w:sz w:val="18"/>
                <w:szCs w:val="18"/>
              </w:rPr>
              <w:t xml:space="preserve">This new building is in excellent condition. </w:t>
            </w:r>
          </w:p>
        </w:tc>
        <w:tc>
          <w:tcPr>
            <w:tcW w:w="3118" w:type="dxa"/>
            <w:shd w:val="clear" w:color="auto" w:fill="auto"/>
            <w:hideMark/>
          </w:tcPr>
          <w:p w:rsidR="00226205" w:rsidRPr="00226205" w:rsidRDefault="00DC7882" w:rsidP="00DC7882">
            <w:pPr>
              <w:jc w:val="left"/>
              <w:rPr>
                <w:rFonts w:ascii="Calibri" w:hAnsi="Calibri" w:cs="Calibri"/>
                <w:color w:val="000000"/>
                <w:sz w:val="18"/>
                <w:szCs w:val="18"/>
              </w:rPr>
            </w:pPr>
            <w:r>
              <w:rPr>
                <w:rFonts w:ascii="Calibri" w:hAnsi="Calibri" w:cs="Calibri"/>
                <w:color w:val="000000"/>
                <w:sz w:val="18"/>
                <w:szCs w:val="18"/>
              </w:rPr>
              <w:t>N</w:t>
            </w:r>
            <w:r w:rsidR="00226205" w:rsidRPr="00226205">
              <w:rPr>
                <w:rFonts w:ascii="Calibri" w:hAnsi="Calibri" w:cs="Calibri"/>
                <w:color w:val="000000"/>
                <w:sz w:val="18"/>
                <w:szCs w:val="18"/>
              </w:rPr>
              <w:t>ew building fit for purpose.</w:t>
            </w:r>
          </w:p>
        </w:tc>
      </w:tr>
      <w:tr w:rsidR="00226205" w:rsidRPr="00226205" w:rsidTr="00B77D83">
        <w:trPr>
          <w:cantSplit/>
          <w:trHeight w:val="3972"/>
        </w:trPr>
        <w:tc>
          <w:tcPr>
            <w:tcW w:w="998" w:type="dxa"/>
            <w:shd w:val="clear" w:color="auto" w:fill="auto"/>
            <w:hideMark/>
          </w:tcPr>
          <w:p w:rsidR="00226205" w:rsidRPr="00226205" w:rsidRDefault="00226205" w:rsidP="006918D2">
            <w:pPr>
              <w:jc w:val="center"/>
              <w:rPr>
                <w:rFonts w:ascii="Calibri" w:hAnsi="Calibri" w:cs="Calibri"/>
                <w:color w:val="000000"/>
                <w:sz w:val="18"/>
                <w:szCs w:val="18"/>
              </w:rPr>
            </w:pPr>
            <w:r w:rsidRPr="00226205">
              <w:rPr>
                <w:rFonts w:ascii="Calibri" w:hAnsi="Calibri" w:cs="Calibri"/>
                <w:color w:val="000000"/>
                <w:sz w:val="18"/>
                <w:szCs w:val="18"/>
              </w:rPr>
              <w:t>B000109</w:t>
            </w:r>
          </w:p>
        </w:tc>
        <w:tc>
          <w:tcPr>
            <w:tcW w:w="2693" w:type="dxa"/>
            <w:shd w:val="clear" w:color="auto" w:fill="auto"/>
            <w:hideMark/>
          </w:tcPr>
          <w:p w:rsidR="00226205" w:rsidRPr="00226205" w:rsidRDefault="00226205" w:rsidP="00226205">
            <w:pPr>
              <w:rPr>
                <w:rFonts w:ascii="Calibri" w:hAnsi="Calibri" w:cs="Calibri"/>
                <w:color w:val="000000"/>
                <w:sz w:val="18"/>
                <w:szCs w:val="18"/>
              </w:rPr>
            </w:pPr>
            <w:r w:rsidRPr="00226205">
              <w:rPr>
                <w:rFonts w:ascii="Calibri" w:hAnsi="Calibri" w:cs="Calibri"/>
                <w:noProof/>
                <w:color w:val="000000"/>
                <w:sz w:val="18"/>
                <w:szCs w:val="18"/>
              </w:rPr>
              <w:drawing>
                <wp:anchor distT="0" distB="0" distL="114300" distR="114300" simplePos="0" relativeHeight="251708928" behindDoc="0" locked="0" layoutInCell="1" allowOverlap="1" wp14:anchorId="7F6AAFA7" wp14:editId="3AE18EA2">
                  <wp:simplePos x="0" y="0"/>
                  <wp:positionH relativeFrom="column">
                    <wp:posOffset>-20955</wp:posOffset>
                  </wp:positionH>
                  <wp:positionV relativeFrom="paragraph">
                    <wp:posOffset>53535</wp:posOffset>
                  </wp:positionV>
                  <wp:extent cx="1630680" cy="1371600"/>
                  <wp:effectExtent l="0" t="0" r="0" b="0"/>
                  <wp:wrapNone/>
                  <wp:docPr id="50" name="Picture 50"/>
                  <wp:cNvGraphicFramePr/>
                  <a:graphic xmlns:a="http://schemas.openxmlformats.org/drawingml/2006/main">
                    <a:graphicData uri="http://schemas.openxmlformats.org/drawingml/2006/picture">
                      <pic:pic xmlns:pic="http://schemas.openxmlformats.org/drawingml/2006/picture">
                        <pic:nvPicPr>
                          <pic:cNvPr id="50" name="Picture 49"/>
                          <pic:cNvPicPr>
                            <a:picLocks noChangeAspect="1"/>
                          </pic:cNvPicPr>
                        </pic:nvPicPr>
                        <pic:blipFill>
                          <a:blip r:embed="rId150">
                            <a:extLst>
                              <a:ext uri="{28A0092B-C50C-407E-A947-70E740481C1C}">
                                <a14:useLocalDpi xmlns:a14="http://schemas.microsoft.com/office/drawing/2010/main" val="0"/>
                              </a:ext>
                            </a:extLst>
                          </a:blip>
                          <a:stretch>
                            <a:fillRect/>
                          </a:stretch>
                        </pic:blipFill>
                        <pic:spPr>
                          <a:xfrm>
                            <a:off x="0" y="0"/>
                            <a:ext cx="1630680" cy="1371600"/>
                          </a:xfrm>
                          <a:prstGeom prst="rect">
                            <a:avLst/>
                          </a:prstGeom>
                        </pic:spPr>
                      </pic:pic>
                    </a:graphicData>
                  </a:graphic>
                  <wp14:sizeRelH relativeFrom="page">
                    <wp14:pctWidth>0</wp14:pctWidth>
                  </wp14:sizeRelH>
                  <wp14:sizeRelV relativeFrom="page">
                    <wp14:pctHeight>0</wp14:pctHeight>
                  </wp14:sizeRelV>
                </wp:anchor>
              </w:drawing>
            </w:r>
          </w:p>
        </w:tc>
        <w:tc>
          <w:tcPr>
            <w:tcW w:w="2268" w:type="dxa"/>
            <w:shd w:val="clear" w:color="auto" w:fill="auto"/>
            <w:hideMark/>
          </w:tcPr>
          <w:p w:rsidR="00226205" w:rsidRPr="00226205" w:rsidRDefault="00226205" w:rsidP="00A54993">
            <w:pPr>
              <w:jc w:val="left"/>
              <w:rPr>
                <w:rFonts w:ascii="Calibri" w:hAnsi="Calibri" w:cs="Calibri"/>
                <w:color w:val="000000"/>
                <w:sz w:val="18"/>
                <w:szCs w:val="18"/>
              </w:rPr>
            </w:pPr>
            <w:r w:rsidRPr="00226205">
              <w:rPr>
                <w:rFonts w:ascii="Calibri" w:hAnsi="Calibri" w:cs="Calibri"/>
                <w:color w:val="000000"/>
                <w:sz w:val="18"/>
                <w:szCs w:val="18"/>
              </w:rPr>
              <w:t xml:space="preserve">Gold Street Child Care Centre- 58-64 Gold Street, Collingwood </w:t>
            </w:r>
          </w:p>
        </w:tc>
        <w:tc>
          <w:tcPr>
            <w:tcW w:w="1276" w:type="dxa"/>
            <w:shd w:val="clear" w:color="auto" w:fill="auto"/>
            <w:hideMark/>
          </w:tcPr>
          <w:p w:rsidR="00226205" w:rsidRPr="00226205" w:rsidRDefault="00226205" w:rsidP="00B77D83">
            <w:pPr>
              <w:tabs>
                <w:tab w:val="decimal" w:pos="884"/>
              </w:tabs>
              <w:jc w:val="left"/>
              <w:rPr>
                <w:rFonts w:ascii="Calibri" w:hAnsi="Calibri" w:cs="Calibri"/>
                <w:color w:val="000000"/>
                <w:sz w:val="18"/>
                <w:szCs w:val="18"/>
              </w:rPr>
            </w:pPr>
            <w:r w:rsidRPr="00226205">
              <w:rPr>
                <w:rFonts w:ascii="Calibri" w:hAnsi="Calibri" w:cs="Calibri"/>
                <w:color w:val="000000"/>
                <w:sz w:val="18"/>
                <w:szCs w:val="18"/>
              </w:rPr>
              <w:t>$842,076</w:t>
            </w:r>
          </w:p>
        </w:tc>
        <w:tc>
          <w:tcPr>
            <w:tcW w:w="1134" w:type="dxa"/>
            <w:shd w:val="clear" w:color="auto" w:fill="auto"/>
            <w:hideMark/>
          </w:tcPr>
          <w:p w:rsidR="00226205" w:rsidRPr="00226205" w:rsidRDefault="00226205" w:rsidP="00226205">
            <w:pPr>
              <w:jc w:val="center"/>
              <w:rPr>
                <w:rFonts w:ascii="Calibri" w:hAnsi="Calibri" w:cs="Calibri"/>
                <w:color w:val="000000"/>
                <w:sz w:val="18"/>
                <w:szCs w:val="18"/>
              </w:rPr>
            </w:pPr>
            <w:r w:rsidRPr="00226205">
              <w:rPr>
                <w:rFonts w:ascii="Calibri" w:hAnsi="Calibri" w:cs="Calibri"/>
                <w:color w:val="000000"/>
                <w:sz w:val="18"/>
                <w:szCs w:val="18"/>
              </w:rPr>
              <w:t>Community Services</w:t>
            </w:r>
          </w:p>
        </w:tc>
        <w:tc>
          <w:tcPr>
            <w:tcW w:w="1417" w:type="dxa"/>
            <w:shd w:val="clear" w:color="auto" w:fill="auto"/>
            <w:hideMark/>
          </w:tcPr>
          <w:p w:rsidR="00226205" w:rsidRPr="00226205" w:rsidRDefault="00226205" w:rsidP="00226205">
            <w:pPr>
              <w:jc w:val="center"/>
              <w:rPr>
                <w:rFonts w:ascii="Calibri" w:hAnsi="Calibri" w:cs="Calibri"/>
                <w:color w:val="000000"/>
                <w:sz w:val="18"/>
                <w:szCs w:val="18"/>
              </w:rPr>
            </w:pPr>
            <w:r w:rsidRPr="00226205">
              <w:rPr>
                <w:rFonts w:ascii="Calibri" w:hAnsi="Calibri" w:cs="Calibri"/>
                <w:color w:val="000000"/>
                <w:sz w:val="18"/>
                <w:szCs w:val="18"/>
              </w:rPr>
              <w:t>Child Care Centres</w:t>
            </w:r>
          </w:p>
        </w:tc>
        <w:tc>
          <w:tcPr>
            <w:tcW w:w="2410" w:type="dxa"/>
            <w:shd w:val="clear" w:color="auto" w:fill="auto"/>
            <w:hideMark/>
          </w:tcPr>
          <w:p w:rsidR="00226205" w:rsidRPr="00226205" w:rsidRDefault="00226205" w:rsidP="00226205">
            <w:pPr>
              <w:jc w:val="left"/>
              <w:rPr>
                <w:rFonts w:ascii="Calibri" w:hAnsi="Calibri" w:cs="Calibri"/>
                <w:color w:val="000000"/>
                <w:sz w:val="18"/>
                <w:szCs w:val="18"/>
              </w:rPr>
            </w:pPr>
            <w:r w:rsidRPr="00226205">
              <w:rPr>
                <w:rFonts w:ascii="Calibri" w:hAnsi="Calibri" w:cs="Calibri"/>
                <w:color w:val="000000"/>
                <w:sz w:val="18"/>
                <w:szCs w:val="18"/>
              </w:rPr>
              <w:t xml:space="preserve">The building is in a good condition. </w:t>
            </w:r>
          </w:p>
        </w:tc>
        <w:tc>
          <w:tcPr>
            <w:tcW w:w="3118" w:type="dxa"/>
            <w:shd w:val="clear" w:color="auto" w:fill="auto"/>
            <w:hideMark/>
          </w:tcPr>
          <w:p w:rsidR="00226205" w:rsidRPr="00226205" w:rsidRDefault="00226205" w:rsidP="00840CD9">
            <w:pPr>
              <w:jc w:val="left"/>
              <w:rPr>
                <w:rFonts w:ascii="Calibri" w:hAnsi="Calibri" w:cs="Calibri"/>
                <w:color w:val="000000"/>
                <w:sz w:val="18"/>
                <w:szCs w:val="18"/>
              </w:rPr>
            </w:pPr>
            <w:r w:rsidRPr="00226205">
              <w:rPr>
                <w:rFonts w:ascii="Calibri" w:hAnsi="Calibri" w:cs="Calibri"/>
                <w:color w:val="000000"/>
                <w:sz w:val="18"/>
                <w:szCs w:val="18"/>
              </w:rPr>
              <w:t xml:space="preserve">Parking is an issue with not enough in peak times. </w:t>
            </w:r>
            <w:r w:rsidR="00840CD9">
              <w:rPr>
                <w:rFonts w:ascii="Calibri" w:hAnsi="Calibri" w:cs="Calibri"/>
                <w:color w:val="000000"/>
                <w:sz w:val="18"/>
                <w:szCs w:val="18"/>
              </w:rPr>
              <w:t>Being located in a residential street-  the drop-</w:t>
            </w:r>
            <w:r w:rsidRPr="00226205">
              <w:rPr>
                <w:rFonts w:ascii="Calibri" w:hAnsi="Calibri" w:cs="Calibri"/>
                <w:color w:val="000000"/>
                <w:sz w:val="18"/>
                <w:szCs w:val="18"/>
              </w:rPr>
              <w:t xml:space="preserve">off could be improved. There is inadequate space for pram </w:t>
            </w:r>
            <w:r w:rsidR="00B77D83">
              <w:rPr>
                <w:rFonts w:ascii="Calibri" w:hAnsi="Calibri" w:cs="Calibri"/>
                <w:color w:val="000000"/>
                <w:sz w:val="18"/>
                <w:szCs w:val="18"/>
              </w:rPr>
              <w:t>and</w:t>
            </w:r>
            <w:r w:rsidRPr="00226205">
              <w:rPr>
                <w:rFonts w:ascii="Calibri" w:hAnsi="Calibri" w:cs="Calibri"/>
                <w:color w:val="000000"/>
                <w:sz w:val="18"/>
                <w:szCs w:val="18"/>
              </w:rPr>
              <w:t xml:space="preserve"> bicycle parking. Storage </w:t>
            </w:r>
            <w:r w:rsidR="00B77D83">
              <w:rPr>
                <w:rFonts w:ascii="Calibri" w:hAnsi="Calibri" w:cs="Calibri"/>
                <w:color w:val="000000"/>
                <w:sz w:val="18"/>
                <w:szCs w:val="18"/>
              </w:rPr>
              <w:t>and</w:t>
            </w:r>
            <w:r w:rsidR="00840CD9">
              <w:rPr>
                <w:rFonts w:ascii="Calibri" w:hAnsi="Calibri" w:cs="Calibri"/>
                <w:color w:val="000000"/>
                <w:sz w:val="18"/>
                <w:szCs w:val="18"/>
              </w:rPr>
              <w:t xml:space="preserve"> multi-</w:t>
            </w:r>
            <w:r w:rsidRPr="00226205">
              <w:rPr>
                <w:rFonts w:ascii="Calibri" w:hAnsi="Calibri" w:cs="Calibri"/>
                <w:color w:val="000000"/>
                <w:sz w:val="18"/>
                <w:szCs w:val="18"/>
              </w:rPr>
              <w:t xml:space="preserve">purpose space required. The land is restrictive for expansion. Unable to operate as an integrated service. It is currently planned for this to occur. There is limited flow between rooms, no dedicated staff planning spaces, a need for staff room </w:t>
            </w:r>
            <w:r w:rsidR="00B77D83">
              <w:rPr>
                <w:rFonts w:ascii="Calibri" w:hAnsi="Calibri" w:cs="Calibri"/>
                <w:color w:val="000000"/>
                <w:sz w:val="18"/>
                <w:szCs w:val="18"/>
              </w:rPr>
              <w:t>and</w:t>
            </w:r>
            <w:r w:rsidRPr="00226205">
              <w:rPr>
                <w:rFonts w:ascii="Calibri" w:hAnsi="Calibri" w:cs="Calibri"/>
                <w:color w:val="000000"/>
                <w:sz w:val="18"/>
                <w:szCs w:val="18"/>
              </w:rPr>
              <w:t xml:space="preserve"> children spaces (administrative areas, program planning, meetings). Changes will be required in order to implement planned level of service required to serve staff and families. Location and adequacy of disabled toilet currently non-compliant with food safety audits. Additional toilets required to meet regulatory requirements. Capital works project is underway. </w:t>
            </w:r>
          </w:p>
        </w:tc>
      </w:tr>
      <w:tr w:rsidR="00226205" w:rsidRPr="00226205" w:rsidTr="00B77D83">
        <w:trPr>
          <w:cantSplit/>
          <w:trHeight w:val="2472"/>
        </w:trPr>
        <w:tc>
          <w:tcPr>
            <w:tcW w:w="998" w:type="dxa"/>
            <w:shd w:val="clear" w:color="auto" w:fill="auto"/>
            <w:hideMark/>
          </w:tcPr>
          <w:p w:rsidR="00226205" w:rsidRPr="00226205" w:rsidRDefault="00226205" w:rsidP="006918D2">
            <w:pPr>
              <w:jc w:val="center"/>
              <w:rPr>
                <w:rFonts w:ascii="Calibri" w:hAnsi="Calibri" w:cs="Calibri"/>
                <w:color w:val="000000"/>
                <w:sz w:val="18"/>
                <w:szCs w:val="18"/>
              </w:rPr>
            </w:pPr>
            <w:r w:rsidRPr="00226205">
              <w:rPr>
                <w:rFonts w:ascii="Calibri" w:hAnsi="Calibri" w:cs="Calibri"/>
                <w:color w:val="000000"/>
                <w:sz w:val="18"/>
                <w:szCs w:val="18"/>
              </w:rPr>
              <w:t>B000111</w:t>
            </w:r>
          </w:p>
        </w:tc>
        <w:tc>
          <w:tcPr>
            <w:tcW w:w="2693" w:type="dxa"/>
            <w:shd w:val="clear" w:color="auto" w:fill="auto"/>
            <w:hideMark/>
          </w:tcPr>
          <w:p w:rsidR="00226205" w:rsidRPr="00226205" w:rsidRDefault="00226205" w:rsidP="00226205">
            <w:pPr>
              <w:rPr>
                <w:rFonts w:ascii="Calibri" w:hAnsi="Calibri" w:cs="Calibri"/>
                <w:color w:val="000000"/>
                <w:sz w:val="18"/>
                <w:szCs w:val="18"/>
              </w:rPr>
            </w:pPr>
            <w:r w:rsidRPr="00226205">
              <w:rPr>
                <w:rFonts w:ascii="Calibri" w:hAnsi="Calibri" w:cs="Calibri"/>
                <w:noProof/>
                <w:color w:val="000000"/>
                <w:sz w:val="18"/>
                <w:szCs w:val="18"/>
              </w:rPr>
              <w:drawing>
                <wp:anchor distT="0" distB="0" distL="114300" distR="114300" simplePos="0" relativeHeight="251709952" behindDoc="0" locked="0" layoutInCell="1" allowOverlap="1" wp14:anchorId="7A29A527" wp14:editId="2AB1D43D">
                  <wp:simplePos x="0" y="0"/>
                  <wp:positionH relativeFrom="column">
                    <wp:posOffset>-20955</wp:posOffset>
                  </wp:positionH>
                  <wp:positionV relativeFrom="paragraph">
                    <wp:posOffset>68580</wp:posOffset>
                  </wp:positionV>
                  <wp:extent cx="1630800" cy="1393200"/>
                  <wp:effectExtent l="0" t="0" r="0"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0"/>
                          <pic:cNvPicPr>
                            <a:picLocks noChangeAspect="1"/>
                          </pic:cNvPicPr>
                        </pic:nvPicPr>
                        <pic:blipFill>
                          <a:blip r:embed="rId151">
                            <a:extLst>
                              <a:ext uri="{28A0092B-C50C-407E-A947-70E740481C1C}">
                                <a14:useLocalDpi xmlns:a14="http://schemas.microsoft.com/office/drawing/2010/main" val="0"/>
                              </a:ext>
                            </a:extLst>
                          </a:blip>
                          <a:stretch>
                            <a:fillRect/>
                          </a:stretch>
                        </pic:blipFill>
                        <pic:spPr>
                          <a:xfrm>
                            <a:off x="0" y="0"/>
                            <a:ext cx="1630800" cy="1393200"/>
                          </a:xfrm>
                          <a:prstGeom prst="rect">
                            <a:avLst/>
                          </a:prstGeom>
                        </pic:spPr>
                      </pic:pic>
                    </a:graphicData>
                  </a:graphic>
                  <wp14:sizeRelH relativeFrom="page">
                    <wp14:pctWidth>0</wp14:pctWidth>
                  </wp14:sizeRelH>
                  <wp14:sizeRelV relativeFrom="page">
                    <wp14:pctHeight>0</wp14:pctHeight>
                  </wp14:sizeRelV>
                </wp:anchor>
              </w:drawing>
            </w:r>
          </w:p>
        </w:tc>
        <w:tc>
          <w:tcPr>
            <w:tcW w:w="2268" w:type="dxa"/>
            <w:shd w:val="clear" w:color="auto" w:fill="auto"/>
            <w:hideMark/>
          </w:tcPr>
          <w:p w:rsidR="00226205" w:rsidRPr="00226205" w:rsidRDefault="00226205" w:rsidP="00A54993">
            <w:pPr>
              <w:jc w:val="left"/>
              <w:rPr>
                <w:rFonts w:ascii="Calibri" w:hAnsi="Calibri" w:cs="Calibri"/>
                <w:color w:val="000000"/>
                <w:sz w:val="18"/>
                <w:szCs w:val="18"/>
              </w:rPr>
            </w:pPr>
            <w:r w:rsidRPr="00226205">
              <w:rPr>
                <w:rFonts w:ascii="Calibri" w:hAnsi="Calibri" w:cs="Calibri"/>
                <w:color w:val="000000"/>
                <w:sz w:val="18"/>
                <w:szCs w:val="18"/>
              </w:rPr>
              <w:t xml:space="preserve">Keele Street Child Care Centre- 177 Keele Street, Collingwood </w:t>
            </w:r>
          </w:p>
        </w:tc>
        <w:tc>
          <w:tcPr>
            <w:tcW w:w="1276" w:type="dxa"/>
            <w:shd w:val="clear" w:color="auto" w:fill="auto"/>
            <w:hideMark/>
          </w:tcPr>
          <w:p w:rsidR="00226205" w:rsidRPr="00226205" w:rsidRDefault="00226205" w:rsidP="00B77D83">
            <w:pPr>
              <w:tabs>
                <w:tab w:val="decimal" w:pos="884"/>
              </w:tabs>
              <w:jc w:val="left"/>
              <w:rPr>
                <w:rFonts w:ascii="Calibri" w:hAnsi="Calibri" w:cs="Calibri"/>
                <w:color w:val="000000"/>
                <w:sz w:val="18"/>
                <w:szCs w:val="18"/>
              </w:rPr>
            </w:pPr>
            <w:r w:rsidRPr="00226205">
              <w:rPr>
                <w:rFonts w:ascii="Calibri" w:hAnsi="Calibri" w:cs="Calibri"/>
                <w:color w:val="000000"/>
                <w:sz w:val="18"/>
                <w:szCs w:val="18"/>
              </w:rPr>
              <w:t>$534,942</w:t>
            </w:r>
          </w:p>
        </w:tc>
        <w:tc>
          <w:tcPr>
            <w:tcW w:w="1134" w:type="dxa"/>
            <w:shd w:val="clear" w:color="auto" w:fill="auto"/>
            <w:hideMark/>
          </w:tcPr>
          <w:p w:rsidR="00226205" w:rsidRPr="00226205" w:rsidRDefault="00226205" w:rsidP="00226205">
            <w:pPr>
              <w:jc w:val="center"/>
              <w:rPr>
                <w:rFonts w:ascii="Calibri" w:hAnsi="Calibri" w:cs="Calibri"/>
                <w:color w:val="000000"/>
                <w:sz w:val="18"/>
                <w:szCs w:val="18"/>
              </w:rPr>
            </w:pPr>
            <w:r w:rsidRPr="00226205">
              <w:rPr>
                <w:rFonts w:ascii="Calibri" w:hAnsi="Calibri" w:cs="Calibri"/>
                <w:color w:val="000000"/>
                <w:sz w:val="18"/>
                <w:szCs w:val="18"/>
              </w:rPr>
              <w:t>Community Services</w:t>
            </w:r>
          </w:p>
        </w:tc>
        <w:tc>
          <w:tcPr>
            <w:tcW w:w="1417" w:type="dxa"/>
            <w:shd w:val="clear" w:color="auto" w:fill="auto"/>
            <w:hideMark/>
          </w:tcPr>
          <w:p w:rsidR="00226205" w:rsidRPr="00226205" w:rsidRDefault="00226205" w:rsidP="00226205">
            <w:pPr>
              <w:jc w:val="center"/>
              <w:rPr>
                <w:rFonts w:ascii="Calibri" w:hAnsi="Calibri" w:cs="Calibri"/>
                <w:color w:val="000000"/>
                <w:sz w:val="18"/>
                <w:szCs w:val="18"/>
              </w:rPr>
            </w:pPr>
            <w:r w:rsidRPr="00226205">
              <w:rPr>
                <w:rFonts w:ascii="Calibri" w:hAnsi="Calibri" w:cs="Calibri"/>
                <w:color w:val="000000"/>
                <w:sz w:val="18"/>
                <w:szCs w:val="18"/>
              </w:rPr>
              <w:t>Child Care Centres</w:t>
            </w:r>
          </w:p>
        </w:tc>
        <w:tc>
          <w:tcPr>
            <w:tcW w:w="2410" w:type="dxa"/>
            <w:shd w:val="clear" w:color="auto" w:fill="auto"/>
            <w:hideMark/>
          </w:tcPr>
          <w:p w:rsidR="00226205" w:rsidRPr="00226205" w:rsidRDefault="00226205" w:rsidP="00226205">
            <w:pPr>
              <w:jc w:val="left"/>
              <w:rPr>
                <w:rFonts w:ascii="Calibri" w:hAnsi="Calibri" w:cs="Calibri"/>
                <w:color w:val="000000"/>
                <w:sz w:val="18"/>
                <w:szCs w:val="18"/>
              </w:rPr>
            </w:pPr>
            <w:r w:rsidRPr="00226205">
              <w:rPr>
                <w:rFonts w:ascii="Calibri" w:hAnsi="Calibri" w:cs="Calibri"/>
                <w:color w:val="000000"/>
                <w:sz w:val="18"/>
                <w:szCs w:val="18"/>
              </w:rPr>
              <w:t xml:space="preserve">The building is in a good condition. </w:t>
            </w:r>
          </w:p>
        </w:tc>
        <w:tc>
          <w:tcPr>
            <w:tcW w:w="3118" w:type="dxa"/>
            <w:shd w:val="clear" w:color="auto" w:fill="auto"/>
            <w:hideMark/>
          </w:tcPr>
          <w:p w:rsidR="00226205" w:rsidRPr="00226205" w:rsidRDefault="00226205" w:rsidP="00226205">
            <w:pPr>
              <w:jc w:val="left"/>
              <w:rPr>
                <w:rFonts w:ascii="Calibri" w:hAnsi="Calibri" w:cs="Calibri"/>
                <w:color w:val="000000"/>
                <w:sz w:val="18"/>
                <w:szCs w:val="18"/>
              </w:rPr>
            </w:pPr>
            <w:r w:rsidRPr="00226205">
              <w:rPr>
                <w:rFonts w:ascii="Calibri" w:hAnsi="Calibri" w:cs="Calibri"/>
                <w:color w:val="000000"/>
                <w:sz w:val="18"/>
                <w:szCs w:val="18"/>
              </w:rPr>
              <w:t>Building has only 2 parking spaces for families. There is no bike storage or pram storage. There are no opportunities for growth. Currently building is not adequate with small rooms, no staff planning space, doesn't meet some regulatory requirements and poor layout hinders flow and adult supervision. There is no potential to increase numbers. Building gets too hot. Maintenance, cleaning and monitoring of processes could be strengthened.</w:t>
            </w:r>
          </w:p>
        </w:tc>
      </w:tr>
      <w:tr w:rsidR="00226205" w:rsidRPr="00226205" w:rsidTr="00B77D83">
        <w:trPr>
          <w:cantSplit/>
          <w:trHeight w:val="2206"/>
        </w:trPr>
        <w:tc>
          <w:tcPr>
            <w:tcW w:w="998" w:type="dxa"/>
            <w:shd w:val="clear" w:color="auto" w:fill="auto"/>
            <w:hideMark/>
          </w:tcPr>
          <w:p w:rsidR="00226205" w:rsidRPr="00226205" w:rsidRDefault="00226205" w:rsidP="006918D2">
            <w:pPr>
              <w:jc w:val="center"/>
              <w:rPr>
                <w:rFonts w:ascii="Calibri" w:hAnsi="Calibri" w:cs="Calibri"/>
                <w:color w:val="000000"/>
                <w:sz w:val="18"/>
                <w:szCs w:val="18"/>
              </w:rPr>
            </w:pPr>
            <w:r w:rsidRPr="00226205">
              <w:rPr>
                <w:rFonts w:ascii="Calibri" w:hAnsi="Calibri" w:cs="Calibri"/>
                <w:color w:val="000000"/>
                <w:sz w:val="18"/>
                <w:szCs w:val="18"/>
              </w:rPr>
              <w:t>B000113</w:t>
            </w:r>
          </w:p>
        </w:tc>
        <w:tc>
          <w:tcPr>
            <w:tcW w:w="2693" w:type="dxa"/>
            <w:shd w:val="clear" w:color="auto" w:fill="auto"/>
            <w:hideMark/>
          </w:tcPr>
          <w:p w:rsidR="00226205" w:rsidRPr="00226205" w:rsidRDefault="00226205" w:rsidP="00226205">
            <w:pPr>
              <w:rPr>
                <w:rFonts w:ascii="Calibri" w:hAnsi="Calibri" w:cs="Calibri"/>
                <w:color w:val="000000"/>
                <w:sz w:val="18"/>
                <w:szCs w:val="18"/>
              </w:rPr>
            </w:pPr>
            <w:r w:rsidRPr="00226205">
              <w:rPr>
                <w:rFonts w:ascii="Calibri" w:hAnsi="Calibri" w:cs="Calibri"/>
                <w:noProof/>
                <w:color w:val="000000"/>
                <w:sz w:val="18"/>
                <w:szCs w:val="18"/>
              </w:rPr>
              <w:drawing>
                <wp:anchor distT="0" distB="0" distL="114300" distR="114300" simplePos="0" relativeHeight="251821568" behindDoc="0" locked="0" layoutInCell="1" allowOverlap="1" wp14:anchorId="0327E06F" wp14:editId="2BD9C59D">
                  <wp:simplePos x="0" y="0"/>
                  <wp:positionH relativeFrom="column">
                    <wp:posOffset>-19238</wp:posOffset>
                  </wp:positionH>
                  <wp:positionV relativeFrom="paragraph">
                    <wp:posOffset>68580</wp:posOffset>
                  </wp:positionV>
                  <wp:extent cx="1630680" cy="1277620"/>
                  <wp:effectExtent l="0" t="0" r="0" b="0"/>
                  <wp:wrapNone/>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29"/>
                          <pic:cNvPicPr>
                            <a:picLocks noChangeAspect="1"/>
                          </pic:cNvPicPr>
                        </pic:nvPicPr>
                        <pic:blipFill>
                          <a:blip r:embed="rId152" cstate="print">
                            <a:extLst>
                              <a:ext uri="{28A0092B-C50C-407E-A947-70E740481C1C}">
                                <a14:useLocalDpi xmlns:a14="http://schemas.microsoft.com/office/drawing/2010/main" val="0"/>
                              </a:ext>
                            </a:extLst>
                          </a:blip>
                          <a:stretch>
                            <a:fillRect/>
                          </a:stretch>
                        </pic:blipFill>
                        <pic:spPr>
                          <a:xfrm>
                            <a:off x="0" y="0"/>
                            <a:ext cx="1630680" cy="1277620"/>
                          </a:xfrm>
                          <a:prstGeom prst="rect">
                            <a:avLst/>
                          </a:prstGeom>
                        </pic:spPr>
                      </pic:pic>
                    </a:graphicData>
                  </a:graphic>
                  <wp14:sizeRelH relativeFrom="page">
                    <wp14:pctWidth>0</wp14:pctWidth>
                  </wp14:sizeRelH>
                  <wp14:sizeRelV relativeFrom="page">
                    <wp14:pctHeight>0</wp14:pctHeight>
                  </wp14:sizeRelV>
                </wp:anchor>
              </w:drawing>
            </w:r>
          </w:p>
        </w:tc>
        <w:tc>
          <w:tcPr>
            <w:tcW w:w="2268" w:type="dxa"/>
            <w:shd w:val="clear" w:color="auto" w:fill="auto"/>
            <w:hideMark/>
          </w:tcPr>
          <w:p w:rsidR="00226205" w:rsidRPr="00226205" w:rsidRDefault="00226205" w:rsidP="00A54993">
            <w:pPr>
              <w:jc w:val="left"/>
              <w:rPr>
                <w:rFonts w:ascii="Calibri" w:hAnsi="Calibri" w:cs="Calibri"/>
                <w:color w:val="000000"/>
                <w:sz w:val="18"/>
                <w:szCs w:val="18"/>
              </w:rPr>
            </w:pPr>
            <w:r w:rsidRPr="00226205">
              <w:rPr>
                <w:rFonts w:ascii="Calibri" w:hAnsi="Calibri" w:cs="Calibri"/>
                <w:color w:val="000000"/>
                <w:sz w:val="18"/>
                <w:szCs w:val="18"/>
              </w:rPr>
              <w:t xml:space="preserve">Office Building - 12 Peel Street, Collingwood </w:t>
            </w:r>
          </w:p>
        </w:tc>
        <w:tc>
          <w:tcPr>
            <w:tcW w:w="1276" w:type="dxa"/>
            <w:shd w:val="clear" w:color="auto" w:fill="auto"/>
            <w:hideMark/>
          </w:tcPr>
          <w:p w:rsidR="00226205" w:rsidRPr="00226205" w:rsidRDefault="00226205" w:rsidP="00B77D83">
            <w:pPr>
              <w:tabs>
                <w:tab w:val="decimal" w:pos="884"/>
              </w:tabs>
              <w:jc w:val="left"/>
              <w:rPr>
                <w:rFonts w:ascii="Calibri" w:hAnsi="Calibri" w:cs="Calibri"/>
                <w:color w:val="000000"/>
                <w:sz w:val="18"/>
                <w:szCs w:val="18"/>
              </w:rPr>
            </w:pPr>
            <w:r w:rsidRPr="00226205">
              <w:rPr>
                <w:rFonts w:ascii="Calibri" w:hAnsi="Calibri" w:cs="Calibri"/>
                <w:color w:val="000000"/>
                <w:sz w:val="18"/>
                <w:szCs w:val="18"/>
              </w:rPr>
              <w:t>$280,250</w:t>
            </w:r>
          </w:p>
        </w:tc>
        <w:tc>
          <w:tcPr>
            <w:tcW w:w="1134" w:type="dxa"/>
            <w:shd w:val="clear" w:color="auto" w:fill="auto"/>
            <w:hideMark/>
          </w:tcPr>
          <w:p w:rsidR="00226205" w:rsidRPr="00226205" w:rsidRDefault="00226205" w:rsidP="00226205">
            <w:pPr>
              <w:jc w:val="center"/>
              <w:rPr>
                <w:rFonts w:ascii="Calibri" w:hAnsi="Calibri" w:cs="Calibri"/>
                <w:color w:val="000000"/>
                <w:sz w:val="18"/>
                <w:szCs w:val="18"/>
              </w:rPr>
            </w:pPr>
            <w:r w:rsidRPr="00226205">
              <w:rPr>
                <w:rFonts w:ascii="Calibri" w:hAnsi="Calibri" w:cs="Calibri"/>
                <w:color w:val="000000"/>
                <w:sz w:val="18"/>
                <w:szCs w:val="18"/>
              </w:rPr>
              <w:t>Commercial</w:t>
            </w:r>
          </w:p>
        </w:tc>
        <w:tc>
          <w:tcPr>
            <w:tcW w:w="1417" w:type="dxa"/>
            <w:shd w:val="clear" w:color="auto" w:fill="auto"/>
            <w:hideMark/>
          </w:tcPr>
          <w:p w:rsidR="00226205" w:rsidRPr="00226205" w:rsidRDefault="00226205" w:rsidP="00226205">
            <w:pPr>
              <w:jc w:val="center"/>
              <w:rPr>
                <w:rFonts w:ascii="Calibri" w:hAnsi="Calibri" w:cs="Calibri"/>
                <w:color w:val="000000"/>
                <w:sz w:val="18"/>
                <w:szCs w:val="18"/>
              </w:rPr>
            </w:pPr>
            <w:r w:rsidRPr="00226205">
              <w:rPr>
                <w:rFonts w:ascii="Calibri" w:hAnsi="Calibri" w:cs="Calibri"/>
                <w:color w:val="000000"/>
                <w:sz w:val="18"/>
                <w:szCs w:val="18"/>
              </w:rPr>
              <w:t>Offices /Administration</w:t>
            </w:r>
          </w:p>
        </w:tc>
        <w:tc>
          <w:tcPr>
            <w:tcW w:w="2410" w:type="dxa"/>
            <w:shd w:val="clear" w:color="auto" w:fill="auto"/>
            <w:hideMark/>
          </w:tcPr>
          <w:p w:rsidR="00226205" w:rsidRPr="00226205" w:rsidRDefault="00226205" w:rsidP="00226205">
            <w:pPr>
              <w:jc w:val="left"/>
              <w:rPr>
                <w:rFonts w:ascii="Calibri" w:hAnsi="Calibri" w:cs="Calibri"/>
                <w:color w:val="000000"/>
                <w:sz w:val="18"/>
                <w:szCs w:val="18"/>
              </w:rPr>
            </w:pPr>
            <w:r w:rsidRPr="00226205">
              <w:rPr>
                <w:rFonts w:ascii="Calibri" w:hAnsi="Calibri" w:cs="Calibri"/>
                <w:color w:val="000000"/>
                <w:sz w:val="18"/>
                <w:szCs w:val="18"/>
              </w:rPr>
              <w:t xml:space="preserve">The building is in a fair condition with, electrical, mechanical and fitout requiring renewal works. </w:t>
            </w:r>
          </w:p>
        </w:tc>
        <w:tc>
          <w:tcPr>
            <w:tcW w:w="3118" w:type="dxa"/>
            <w:shd w:val="clear" w:color="auto" w:fill="auto"/>
            <w:hideMark/>
          </w:tcPr>
          <w:p w:rsidR="00226205" w:rsidRPr="00226205" w:rsidRDefault="00226205" w:rsidP="00226205">
            <w:pPr>
              <w:jc w:val="left"/>
              <w:rPr>
                <w:rFonts w:ascii="Calibri" w:hAnsi="Calibri" w:cs="Calibri"/>
                <w:color w:val="000000"/>
                <w:sz w:val="18"/>
                <w:szCs w:val="18"/>
              </w:rPr>
            </w:pPr>
            <w:r w:rsidRPr="00226205">
              <w:rPr>
                <w:rFonts w:ascii="Calibri" w:hAnsi="Calibri" w:cs="Calibri"/>
                <w:color w:val="000000"/>
                <w:sz w:val="18"/>
                <w:szCs w:val="18"/>
              </w:rPr>
              <w:t>No service currently delivered through building.</w:t>
            </w:r>
          </w:p>
        </w:tc>
      </w:tr>
      <w:tr w:rsidR="00226205" w:rsidRPr="00226205" w:rsidTr="00B77D83">
        <w:trPr>
          <w:cantSplit/>
          <w:trHeight w:val="2123"/>
        </w:trPr>
        <w:tc>
          <w:tcPr>
            <w:tcW w:w="998" w:type="dxa"/>
            <w:shd w:val="clear" w:color="auto" w:fill="auto"/>
            <w:hideMark/>
          </w:tcPr>
          <w:p w:rsidR="00226205" w:rsidRPr="00226205" w:rsidRDefault="00226205" w:rsidP="006918D2">
            <w:pPr>
              <w:jc w:val="center"/>
              <w:rPr>
                <w:rFonts w:ascii="Calibri" w:hAnsi="Calibri" w:cs="Calibri"/>
                <w:color w:val="000000"/>
                <w:sz w:val="18"/>
                <w:szCs w:val="18"/>
              </w:rPr>
            </w:pPr>
            <w:r w:rsidRPr="00226205">
              <w:rPr>
                <w:rFonts w:ascii="Calibri" w:hAnsi="Calibri" w:cs="Calibri"/>
                <w:color w:val="000000"/>
                <w:sz w:val="18"/>
                <w:szCs w:val="18"/>
              </w:rPr>
              <w:t>B000115</w:t>
            </w:r>
          </w:p>
        </w:tc>
        <w:tc>
          <w:tcPr>
            <w:tcW w:w="2693" w:type="dxa"/>
            <w:shd w:val="clear" w:color="auto" w:fill="auto"/>
            <w:hideMark/>
          </w:tcPr>
          <w:p w:rsidR="00226205" w:rsidRPr="00226205" w:rsidRDefault="00226205" w:rsidP="00226205">
            <w:pPr>
              <w:rPr>
                <w:rFonts w:ascii="Calibri" w:hAnsi="Calibri" w:cs="Calibri"/>
                <w:color w:val="000000"/>
                <w:sz w:val="18"/>
                <w:szCs w:val="18"/>
              </w:rPr>
            </w:pPr>
            <w:r w:rsidRPr="00226205">
              <w:rPr>
                <w:rFonts w:ascii="Calibri" w:hAnsi="Calibri" w:cs="Calibri"/>
                <w:noProof/>
                <w:color w:val="000000"/>
                <w:sz w:val="18"/>
                <w:szCs w:val="18"/>
              </w:rPr>
              <w:drawing>
                <wp:anchor distT="0" distB="0" distL="114300" distR="114300" simplePos="0" relativeHeight="251678208" behindDoc="0" locked="0" layoutInCell="1" allowOverlap="1" wp14:anchorId="5C7ECFDC" wp14:editId="07F901C4">
                  <wp:simplePos x="0" y="0"/>
                  <wp:positionH relativeFrom="column">
                    <wp:posOffset>-19238</wp:posOffset>
                  </wp:positionH>
                  <wp:positionV relativeFrom="paragraph">
                    <wp:posOffset>28575</wp:posOffset>
                  </wp:positionV>
                  <wp:extent cx="1630680" cy="1284605"/>
                  <wp:effectExtent l="0" t="0" r="0" b="0"/>
                  <wp:wrapNone/>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53" cstate="print">
                            <a:extLst>
                              <a:ext uri="{28A0092B-C50C-407E-A947-70E740481C1C}">
                                <a14:useLocalDpi xmlns:a14="http://schemas.microsoft.com/office/drawing/2010/main" val="0"/>
                              </a:ext>
                            </a:extLst>
                          </a:blip>
                          <a:stretch>
                            <a:fillRect/>
                          </a:stretch>
                        </pic:blipFill>
                        <pic:spPr>
                          <a:xfrm>
                            <a:off x="0" y="0"/>
                            <a:ext cx="1630680" cy="1284605"/>
                          </a:xfrm>
                          <a:prstGeom prst="rect">
                            <a:avLst/>
                          </a:prstGeom>
                        </pic:spPr>
                      </pic:pic>
                    </a:graphicData>
                  </a:graphic>
                  <wp14:sizeRelH relativeFrom="page">
                    <wp14:pctWidth>0</wp14:pctWidth>
                  </wp14:sizeRelH>
                  <wp14:sizeRelV relativeFrom="page">
                    <wp14:pctHeight>0</wp14:pctHeight>
                  </wp14:sizeRelV>
                </wp:anchor>
              </w:drawing>
            </w:r>
          </w:p>
        </w:tc>
        <w:tc>
          <w:tcPr>
            <w:tcW w:w="2268" w:type="dxa"/>
            <w:shd w:val="clear" w:color="auto" w:fill="auto"/>
            <w:hideMark/>
          </w:tcPr>
          <w:p w:rsidR="00226205" w:rsidRPr="00226205" w:rsidRDefault="00226205" w:rsidP="00A54993">
            <w:pPr>
              <w:jc w:val="left"/>
              <w:rPr>
                <w:rFonts w:ascii="Calibri" w:hAnsi="Calibri" w:cs="Calibri"/>
                <w:color w:val="000000"/>
                <w:sz w:val="18"/>
                <w:szCs w:val="18"/>
              </w:rPr>
            </w:pPr>
            <w:r w:rsidRPr="00226205">
              <w:rPr>
                <w:rFonts w:ascii="Calibri" w:hAnsi="Calibri" w:cs="Calibri"/>
                <w:color w:val="000000"/>
                <w:sz w:val="18"/>
                <w:szCs w:val="18"/>
              </w:rPr>
              <w:t>Public Toilets (Exeloo)- Otter Street, Collingwood</w:t>
            </w:r>
          </w:p>
        </w:tc>
        <w:tc>
          <w:tcPr>
            <w:tcW w:w="1276" w:type="dxa"/>
            <w:shd w:val="clear" w:color="auto" w:fill="auto"/>
            <w:hideMark/>
          </w:tcPr>
          <w:p w:rsidR="00226205" w:rsidRPr="00226205" w:rsidRDefault="00B77D83" w:rsidP="00B77D83">
            <w:pPr>
              <w:tabs>
                <w:tab w:val="decimal" w:pos="884"/>
              </w:tabs>
              <w:jc w:val="left"/>
              <w:rPr>
                <w:rFonts w:ascii="Calibri" w:hAnsi="Calibri" w:cs="Calibri"/>
                <w:color w:val="000000"/>
                <w:sz w:val="18"/>
                <w:szCs w:val="18"/>
              </w:rPr>
            </w:pPr>
            <w:r>
              <w:rPr>
                <w:rFonts w:ascii="Calibri" w:hAnsi="Calibri" w:cs="Calibri"/>
                <w:color w:val="000000"/>
                <w:sz w:val="18"/>
                <w:szCs w:val="18"/>
              </w:rPr>
              <w:t>$</w:t>
            </w:r>
            <w:r w:rsidR="00226205" w:rsidRPr="00226205">
              <w:rPr>
                <w:rFonts w:ascii="Calibri" w:hAnsi="Calibri" w:cs="Calibri"/>
                <w:color w:val="000000"/>
                <w:sz w:val="18"/>
                <w:szCs w:val="18"/>
              </w:rPr>
              <w:t>122,750</w:t>
            </w:r>
          </w:p>
        </w:tc>
        <w:tc>
          <w:tcPr>
            <w:tcW w:w="1134" w:type="dxa"/>
            <w:shd w:val="clear" w:color="auto" w:fill="auto"/>
            <w:hideMark/>
          </w:tcPr>
          <w:p w:rsidR="00226205" w:rsidRPr="00226205" w:rsidRDefault="00226205" w:rsidP="00226205">
            <w:pPr>
              <w:jc w:val="center"/>
              <w:rPr>
                <w:rFonts w:ascii="Calibri" w:hAnsi="Calibri" w:cs="Calibri"/>
                <w:color w:val="000000"/>
                <w:sz w:val="18"/>
                <w:szCs w:val="18"/>
              </w:rPr>
            </w:pPr>
            <w:r w:rsidRPr="00226205">
              <w:rPr>
                <w:rFonts w:ascii="Calibri" w:hAnsi="Calibri" w:cs="Calibri"/>
                <w:color w:val="000000"/>
                <w:sz w:val="18"/>
                <w:szCs w:val="18"/>
              </w:rPr>
              <w:t>Amenity</w:t>
            </w:r>
          </w:p>
        </w:tc>
        <w:tc>
          <w:tcPr>
            <w:tcW w:w="1417" w:type="dxa"/>
            <w:shd w:val="clear" w:color="auto" w:fill="auto"/>
            <w:hideMark/>
          </w:tcPr>
          <w:p w:rsidR="00226205" w:rsidRPr="00226205" w:rsidRDefault="00226205" w:rsidP="00226205">
            <w:pPr>
              <w:jc w:val="center"/>
              <w:rPr>
                <w:rFonts w:ascii="Calibri" w:hAnsi="Calibri" w:cs="Calibri"/>
                <w:color w:val="000000"/>
                <w:sz w:val="18"/>
                <w:szCs w:val="18"/>
              </w:rPr>
            </w:pPr>
            <w:r w:rsidRPr="00226205">
              <w:rPr>
                <w:rFonts w:ascii="Calibri" w:hAnsi="Calibri" w:cs="Calibri"/>
                <w:color w:val="000000"/>
                <w:sz w:val="18"/>
                <w:szCs w:val="18"/>
              </w:rPr>
              <w:t>Public Toilets</w:t>
            </w:r>
          </w:p>
        </w:tc>
        <w:tc>
          <w:tcPr>
            <w:tcW w:w="2410" w:type="dxa"/>
            <w:shd w:val="clear" w:color="auto" w:fill="auto"/>
            <w:hideMark/>
          </w:tcPr>
          <w:p w:rsidR="00226205" w:rsidRPr="00226205" w:rsidRDefault="00226205" w:rsidP="00226205">
            <w:pPr>
              <w:jc w:val="left"/>
              <w:rPr>
                <w:rFonts w:ascii="Calibri" w:hAnsi="Calibri" w:cs="Calibri"/>
                <w:color w:val="000000"/>
                <w:sz w:val="18"/>
                <w:szCs w:val="18"/>
              </w:rPr>
            </w:pPr>
            <w:r w:rsidRPr="00226205">
              <w:rPr>
                <w:rFonts w:ascii="Calibri" w:hAnsi="Calibri" w:cs="Calibri"/>
                <w:color w:val="000000"/>
                <w:sz w:val="18"/>
                <w:szCs w:val="18"/>
              </w:rPr>
              <w:t xml:space="preserve">The public toilet is in a good condition. </w:t>
            </w:r>
          </w:p>
        </w:tc>
        <w:tc>
          <w:tcPr>
            <w:tcW w:w="3118" w:type="dxa"/>
            <w:shd w:val="clear" w:color="auto" w:fill="auto"/>
            <w:hideMark/>
          </w:tcPr>
          <w:p w:rsidR="00226205" w:rsidRPr="00226205" w:rsidRDefault="00226205" w:rsidP="00226205">
            <w:pPr>
              <w:jc w:val="left"/>
              <w:rPr>
                <w:rFonts w:ascii="Calibri" w:hAnsi="Calibri" w:cs="Calibri"/>
                <w:color w:val="000000"/>
                <w:sz w:val="18"/>
                <w:szCs w:val="18"/>
              </w:rPr>
            </w:pPr>
            <w:r w:rsidRPr="00226205">
              <w:rPr>
                <w:rFonts w:ascii="Calibri" w:hAnsi="Calibri" w:cs="Calibri"/>
                <w:color w:val="000000"/>
                <w:sz w:val="18"/>
                <w:szCs w:val="18"/>
              </w:rPr>
              <w:t>Adequate for service delivery.</w:t>
            </w:r>
          </w:p>
        </w:tc>
      </w:tr>
      <w:tr w:rsidR="00226205" w:rsidRPr="00226205" w:rsidTr="00B77D83">
        <w:trPr>
          <w:cantSplit/>
          <w:trHeight w:val="2112"/>
        </w:trPr>
        <w:tc>
          <w:tcPr>
            <w:tcW w:w="998" w:type="dxa"/>
            <w:shd w:val="clear" w:color="auto" w:fill="auto"/>
            <w:hideMark/>
          </w:tcPr>
          <w:p w:rsidR="00226205" w:rsidRPr="00226205" w:rsidRDefault="00226205" w:rsidP="006918D2">
            <w:pPr>
              <w:jc w:val="center"/>
              <w:rPr>
                <w:rFonts w:ascii="Calibri" w:hAnsi="Calibri" w:cs="Calibri"/>
                <w:color w:val="000000"/>
                <w:sz w:val="18"/>
                <w:szCs w:val="18"/>
              </w:rPr>
            </w:pPr>
            <w:r w:rsidRPr="00226205">
              <w:rPr>
                <w:rFonts w:ascii="Calibri" w:hAnsi="Calibri" w:cs="Calibri"/>
                <w:color w:val="000000"/>
                <w:sz w:val="18"/>
                <w:szCs w:val="18"/>
              </w:rPr>
              <w:t>B000116</w:t>
            </w:r>
          </w:p>
        </w:tc>
        <w:tc>
          <w:tcPr>
            <w:tcW w:w="2693" w:type="dxa"/>
            <w:shd w:val="clear" w:color="auto" w:fill="auto"/>
            <w:hideMark/>
          </w:tcPr>
          <w:p w:rsidR="00226205" w:rsidRPr="00226205" w:rsidRDefault="00226205" w:rsidP="00226205">
            <w:pPr>
              <w:rPr>
                <w:rFonts w:ascii="Calibri" w:hAnsi="Calibri" w:cs="Calibri"/>
                <w:color w:val="000000"/>
                <w:sz w:val="18"/>
                <w:szCs w:val="18"/>
              </w:rPr>
            </w:pPr>
            <w:r w:rsidRPr="00226205">
              <w:rPr>
                <w:rFonts w:ascii="Calibri" w:hAnsi="Calibri" w:cs="Calibri"/>
                <w:noProof/>
                <w:color w:val="000000"/>
                <w:sz w:val="18"/>
                <w:szCs w:val="18"/>
              </w:rPr>
              <w:drawing>
                <wp:anchor distT="0" distB="0" distL="114300" distR="114300" simplePos="0" relativeHeight="251807232" behindDoc="0" locked="0" layoutInCell="1" allowOverlap="1" wp14:anchorId="76C583AF" wp14:editId="1259B55B">
                  <wp:simplePos x="0" y="0"/>
                  <wp:positionH relativeFrom="column">
                    <wp:posOffset>-19238</wp:posOffset>
                  </wp:positionH>
                  <wp:positionV relativeFrom="paragraph">
                    <wp:posOffset>50165</wp:posOffset>
                  </wp:positionV>
                  <wp:extent cx="1630680" cy="1249680"/>
                  <wp:effectExtent l="0" t="0" r="0" b="0"/>
                  <wp:wrapNone/>
                  <wp:docPr id="151" name="Picture 151"/>
                  <wp:cNvGraphicFramePr/>
                  <a:graphic xmlns:a="http://schemas.openxmlformats.org/drawingml/2006/main">
                    <a:graphicData uri="http://schemas.openxmlformats.org/drawingml/2006/picture">
                      <pic:pic xmlns:pic="http://schemas.openxmlformats.org/drawingml/2006/picture">
                        <pic:nvPicPr>
                          <pic:cNvPr id="151" name="Picture 150"/>
                          <pic:cNvPicPr>
                            <a:picLocks noChangeAspect="1"/>
                          </pic:cNvPicPr>
                        </pic:nvPicPr>
                        <pic:blipFill>
                          <a:blip r:embed="rId154" cstate="print">
                            <a:extLst>
                              <a:ext uri="{28A0092B-C50C-407E-A947-70E740481C1C}">
                                <a14:useLocalDpi xmlns:a14="http://schemas.microsoft.com/office/drawing/2010/main" val="0"/>
                              </a:ext>
                            </a:extLst>
                          </a:blip>
                          <a:stretch>
                            <a:fillRect/>
                          </a:stretch>
                        </pic:blipFill>
                        <pic:spPr>
                          <a:xfrm>
                            <a:off x="0" y="0"/>
                            <a:ext cx="1630680" cy="1249680"/>
                          </a:xfrm>
                          <a:prstGeom prst="rect">
                            <a:avLst/>
                          </a:prstGeom>
                        </pic:spPr>
                      </pic:pic>
                    </a:graphicData>
                  </a:graphic>
                  <wp14:sizeRelH relativeFrom="page">
                    <wp14:pctWidth>0</wp14:pctWidth>
                  </wp14:sizeRelH>
                  <wp14:sizeRelV relativeFrom="page">
                    <wp14:pctHeight>0</wp14:pctHeight>
                  </wp14:sizeRelV>
                </wp:anchor>
              </w:drawing>
            </w:r>
          </w:p>
        </w:tc>
        <w:tc>
          <w:tcPr>
            <w:tcW w:w="2268" w:type="dxa"/>
            <w:shd w:val="clear" w:color="auto" w:fill="auto"/>
            <w:hideMark/>
          </w:tcPr>
          <w:p w:rsidR="00226205" w:rsidRPr="00226205" w:rsidRDefault="00226205" w:rsidP="00A54993">
            <w:pPr>
              <w:jc w:val="left"/>
              <w:rPr>
                <w:rFonts w:ascii="Calibri" w:hAnsi="Calibri" w:cs="Calibri"/>
                <w:color w:val="000000"/>
                <w:sz w:val="18"/>
                <w:szCs w:val="18"/>
              </w:rPr>
            </w:pPr>
            <w:r w:rsidRPr="00226205">
              <w:rPr>
                <w:rFonts w:ascii="Calibri" w:hAnsi="Calibri" w:cs="Calibri"/>
                <w:color w:val="000000"/>
                <w:sz w:val="18"/>
                <w:szCs w:val="18"/>
              </w:rPr>
              <w:t>Public Toilet, Single (Exeloo)-  Peel Street, Collingwood</w:t>
            </w:r>
          </w:p>
        </w:tc>
        <w:tc>
          <w:tcPr>
            <w:tcW w:w="1276" w:type="dxa"/>
            <w:shd w:val="clear" w:color="auto" w:fill="auto"/>
            <w:hideMark/>
          </w:tcPr>
          <w:p w:rsidR="00226205" w:rsidRPr="00226205" w:rsidRDefault="00226205" w:rsidP="00B77D83">
            <w:pPr>
              <w:tabs>
                <w:tab w:val="decimal" w:pos="884"/>
              </w:tabs>
              <w:jc w:val="left"/>
              <w:rPr>
                <w:rFonts w:ascii="Calibri" w:hAnsi="Calibri" w:cs="Calibri"/>
                <w:color w:val="000000"/>
                <w:sz w:val="18"/>
                <w:szCs w:val="18"/>
              </w:rPr>
            </w:pPr>
            <w:r w:rsidRPr="00226205">
              <w:rPr>
                <w:rFonts w:ascii="Calibri" w:hAnsi="Calibri" w:cs="Calibri"/>
                <w:color w:val="000000"/>
                <w:sz w:val="18"/>
                <w:szCs w:val="18"/>
              </w:rPr>
              <w:t>$132,570</w:t>
            </w:r>
          </w:p>
        </w:tc>
        <w:tc>
          <w:tcPr>
            <w:tcW w:w="1134" w:type="dxa"/>
            <w:shd w:val="clear" w:color="auto" w:fill="auto"/>
            <w:hideMark/>
          </w:tcPr>
          <w:p w:rsidR="00226205" w:rsidRPr="00226205" w:rsidRDefault="00226205" w:rsidP="00226205">
            <w:pPr>
              <w:jc w:val="center"/>
              <w:rPr>
                <w:rFonts w:ascii="Calibri" w:hAnsi="Calibri" w:cs="Calibri"/>
                <w:color w:val="000000"/>
                <w:sz w:val="18"/>
                <w:szCs w:val="18"/>
              </w:rPr>
            </w:pPr>
            <w:r w:rsidRPr="00226205">
              <w:rPr>
                <w:rFonts w:ascii="Calibri" w:hAnsi="Calibri" w:cs="Calibri"/>
                <w:color w:val="000000"/>
                <w:sz w:val="18"/>
                <w:szCs w:val="18"/>
              </w:rPr>
              <w:t>Amenity</w:t>
            </w:r>
          </w:p>
        </w:tc>
        <w:tc>
          <w:tcPr>
            <w:tcW w:w="1417" w:type="dxa"/>
            <w:shd w:val="clear" w:color="auto" w:fill="auto"/>
            <w:hideMark/>
          </w:tcPr>
          <w:p w:rsidR="00226205" w:rsidRPr="00226205" w:rsidRDefault="00226205" w:rsidP="00226205">
            <w:pPr>
              <w:jc w:val="center"/>
              <w:rPr>
                <w:rFonts w:ascii="Calibri" w:hAnsi="Calibri" w:cs="Calibri"/>
                <w:color w:val="000000"/>
                <w:sz w:val="18"/>
                <w:szCs w:val="18"/>
              </w:rPr>
            </w:pPr>
            <w:r w:rsidRPr="00226205">
              <w:rPr>
                <w:rFonts w:ascii="Calibri" w:hAnsi="Calibri" w:cs="Calibri"/>
                <w:color w:val="000000"/>
                <w:sz w:val="18"/>
                <w:szCs w:val="18"/>
              </w:rPr>
              <w:t>Public Toilets</w:t>
            </w:r>
          </w:p>
        </w:tc>
        <w:tc>
          <w:tcPr>
            <w:tcW w:w="2410" w:type="dxa"/>
            <w:shd w:val="clear" w:color="auto" w:fill="auto"/>
            <w:hideMark/>
          </w:tcPr>
          <w:p w:rsidR="00226205" w:rsidRPr="00226205" w:rsidRDefault="00226205" w:rsidP="00226205">
            <w:pPr>
              <w:jc w:val="left"/>
              <w:rPr>
                <w:rFonts w:ascii="Calibri" w:hAnsi="Calibri" w:cs="Calibri"/>
                <w:color w:val="000000"/>
                <w:sz w:val="18"/>
                <w:szCs w:val="18"/>
              </w:rPr>
            </w:pPr>
            <w:r w:rsidRPr="00226205">
              <w:rPr>
                <w:rFonts w:ascii="Calibri" w:hAnsi="Calibri" w:cs="Calibri"/>
                <w:color w:val="000000"/>
                <w:sz w:val="18"/>
                <w:szCs w:val="18"/>
              </w:rPr>
              <w:t xml:space="preserve">The public toilet is in a good condition. </w:t>
            </w:r>
          </w:p>
        </w:tc>
        <w:tc>
          <w:tcPr>
            <w:tcW w:w="3118" w:type="dxa"/>
            <w:shd w:val="clear" w:color="auto" w:fill="auto"/>
            <w:hideMark/>
          </w:tcPr>
          <w:p w:rsidR="00226205" w:rsidRPr="00226205" w:rsidRDefault="00226205" w:rsidP="00226205">
            <w:pPr>
              <w:jc w:val="left"/>
              <w:rPr>
                <w:rFonts w:ascii="Calibri" w:hAnsi="Calibri" w:cs="Calibri"/>
                <w:color w:val="000000"/>
                <w:sz w:val="18"/>
                <w:szCs w:val="18"/>
              </w:rPr>
            </w:pPr>
            <w:r w:rsidRPr="00226205">
              <w:rPr>
                <w:rFonts w:ascii="Calibri" w:hAnsi="Calibri" w:cs="Calibri"/>
                <w:color w:val="000000"/>
                <w:sz w:val="18"/>
                <w:szCs w:val="18"/>
              </w:rPr>
              <w:t>Not optimal - could be larger.</w:t>
            </w:r>
          </w:p>
        </w:tc>
      </w:tr>
      <w:tr w:rsidR="00226205" w:rsidRPr="00226205" w:rsidTr="00B77D83">
        <w:trPr>
          <w:cantSplit/>
          <w:trHeight w:val="2206"/>
        </w:trPr>
        <w:tc>
          <w:tcPr>
            <w:tcW w:w="998" w:type="dxa"/>
            <w:shd w:val="clear" w:color="auto" w:fill="auto"/>
            <w:hideMark/>
          </w:tcPr>
          <w:p w:rsidR="00226205" w:rsidRPr="00226205" w:rsidRDefault="00226205" w:rsidP="006918D2">
            <w:pPr>
              <w:jc w:val="center"/>
              <w:rPr>
                <w:rFonts w:ascii="Calibri" w:hAnsi="Calibri" w:cs="Calibri"/>
                <w:color w:val="000000"/>
                <w:sz w:val="18"/>
                <w:szCs w:val="18"/>
              </w:rPr>
            </w:pPr>
            <w:r w:rsidRPr="00226205">
              <w:rPr>
                <w:rFonts w:ascii="Calibri" w:hAnsi="Calibri" w:cs="Calibri"/>
                <w:color w:val="000000"/>
                <w:sz w:val="18"/>
                <w:szCs w:val="18"/>
              </w:rPr>
              <w:t>B000117</w:t>
            </w:r>
          </w:p>
        </w:tc>
        <w:tc>
          <w:tcPr>
            <w:tcW w:w="2693" w:type="dxa"/>
            <w:shd w:val="clear" w:color="auto" w:fill="auto"/>
            <w:hideMark/>
          </w:tcPr>
          <w:p w:rsidR="00226205" w:rsidRPr="00226205" w:rsidRDefault="00226205" w:rsidP="00226205">
            <w:pPr>
              <w:rPr>
                <w:rFonts w:ascii="Calibri" w:hAnsi="Calibri" w:cs="Calibri"/>
                <w:color w:val="000000"/>
                <w:sz w:val="18"/>
                <w:szCs w:val="18"/>
              </w:rPr>
            </w:pPr>
            <w:r w:rsidRPr="00226205">
              <w:rPr>
                <w:rFonts w:ascii="Calibri" w:hAnsi="Calibri" w:cs="Calibri"/>
                <w:noProof/>
                <w:color w:val="000000"/>
                <w:sz w:val="18"/>
                <w:szCs w:val="18"/>
              </w:rPr>
              <w:drawing>
                <wp:anchor distT="0" distB="0" distL="114300" distR="114300" simplePos="0" relativeHeight="251775488" behindDoc="0" locked="0" layoutInCell="1" allowOverlap="1" wp14:anchorId="168F2360" wp14:editId="0C4CE003">
                  <wp:simplePos x="0" y="0"/>
                  <wp:positionH relativeFrom="column">
                    <wp:posOffset>-20955</wp:posOffset>
                  </wp:positionH>
                  <wp:positionV relativeFrom="paragraph">
                    <wp:posOffset>81475</wp:posOffset>
                  </wp:positionV>
                  <wp:extent cx="1630800" cy="1260000"/>
                  <wp:effectExtent l="0" t="0" r="0" b="0"/>
                  <wp:wrapNone/>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Picture 118"/>
                          <pic:cNvPicPr>
                            <a:picLocks noChangeAspect="1"/>
                          </pic:cNvPicPr>
                        </pic:nvPicPr>
                        <pic:blipFill>
                          <a:blip r:embed="rId155">
                            <a:extLst>
                              <a:ext uri="{28A0092B-C50C-407E-A947-70E740481C1C}">
                                <a14:useLocalDpi xmlns:a14="http://schemas.microsoft.com/office/drawing/2010/main" val="0"/>
                              </a:ext>
                            </a:extLst>
                          </a:blip>
                          <a:stretch>
                            <a:fillRect/>
                          </a:stretch>
                        </pic:blipFill>
                        <pic:spPr>
                          <a:xfrm>
                            <a:off x="0" y="0"/>
                            <a:ext cx="1630800" cy="1260000"/>
                          </a:xfrm>
                          <a:prstGeom prst="rect">
                            <a:avLst/>
                          </a:prstGeom>
                        </pic:spPr>
                      </pic:pic>
                    </a:graphicData>
                  </a:graphic>
                  <wp14:sizeRelH relativeFrom="page">
                    <wp14:pctWidth>0</wp14:pctWidth>
                  </wp14:sizeRelH>
                  <wp14:sizeRelV relativeFrom="page">
                    <wp14:pctHeight>0</wp14:pctHeight>
                  </wp14:sizeRelV>
                </wp:anchor>
              </w:drawing>
            </w:r>
          </w:p>
        </w:tc>
        <w:tc>
          <w:tcPr>
            <w:tcW w:w="2268" w:type="dxa"/>
            <w:shd w:val="clear" w:color="auto" w:fill="auto"/>
            <w:hideMark/>
          </w:tcPr>
          <w:p w:rsidR="00226205" w:rsidRPr="00226205" w:rsidRDefault="00226205" w:rsidP="00A54993">
            <w:pPr>
              <w:jc w:val="left"/>
              <w:rPr>
                <w:rFonts w:ascii="Calibri" w:hAnsi="Calibri" w:cs="Calibri"/>
                <w:color w:val="000000"/>
                <w:sz w:val="18"/>
                <w:szCs w:val="18"/>
              </w:rPr>
            </w:pPr>
            <w:r w:rsidRPr="00226205">
              <w:rPr>
                <w:rFonts w:ascii="Calibri" w:hAnsi="Calibri" w:cs="Calibri"/>
                <w:color w:val="000000"/>
                <w:sz w:val="18"/>
                <w:szCs w:val="18"/>
              </w:rPr>
              <w:t xml:space="preserve">Amphitheatre Change rooms, Fairfield Park- Fairfield Park Drive, Fairfield </w:t>
            </w:r>
          </w:p>
        </w:tc>
        <w:tc>
          <w:tcPr>
            <w:tcW w:w="1276" w:type="dxa"/>
            <w:shd w:val="clear" w:color="auto" w:fill="auto"/>
            <w:hideMark/>
          </w:tcPr>
          <w:p w:rsidR="00226205" w:rsidRPr="00226205" w:rsidRDefault="00226205" w:rsidP="00B77D83">
            <w:pPr>
              <w:tabs>
                <w:tab w:val="decimal" w:pos="884"/>
              </w:tabs>
              <w:jc w:val="left"/>
              <w:rPr>
                <w:rFonts w:ascii="Calibri" w:hAnsi="Calibri" w:cs="Calibri"/>
                <w:color w:val="000000"/>
                <w:sz w:val="18"/>
                <w:szCs w:val="18"/>
              </w:rPr>
            </w:pPr>
            <w:r w:rsidRPr="00226205">
              <w:rPr>
                <w:rFonts w:ascii="Calibri" w:hAnsi="Calibri" w:cs="Calibri"/>
                <w:color w:val="000000"/>
                <w:sz w:val="18"/>
                <w:szCs w:val="18"/>
              </w:rPr>
              <w:t>$200,000</w:t>
            </w:r>
          </w:p>
        </w:tc>
        <w:tc>
          <w:tcPr>
            <w:tcW w:w="1134" w:type="dxa"/>
            <w:shd w:val="clear" w:color="auto" w:fill="auto"/>
            <w:hideMark/>
          </w:tcPr>
          <w:p w:rsidR="00226205" w:rsidRPr="00226205" w:rsidRDefault="00226205" w:rsidP="00226205">
            <w:pPr>
              <w:jc w:val="center"/>
              <w:rPr>
                <w:rFonts w:ascii="Calibri" w:hAnsi="Calibri" w:cs="Calibri"/>
                <w:color w:val="000000"/>
                <w:sz w:val="18"/>
                <w:szCs w:val="18"/>
              </w:rPr>
            </w:pPr>
            <w:r w:rsidRPr="00226205">
              <w:rPr>
                <w:rFonts w:ascii="Calibri" w:hAnsi="Calibri" w:cs="Calibri"/>
                <w:color w:val="000000"/>
                <w:sz w:val="18"/>
                <w:szCs w:val="18"/>
              </w:rPr>
              <w:t xml:space="preserve">Recreation </w:t>
            </w:r>
            <w:r w:rsidR="00B77D83">
              <w:rPr>
                <w:rFonts w:ascii="Calibri" w:hAnsi="Calibri" w:cs="Calibri"/>
                <w:color w:val="000000"/>
                <w:sz w:val="18"/>
                <w:szCs w:val="18"/>
              </w:rPr>
              <w:t>and</w:t>
            </w:r>
            <w:r w:rsidRPr="00226205">
              <w:rPr>
                <w:rFonts w:ascii="Calibri" w:hAnsi="Calibri" w:cs="Calibri"/>
                <w:color w:val="000000"/>
                <w:sz w:val="18"/>
                <w:szCs w:val="18"/>
              </w:rPr>
              <w:t xml:space="preserve"> Open Space</w:t>
            </w:r>
          </w:p>
        </w:tc>
        <w:tc>
          <w:tcPr>
            <w:tcW w:w="1417" w:type="dxa"/>
            <w:shd w:val="clear" w:color="auto" w:fill="auto"/>
            <w:hideMark/>
          </w:tcPr>
          <w:p w:rsidR="00226205" w:rsidRPr="00226205" w:rsidRDefault="00226205" w:rsidP="00226205">
            <w:pPr>
              <w:jc w:val="center"/>
              <w:rPr>
                <w:rFonts w:ascii="Calibri" w:hAnsi="Calibri" w:cs="Calibri"/>
                <w:color w:val="000000"/>
                <w:sz w:val="18"/>
                <w:szCs w:val="18"/>
              </w:rPr>
            </w:pPr>
            <w:r w:rsidRPr="00226205">
              <w:rPr>
                <w:rFonts w:ascii="Calibri" w:hAnsi="Calibri" w:cs="Calibri"/>
                <w:color w:val="000000"/>
                <w:sz w:val="18"/>
                <w:szCs w:val="18"/>
              </w:rPr>
              <w:t>Pavilions / Clubrooms / Change rooms</w:t>
            </w:r>
          </w:p>
        </w:tc>
        <w:tc>
          <w:tcPr>
            <w:tcW w:w="2410" w:type="dxa"/>
            <w:shd w:val="clear" w:color="auto" w:fill="auto"/>
            <w:hideMark/>
          </w:tcPr>
          <w:p w:rsidR="00226205" w:rsidRPr="00226205" w:rsidRDefault="00226205" w:rsidP="00226205">
            <w:pPr>
              <w:jc w:val="left"/>
              <w:rPr>
                <w:rFonts w:ascii="Calibri" w:hAnsi="Calibri" w:cs="Calibri"/>
                <w:color w:val="000000"/>
                <w:sz w:val="18"/>
                <w:szCs w:val="18"/>
              </w:rPr>
            </w:pPr>
            <w:r w:rsidRPr="00226205">
              <w:rPr>
                <w:rFonts w:ascii="Calibri" w:hAnsi="Calibri" w:cs="Calibri"/>
                <w:color w:val="000000"/>
                <w:sz w:val="18"/>
                <w:szCs w:val="18"/>
              </w:rPr>
              <w:t xml:space="preserve">The building is in a fair condition. </w:t>
            </w:r>
          </w:p>
        </w:tc>
        <w:tc>
          <w:tcPr>
            <w:tcW w:w="3118" w:type="dxa"/>
            <w:shd w:val="clear" w:color="auto" w:fill="auto"/>
            <w:hideMark/>
          </w:tcPr>
          <w:p w:rsidR="00226205" w:rsidRPr="00226205" w:rsidRDefault="00226205" w:rsidP="00840CD9">
            <w:pPr>
              <w:jc w:val="left"/>
              <w:rPr>
                <w:rFonts w:ascii="Calibri" w:hAnsi="Calibri" w:cs="Calibri"/>
                <w:color w:val="000000"/>
                <w:sz w:val="18"/>
                <w:szCs w:val="18"/>
              </w:rPr>
            </w:pPr>
            <w:r w:rsidRPr="00226205">
              <w:rPr>
                <w:rFonts w:ascii="Calibri" w:hAnsi="Calibri" w:cs="Calibri"/>
                <w:color w:val="000000"/>
                <w:sz w:val="18"/>
                <w:szCs w:val="18"/>
              </w:rPr>
              <w:t>Full assessment not yet carried out.</w:t>
            </w:r>
            <w:r w:rsidRPr="00226205">
              <w:rPr>
                <w:rFonts w:ascii="Calibri" w:hAnsi="Calibri" w:cs="Calibri"/>
                <w:color w:val="000000"/>
                <w:sz w:val="18"/>
                <w:szCs w:val="18"/>
              </w:rPr>
              <w:br/>
              <w:t>Requires more detailed review.</w:t>
            </w:r>
          </w:p>
        </w:tc>
      </w:tr>
      <w:tr w:rsidR="00226205" w:rsidRPr="00226205" w:rsidTr="00B77D83">
        <w:trPr>
          <w:cantSplit/>
          <w:trHeight w:val="2265"/>
        </w:trPr>
        <w:tc>
          <w:tcPr>
            <w:tcW w:w="998" w:type="dxa"/>
            <w:shd w:val="clear" w:color="auto" w:fill="auto"/>
            <w:hideMark/>
          </w:tcPr>
          <w:p w:rsidR="00226205" w:rsidRPr="00226205" w:rsidRDefault="00226205" w:rsidP="006918D2">
            <w:pPr>
              <w:jc w:val="center"/>
              <w:rPr>
                <w:rFonts w:ascii="Calibri" w:hAnsi="Calibri" w:cs="Calibri"/>
                <w:color w:val="000000"/>
                <w:sz w:val="18"/>
                <w:szCs w:val="18"/>
              </w:rPr>
            </w:pPr>
            <w:r w:rsidRPr="00226205">
              <w:rPr>
                <w:rFonts w:ascii="Calibri" w:hAnsi="Calibri" w:cs="Calibri"/>
                <w:color w:val="000000"/>
                <w:sz w:val="18"/>
                <w:szCs w:val="18"/>
              </w:rPr>
              <w:t>B000118</w:t>
            </w:r>
          </w:p>
        </w:tc>
        <w:tc>
          <w:tcPr>
            <w:tcW w:w="2693" w:type="dxa"/>
            <w:shd w:val="clear" w:color="auto" w:fill="auto"/>
            <w:hideMark/>
          </w:tcPr>
          <w:p w:rsidR="00226205" w:rsidRPr="00226205" w:rsidRDefault="00226205" w:rsidP="00226205">
            <w:pPr>
              <w:rPr>
                <w:rFonts w:ascii="Calibri" w:hAnsi="Calibri" w:cs="Calibri"/>
                <w:color w:val="000000"/>
                <w:sz w:val="18"/>
                <w:szCs w:val="18"/>
              </w:rPr>
            </w:pPr>
            <w:r w:rsidRPr="00226205">
              <w:rPr>
                <w:rFonts w:ascii="Calibri" w:hAnsi="Calibri" w:cs="Calibri"/>
                <w:noProof/>
                <w:color w:val="000000"/>
                <w:sz w:val="18"/>
                <w:szCs w:val="18"/>
              </w:rPr>
              <w:drawing>
                <wp:anchor distT="0" distB="0" distL="114300" distR="114300" simplePos="0" relativeHeight="251710976" behindDoc="0" locked="0" layoutInCell="1" allowOverlap="1" wp14:anchorId="7C3A8729" wp14:editId="6C603950">
                  <wp:simplePos x="0" y="0"/>
                  <wp:positionH relativeFrom="column">
                    <wp:posOffset>-20955</wp:posOffset>
                  </wp:positionH>
                  <wp:positionV relativeFrom="paragraph">
                    <wp:posOffset>45720</wp:posOffset>
                  </wp:positionV>
                  <wp:extent cx="1630800" cy="1350000"/>
                  <wp:effectExtent l="0" t="0" r="0" b="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1"/>
                          <pic:cNvPicPr>
                            <a:picLocks noChangeAspect="1"/>
                          </pic:cNvPicPr>
                        </pic:nvPicPr>
                        <pic:blipFill>
                          <a:blip r:embed="rId156">
                            <a:extLst>
                              <a:ext uri="{28A0092B-C50C-407E-A947-70E740481C1C}">
                                <a14:useLocalDpi xmlns:a14="http://schemas.microsoft.com/office/drawing/2010/main" val="0"/>
                              </a:ext>
                            </a:extLst>
                          </a:blip>
                          <a:stretch>
                            <a:fillRect/>
                          </a:stretch>
                        </pic:blipFill>
                        <pic:spPr>
                          <a:xfrm>
                            <a:off x="0" y="0"/>
                            <a:ext cx="1630800" cy="1350000"/>
                          </a:xfrm>
                          <a:prstGeom prst="rect">
                            <a:avLst/>
                          </a:prstGeom>
                        </pic:spPr>
                      </pic:pic>
                    </a:graphicData>
                  </a:graphic>
                  <wp14:sizeRelH relativeFrom="page">
                    <wp14:pctWidth>0</wp14:pctWidth>
                  </wp14:sizeRelH>
                  <wp14:sizeRelV relativeFrom="page">
                    <wp14:pctHeight>0</wp14:pctHeight>
                  </wp14:sizeRelV>
                </wp:anchor>
              </w:drawing>
            </w:r>
          </w:p>
        </w:tc>
        <w:tc>
          <w:tcPr>
            <w:tcW w:w="2268" w:type="dxa"/>
            <w:shd w:val="clear" w:color="auto" w:fill="auto"/>
            <w:hideMark/>
          </w:tcPr>
          <w:p w:rsidR="00226205" w:rsidRPr="00226205" w:rsidRDefault="00226205" w:rsidP="00A54993">
            <w:pPr>
              <w:jc w:val="left"/>
              <w:rPr>
                <w:rFonts w:ascii="Calibri" w:hAnsi="Calibri" w:cs="Calibri"/>
                <w:color w:val="000000"/>
                <w:sz w:val="18"/>
                <w:szCs w:val="18"/>
              </w:rPr>
            </w:pPr>
            <w:r w:rsidRPr="00226205">
              <w:rPr>
                <w:rFonts w:ascii="Calibri" w:hAnsi="Calibri" w:cs="Calibri"/>
                <w:color w:val="000000"/>
                <w:sz w:val="18"/>
                <w:szCs w:val="18"/>
              </w:rPr>
              <w:t xml:space="preserve">Amphitheatre Kiosk, Fairfield Park- Fairfield Park Drive, Fairfield </w:t>
            </w:r>
          </w:p>
        </w:tc>
        <w:tc>
          <w:tcPr>
            <w:tcW w:w="1276" w:type="dxa"/>
            <w:shd w:val="clear" w:color="auto" w:fill="auto"/>
            <w:hideMark/>
          </w:tcPr>
          <w:p w:rsidR="00226205" w:rsidRPr="00226205" w:rsidRDefault="00226205" w:rsidP="00B77D83">
            <w:pPr>
              <w:tabs>
                <w:tab w:val="decimal" w:pos="884"/>
              </w:tabs>
              <w:jc w:val="left"/>
              <w:rPr>
                <w:rFonts w:ascii="Calibri" w:hAnsi="Calibri" w:cs="Calibri"/>
                <w:color w:val="000000"/>
                <w:sz w:val="18"/>
                <w:szCs w:val="18"/>
              </w:rPr>
            </w:pPr>
            <w:r w:rsidRPr="00226205">
              <w:rPr>
                <w:rFonts w:ascii="Calibri" w:hAnsi="Calibri" w:cs="Calibri"/>
                <w:color w:val="000000"/>
                <w:sz w:val="18"/>
                <w:szCs w:val="18"/>
              </w:rPr>
              <w:t>$57,000</w:t>
            </w:r>
          </w:p>
        </w:tc>
        <w:tc>
          <w:tcPr>
            <w:tcW w:w="1134" w:type="dxa"/>
            <w:shd w:val="clear" w:color="auto" w:fill="auto"/>
            <w:hideMark/>
          </w:tcPr>
          <w:p w:rsidR="00226205" w:rsidRPr="00226205" w:rsidRDefault="00226205" w:rsidP="00226205">
            <w:pPr>
              <w:jc w:val="center"/>
              <w:rPr>
                <w:rFonts w:ascii="Calibri" w:hAnsi="Calibri" w:cs="Calibri"/>
                <w:color w:val="000000"/>
                <w:sz w:val="18"/>
                <w:szCs w:val="18"/>
              </w:rPr>
            </w:pPr>
            <w:r w:rsidRPr="00226205">
              <w:rPr>
                <w:rFonts w:ascii="Calibri" w:hAnsi="Calibri" w:cs="Calibri"/>
                <w:color w:val="000000"/>
                <w:sz w:val="18"/>
                <w:szCs w:val="18"/>
              </w:rPr>
              <w:t>Community Services</w:t>
            </w:r>
          </w:p>
        </w:tc>
        <w:tc>
          <w:tcPr>
            <w:tcW w:w="1417" w:type="dxa"/>
            <w:shd w:val="clear" w:color="auto" w:fill="auto"/>
            <w:hideMark/>
          </w:tcPr>
          <w:p w:rsidR="00226205" w:rsidRPr="00226205" w:rsidRDefault="00226205" w:rsidP="00226205">
            <w:pPr>
              <w:jc w:val="center"/>
              <w:rPr>
                <w:rFonts w:ascii="Calibri" w:hAnsi="Calibri" w:cs="Calibri"/>
                <w:color w:val="000000"/>
                <w:sz w:val="18"/>
                <w:szCs w:val="18"/>
              </w:rPr>
            </w:pPr>
            <w:r w:rsidRPr="00226205">
              <w:rPr>
                <w:rFonts w:ascii="Calibri" w:hAnsi="Calibri" w:cs="Calibri"/>
                <w:color w:val="000000"/>
                <w:sz w:val="18"/>
                <w:szCs w:val="18"/>
              </w:rPr>
              <w:t>Structures</w:t>
            </w:r>
          </w:p>
        </w:tc>
        <w:tc>
          <w:tcPr>
            <w:tcW w:w="2410" w:type="dxa"/>
            <w:shd w:val="clear" w:color="auto" w:fill="auto"/>
            <w:hideMark/>
          </w:tcPr>
          <w:p w:rsidR="00226205" w:rsidRPr="00226205" w:rsidRDefault="00226205" w:rsidP="00226205">
            <w:pPr>
              <w:jc w:val="left"/>
              <w:rPr>
                <w:rFonts w:ascii="Calibri" w:hAnsi="Calibri" w:cs="Calibri"/>
                <w:color w:val="000000"/>
                <w:sz w:val="18"/>
                <w:szCs w:val="18"/>
              </w:rPr>
            </w:pPr>
            <w:r w:rsidRPr="00226205">
              <w:rPr>
                <w:rFonts w:ascii="Calibri" w:hAnsi="Calibri" w:cs="Calibri"/>
                <w:color w:val="000000"/>
                <w:sz w:val="18"/>
                <w:szCs w:val="18"/>
              </w:rPr>
              <w:t xml:space="preserve">The building is in a fair condition. </w:t>
            </w:r>
          </w:p>
        </w:tc>
        <w:tc>
          <w:tcPr>
            <w:tcW w:w="3118" w:type="dxa"/>
            <w:shd w:val="clear" w:color="auto" w:fill="auto"/>
            <w:hideMark/>
          </w:tcPr>
          <w:p w:rsidR="00226205" w:rsidRPr="00226205" w:rsidRDefault="00226205" w:rsidP="00840CD9">
            <w:pPr>
              <w:jc w:val="left"/>
              <w:rPr>
                <w:rFonts w:ascii="Calibri" w:hAnsi="Calibri" w:cs="Calibri"/>
                <w:color w:val="000000"/>
                <w:sz w:val="18"/>
                <w:szCs w:val="18"/>
              </w:rPr>
            </w:pPr>
            <w:r w:rsidRPr="00226205">
              <w:rPr>
                <w:rFonts w:ascii="Calibri" w:hAnsi="Calibri" w:cs="Calibri"/>
                <w:color w:val="000000"/>
                <w:sz w:val="18"/>
                <w:szCs w:val="18"/>
              </w:rPr>
              <w:t>Full assessment not yet carried out.</w:t>
            </w:r>
            <w:r w:rsidRPr="00226205">
              <w:rPr>
                <w:rFonts w:ascii="Calibri" w:hAnsi="Calibri" w:cs="Calibri"/>
                <w:color w:val="000000"/>
                <w:sz w:val="18"/>
                <w:szCs w:val="18"/>
              </w:rPr>
              <w:br/>
              <w:t>Requires more detailed review.</w:t>
            </w:r>
          </w:p>
        </w:tc>
      </w:tr>
      <w:tr w:rsidR="00226205" w:rsidRPr="00226205" w:rsidTr="00B77D83">
        <w:trPr>
          <w:cantSplit/>
          <w:trHeight w:val="2113"/>
        </w:trPr>
        <w:tc>
          <w:tcPr>
            <w:tcW w:w="998" w:type="dxa"/>
            <w:shd w:val="clear" w:color="auto" w:fill="auto"/>
            <w:hideMark/>
          </w:tcPr>
          <w:p w:rsidR="00226205" w:rsidRPr="00226205" w:rsidRDefault="00226205" w:rsidP="006918D2">
            <w:pPr>
              <w:jc w:val="center"/>
              <w:rPr>
                <w:rFonts w:ascii="Calibri" w:hAnsi="Calibri" w:cs="Calibri"/>
                <w:color w:val="000000"/>
                <w:sz w:val="18"/>
                <w:szCs w:val="18"/>
              </w:rPr>
            </w:pPr>
            <w:r w:rsidRPr="00226205">
              <w:rPr>
                <w:rFonts w:ascii="Calibri" w:hAnsi="Calibri" w:cs="Calibri"/>
                <w:color w:val="000000"/>
                <w:sz w:val="18"/>
                <w:szCs w:val="18"/>
              </w:rPr>
              <w:t>B000120</w:t>
            </w:r>
          </w:p>
        </w:tc>
        <w:tc>
          <w:tcPr>
            <w:tcW w:w="2693" w:type="dxa"/>
            <w:shd w:val="clear" w:color="auto" w:fill="auto"/>
            <w:hideMark/>
          </w:tcPr>
          <w:p w:rsidR="00226205" w:rsidRPr="00226205" w:rsidRDefault="00226205" w:rsidP="00226205">
            <w:pPr>
              <w:rPr>
                <w:rFonts w:ascii="Calibri" w:hAnsi="Calibri" w:cs="Calibri"/>
                <w:color w:val="000000"/>
                <w:sz w:val="18"/>
                <w:szCs w:val="18"/>
              </w:rPr>
            </w:pPr>
            <w:r w:rsidRPr="00226205">
              <w:rPr>
                <w:rFonts w:ascii="Calibri" w:hAnsi="Calibri" w:cs="Calibri"/>
                <w:noProof/>
                <w:color w:val="000000"/>
                <w:sz w:val="18"/>
                <w:szCs w:val="18"/>
              </w:rPr>
              <w:drawing>
                <wp:anchor distT="0" distB="0" distL="114300" distR="114300" simplePos="0" relativeHeight="251688448" behindDoc="0" locked="0" layoutInCell="1" allowOverlap="1" wp14:anchorId="428390D9" wp14:editId="4C58A621">
                  <wp:simplePos x="0" y="0"/>
                  <wp:positionH relativeFrom="column">
                    <wp:posOffset>-20955</wp:posOffset>
                  </wp:positionH>
                  <wp:positionV relativeFrom="paragraph">
                    <wp:posOffset>30480</wp:posOffset>
                  </wp:positionV>
                  <wp:extent cx="1630680" cy="1272540"/>
                  <wp:effectExtent l="0" t="0" r="0" b="0"/>
                  <wp:wrapNone/>
                  <wp:docPr id="254" name="Picture 254"/>
                  <wp:cNvGraphicFramePr/>
                  <a:graphic xmlns:a="http://schemas.openxmlformats.org/drawingml/2006/main">
                    <a:graphicData uri="http://schemas.openxmlformats.org/drawingml/2006/picture">
                      <pic:pic xmlns:pic="http://schemas.openxmlformats.org/drawingml/2006/picture">
                        <pic:nvPicPr>
                          <pic:cNvPr id="23" name="Picture 22"/>
                          <pic:cNvPicPr>
                            <a:picLocks noChangeAspect="1"/>
                          </pic:cNvPicPr>
                        </pic:nvPicPr>
                        <pic:blipFill>
                          <a:blip r:embed="rId157">
                            <a:extLst>
                              <a:ext uri="{28A0092B-C50C-407E-A947-70E740481C1C}">
                                <a14:useLocalDpi xmlns:a14="http://schemas.microsoft.com/office/drawing/2010/main" val="0"/>
                              </a:ext>
                            </a:extLst>
                          </a:blip>
                          <a:stretch>
                            <a:fillRect/>
                          </a:stretch>
                        </pic:blipFill>
                        <pic:spPr>
                          <a:xfrm>
                            <a:off x="0" y="0"/>
                            <a:ext cx="1627187" cy="1270000"/>
                          </a:xfrm>
                          <a:prstGeom prst="rect">
                            <a:avLst/>
                          </a:prstGeom>
                        </pic:spPr>
                      </pic:pic>
                    </a:graphicData>
                  </a:graphic>
                  <wp14:sizeRelH relativeFrom="page">
                    <wp14:pctWidth>0</wp14:pctWidth>
                  </wp14:sizeRelH>
                  <wp14:sizeRelV relativeFrom="page">
                    <wp14:pctHeight>0</wp14:pctHeight>
                  </wp14:sizeRelV>
                </wp:anchor>
              </w:drawing>
            </w:r>
          </w:p>
        </w:tc>
        <w:tc>
          <w:tcPr>
            <w:tcW w:w="2268" w:type="dxa"/>
            <w:shd w:val="clear" w:color="auto" w:fill="auto"/>
            <w:hideMark/>
          </w:tcPr>
          <w:p w:rsidR="00226205" w:rsidRPr="00226205" w:rsidRDefault="00226205" w:rsidP="00A54993">
            <w:pPr>
              <w:jc w:val="left"/>
              <w:rPr>
                <w:rFonts w:ascii="Calibri" w:hAnsi="Calibri" w:cs="Calibri"/>
                <w:color w:val="000000"/>
                <w:sz w:val="18"/>
                <w:szCs w:val="18"/>
              </w:rPr>
            </w:pPr>
            <w:r w:rsidRPr="00226205">
              <w:rPr>
                <w:rFonts w:ascii="Calibri" w:hAnsi="Calibri" w:cs="Calibri"/>
                <w:color w:val="000000"/>
                <w:sz w:val="18"/>
                <w:szCs w:val="18"/>
              </w:rPr>
              <w:t xml:space="preserve">Boathouse </w:t>
            </w:r>
            <w:r w:rsidR="00B77D83">
              <w:rPr>
                <w:rFonts w:ascii="Calibri" w:hAnsi="Calibri" w:cs="Calibri"/>
                <w:color w:val="000000"/>
                <w:sz w:val="18"/>
                <w:szCs w:val="18"/>
              </w:rPr>
              <w:t>and</w:t>
            </w:r>
            <w:r w:rsidRPr="00226205">
              <w:rPr>
                <w:rFonts w:ascii="Calibri" w:hAnsi="Calibri" w:cs="Calibri"/>
                <w:color w:val="000000"/>
                <w:sz w:val="18"/>
                <w:szCs w:val="18"/>
              </w:rPr>
              <w:t xml:space="preserve"> Tearooms (Incl former Residence),  Fairfield Park- Fairfield Park Drive, Fairfield </w:t>
            </w:r>
          </w:p>
        </w:tc>
        <w:tc>
          <w:tcPr>
            <w:tcW w:w="1276" w:type="dxa"/>
            <w:shd w:val="clear" w:color="auto" w:fill="auto"/>
            <w:hideMark/>
          </w:tcPr>
          <w:p w:rsidR="00226205" w:rsidRPr="00226205" w:rsidRDefault="00B77D83" w:rsidP="009965C5">
            <w:pPr>
              <w:tabs>
                <w:tab w:val="decimal" w:pos="884"/>
              </w:tabs>
              <w:jc w:val="left"/>
              <w:rPr>
                <w:rFonts w:ascii="Calibri" w:hAnsi="Calibri" w:cs="Calibri"/>
                <w:color w:val="000000"/>
                <w:sz w:val="18"/>
                <w:szCs w:val="18"/>
              </w:rPr>
            </w:pPr>
            <w:r>
              <w:rPr>
                <w:rFonts w:ascii="Calibri" w:hAnsi="Calibri" w:cs="Calibri"/>
                <w:color w:val="000000"/>
                <w:sz w:val="18"/>
                <w:szCs w:val="18"/>
              </w:rPr>
              <w:t>$</w:t>
            </w:r>
            <w:r w:rsidR="00226205" w:rsidRPr="00226205">
              <w:rPr>
                <w:rFonts w:ascii="Calibri" w:hAnsi="Calibri" w:cs="Calibri"/>
                <w:color w:val="000000"/>
                <w:sz w:val="18"/>
                <w:szCs w:val="18"/>
              </w:rPr>
              <w:t>1,125,000</w:t>
            </w:r>
          </w:p>
        </w:tc>
        <w:tc>
          <w:tcPr>
            <w:tcW w:w="1134" w:type="dxa"/>
            <w:shd w:val="clear" w:color="auto" w:fill="auto"/>
            <w:hideMark/>
          </w:tcPr>
          <w:p w:rsidR="00226205" w:rsidRPr="00226205" w:rsidRDefault="00226205" w:rsidP="00226205">
            <w:pPr>
              <w:jc w:val="center"/>
              <w:rPr>
                <w:rFonts w:ascii="Calibri" w:hAnsi="Calibri" w:cs="Calibri"/>
                <w:color w:val="000000"/>
                <w:sz w:val="18"/>
                <w:szCs w:val="18"/>
              </w:rPr>
            </w:pPr>
            <w:r w:rsidRPr="00226205">
              <w:rPr>
                <w:rFonts w:ascii="Calibri" w:hAnsi="Calibri" w:cs="Calibri"/>
                <w:color w:val="000000"/>
                <w:sz w:val="18"/>
                <w:szCs w:val="18"/>
              </w:rPr>
              <w:t>Commercial</w:t>
            </w:r>
          </w:p>
        </w:tc>
        <w:tc>
          <w:tcPr>
            <w:tcW w:w="1417" w:type="dxa"/>
            <w:shd w:val="clear" w:color="auto" w:fill="auto"/>
            <w:hideMark/>
          </w:tcPr>
          <w:p w:rsidR="00226205" w:rsidRPr="00226205" w:rsidRDefault="00226205" w:rsidP="00226205">
            <w:pPr>
              <w:jc w:val="center"/>
              <w:rPr>
                <w:rFonts w:ascii="Calibri" w:hAnsi="Calibri" w:cs="Calibri"/>
                <w:color w:val="000000"/>
                <w:sz w:val="18"/>
                <w:szCs w:val="18"/>
              </w:rPr>
            </w:pPr>
            <w:r w:rsidRPr="00226205">
              <w:rPr>
                <w:rFonts w:ascii="Calibri" w:hAnsi="Calibri" w:cs="Calibri"/>
                <w:color w:val="000000"/>
                <w:sz w:val="18"/>
                <w:szCs w:val="18"/>
              </w:rPr>
              <w:t>Restaurant</w:t>
            </w:r>
          </w:p>
        </w:tc>
        <w:tc>
          <w:tcPr>
            <w:tcW w:w="2410" w:type="dxa"/>
            <w:shd w:val="clear" w:color="auto" w:fill="auto"/>
            <w:hideMark/>
          </w:tcPr>
          <w:p w:rsidR="00226205" w:rsidRPr="00226205" w:rsidRDefault="00226205" w:rsidP="00226205">
            <w:pPr>
              <w:jc w:val="left"/>
              <w:rPr>
                <w:rFonts w:ascii="Calibri" w:hAnsi="Calibri" w:cs="Calibri"/>
                <w:color w:val="000000"/>
                <w:sz w:val="18"/>
                <w:szCs w:val="18"/>
              </w:rPr>
            </w:pPr>
            <w:r w:rsidRPr="00226205">
              <w:rPr>
                <w:rFonts w:ascii="Calibri" w:hAnsi="Calibri" w:cs="Calibri"/>
                <w:color w:val="000000"/>
                <w:sz w:val="18"/>
                <w:szCs w:val="18"/>
              </w:rPr>
              <w:t xml:space="preserve">The building is in a good condition. </w:t>
            </w:r>
          </w:p>
        </w:tc>
        <w:tc>
          <w:tcPr>
            <w:tcW w:w="3118" w:type="dxa"/>
            <w:shd w:val="clear" w:color="auto" w:fill="auto"/>
            <w:hideMark/>
          </w:tcPr>
          <w:p w:rsidR="00226205" w:rsidRPr="00226205" w:rsidRDefault="00226205" w:rsidP="00226205">
            <w:pPr>
              <w:jc w:val="left"/>
              <w:rPr>
                <w:rFonts w:ascii="Calibri" w:hAnsi="Calibri" w:cs="Calibri"/>
                <w:color w:val="000000"/>
                <w:sz w:val="18"/>
                <w:szCs w:val="18"/>
              </w:rPr>
            </w:pPr>
            <w:r w:rsidRPr="00226205">
              <w:rPr>
                <w:rFonts w:ascii="Calibri" w:hAnsi="Calibri" w:cs="Calibri"/>
                <w:color w:val="000000"/>
                <w:sz w:val="18"/>
                <w:szCs w:val="18"/>
              </w:rPr>
              <w:t>The site is a commercial operation and utilises the park carpark which is also used by park users. Has limited public transport options. The building is leased to the operators of the Fairfield Park Boathouse for another 18 years with requirements in the lease for repairs, maintenance and capital improvements.</w:t>
            </w:r>
          </w:p>
        </w:tc>
      </w:tr>
      <w:tr w:rsidR="00226205" w:rsidRPr="00226205" w:rsidTr="00B77D83">
        <w:trPr>
          <w:cantSplit/>
          <w:trHeight w:val="2348"/>
        </w:trPr>
        <w:tc>
          <w:tcPr>
            <w:tcW w:w="998" w:type="dxa"/>
            <w:shd w:val="clear" w:color="auto" w:fill="auto"/>
            <w:hideMark/>
          </w:tcPr>
          <w:p w:rsidR="00226205" w:rsidRPr="00226205" w:rsidRDefault="00226205" w:rsidP="006918D2">
            <w:pPr>
              <w:jc w:val="center"/>
              <w:rPr>
                <w:rFonts w:ascii="Calibri" w:hAnsi="Calibri" w:cs="Calibri"/>
                <w:color w:val="000000"/>
                <w:sz w:val="18"/>
                <w:szCs w:val="18"/>
              </w:rPr>
            </w:pPr>
            <w:r w:rsidRPr="00226205">
              <w:rPr>
                <w:rFonts w:ascii="Calibri" w:hAnsi="Calibri" w:cs="Calibri"/>
                <w:color w:val="000000"/>
                <w:sz w:val="18"/>
                <w:szCs w:val="18"/>
              </w:rPr>
              <w:t>B000122</w:t>
            </w:r>
          </w:p>
        </w:tc>
        <w:tc>
          <w:tcPr>
            <w:tcW w:w="2693" w:type="dxa"/>
            <w:shd w:val="clear" w:color="auto" w:fill="auto"/>
            <w:hideMark/>
          </w:tcPr>
          <w:p w:rsidR="00226205" w:rsidRPr="00226205" w:rsidRDefault="00226205" w:rsidP="00226205">
            <w:pPr>
              <w:rPr>
                <w:rFonts w:ascii="Calibri" w:hAnsi="Calibri" w:cs="Calibri"/>
                <w:color w:val="000000"/>
                <w:sz w:val="18"/>
                <w:szCs w:val="18"/>
              </w:rPr>
            </w:pPr>
            <w:r w:rsidRPr="00226205">
              <w:rPr>
                <w:rFonts w:ascii="Calibri" w:hAnsi="Calibri" w:cs="Calibri"/>
                <w:noProof/>
                <w:color w:val="000000"/>
                <w:sz w:val="18"/>
                <w:szCs w:val="18"/>
              </w:rPr>
              <w:drawing>
                <wp:anchor distT="0" distB="0" distL="114300" distR="114300" simplePos="0" relativeHeight="251776512" behindDoc="0" locked="0" layoutInCell="1" allowOverlap="1" wp14:anchorId="7FEA1CE5" wp14:editId="53638662">
                  <wp:simplePos x="0" y="0"/>
                  <wp:positionH relativeFrom="column">
                    <wp:posOffset>-20955</wp:posOffset>
                  </wp:positionH>
                  <wp:positionV relativeFrom="paragraph">
                    <wp:posOffset>51630</wp:posOffset>
                  </wp:positionV>
                  <wp:extent cx="1630800" cy="1386000"/>
                  <wp:effectExtent l="0" t="0" r="0" b="0"/>
                  <wp:wrapNone/>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Picture 120"/>
                          <pic:cNvPicPr>
                            <a:picLocks noChangeAspect="1"/>
                          </pic:cNvPicPr>
                        </pic:nvPicPr>
                        <pic:blipFill>
                          <a:blip r:embed="rId158">
                            <a:extLst>
                              <a:ext uri="{28A0092B-C50C-407E-A947-70E740481C1C}">
                                <a14:useLocalDpi xmlns:a14="http://schemas.microsoft.com/office/drawing/2010/main" val="0"/>
                              </a:ext>
                            </a:extLst>
                          </a:blip>
                          <a:stretch>
                            <a:fillRect/>
                          </a:stretch>
                        </pic:blipFill>
                        <pic:spPr>
                          <a:xfrm>
                            <a:off x="0" y="0"/>
                            <a:ext cx="1630800" cy="1386000"/>
                          </a:xfrm>
                          <a:prstGeom prst="rect">
                            <a:avLst/>
                          </a:prstGeom>
                        </pic:spPr>
                      </pic:pic>
                    </a:graphicData>
                  </a:graphic>
                  <wp14:sizeRelH relativeFrom="page">
                    <wp14:pctWidth>0</wp14:pctWidth>
                  </wp14:sizeRelH>
                  <wp14:sizeRelV relativeFrom="page">
                    <wp14:pctHeight>0</wp14:pctHeight>
                  </wp14:sizeRelV>
                </wp:anchor>
              </w:drawing>
            </w:r>
          </w:p>
        </w:tc>
        <w:tc>
          <w:tcPr>
            <w:tcW w:w="2268" w:type="dxa"/>
            <w:shd w:val="clear" w:color="auto" w:fill="auto"/>
            <w:hideMark/>
          </w:tcPr>
          <w:p w:rsidR="00226205" w:rsidRPr="00226205" w:rsidRDefault="00226205" w:rsidP="00A54993">
            <w:pPr>
              <w:jc w:val="left"/>
              <w:rPr>
                <w:rFonts w:ascii="Calibri" w:hAnsi="Calibri" w:cs="Calibri"/>
                <w:color w:val="000000"/>
                <w:sz w:val="18"/>
                <w:szCs w:val="18"/>
              </w:rPr>
            </w:pPr>
            <w:r w:rsidRPr="00226205">
              <w:rPr>
                <w:rFonts w:ascii="Calibri" w:hAnsi="Calibri" w:cs="Calibri"/>
                <w:color w:val="000000"/>
                <w:sz w:val="18"/>
                <w:szCs w:val="18"/>
              </w:rPr>
              <w:t xml:space="preserve">Canoe Club, Fairfield Park- Fairfield Park Drive, Fairfield </w:t>
            </w:r>
          </w:p>
        </w:tc>
        <w:tc>
          <w:tcPr>
            <w:tcW w:w="1276" w:type="dxa"/>
            <w:shd w:val="clear" w:color="auto" w:fill="auto"/>
            <w:hideMark/>
          </w:tcPr>
          <w:p w:rsidR="00226205" w:rsidRPr="00226205" w:rsidRDefault="00226205" w:rsidP="009965C5">
            <w:pPr>
              <w:tabs>
                <w:tab w:val="decimal" w:pos="884"/>
              </w:tabs>
              <w:jc w:val="left"/>
              <w:rPr>
                <w:rFonts w:ascii="Calibri" w:hAnsi="Calibri" w:cs="Calibri"/>
                <w:color w:val="000000"/>
                <w:sz w:val="18"/>
                <w:szCs w:val="18"/>
              </w:rPr>
            </w:pPr>
            <w:r w:rsidRPr="00226205">
              <w:rPr>
                <w:rFonts w:ascii="Calibri" w:hAnsi="Calibri" w:cs="Calibri"/>
                <w:color w:val="000000"/>
                <w:sz w:val="18"/>
                <w:szCs w:val="18"/>
              </w:rPr>
              <w:t>$916,929</w:t>
            </w:r>
          </w:p>
        </w:tc>
        <w:tc>
          <w:tcPr>
            <w:tcW w:w="1134" w:type="dxa"/>
            <w:shd w:val="clear" w:color="auto" w:fill="auto"/>
            <w:hideMark/>
          </w:tcPr>
          <w:p w:rsidR="00226205" w:rsidRPr="00226205" w:rsidRDefault="00226205" w:rsidP="00226205">
            <w:pPr>
              <w:jc w:val="center"/>
              <w:rPr>
                <w:rFonts w:ascii="Calibri" w:hAnsi="Calibri" w:cs="Calibri"/>
                <w:color w:val="000000"/>
                <w:sz w:val="18"/>
                <w:szCs w:val="18"/>
              </w:rPr>
            </w:pPr>
            <w:r w:rsidRPr="00226205">
              <w:rPr>
                <w:rFonts w:ascii="Calibri" w:hAnsi="Calibri" w:cs="Calibri"/>
                <w:color w:val="000000"/>
                <w:sz w:val="18"/>
                <w:szCs w:val="18"/>
              </w:rPr>
              <w:t xml:space="preserve">Recreation </w:t>
            </w:r>
            <w:r w:rsidR="00B77D83">
              <w:rPr>
                <w:rFonts w:ascii="Calibri" w:hAnsi="Calibri" w:cs="Calibri"/>
                <w:color w:val="000000"/>
                <w:sz w:val="18"/>
                <w:szCs w:val="18"/>
              </w:rPr>
              <w:t>and</w:t>
            </w:r>
            <w:r w:rsidRPr="00226205">
              <w:rPr>
                <w:rFonts w:ascii="Calibri" w:hAnsi="Calibri" w:cs="Calibri"/>
                <w:color w:val="000000"/>
                <w:sz w:val="18"/>
                <w:szCs w:val="18"/>
              </w:rPr>
              <w:t xml:space="preserve"> Open Space</w:t>
            </w:r>
          </w:p>
        </w:tc>
        <w:tc>
          <w:tcPr>
            <w:tcW w:w="1417" w:type="dxa"/>
            <w:shd w:val="clear" w:color="auto" w:fill="auto"/>
            <w:hideMark/>
          </w:tcPr>
          <w:p w:rsidR="00226205" w:rsidRPr="00226205" w:rsidRDefault="00226205" w:rsidP="00226205">
            <w:pPr>
              <w:jc w:val="center"/>
              <w:rPr>
                <w:rFonts w:ascii="Calibri" w:hAnsi="Calibri" w:cs="Calibri"/>
                <w:color w:val="000000"/>
                <w:sz w:val="18"/>
                <w:szCs w:val="18"/>
              </w:rPr>
            </w:pPr>
            <w:r w:rsidRPr="00226205">
              <w:rPr>
                <w:rFonts w:ascii="Calibri" w:hAnsi="Calibri" w:cs="Calibri"/>
                <w:color w:val="000000"/>
                <w:sz w:val="18"/>
                <w:szCs w:val="18"/>
              </w:rPr>
              <w:t>Pavilions / Clubrooms / Change rooms</w:t>
            </w:r>
          </w:p>
        </w:tc>
        <w:tc>
          <w:tcPr>
            <w:tcW w:w="2410" w:type="dxa"/>
            <w:shd w:val="clear" w:color="auto" w:fill="auto"/>
            <w:hideMark/>
          </w:tcPr>
          <w:p w:rsidR="00226205" w:rsidRPr="00226205" w:rsidRDefault="00226205" w:rsidP="00226205">
            <w:pPr>
              <w:jc w:val="left"/>
              <w:rPr>
                <w:rFonts w:ascii="Calibri" w:hAnsi="Calibri" w:cs="Calibri"/>
                <w:color w:val="000000"/>
                <w:sz w:val="18"/>
                <w:szCs w:val="18"/>
              </w:rPr>
            </w:pPr>
            <w:r w:rsidRPr="00226205">
              <w:rPr>
                <w:rFonts w:ascii="Calibri" w:hAnsi="Calibri" w:cs="Calibri"/>
                <w:color w:val="000000"/>
                <w:sz w:val="18"/>
                <w:szCs w:val="18"/>
              </w:rPr>
              <w:t xml:space="preserve">The building is in a good condition. </w:t>
            </w:r>
          </w:p>
        </w:tc>
        <w:tc>
          <w:tcPr>
            <w:tcW w:w="3118" w:type="dxa"/>
            <w:shd w:val="clear" w:color="auto" w:fill="auto"/>
            <w:hideMark/>
          </w:tcPr>
          <w:p w:rsidR="00226205" w:rsidRPr="00226205" w:rsidRDefault="00226205" w:rsidP="00226205">
            <w:pPr>
              <w:jc w:val="left"/>
              <w:rPr>
                <w:rFonts w:ascii="Calibri" w:hAnsi="Calibri" w:cs="Calibri"/>
                <w:color w:val="000000"/>
                <w:sz w:val="18"/>
                <w:szCs w:val="18"/>
              </w:rPr>
            </w:pPr>
            <w:r w:rsidRPr="00226205">
              <w:rPr>
                <w:rFonts w:ascii="Calibri" w:hAnsi="Calibri" w:cs="Calibri"/>
                <w:color w:val="000000"/>
                <w:sz w:val="18"/>
                <w:szCs w:val="18"/>
              </w:rPr>
              <w:t>Full assessment not yet carried out.</w:t>
            </w:r>
            <w:r w:rsidRPr="00226205">
              <w:rPr>
                <w:rFonts w:ascii="Calibri" w:hAnsi="Calibri" w:cs="Calibri"/>
                <w:color w:val="000000"/>
                <w:sz w:val="18"/>
                <w:szCs w:val="18"/>
              </w:rPr>
              <w:br/>
              <w:t>Requires more detailed review.  The site is leased to the Ivanhoe and Northcote Canoe Club</w:t>
            </w:r>
          </w:p>
        </w:tc>
      </w:tr>
      <w:tr w:rsidR="00226205" w:rsidRPr="00226205" w:rsidTr="00B77D83">
        <w:trPr>
          <w:cantSplit/>
          <w:trHeight w:val="2112"/>
        </w:trPr>
        <w:tc>
          <w:tcPr>
            <w:tcW w:w="998" w:type="dxa"/>
            <w:shd w:val="clear" w:color="auto" w:fill="auto"/>
            <w:hideMark/>
          </w:tcPr>
          <w:p w:rsidR="00226205" w:rsidRPr="00226205" w:rsidRDefault="00226205" w:rsidP="006918D2">
            <w:pPr>
              <w:jc w:val="center"/>
              <w:rPr>
                <w:rFonts w:ascii="Calibri" w:hAnsi="Calibri" w:cs="Calibri"/>
                <w:color w:val="000000"/>
                <w:sz w:val="18"/>
                <w:szCs w:val="18"/>
              </w:rPr>
            </w:pPr>
            <w:r w:rsidRPr="00226205">
              <w:rPr>
                <w:rFonts w:ascii="Calibri" w:hAnsi="Calibri" w:cs="Calibri"/>
                <w:color w:val="000000"/>
                <w:sz w:val="18"/>
                <w:szCs w:val="18"/>
              </w:rPr>
              <w:t>B000123</w:t>
            </w:r>
          </w:p>
        </w:tc>
        <w:tc>
          <w:tcPr>
            <w:tcW w:w="2693" w:type="dxa"/>
            <w:shd w:val="clear" w:color="auto" w:fill="auto"/>
            <w:hideMark/>
          </w:tcPr>
          <w:p w:rsidR="00226205" w:rsidRPr="00226205" w:rsidRDefault="00226205" w:rsidP="00226205">
            <w:pPr>
              <w:rPr>
                <w:rFonts w:ascii="Calibri" w:hAnsi="Calibri" w:cs="Calibri"/>
                <w:color w:val="000000"/>
                <w:sz w:val="18"/>
                <w:szCs w:val="18"/>
              </w:rPr>
            </w:pPr>
            <w:r w:rsidRPr="00226205">
              <w:rPr>
                <w:rFonts w:ascii="Calibri" w:hAnsi="Calibri" w:cs="Calibri"/>
                <w:noProof/>
                <w:color w:val="000000"/>
                <w:sz w:val="18"/>
                <w:szCs w:val="18"/>
              </w:rPr>
              <w:drawing>
                <wp:anchor distT="0" distB="0" distL="114300" distR="114300" simplePos="0" relativeHeight="251689472" behindDoc="0" locked="0" layoutInCell="1" allowOverlap="1" wp14:anchorId="2C274DEC" wp14:editId="7AE514EC">
                  <wp:simplePos x="0" y="0"/>
                  <wp:positionH relativeFrom="column">
                    <wp:posOffset>-20955</wp:posOffset>
                  </wp:positionH>
                  <wp:positionV relativeFrom="paragraph">
                    <wp:posOffset>45915</wp:posOffset>
                  </wp:positionV>
                  <wp:extent cx="1630800" cy="1249200"/>
                  <wp:effectExtent l="0" t="0" r="0" b="0"/>
                  <wp:wrapNone/>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3"/>
                          <pic:cNvPicPr>
                            <a:picLocks noChangeAspect="1"/>
                          </pic:cNvPicPr>
                        </pic:nvPicPr>
                        <pic:blipFill>
                          <a:blip r:embed="rId159">
                            <a:extLst>
                              <a:ext uri="{28A0092B-C50C-407E-A947-70E740481C1C}">
                                <a14:useLocalDpi xmlns:a14="http://schemas.microsoft.com/office/drawing/2010/main" val="0"/>
                              </a:ext>
                            </a:extLst>
                          </a:blip>
                          <a:stretch>
                            <a:fillRect/>
                          </a:stretch>
                        </pic:blipFill>
                        <pic:spPr>
                          <a:xfrm>
                            <a:off x="0" y="0"/>
                            <a:ext cx="1630800" cy="1249200"/>
                          </a:xfrm>
                          <a:prstGeom prst="rect">
                            <a:avLst/>
                          </a:prstGeom>
                        </pic:spPr>
                      </pic:pic>
                    </a:graphicData>
                  </a:graphic>
                  <wp14:sizeRelH relativeFrom="page">
                    <wp14:pctWidth>0</wp14:pctWidth>
                  </wp14:sizeRelH>
                  <wp14:sizeRelV relativeFrom="page">
                    <wp14:pctHeight>0</wp14:pctHeight>
                  </wp14:sizeRelV>
                </wp:anchor>
              </w:drawing>
            </w:r>
          </w:p>
        </w:tc>
        <w:tc>
          <w:tcPr>
            <w:tcW w:w="2268" w:type="dxa"/>
            <w:shd w:val="clear" w:color="auto" w:fill="auto"/>
            <w:hideMark/>
          </w:tcPr>
          <w:p w:rsidR="00226205" w:rsidRPr="00226205" w:rsidRDefault="00226205" w:rsidP="00A54993">
            <w:pPr>
              <w:jc w:val="left"/>
              <w:rPr>
                <w:rFonts w:ascii="Calibri" w:hAnsi="Calibri" w:cs="Calibri"/>
                <w:color w:val="000000"/>
                <w:sz w:val="18"/>
                <w:szCs w:val="18"/>
              </w:rPr>
            </w:pPr>
            <w:r w:rsidRPr="00226205">
              <w:rPr>
                <w:rFonts w:ascii="Calibri" w:hAnsi="Calibri" w:cs="Calibri"/>
                <w:color w:val="000000"/>
                <w:sz w:val="18"/>
                <w:szCs w:val="18"/>
              </w:rPr>
              <w:t xml:space="preserve">Carport, Fairfield Park- Fairfield Park Drive, Fairfield </w:t>
            </w:r>
          </w:p>
        </w:tc>
        <w:tc>
          <w:tcPr>
            <w:tcW w:w="1276" w:type="dxa"/>
            <w:shd w:val="clear" w:color="auto" w:fill="auto"/>
            <w:hideMark/>
          </w:tcPr>
          <w:p w:rsidR="00226205" w:rsidRPr="00226205" w:rsidRDefault="00226205" w:rsidP="009965C5">
            <w:pPr>
              <w:tabs>
                <w:tab w:val="decimal" w:pos="884"/>
              </w:tabs>
              <w:jc w:val="left"/>
              <w:rPr>
                <w:rFonts w:ascii="Calibri" w:hAnsi="Calibri" w:cs="Calibri"/>
                <w:color w:val="000000"/>
                <w:sz w:val="18"/>
                <w:szCs w:val="18"/>
              </w:rPr>
            </w:pPr>
            <w:r w:rsidRPr="00226205">
              <w:rPr>
                <w:rFonts w:ascii="Calibri" w:hAnsi="Calibri" w:cs="Calibri"/>
                <w:color w:val="000000"/>
                <w:sz w:val="18"/>
                <w:szCs w:val="18"/>
              </w:rPr>
              <w:t>$10,000</w:t>
            </w:r>
          </w:p>
        </w:tc>
        <w:tc>
          <w:tcPr>
            <w:tcW w:w="1134" w:type="dxa"/>
            <w:shd w:val="clear" w:color="auto" w:fill="auto"/>
            <w:hideMark/>
          </w:tcPr>
          <w:p w:rsidR="00226205" w:rsidRPr="00226205" w:rsidRDefault="00226205" w:rsidP="00226205">
            <w:pPr>
              <w:jc w:val="center"/>
              <w:rPr>
                <w:rFonts w:ascii="Calibri" w:hAnsi="Calibri" w:cs="Calibri"/>
                <w:color w:val="000000"/>
                <w:sz w:val="18"/>
                <w:szCs w:val="18"/>
              </w:rPr>
            </w:pPr>
            <w:r w:rsidRPr="00226205">
              <w:rPr>
                <w:rFonts w:ascii="Calibri" w:hAnsi="Calibri" w:cs="Calibri"/>
                <w:color w:val="000000"/>
                <w:sz w:val="18"/>
                <w:szCs w:val="18"/>
              </w:rPr>
              <w:t>Commercial</w:t>
            </w:r>
          </w:p>
        </w:tc>
        <w:tc>
          <w:tcPr>
            <w:tcW w:w="1417" w:type="dxa"/>
            <w:shd w:val="clear" w:color="auto" w:fill="auto"/>
            <w:hideMark/>
          </w:tcPr>
          <w:p w:rsidR="00226205" w:rsidRPr="00226205" w:rsidRDefault="00226205" w:rsidP="00226205">
            <w:pPr>
              <w:jc w:val="center"/>
              <w:rPr>
                <w:rFonts w:ascii="Calibri" w:hAnsi="Calibri" w:cs="Calibri"/>
                <w:color w:val="000000"/>
                <w:sz w:val="18"/>
                <w:szCs w:val="18"/>
              </w:rPr>
            </w:pPr>
            <w:r w:rsidRPr="00226205">
              <w:rPr>
                <w:rFonts w:ascii="Calibri" w:hAnsi="Calibri" w:cs="Calibri"/>
                <w:color w:val="000000"/>
                <w:sz w:val="18"/>
                <w:szCs w:val="18"/>
              </w:rPr>
              <w:t>Stores / Sheds / Garages</w:t>
            </w:r>
          </w:p>
        </w:tc>
        <w:tc>
          <w:tcPr>
            <w:tcW w:w="2410" w:type="dxa"/>
            <w:shd w:val="clear" w:color="auto" w:fill="auto"/>
            <w:hideMark/>
          </w:tcPr>
          <w:p w:rsidR="00226205" w:rsidRPr="00226205" w:rsidRDefault="00226205" w:rsidP="00226205">
            <w:pPr>
              <w:jc w:val="left"/>
              <w:rPr>
                <w:rFonts w:ascii="Calibri" w:hAnsi="Calibri" w:cs="Calibri"/>
                <w:color w:val="000000"/>
                <w:sz w:val="18"/>
                <w:szCs w:val="18"/>
              </w:rPr>
            </w:pPr>
            <w:r w:rsidRPr="00226205">
              <w:rPr>
                <w:rFonts w:ascii="Calibri" w:hAnsi="Calibri" w:cs="Calibri"/>
                <w:color w:val="000000"/>
                <w:sz w:val="18"/>
                <w:szCs w:val="18"/>
              </w:rPr>
              <w:t xml:space="preserve">The building is in a poor condition. </w:t>
            </w:r>
          </w:p>
        </w:tc>
        <w:tc>
          <w:tcPr>
            <w:tcW w:w="3118" w:type="dxa"/>
            <w:shd w:val="clear" w:color="auto" w:fill="auto"/>
            <w:hideMark/>
          </w:tcPr>
          <w:p w:rsidR="00226205" w:rsidRPr="00226205" w:rsidRDefault="00226205" w:rsidP="00226205">
            <w:pPr>
              <w:jc w:val="left"/>
              <w:rPr>
                <w:rFonts w:ascii="Calibri" w:hAnsi="Calibri" w:cs="Calibri"/>
                <w:color w:val="000000"/>
                <w:sz w:val="18"/>
                <w:szCs w:val="18"/>
              </w:rPr>
            </w:pPr>
            <w:r w:rsidRPr="00226205">
              <w:rPr>
                <w:rFonts w:ascii="Calibri" w:hAnsi="Calibri" w:cs="Calibri"/>
                <w:color w:val="000000"/>
                <w:sz w:val="18"/>
                <w:szCs w:val="18"/>
              </w:rPr>
              <w:t>Full assessment not yet carried out.</w:t>
            </w:r>
            <w:r w:rsidRPr="00226205">
              <w:rPr>
                <w:rFonts w:ascii="Calibri" w:hAnsi="Calibri" w:cs="Calibri"/>
                <w:color w:val="000000"/>
                <w:sz w:val="18"/>
                <w:szCs w:val="18"/>
              </w:rPr>
              <w:br/>
              <w:t>Requires more detailed review.</w:t>
            </w:r>
          </w:p>
        </w:tc>
      </w:tr>
      <w:tr w:rsidR="00226205" w:rsidRPr="00226205" w:rsidTr="00B77D83">
        <w:trPr>
          <w:cantSplit/>
          <w:trHeight w:val="1986"/>
        </w:trPr>
        <w:tc>
          <w:tcPr>
            <w:tcW w:w="998" w:type="dxa"/>
            <w:shd w:val="clear" w:color="auto" w:fill="auto"/>
            <w:hideMark/>
          </w:tcPr>
          <w:p w:rsidR="00226205" w:rsidRPr="00226205" w:rsidRDefault="00226205" w:rsidP="006918D2">
            <w:pPr>
              <w:jc w:val="center"/>
              <w:rPr>
                <w:rFonts w:ascii="Calibri" w:hAnsi="Calibri" w:cs="Calibri"/>
                <w:color w:val="000000"/>
                <w:sz w:val="18"/>
                <w:szCs w:val="18"/>
              </w:rPr>
            </w:pPr>
            <w:r w:rsidRPr="00226205">
              <w:rPr>
                <w:rFonts w:ascii="Calibri" w:hAnsi="Calibri" w:cs="Calibri"/>
                <w:color w:val="000000"/>
                <w:sz w:val="18"/>
                <w:szCs w:val="18"/>
              </w:rPr>
              <w:t>B000124</w:t>
            </w:r>
          </w:p>
        </w:tc>
        <w:tc>
          <w:tcPr>
            <w:tcW w:w="2693" w:type="dxa"/>
            <w:shd w:val="clear" w:color="auto" w:fill="auto"/>
            <w:hideMark/>
          </w:tcPr>
          <w:p w:rsidR="00226205" w:rsidRPr="00226205" w:rsidRDefault="00226205" w:rsidP="00226205">
            <w:pPr>
              <w:rPr>
                <w:rFonts w:ascii="Calibri" w:hAnsi="Calibri" w:cs="Calibri"/>
                <w:color w:val="000000"/>
                <w:sz w:val="18"/>
                <w:szCs w:val="18"/>
              </w:rPr>
            </w:pPr>
            <w:r w:rsidRPr="00226205">
              <w:rPr>
                <w:rFonts w:ascii="Calibri" w:hAnsi="Calibri" w:cs="Calibri"/>
                <w:noProof/>
                <w:color w:val="000000"/>
                <w:sz w:val="18"/>
                <w:szCs w:val="18"/>
              </w:rPr>
              <w:drawing>
                <wp:anchor distT="0" distB="0" distL="114300" distR="114300" simplePos="0" relativeHeight="251777536" behindDoc="0" locked="0" layoutInCell="1" allowOverlap="1" wp14:anchorId="416098CC" wp14:editId="31D295B7">
                  <wp:simplePos x="0" y="0"/>
                  <wp:positionH relativeFrom="column">
                    <wp:posOffset>-20955</wp:posOffset>
                  </wp:positionH>
                  <wp:positionV relativeFrom="paragraph">
                    <wp:posOffset>51875</wp:posOffset>
                  </wp:positionV>
                  <wp:extent cx="1630800" cy="1134000"/>
                  <wp:effectExtent l="0" t="0" r="0" b="0"/>
                  <wp:wrapNone/>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Picture 122"/>
                          <pic:cNvPicPr>
                            <a:picLocks noChangeAspect="1"/>
                          </pic:cNvPicPr>
                        </pic:nvPicPr>
                        <pic:blipFill>
                          <a:blip r:embed="rId160">
                            <a:extLst>
                              <a:ext uri="{28A0092B-C50C-407E-A947-70E740481C1C}">
                                <a14:useLocalDpi xmlns:a14="http://schemas.microsoft.com/office/drawing/2010/main" val="0"/>
                              </a:ext>
                            </a:extLst>
                          </a:blip>
                          <a:stretch>
                            <a:fillRect/>
                          </a:stretch>
                        </pic:blipFill>
                        <pic:spPr>
                          <a:xfrm>
                            <a:off x="0" y="0"/>
                            <a:ext cx="1630800" cy="1134000"/>
                          </a:xfrm>
                          <a:prstGeom prst="rect">
                            <a:avLst/>
                          </a:prstGeom>
                        </pic:spPr>
                      </pic:pic>
                    </a:graphicData>
                  </a:graphic>
                  <wp14:sizeRelH relativeFrom="page">
                    <wp14:pctWidth>0</wp14:pctWidth>
                  </wp14:sizeRelH>
                  <wp14:sizeRelV relativeFrom="page">
                    <wp14:pctHeight>0</wp14:pctHeight>
                  </wp14:sizeRelV>
                </wp:anchor>
              </w:drawing>
            </w:r>
          </w:p>
        </w:tc>
        <w:tc>
          <w:tcPr>
            <w:tcW w:w="2268" w:type="dxa"/>
            <w:shd w:val="clear" w:color="auto" w:fill="auto"/>
            <w:hideMark/>
          </w:tcPr>
          <w:p w:rsidR="00226205" w:rsidRPr="00226205" w:rsidRDefault="00226205" w:rsidP="00A54993">
            <w:pPr>
              <w:jc w:val="left"/>
              <w:rPr>
                <w:rFonts w:ascii="Calibri" w:hAnsi="Calibri" w:cs="Calibri"/>
                <w:color w:val="000000"/>
                <w:sz w:val="18"/>
                <w:szCs w:val="18"/>
              </w:rPr>
            </w:pPr>
            <w:r w:rsidRPr="00226205">
              <w:rPr>
                <w:rFonts w:ascii="Calibri" w:hAnsi="Calibri" w:cs="Calibri"/>
                <w:color w:val="000000"/>
                <w:sz w:val="18"/>
                <w:szCs w:val="18"/>
              </w:rPr>
              <w:t xml:space="preserve">Equipment Shed, Fairfield Park- Fairfield Park Drive, Fairfield </w:t>
            </w:r>
          </w:p>
        </w:tc>
        <w:tc>
          <w:tcPr>
            <w:tcW w:w="1276" w:type="dxa"/>
            <w:shd w:val="clear" w:color="auto" w:fill="auto"/>
            <w:hideMark/>
          </w:tcPr>
          <w:p w:rsidR="00226205" w:rsidRPr="00226205" w:rsidRDefault="00226205" w:rsidP="009965C5">
            <w:pPr>
              <w:tabs>
                <w:tab w:val="decimal" w:pos="884"/>
              </w:tabs>
              <w:jc w:val="left"/>
              <w:rPr>
                <w:rFonts w:ascii="Calibri" w:hAnsi="Calibri" w:cs="Calibri"/>
                <w:color w:val="000000"/>
                <w:sz w:val="18"/>
                <w:szCs w:val="18"/>
              </w:rPr>
            </w:pPr>
            <w:r w:rsidRPr="00226205">
              <w:rPr>
                <w:rFonts w:ascii="Calibri" w:hAnsi="Calibri" w:cs="Calibri"/>
                <w:color w:val="000000"/>
                <w:sz w:val="18"/>
                <w:szCs w:val="18"/>
              </w:rPr>
              <w:t>$5,985</w:t>
            </w:r>
          </w:p>
        </w:tc>
        <w:tc>
          <w:tcPr>
            <w:tcW w:w="1134" w:type="dxa"/>
            <w:shd w:val="clear" w:color="auto" w:fill="auto"/>
            <w:hideMark/>
          </w:tcPr>
          <w:p w:rsidR="00226205" w:rsidRPr="00226205" w:rsidRDefault="00226205" w:rsidP="00226205">
            <w:pPr>
              <w:jc w:val="center"/>
              <w:rPr>
                <w:rFonts w:ascii="Calibri" w:hAnsi="Calibri" w:cs="Calibri"/>
                <w:color w:val="000000"/>
                <w:sz w:val="18"/>
                <w:szCs w:val="18"/>
              </w:rPr>
            </w:pPr>
            <w:r w:rsidRPr="00226205">
              <w:rPr>
                <w:rFonts w:ascii="Calibri" w:hAnsi="Calibri" w:cs="Calibri"/>
                <w:color w:val="000000"/>
                <w:sz w:val="18"/>
                <w:szCs w:val="18"/>
              </w:rPr>
              <w:t xml:space="preserve">Recreation </w:t>
            </w:r>
            <w:r w:rsidR="00B77D83">
              <w:rPr>
                <w:rFonts w:ascii="Calibri" w:hAnsi="Calibri" w:cs="Calibri"/>
                <w:color w:val="000000"/>
                <w:sz w:val="18"/>
                <w:szCs w:val="18"/>
              </w:rPr>
              <w:t>and</w:t>
            </w:r>
            <w:r w:rsidRPr="00226205">
              <w:rPr>
                <w:rFonts w:ascii="Calibri" w:hAnsi="Calibri" w:cs="Calibri"/>
                <w:color w:val="000000"/>
                <w:sz w:val="18"/>
                <w:szCs w:val="18"/>
              </w:rPr>
              <w:t xml:space="preserve"> Open Space</w:t>
            </w:r>
          </w:p>
        </w:tc>
        <w:tc>
          <w:tcPr>
            <w:tcW w:w="1417" w:type="dxa"/>
            <w:shd w:val="clear" w:color="auto" w:fill="auto"/>
            <w:hideMark/>
          </w:tcPr>
          <w:p w:rsidR="00226205" w:rsidRPr="00226205" w:rsidRDefault="00226205" w:rsidP="00226205">
            <w:pPr>
              <w:jc w:val="center"/>
              <w:rPr>
                <w:rFonts w:ascii="Calibri" w:hAnsi="Calibri" w:cs="Calibri"/>
                <w:color w:val="000000"/>
                <w:sz w:val="18"/>
                <w:szCs w:val="18"/>
              </w:rPr>
            </w:pPr>
            <w:r w:rsidRPr="00226205">
              <w:rPr>
                <w:rFonts w:ascii="Calibri" w:hAnsi="Calibri" w:cs="Calibri"/>
                <w:color w:val="000000"/>
                <w:sz w:val="18"/>
                <w:szCs w:val="18"/>
              </w:rPr>
              <w:t>Stores / Sheds / Garages</w:t>
            </w:r>
          </w:p>
        </w:tc>
        <w:tc>
          <w:tcPr>
            <w:tcW w:w="2410" w:type="dxa"/>
            <w:shd w:val="clear" w:color="auto" w:fill="auto"/>
            <w:hideMark/>
          </w:tcPr>
          <w:p w:rsidR="00226205" w:rsidRPr="00226205" w:rsidRDefault="00226205" w:rsidP="00226205">
            <w:pPr>
              <w:jc w:val="left"/>
              <w:rPr>
                <w:rFonts w:ascii="Calibri" w:hAnsi="Calibri" w:cs="Calibri"/>
                <w:color w:val="000000"/>
                <w:sz w:val="18"/>
                <w:szCs w:val="18"/>
              </w:rPr>
            </w:pPr>
            <w:r w:rsidRPr="00226205">
              <w:rPr>
                <w:rFonts w:ascii="Calibri" w:hAnsi="Calibri" w:cs="Calibri"/>
                <w:color w:val="000000"/>
                <w:sz w:val="18"/>
                <w:szCs w:val="18"/>
              </w:rPr>
              <w:t xml:space="preserve">The building is in a poor condition. </w:t>
            </w:r>
          </w:p>
        </w:tc>
        <w:tc>
          <w:tcPr>
            <w:tcW w:w="3118" w:type="dxa"/>
            <w:shd w:val="clear" w:color="auto" w:fill="auto"/>
            <w:hideMark/>
          </w:tcPr>
          <w:p w:rsidR="00226205" w:rsidRPr="00226205" w:rsidRDefault="00226205" w:rsidP="00226205">
            <w:pPr>
              <w:jc w:val="left"/>
              <w:rPr>
                <w:rFonts w:ascii="Calibri" w:hAnsi="Calibri" w:cs="Calibri"/>
                <w:color w:val="000000"/>
                <w:sz w:val="18"/>
                <w:szCs w:val="18"/>
              </w:rPr>
            </w:pPr>
            <w:r w:rsidRPr="00226205">
              <w:rPr>
                <w:rFonts w:ascii="Calibri" w:hAnsi="Calibri" w:cs="Calibri"/>
                <w:color w:val="000000"/>
                <w:sz w:val="18"/>
                <w:szCs w:val="18"/>
              </w:rPr>
              <w:t>Full assessment not yet carried out.</w:t>
            </w:r>
            <w:r w:rsidRPr="00226205">
              <w:rPr>
                <w:rFonts w:ascii="Calibri" w:hAnsi="Calibri" w:cs="Calibri"/>
                <w:color w:val="000000"/>
                <w:sz w:val="18"/>
                <w:szCs w:val="18"/>
              </w:rPr>
              <w:br/>
              <w:t>Requires more detailed review.</w:t>
            </w:r>
          </w:p>
        </w:tc>
      </w:tr>
      <w:tr w:rsidR="00226205" w:rsidRPr="00226205" w:rsidTr="00B77D83">
        <w:trPr>
          <w:cantSplit/>
          <w:trHeight w:val="2065"/>
        </w:trPr>
        <w:tc>
          <w:tcPr>
            <w:tcW w:w="998" w:type="dxa"/>
            <w:shd w:val="clear" w:color="auto" w:fill="auto"/>
            <w:hideMark/>
          </w:tcPr>
          <w:p w:rsidR="00226205" w:rsidRPr="00226205" w:rsidRDefault="00226205" w:rsidP="006918D2">
            <w:pPr>
              <w:jc w:val="center"/>
              <w:rPr>
                <w:rFonts w:ascii="Calibri" w:hAnsi="Calibri" w:cs="Calibri"/>
                <w:color w:val="000000"/>
                <w:sz w:val="18"/>
                <w:szCs w:val="18"/>
              </w:rPr>
            </w:pPr>
            <w:r w:rsidRPr="00226205">
              <w:rPr>
                <w:rFonts w:ascii="Calibri" w:hAnsi="Calibri" w:cs="Calibri"/>
                <w:color w:val="000000"/>
                <w:sz w:val="18"/>
                <w:szCs w:val="18"/>
              </w:rPr>
              <w:t>B000125</w:t>
            </w:r>
          </w:p>
        </w:tc>
        <w:tc>
          <w:tcPr>
            <w:tcW w:w="2693" w:type="dxa"/>
            <w:shd w:val="clear" w:color="auto" w:fill="auto"/>
            <w:hideMark/>
          </w:tcPr>
          <w:p w:rsidR="00226205" w:rsidRPr="00226205" w:rsidRDefault="00226205" w:rsidP="00226205">
            <w:pPr>
              <w:rPr>
                <w:rFonts w:ascii="Calibri" w:hAnsi="Calibri" w:cs="Calibri"/>
                <w:color w:val="000000"/>
                <w:sz w:val="18"/>
                <w:szCs w:val="18"/>
              </w:rPr>
            </w:pPr>
            <w:r w:rsidRPr="00226205">
              <w:rPr>
                <w:rFonts w:ascii="Calibri" w:hAnsi="Calibri" w:cs="Calibri"/>
                <w:noProof/>
                <w:color w:val="000000"/>
                <w:sz w:val="18"/>
                <w:szCs w:val="18"/>
              </w:rPr>
              <w:drawing>
                <wp:anchor distT="0" distB="0" distL="114300" distR="114300" simplePos="0" relativeHeight="251778560" behindDoc="0" locked="0" layoutInCell="1" allowOverlap="1" wp14:anchorId="76C64B85" wp14:editId="304C1671">
                  <wp:simplePos x="0" y="0"/>
                  <wp:positionH relativeFrom="column">
                    <wp:posOffset>-20955</wp:posOffset>
                  </wp:positionH>
                  <wp:positionV relativeFrom="paragraph">
                    <wp:posOffset>59250</wp:posOffset>
                  </wp:positionV>
                  <wp:extent cx="1630800" cy="1198800"/>
                  <wp:effectExtent l="0" t="0" r="0" b="0"/>
                  <wp:wrapNone/>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Picture 123"/>
                          <pic:cNvPicPr>
                            <a:picLocks noChangeAspect="1"/>
                          </pic:cNvPicPr>
                        </pic:nvPicPr>
                        <pic:blipFill>
                          <a:blip r:embed="rId161">
                            <a:extLst>
                              <a:ext uri="{28A0092B-C50C-407E-A947-70E740481C1C}">
                                <a14:useLocalDpi xmlns:a14="http://schemas.microsoft.com/office/drawing/2010/main" val="0"/>
                              </a:ext>
                            </a:extLst>
                          </a:blip>
                          <a:stretch>
                            <a:fillRect/>
                          </a:stretch>
                        </pic:blipFill>
                        <pic:spPr>
                          <a:xfrm>
                            <a:off x="0" y="0"/>
                            <a:ext cx="1630800" cy="1198800"/>
                          </a:xfrm>
                          <a:prstGeom prst="rect">
                            <a:avLst/>
                          </a:prstGeom>
                        </pic:spPr>
                      </pic:pic>
                    </a:graphicData>
                  </a:graphic>
                  <wp14:sizeRelH relativeFrom="page">
                    <wp14:pctWidth>0</wp14:pctWidth>
                  </wp14:sizeRelH>
                  <wp14:sizeRelV relativeFrom="page">
                    <wp14:pctHeight>0</wp14:pctHeight>
                  </wp14:sizeRelV>
                </wp:anchor>
              </w:drawing>
            </w:r>
          </w:p>
        </w:tc>
        <w:tc>
          <w:tcPr>
            <w:tcW w:w="2268" w:type="dxa"/>
            <w:shd w:val="clear" w:color="auto" w:fill="auto"/>
            <w:hideMark/>
          </w:tcPr>
          <w:p w:rsidR="00226205" w:rsidRPr="00226205" w:rsidRDefault="00226205" w:rsidP="00A54993">
            <w:pPr>
              <w:jc w:val="left"/>
              <w:rPr>
                <w:rFonts w:ascii="Calibri" w:hAnsi="Calibri" w:cs="Calibri"/>
                <w:color w:val="000000"/>
                <w:sz w:val="18"/>
                <w:szCs w:val="18"/>
              </w:rPr>
            </w:pPr>
            <w:r w:rsidRPr="00226205">
              <w:rPr>
                <w:rFonts w:ascii="Calibri" w:hAnsi="Calibri" w:cs="Calibri"/>
                <w:color w:val="000000"/>
                <w:sz w:val="18"/>
                <w:szCs w:val="18"/>
              </w:rPr>
              <w:t xml:space="preserve">Maxwell Sutherland Pavilion,  Fairfield Park- Fairfield Park Drive, Fairfield </w:t>
            </w:r>
          </w:p>
        </w:tc>
        <w:tc>
          <w:tcPr>
            <w:tcW w:w="1276" w:type="dxa"/>
            <w:shd w:val="clear" w:color="auto" w:fill="auto"/>
            <w:hideMark/>
          </w:tcPr>
          <w:p w:rsidR="00226205" w:rsidRPr="00226205" w:rsidRDefault="00226205" w:rsidP="009965C5">
            <w:pPr>
              <w:tabs>
                <w:tab w:val="decimal" w:pos="884"/>
              </w:tabs>
              <w:jc w:val="left"/>
              <w:rPr>
                <w:rFonts w:ascii="Calibri" w:hAnsi="Calibri" w:cs="Calibri"/>
                <w:color w:val="000000"/>
                <w:sz w:val="18"/>
                <w:szCs w:val="18"/>
              </w:rPr>
            </w:pPr>
            <w:r w:rsidRPr="00226205">
              <w:rPr>
                <w:rFonts w:ascii="Calibri" w:hAnsi="Calibri" w:cs="Calibri"/>
                <w:color w:val="000000"/>
                <w:sz w:val="18"/>
                <w:szCs w:val="18"/>
              </w:rPr>
              <w:t>$653,490</w:t>
            </w:r>
          </w:p>
        </w:tc>
        <w:tc>
          <w:tcPr>
            <w:tcW w:w="1134" w:type="dxa"/>
            <w:shd w:val="clear" w:color="auto" w:fill="auto"/>
            <w:hideMark/>
          </w:tcPr>
          <w:p w:rsidR="00226205" w:rsidRPr="00226205" w:rsidRDefault="00226205" w:rsidP="00226205">
            <w:pPr>
              <w:jc w:val="center"/>
              <w:rPr>
                <w:rFonts w:ascii="Calibri" w:hAnsi="Calibri" w:cs="Calibri"/>
                <w:color w:val="000000"/>
                <w:sz w:val="18"/>
                <w:szCs w:val="18"/>
              </w:rPr>
            </w:pPr>
            <w:r w:rsidRPr="00226205">
              <w:rPr>
                <w:rFonts w:ascii="Calibri" w:hAnsi="Calibri" w:cs="Calibri"/>
                <w:color w:val="000000"/>
                <w:sz w:val="18"/>
                <w:szCs w:val="18"/>
              </w:rPr>
              <w:t xml:space="preserve">Recreation </w:t>
            </w:r>
            <w:r w:rsidR="00B77D83">
              <w:rPr>
                <w:rFonts w:ascii="Calibri" w:hAnsi="Calibri" w:cs="Calibri"/>
                <w:color w:val="000000"/>
                <w:sz w:val="18"/>
                <w:szCs w:val="18"/>
              </w:rPr>
              <w:t>and</w:t>
            </w:r>
            <w:r w:rsidRPr="00226205">
              <w:rPr>
                <w:rFonts w:ascii="Calibri" w:hAnsi="Calibri" w:cs="Calibri"/>
                <w:color w:val="000000"/>
                <w:sz w:val="18"/>
                <w:szCs w:val="18"/>
              </w:rPr>
              <w:t xml:space="preserve"> Open Space</w:t>
            </w:r>
          </w:p>
        </w:tc>
        <w:tc>
          <w:tcPr>
            <w:tcW w:w="1417" w:type="dxa"/>
            <w:shd w:val="clear" w:color="auto" w:fill="auto"/>
            <w:hideMark/>
          </w:tcPr>
          <w:p w:rsidR="00226205" w:rsidRPr="00226205" w:rsidRDefault="00226205" w:rsidP="00226205">
            <w:pPr>
              <w:jc w:val="center"/>
              <w:rPr>
                <w:rFonts w:ascii="Calibri" w:hAnsi="Calibri" w:cs="Calibri"/>
                <w:color w:val="000000"/>
                <w:sz w:val="18"/>
                <w:szCs w:val="18"/>
              </w:rPr>
            </w:pPr>
            <w:r w:rsidRPr="00226205">
              <w:rPr>
                <w:rFonts w:ascii="Calibri" w:hAnsi="Calibri" w:cs="Calibri"/>
                <w:color w:val="000000"/>
                <w:sz w:val="18"/>
                <w:szCs w:val="18"/>
              </w:rPr>
              <w:t>Pavilions / Clubrooms / Change rooms</w:t>
            </w:r>
          </w:p>
        </w:tc>
        <w:tc>
          <w:tcPr>
            <w:tcW w:w="2410" w:type="dxa"/>
            <w:shd w:val="clear" w:color="auto" w:fill="auto"/>
            <w:hideMark/>
          </w:tcPr>
          <w:p w:rsidR="00226205" w:rsidRPr="00226205" w:rsidRDefault="00226205" w:rsidP="00226205">
            <w:pPr>
              <w:jc w:val="left"/>
              <w:rPr>
                <w:rFonts w:ascii="Calibri" w:hAnsi="Calibri" w:cs="Calibri"/>
                <w:color w:val="000000"/>
                <w:sz w:val="18"/>
                <w:szCs w:val="18"/>
              </w:rPr>
            </w:pPr>
            <w:r w:rsidRPr="00226205">
              <w:rPr>
                <w:rFonts w:ascii="Calibri" w:hAnsi="Calibri" w:cs="Calibri"/>
                <w:color w:val="000000"/>
                <w:sz w:val="18"/>
                <w:szCs w:val="18"/>
              </w:rPr>
              <w:t>The building is in a poor condition. Currently on capital works renewal program</w:t>
            </w:r>
          </w:p>
        </w:tc>
        <w:tc>
          <w:tcPr>
            <w:tcW w:w="3118" w:type="dxa"/>
            <w:shd w:val="clear" w:color="auto" w:fill="auto"/>
            <w:hideMark/>
          </w:tcPr>
          <w:p w:rsidR="00226205" w:rsidRPr="00226205" w:rsidRDefault="00226205" w:rsidP="00DC7882">
            <w:pPr>
              <w:jc w:val="left"/>
              <w:rPr>
                <w:rFonts w:ascii="Calibri" w:hAnsi="Calibri" w:cs="Calibri"/>
                <w:color w:val="000000"/>
                <w:sz w:val="18"/>
                <w:szCs w:val="18"/>
              </w:rPr>
            </w:pPr>
            <w:r w:rsidRPr="00226205">
              <w:rPr>
                <w:rFonts w:ascii="Calibri" w:hAnsi="Calibri" w:cs="Calibri"/>
                <w:color w:val="000000"/>
                <w:sz w:val="18"/>
                <w:szCs w:val="18"/>
              </w:rPr>
              <w:t>Building is no longer fit for purpose</w:t>
            </w:r>
            <w:r w:rsidR="00DC7882">
              <w:rPr>
                <w:rFonts w:ascii="Calibri" w:hAnsi="Calibri" w:cs="Calibri"/>
                <w:color w:val="000000"/>
                <w:sz w:val="18"/>
                <w:szCs w:val="18"/>
              </w:rPr>
              <w:t>. I</w:t>
            </w:r>
            <w:r w:rsidRPr="00226205">
              <w:rPr>
                <w:rFonts w:ascii="Calibri" w:hAnsi="Calibri" w:cs="Calibri"/>
                <w:color w:val="000000"/>
                <w:sz w:val="18"/>
                <w:szCs w:val="18"/>
              </w:rPr>
              <w:t>t requires two additional change</w:t>
            </w:r>
            <w:r w:rsidR="00DC7882">
              <w:rPr>
                <w:rFonts w:ascii="Calibri" w:hAnsi="Calibri" w:cs="Calibri"/>
                <w:color w:val="000000"/>
                <w:sz w:val="18"/>
                <w:szCs w:val="18"/>
              </w:rPr>
              <w:t>rooms, disabled change</w:t>
            </w:r>
            <w:r w:rsidRPr="00226205">
              <w:rPr>
                <w:rFonts w:ascii="Calibri" w:hAnsi="Calibri" w:cs="Calibri"/>
                <w:color w:val="000000"/>
                <w:sz w:val="18"/>
                <w:szCs w:val="18"/>
              </w:rPr>
              <w:t>room and first aid room.</w:t>
            </w:r>
          </w:p>
        </w:tc>
      </w:tr>
      <w:tr w:rsidR="00226205" w:rsidRPr="00226205" w:rsidTr="00B77D83">
        <w:trPr>
          <w:cantSplit/>
          <w:trHeight w:val="2208"/>
        </w:trPr>
        <w:tc>
          <w:tcPr>
            <w:tcW w:w="998" w:type="dxa"/>
            <w:shd w:val="clear" w:color="auto" w:fill="auto"/>
            <w:hideMark/>
          </w:tcPr>
          <w:p w:rsidR="00226205" w:rsidRPr="00226205" w:rsidRDefault="00226205" w:rsidP="006918D2">
            <w:pPr>
              <w:jc w:val="center"/>
              <w:rPr>
                <w:rFonts w:ascii="Calibri" w:hAnsi="Calibri" w:cs="Calibri"/>
                <w:color w:val="000000"/>
                <w:sz w:val="18"/>
                <w:szCs w:val="18"/>
              </w:rPr>
            </w:pPr>
            <w:r w:rsidRPr="00226205">
              <w:rPr>
                <w:rFonts w:ascii="Calibri" w:hAnsi="Calibri" w:cs="Calibri"/>
                <w:color w:val="000000"/>
                <w:sz w:val="18"/>
                <w:szCs w:val="18"/>
              </w:rPr>
              <w:t>B000126</w:t>
            </w:r>
          </w:p>
        </w:tc>
        <w:tc>
          <w:tcPr>
            <w:tcW w:w="2693" w:type="dxa"/>
            <w:shd w:val="clear" w:color="auto" w:fill="auto"/>
            <w:hideMark/>
          </w:tcPr>
          <w:p w:rsidR="00226205" w:rsidRPr="00226205" w:rsidRDefault="00226205" w:rsidP="00226205">
            <w:pPr>
              <w:rPr>
                <w:rFonts w:ascii="Calibri" w:hAnsi="Calibri" w:cs="Calibri"/>
                <w:color w:val="000000"/>
                <w:sz w:val="18"/>
                <w:szCs w:val="18"/>
              </w:rPr>
            </w:pPr>
            <w:r w:rsidRPr="00226205">
              <w:rPr>
                <w:rFonts w:ascii="Calibri" w:hAnsi="Calibri" w:cs="Calibri"/>
                <w:noProof/>
                <w:color w:val="000000"/>
                <w:sz w:val="18"/>
                <w:szCs w:val="18"/>
              </w:rPr>
              <w:drawing>
                <wp:anchor distT="0" distB="0" distL="114300" distR="114300" simplePos="0" relativeHeight="251818496" behindDoc="0" locked="0" layoutInCell="1" allowOverlap="1" wp14:anchorId="7205C0E5" wp14:editId="61C5F4D8">
                  <wp:simplePos x="0" y="0"/>
                  <wp:positionH relativeFrom="column">
                    <wp:posOffset>-20955</wp:posOffset>
                  </wp:positionH>
                  <wp:positionV relativeFrom="paragraph">
                    <wp:posOffset>53535</wp:posOffset>
                  </wp:positionV>
                  <wp:extent cx="1630800" cy="1303200"/>
                  <wp:effectExtent l="0" t="0" r="0" b="0"/>
                  <wp:wrapNone/>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Picture 152"/>
                          <pic:cNvPicPr>
                            <a:picLocks noChangeAspect="1"/>
                          </pic:cNvPicPr>
                        </pic:nvPicPr>
                        <pic:blipFill>
                          <a:blip r:embed="rId162" cstate="print">
                            <a:extLst>
                              <a:ext uri="{28A0092B-C50C-407E-A947-70E740481C1C}">
                                <a14:useLocalDpi xmlns:a14="http://schemas.microsoft.com/office/drawing/2010/main" val="0"/>
                              </a:ext>
                            </a:extLst>
                          </a:blip>
                          <a:stretch>
                            <a:fillRect/>
                          </a:stretch>
                        </pic:blipFill>
                        <pic:spPr>
                          <a:xfrm>
                            <a:off x="0" y="0"/>
                            <a:ext cx="1630800" cy="1303200"/>
                          </a:xfrm>
                          <a:prstGeom prst="rect">
                            <a:avLst/>
                          </a:prstGeom>
                        </pic:spPr>
                      </pic:pic>
                    </a:graphicData>
                  </a:graphic>
                  <wp14:sizeRelH relativeFrom="page">
                    <wp14:pctWidth>0</wp14:pctWidth>
                  </wp14:sizeRelH>
                  <wp14:sizeRelV relativeFrom="page">
                    <wp14:pctHeight>0</wp14:pctHeight>
                  </wp14:sizeRelV>
                </wp:anchor>
              </w:drawing>
            </w:r>
          </w:p>
        </w:tc>
        <w:tc>
          <w:tcPr>
            <w:tcW w:w="2268" w:type="dxa"/>
            <w:shd w:val="clear" w:color="auto" w:fill="auto"/>
            <w:hideMark/>
          </w:tcPr>
          <w:p w:rsidR="00226205" w:rsidRPr="00226205" w:rsidRDefault="00226205" w:rsidP="00A54993">
            <w:pPr>
              <w:jc w:val="left"/>
              <w:rPr>
                <w:rFonts w:ascii="Calibri" w:hAnsi="Calibri" w:cs="Calibri"/>
                <w:color w:val="000000"/>
                <w:sz w:val="18"/>
                <w:szCs w:val="18"/>
              </w:rPr>
            </w:pPr>
            <w:r w:rsidRPr="00226205">
              <w:rPr>
                <w:rFonts w:ascii="Calibri" w:hAnsi="Calibri" w:cs="Calibri"/>
                <w:color w:val="000000"/>
                <w:sz w:val="18"/>
                <w:szCs w:val="18"/>
              </w:rPr>
              <w:t>Public Toilets, Fairfield Park- Fairfield Park Drive, Fairfield</w:t>
            </w:r>
          </w:p>
        </w:tc>
        <w:tc>
          <w:tcPr>
            <w:tcW w:w="1276" w:type="dxa"/>
            <w:shd w:val="clear" w:color="auto" w:fill="auto"/>
            <w:hideMark/>
          </w:tcPr>
          <w:p w:rsidR="00226205" w:rsidRPr="00226205" w:rsidRDefault="00226205" w:rsidP="009965C5">
            <w:pPr>
              <w:tabs>
                <w:tab w:val="decimal" w:pos="884"/>
              </w:tabs>
              <w:jc w:val="left"/>
              <w:rPr>
                <w:rFonts w:ascii="Calibri" w:hAnsi="Calibri" w:cs="Calibri"/>
                <w:color w:val="000000"/>
                <w:sz w:val="18"/>
                <w:szCs w:val="18"/>
              </w:rPr>
            </w:pPr>
            <w:r w:rsidRPr="00226205">
              <w:rPr>
                <w:rFonts w:ascii="Calibri" w:hAnsi="Calibri" w:cs="Calibri"/>
                <w:color w:val="000000"/>
                <w:sz w:val="18"/>
                <w:szCs w:val="18"/>
              </w:rPr>
              <w:t>$132,325</w:t>
            </w:r>
          </w:p>
        </w:tc>
        <w:tc>
          <w:tcPr>
            <w:tcW w:w="1134" w:type="dxa"/>
            <w:shd w:val="clear" w:color="auto" w:fill="auto"/>
            <w:hideMark/>
          </w:tcPr>
          <w:p w:rsidR="00226205" w:rsidRPr="00226205" w:rsidRDefault="00226205" w:rsidP="00226205">
            <w:pPr>
              <w:jc w:val="center"/>
              <w:rPr>
                <w:rFonts w:ascii="Calibri" w:hAnsi="Calibri" w:cs="Calibri"/>
                <w:color w:val="000000"/>
                <w:sz w:val="18"/>
                <w:szCs w:val="18"/>
              </w:rPr>
            </w:pPr>
            <w:r w:rsidRPr="00226205">
              <w:rPr>
                <w:rFonts w:ascii="Calibri" w:hAnsi="Calibri" w:cs="Calibri"/>
                <w:color w:val="000000"/>
                <w:sz w:val="18"/>
                <w:szCs w:val="18"/>
              </w:rPr>
              <w:t xml:space="preserve">Recreation </w:t>
            </w:r>
            <w:r w:rsidR="00B77D83">
              <w:rPr>
                <w:rFonts w:ascii="Calibri" w:hAnsi="Calibri" w:cs="Calibri"/>
                <w:color w:val="000000"/>
                <w:sz w:val="18"/>
                <w:szCs w:val="18"/>
              </w:rPr>
              <w:t>and</w:t>
            </w:r>
            <w:r w:rsidRPr="00226205">
              <w:rPr>
                <w:rFonts w:ascii="Calibri" w:hAnsi="Calibri" w:cs="Calibri"/>
                <w:color w:val="000000"/>
                <w:sz w:val="18"/>
                <w:szCs w:val="18"/>
              </w:rPr>
              <w:t xml:space="preserve"> Open Space</w:t>
            </w:r>
          </w:p>
        </w:tc>
        <w:tc>
          <w:tcPr>
            <w:tcW w:w="1417" w:type="dxa"/>
            <w:shd w:val="clear" w:color="auto" w:fill="auto"/>
            <w:hideMark/>
          </w:tcPr>
          <w:p w:rsidR="00226205" w:rsidRPr="00226205" w:rsidRDefault="00226205" w:rsidP="00226205">
            <w:pPr>
              <w:jc w:val="center"/>
              <w:rPr>
                <w:rFonts w:ascii="Calibri" w:hAnsi="Calibri" w:cs="Calibri"/>
                <w:color w:val="000000"/>
                <w:sz w:val="18"/>
                <w:szCs w:val="18"/>
              </w:rPr>
            </w:pPr>
            <w:r w:rsidRPr="00226205">
              <w:rPr>
                <w:rFonts w:ascii="Calibri" w:hAnsi="Calibri" w:cs="Calibri"/>
                <w:color w:val="000000"/>
                <w:sz w:val="18"/>
                <w:szCs w:val="18"/>
              </w:rPr>
              <w:t>Public Toilets</w:t>
            </w:r>
          </w:p>
        </w:tc>
        <w:tc>
          <w:tcPr>
            <w:tcW w:w="2410" w:type="dxa"/>
            <w:shd w:val="clear" w:color="auto" w:fill="auto"/>
            <w:hideMark/>
          </w:tcPr>
          <w:p w:rsidR="00226205" w:rsidRPr="00226205" w:rsidRDefault="00226205" w:rsidP="00226205">
            <w:pPr>
              <w:jc w:val="left"/>
              <w:rPr>
                <w:rFonts w:ascii="Calibri" w:hAnsi="Calibri" w:cs="Calibri"/>
                <w:color w:val="000000"/>
                <w:sz w:val="18"/>
                <w:szCs w:val="18"/>
              </w:rPr>
            </w:pPr>
            <w:r w:rsidRPr="00226205">
              <w:rPr>
                <w:rFonts w:ascii="Calibri" w:hAnsi="Calibri" w:cs="Calibri"/>
                <w:color w:val="000000"/>
                <w:sz w:val="18"/>
                <w:szCs w:val="18"/>
              </w:rPr>
              <w:t xml:space="preserve">The building is in a good condition. </w:t>
            </w:r>
          </w:p>
        </w:tc>
        <w:tc>
          <w:tcPr>
            <w:tcW w:w="3118" w:type="dxa"/>
            <w:shd w:val="clear" w:color="auto" w:fill="auto"/>
            <w:hideMark/>
          </w:tcPr>
          <w:p w:rsidR="00226205" w:rsidRPr="00226205" w:rsidRDefault="00DC7882" w:rsidP="00DC7882">
            <w:pPr>
              <w:jc w:val="left"/>
              <w:rPr>
                <w:rFonts w:ascii="Calibri" w:hAnsi="Calibri" w:cs="Calibri"/>
                <w:color w:val="000000"/>
                <w:sz w:val="18"/>
                <w:szCs w:val="18"/>
              </w:rPr>
            </w:pPr>
            <w:r>
              <w:rPr>
                <w:rFonts w:ascii="Calibri" w:hAnsi="Calibri" w:cs="Calibri"/>
                <w:color w:val="000000"/>
                <w:sz w:val="18"/>
                <w:szCs w:val="18"/>
              </w:rPr>
              <w:t xml:space="preserve">Building </w:t>
            </w:r>
            <w:r w:rsidR="00226205" w:rsidRPr="00226205">
              <w:rPr>
                <w:rFonts w:ascii="Calibri" w:hAnsi="Calibri" w:cs="Calibri"/>
                <w:color w:val="000000"/>
                <w:sz w:val="18"/>
                <w:szCs w:val="18"/>
              </w:rPr>
              <w:t>refurbishment will be required to ensure it serves the next 5 years. Aged internal and external appearance.</w:t>
            </w:r>
          </w:p>
        </w:tc>
      </w:tr>
      <w:tr w:rsidR="00226205" w:rsidRPr="00226205" w:rsidTr="00B77D83">
        <w:trPr>
          <w:cantSplit/>
          <w:trHeight w:val="6144"/>
        </w:trPr>
        <w:tc>
          <w:tcPr>
            <w:tcW w:w="998" w:type="dxa"/>
            <w:shd w:val="clear" w:color="auto" w:fill="auto"/>
            <w:hideMark/>
          </w:tcPr>
          <w:p w:rsidR="00226205" w:rsidRPr="00226205" w:rsidRDefault="00226205" w:rsidP="006918D2">
            <w:pPr>
              <w:jc w:val="center"/>
              <w:rPr>
                <w:rFonts w:ascii="Calibri" w:hAnsi="Calibri" w:cs="Calibri"/>
                <w:color w:val="000000"/>
                <w:sz w:val="18"/>
                <w:szCs w:val="18"/>
              </w:rPr>
            </w:pPr>
            <w:r w:rsidRPr="00226205">
              <w:rPr>
                <w:rFonts w:ascii="Calibri" w:hAnsi="Calibri" w:cs="Calibri"/>
                <w:color w:val="000000"/>
                <w:sz w:val="18"/>
                <w:szCs w:val="18"/>
              </w:rPr>
              <w:t>B000129</w:t>
            </w:r>
          </w:p>
        </w:tc>
        <w:tc>
          <w:tcPr>
            <w:tcW w:w="2693" w:type="dxa"/>
            <w:shd w:val="clear" w:color="auto" w:fill="auto"/>
            <w:hideMark/>
          </w:tcPr>
          <w:p w:rsidR="00226205" w:rsidRPr="00226205" w:rsidRDefault="00226205" w:rsidP="00226205">
            <w:pPr>
              <w:rPr>
                <w:rFonts w:ascii="Calibri" w:hAnsi="Calibri" w:cs="Calibri"/>
                <w:color w:val="000000"/>
                <w:sz w:val="18"/>
                <w:szCs w:val="18"/>
              </w:rPr>
            </w:pPr>
            <w:r w:rsidRPr="00226205">
              <w:rPr>
                <w:rFonts w:ascii="Calibri" w:hAnsi="Calibri" w:cs="Calibri"/>
                <w:noProof/>
                <w:color w:val="000000"/>
                <w:sz w:val="18"/>
                <w:szCs w:val="18"/>
              </w:rPr>
              <w:drawing>
                <wp:anchor distT="0" distB="0" distL="114300" distR="114300" simplePos="0" relativeHeight="251742720" behindDoc="0" locked="0" layoutInCell="1" allowOverlap="1" wp14:anchorId="024EF2A4" wp14:editId="29BF2DD5">
                  <wp:simplePos x="0" y="0"/>
                  <wp:positionH relativeFrom="column">
                    <wp:posOffset>-20955</wp:posOffset>
                  </wp:positionH>
                  <wp:positionV relativeFrom="paragraph">
                    <wp:posOffset>53340</wp:posOffset>
                  </wp:positionV>
                  <wp:extent cx="1630800" cy="1270800"/>
                  <wp:effectExtent l="0" t="0" r="0" b="0"/>
                  <wp:wrapNone/>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6"/>
                          <pic:cNvPicPr>
                            <a:picLocks noChangeAspect="1"/>
                          </pic:cNvPicPr>
                        </pic:nvPicPr>
                        <pic:blipFill>
                          <a:blip r:embed="rId163">
                            <a:extLst>
                              <a:ext uri="{28A0092B-C50C-407E-A947-70E740481C1C}">
                                <a14:useLocalDpi xmlns:a14="http://schemas.microsoft.com/office/drawing/2010/main" val="0"/>
                              </a:ext>
                            </a:extLst>
                          </a:blip>
                          <a:stretch>
                            <a:fillRect/>
                          </a:stretch>
                        </pic:blipFill>
                        <pic:spPr>
                          <a:xfrm>
                            <a:off x="0" y="0"/>
                            <a:ext cx="1630800" cy="1270800"/>
                          </a:xfrm>
                          <a:prstGeom prst="rect">
                            <a:avLst/>
                          </a:prstGeom>
                        </pic:spPr>
                      </pic:pic>
                    </a:graphicData>
                  </a:graphic>
                  <wp14:sizeRelH relativeFrom="page">
                    <wp14:pctWidth>0</wp14:pctWidth>
                  </wp14:sizeRelH>
                  <wp14:sizeRelV relativeFrom="page">
                    <wp14:pctHeight>0</wp14:pctHeight>
                  </wp14:sizeRelV>
                </wp:anchor>
              </w:drawing>
            </w:r>
          </w:p>
        </w:tc>
        <w:tc>
          <w:tcPr>
            <w:tcW w:w="2268" w:type="dxa"/>
            <w:shd w:val="clear" w:color="auto" w:fill="auto"/>
            <w:hideMark/>
          </w:tcPr>
          <w:p w:rsidR="00226205" w:rsidRPr="00226205" w:rsidRDefault="00226205" w:rsidP="00A54993">
            <w:pPr>
              <w:jc w:val="left"/>
              <w:rPr>
                <w:rFonts w:ascii="Calibri" w:hAnsi="Calibri" w:cs="Calibri"/>
                <w:color w:val="000000"/>
                <w:sz w:val="18"/>
                <w:szCs w:val="18"/>
              </w:rPr>
            </w:pPr>
            <w:r w:rsidRPr="00226205">
              <w:rPr>
                <w:rFonts w:ascii="Calibri" w:hAnsi="Calibri" w:cs="Calibri"/>
                <w:color w:val="000000"/>
                <w:sz w:val="18"/>
                <w:szCs w:val="18"/>
              </w:rPr>
              <w:t>Fitzroy Town Hall- 201 Napier Street Fitzroy</w:t>
            </w:r>
          </w:p>
        </w:tc>
        <w:tc>
          <w:tcPr>
            <w:tcW w:w="1276" w:type="dxa"/>
            <w:shd w:val="clear" w:color="auto" w:fill="auto"/>
            <w:hideMark/>
          </w:tcPr>
          <w:p w:rsidR="00226205" w:rsidRPr="00226205" w:rsidRDefault="00226205" w:rsidP="009965C5">
            <w:pPr>
              <w:tabs>
                <w:tab w:val="decimal" w:pos="884"/>
              </w:tabs>
              <w:jc w:val="left"/>
              <w:rPr>
                <w:rFonts w:ascii="Calibri" w:hAnsi="Calibri" w:cs="Calibri"/>
                <w:color w:val="000000"/>
                <w:sz w:val="18"/>
                <w:szCs w:val="18"/>
              </w:rPr>
            </w:pPr>
            <w:r w:rsidRPr="00226205">
              <w:rPr>
                <w:rFonts w:ascii="Calibri" w:hAnsi="Calibri" w:cs="Calibri"/>
                <w:color w:val="000000"/>
                <w:sz w:val="18"/>
                <w:szCs w:val="18"/>
              </w:rPr>
              <w:t>$37,319,352</w:t>
            </w:r>
          </w:p>
        </w:tc>
        <w:tc>
          <w:tcPr>
            <w:tcW w:w="1134" w:type="dxa"/>
            <w:shd w:val="clear" w:color="auto" w:fill="auto"/>
            <w:hideMark/>
          </w:tcPr>
          <w:p w:rsidR="00226205" w:rsidRPr="00226205" w:rsidRDefault="00226205" w:rsidP="00226205">
            <w:pPr>
              <w:jc w:val="center"/>
              <w:rPr>
                <w:rFonts w:ascii="Calibri" w:hAnsi="Calibri" w:cs="Calibri"/>
                <w:color w:val="000000"/>
                <w:sz w:val="18"/>
                <w:szCs w:val="18"/>
              </w:rPr>
            </w:pPr>
            <w:r w:rsidRPr="00226205">
              <w:rPr>
                <w:rFonts w:ascii="Calibri" w:hAnsi="Calibri" w:cs="Calibri"/>
                <w:color w:val="000000"/>
                <w:sz w:val="18"/>
                <w:szCs w:val="18"/>
              </w:rPr>
              <w:t>Council Operations</w:t>
            </w:r>
          </w:p>
        </w:tc>
        <w:tc>
          <w:tcPr>
            <w:tcW w:w="1417" w:type="dxa"/>
            <w:shd w:val="clear" w:color="auto" w:fill="auto"/>
            <w:hideMark/>
          </w:tcPr>
          <w:p w:rsidR="00226205" w:rsidRPr="00226205" w:rsidRDefault="00226205" w:rsidP="00226205">
            <w:pPr>
              <w:jc w:val="center"/>
              <w:rPr>
                <w:rFonts w:ascii="Calibri" w:hAnsi="Calibri" w:cs="Calibri"/>
                <w:color w:val="000000"/>
                <w:sz w:val="18"/>
                <w:szCs w:val="18"/>
              </w:rPr>
            </w:pPr>
            <w:r w:rsidRPr="00226205">
              <w:rPr>
                <w:rFonts w:ascii="Calibri" w:hAnsi="Calibri" w:cs="Calibri"/>
                <w:color w:val="000000"/>
                <w:sz w:val="18"/>
                <w:szCs w:val="18"/>
              </w:rPr>
              <w:t>Town hall</w:t>
            </w:r>
          </w:p>
        </w:tc>
        <w:tc>
          <w:tcPr>
            <w:tcW w:w="2410" w:type="dxa"/>
            <w:shd w:val="clear" w:color="auto" w:fill="auto"/>
            <w:hideMark/>
          </w:tcPr>
          <w:p w:rsidR="00226205" w:rsidRPr="00226205" w:rsidRDefault="00226205" w:rsidP="00226205">
            <w:pPr>
              <w:jc w:val="left"/>
              <w:rPr>
                <w:rFonts w:ascii="Calibri" w:hAnsi="Calibri" w:cs="Calibri"/>
                <w:color w:val="000000"/>
                <w:sz w:val="18"/>
                <w:szCs w:val="18"/>
              </w:rPr>
            </w:pPr>
            <w:r w:rsidRPr="00226205">
              <w:rPr>
                <w:rFonts w:ascii="Calibri" w:hAnsi="Calibri" w:cs="Calibri"/>
                <w:color w:val="000000"/>
                <w:sz w:val="18"/>
                <w:szCs w:val="18"/>
              </w:rPr>
              <w:t xml:space="preserve">The building is in a good condition requires some roof restoration. </w:t>
            </w:r>
          </w:p>
        </w:tc>
        <w:tc>
          <w:tcPr>
            <w:tcW w:w="3118" w:type="dxa"/>
            <w:shd w:val="clear" w:color="auto" w:fill="auto"/>
            <w:hideMark/>
          </w:tcPr>
          <w:p w:rsidR="00226205" w:rsidRPr="00226205" w:rsidRDefault="00226205" w:rsidP="00226205">
            <w:pPr>
              <w:jc w:val="left"/>
              <w:rPr>
                <w:rFonts w:ascii="Calibri" w:hAnsi="Calibri" w:cs="Calibri"/>
                <w:color w:val="000000"/>
                <w:sz w:val="18"/>
                <w:szCs w:val="18"/>
              </w:rPr>
            </w:pPr>
            <w:r w:rsidRPr="00226205">
              <w:rPr>
                <w:rFonts w:ascii="Calibri" w:hAnsi="Calibri" w:cs="Calibri"/>
                <w:color w:val="000000"/>
                <w:sz w:val="18"/>
                <w:szCs w:val="18"/>
              </w:rPr>
              <w:t>Staff Area</w:t>
            </w:r>
            <w:r w:rsidRPr="00226205">
              <w:rPr>
                <w:rFonts w:ascii="Calibri" w:hAnsi="Calibri" w:cs="Calibri"/>
                <w:color w:val="000000"/>
                <w:sz w:val="18"/>
                <w:szCs w:val="18"/>
              </w:rPr>
              <w:br/>
              <w:t xml:space="preserve">Leased area could be made available to meet staff needs. Showers and toilets in Infrastructure area needs some work, meeting rooms inadequate (large and furniture and layout restrict use, need for smaller meeting rooms and Lunch rooms inadequate, no suitable staff area. Access to female toilets upstairs limited.                                                                                                                                                                           </w:t>
            </w:r>
            <w:r w:rsidRPr="00226205">
              <w:rPr>
                <w:rFonts w:ascii="Calibri" w:hAnsi="Calibri" w:cs="Calibri"/>
                <w:color w:val="000000"/>
                <w:sz w:val="18"/>
                <w:szCs w:val="18"/>
              </w:rPr>
              <w:br/>
              <w:t>Main Hall</w:t>
            </w:r>
            <w:r w:rsidRPr="00226205">
              <w:rPr>
                <w:rFonts w:ascii="Calibri" w:hAnsi="Calibri" w:cs="Calibri"/>
                <w:color w:val="000000"/>
                <w:sz w:val="18"/>
                <w:szCs w:val="18"/>
              </w:rPr>
              <w:br/>
              <w:t>Need power access</w:t>
            </w:r>
            <w:r w:rsidR="00DC7882">
              <w:rPr>
                <w:rFonts w:ascii="Calibri" w:hAnsi="Calibri" w:cs="Calibri"/>
                <w:color w:val="000000"/>
                <w:sz w:val="18"/>
                <w:szCs w:val="18"/>
              </w:rPr>
              <w:t xml:space="preserve"> along</w:t>
            </w:r>
            <w:r w:rsidRPr="00226205">
              <w:rPr>
                <w:rFonts w:ascii="Calibri" w:hAnsi="Calibri" w:cs="Calibri"/>
                <w:color w:val="000000"/>
                <w:sz w:val="18"/>
                <w:szCs w:val="18"/>
              </w:rPr>
              <w:t>side of ballroom walls. Heating in hall area poor.</w:t>
            </w:r>
            <w:r w:rsidRPr="00226205">
              <w:rPr>
                <w:rFonts w:ascii="Calibri" w:hAnsi="Calibri" w:cs="Calibri"/>
                <w:color w:val="000000"/>
                <w:sz w:val="18"/>
                <w:szCs w:val="18"/>
              </w:rPr>
              <w:br/>
              <w:t>Library</w:t>
            </w:r>
            <w:r w:rsidRPr="00226205">
              <w:rPr>
                <w:rFonts w:ascii="Calibri" w:hAnsi="Calibri" w:cs="Calibri"/>
                <w:color w:val="000000"/>
                <w:sz w:val="18"/>
                <w:szCs w:val="18"/>
              </w:rPr>
              <w:br/>
              <w:t xml:space="preserve">Parking is on the street and is limited. Need to reconfigure rear dispatch area, the foyer </w:t>
            </w:r>
            <w:r w:rsidR="00B77D83">
              <w:rPr>
                <w:rFonts w:ascii="Calibri" w:hAnsi="Calibri" w:cs="Calibri"/>
                <w:color w:val="000000"/>
                <w:sz w:val="18"/>
                <w:szCs w:val="18"/>
              </w:rPr>
              <w:t>and</w:t>
            </w:r>
            <w:r w:rsidRPr="00226205">
              <w:rPr>
                <w:rFonts w:ascii="Calibri" w:hAnsi="Calibri" w:cs="Calibri"/>
                <w:color w:val="000000"/>
                <w:sz w:val="18"/>
                <w:szCs w:val="18"/>
              </w:rPr>
              <w:t xml:space="preserve"> desk area especially once RFID scanners introduced, and a  division of youth space from main area. There are poor acoustics and noise from Hall above. Ideally children's space would be sound separated.  Can be dark, too dark for security cameras.  Is stuffy during times of high use with inadequate air flow. </w:t>
            </w:r>
            <w:r w:rsidRPr="00226205">
              <w:rPr>
                <w:rFonts w:ascii="Calibri" w:hAnsi="Calibri" w:cs="Calibri"/>
                <w:color w:val="000000"/>
                <w:sz w:val="18"/>
                <w:szCs w:val="18"/>
              </w:rPr>
              <w:br/>
              <w:t>General</w:t>
            </w:r>
            <w:r w:rsidRPr="00226205">
              <w:rPr>
                <w:rFonts w:ascii="Calibri" w:hAnsi="Calibri" w:cs="Calibri"/>
                <w:color w:val="000000"/>
                <w:sz w:val="18"/>
                <w:szCs w:val="18"/>
              </w:rPr>
              <w:br/>
              <w:t>Various offices within the Town Hall are leased to external not for profit community groups and to Victoria Police.</w:t>
            </w:r>
          </w:p>
        </w:tc>
      </w:tr>
      <w:tr w:rsidR="00226205" w:rsidRPr="00226205" w:rsidTr="00B77D83">
        <w:trPr>
          <w:cantSplit/>
          <w:trHeight w:val="2206"/>
        </w:trPr>
        <w:tc>
          <w:tcPr>
            <w:tcW w:w="998" w:type="dxa"/>
            <w:shd w:val="clear" w:color="auto" w:fill="auto"/>
            <w:hideMark/>
          </w:tcPr>
          <w:p w:rsidR="00226205" w:rsidRPr="00226205" w:rsidRDefault="00226205" w:rsidP="006918D2">
            <w:pPr>
              <w:jc w:val="center"/>
              <w:rPr>
                <w:rFonts w:ascii="Calibri" w:hAnsi="Calibri" w:cs="Calibri"/>
                <w:color w:val="000000"/>
                <w:sz w:val="18"/>
                <w:szCs w:val="18"/>
              </w:rPr>
            </w:pPr>
            <w:r w:rsidRPr="00226205">
              <w:rPr>
                <w:rFonts w:ascii="Calibri" w:hAnsi="Calibri" w:cs="Calibri"/>
                <w:color w:val="000000"/>
                <w:sz w:val="18"/>
                <w:szCs w:val="18"/>
              </w:rPr>
              <w:t>B000133</w:t>
            </w:r>
          </w:p>
        </w:tc>
        <w:tc>
          <w:tcPr>
            <w:tcW w:w="2693" w:type="dxa"/>
            <w:shd w:val="clear" w:color="auto" w:fill="auto"/>
            <w:hideMark/>
          </w:tcPr>
          <w:p w:rsidR="00226205" w:rsidRPr="00226205" w:rsidRDefault="00226205" w:rsidP="00226205">
            <w:pPr>
              <w:rPr>
                <w:rFonts w:ascii="Calibri" w:hAnsi="Calibri" w:cs="Calibri"/>
                <w:color w:val="000000"/>
                <w:sz w:val="18"/>
                <w:szCs w:val="18"/>
              </w:rPr>
            </w:pPr>
            <w:r w:rsidRPr="00226205">
              <w:rPr>
                <w:rFonts w:ascii="Calibri" w:hAnsi="Calibri" w:cs="Calibri"/>
                <w:noProof/>
                <w:color w:val="000000"/>
                <w:sz w:val="18"/>
                <w:szCs w:val="18"/>
              </w:rPr>
              <w:drawing>
                <wp:anchor distT="0" distB="0" distL="114300" distR="114300" simplePos="0" relativeHeight="251712000" behindDoc="0" locked="0" layoutInCell="1" allowOverlap="1" wp14:anchorId="264E1D53" wp14:editId="1DC7B493">
                  <wp:simplePos x="0" y="0"/>
                  <wp:positionH relativeFrom="column">
                    <wp:posOffset>-20955</wp:posOffset>
                  </wp:positionH>
                  <wp:positionV relativeFrom="paragraph">
                    <wp:posOffset>44890</wp:posOffset>
                  </wp:positionV>
                  <wp:extent cx="1630800" cy="1288800"/>
                  <wp:effectExtent l="0" t="0" r="0" b="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2"/>
                          <pic:cNvPicPr>
                            <a:picLocks noChangeAspect="1"/>
                          </pic:cNvPicPr>
                        </pic:nvPicPr>
                        <pic:blipFill>
                          <a:blip r:embed="rId164">
                            <a:extLst>
                              <a:ext uri="{28A0092B-C50C-407E-A947-70E740481C1C}">
                                <a14:useLocalDpi xmlns:a14="http://schemas.microsoft.com/office/drawing/2010/main" val="0"/>
                              </a:ext>
                            </a:extLst>
                          </a:blip>
                          <a:stretch>
                            <a:fillRect/>
                          </a:stretch>
                        </pic:blipFill>
                        <pic:spPr>
                          <a:xfrm>
                            <a:off x="0" y="0"/>
                            <a:ext cx="1630800" cy="1288800"/>
                          </a:xfrm>
                          <a:prstGeom prst="rect">
                            <a:avLst/>
                          </a:prstGeom>
                        </pic:spPr>
                      </pic:pic>
                    </a:graphicData>
                  </a:graphic>
                  <wp14:sizeRelH relativeFrom="page">
                    <wp14:pctWidth>0</wp14:pctWidth>
                  </wp14:sizeRelH>
                  <wp14:sizeRelV relativeFrom="page">
                    <wp14:pctHeight>0</wp14:pctHeight>
                  </wp14:sizeRelV>
                </wp:anchor>
              </w:drawing>
            </w:r>
          </w:p>
        </w:tc>
        <w:tc>
          <w:tcPr>
            <w:tcW w:w="2268" w:type="dxa"/>
            <w:shd w:val="clear" w:color="auto" w:fill="auto"/>
            <w:hideMark/>
          </w:tcPr>
          <w:p w:rsidR="00226205" w:rsidRPr="00226205" w:rsidRDefault="00226205" w:rsidP="00A54993">
            <w:pPr>
              <w:jc w:val="left"/>
              <w:rPr>
                <w:rFonts w:ascii="Calibri" w:hAnsi="Calibri" w:cs="Calibri"/>
                <w:color w:val="000000"/>
                <w:sz w:val="18"/>
                <w:szCs w:val="18"/>
              </w:rPr>
            </w:pPr>
            <w:r w:rsidRPr="00226205">
              <w:rPr>
                <w:rFonts w:ascii="Calibri" w:hAnsi="Calibri" w:cs="Calibri"/>
                <w:color w:val="000000"/>
                <w:sz w:val="18"/>
                <w:szCs w:val="18"/>
              </w:rPr>
              <w:t xml:space="preserve">Fitzroy Child Care Cooperative, East West- 138 George Street, Fitzroy </w:t>
            </w:r>
          </w:p>
        </w:tc>
        <w:tc>
          <w:tcPr>
            <w:tcW w:w="1276" w:type="dxa"/>
            <w:shd w:val="clear" w:color="auto" w:fill="auto"/>
            <w:hideMark/>
          </w:tcPr>
          <w:p w:rsidR="00226205" w:rsidRPr="00226205" w:rsidRDefault="00226205" w:rsidP="009965C5">
            <w:pPr>
              <w:tabs>
                <w:tab w:val="decimal" w:pos="884"/>
              </w:tabs>
              <w:jc w:val="left"/>
              <w:rPr>
                <w:rFonts w:ascii="Calibri" w:hAnsi="Calibri" w:cs="Calibri"/>
                <w:color w:val="000000"/>
                <w:sz w:val="18"/>
                <w:szCs w:val="18"/>
              </w:rPr>
            </w:pPr>
            <w:r w:rsidRPr="00226205">
              <w:rPr>
                <w:rFonts w:ascii="Calibri" w:hAnsi="Calibri" w:cs="Calibri"/>
                <w:color w:val="000000"/>
                <w:sz w:val="18"/>
                <w:szCs w:val="18"/>
              </w:rPr>
              <w:t>$447,480</w:t>
            </w:r>
          </w:p>
        </w:tc>
        <w:tc>
          <w:tcPr>
            <w:tcW w:w="1134" w:type="dxa"/>
            <w:shd w:val="clear" w:color="auto" w:fill="auto"/>
            <w:hideMark/>
          </w:tcPr>
          <w:p w:rsidR="00226205" w:rsidRPr="00226205" w:rsidRDefault="00226205" w:rsidP="00226205">
            <w:pPr>
              <w:jc w:val="center"/>
              <w:rPr>
                <w:rFonts w:ascii="Calibri" w:hAnsi="Calibri" w:cs="Calibri"/>
                <w:color w:val="000000"/>
                <w:sz w:val="18"/>
                <w:szCs w:val="18"/>
              </w:rPr>
            </w:pPr>
            <w:r w:rsidRPr="00226205">
              <w:rPr>
                <w:rFonts w:ascii="Calibri" w:hAnsi="Calibri" w:cs="Calibri"/>
                <w:color w:val="000000"/>
                <w:sz w:val="18"/>
                <w:szCs w:val="18"/>
              </w:rPr>
              <w:t>Community Services</w:t>
            </w:r>
          </w:p>
        </w:tc>
        <w:tc>
          <w:tcPr>
            <w:tcW w:w="1417" w:type="dxa"/>
            <w:shd w:val="clear" w:color="auto" w:fill="auto"/>
            <w:hideMark/>
          </w:tcPr>
          <w:p w:rsidR="00226205" w:rsidRPr="00226205" w:rsidRDefault="00226205" w:rsidP="00226205">
            <w:pPr>
              <w:jc w:val="center"/>
              <w:rPr>
                <w:rFonts w:ascii="Calibri" w:hAnsi="Calibri" w:cs="Calibri"/>
                <w:color w:val="000000"/>
                <w:sz w:val="18"/>
                <w:szCs w:val="18"/>
              </w:rPr>
            </w:pPr>
            <w:r w:rsidRPr="00226205">
              <w:rPr>
                <w:rFonts w:ascii="Calibri" w:hAnsi="Calibri" w:cs="Calibri"/>
                <w:color w:val="000000"/>
                <w:sz w:val="18"/>
                <w:szCs w:val="18"/>
              </w:rPr>
              <w:t>Child Care Centres</w:t>
            </w:r>
          </w:p>
        </w:tc>
        <w:tc>
          <w:tcPr>
            <w:tcW w:w="2410" w:type="dxa"/>
            <w:shd w:val="clear" w:color="auto" w:fill="auto"/>
            <w:hideMark/>
          </w:tcPr>
          <w:p w:rsidR="00226205" w:rsidRPr="00226205" w:rsidRDefault="00226205" w:rsidP="00226205">
            <w:pPr>
              <w:jc w:val="left"/>
              <w:rPr>
                <w:rFonts w:ascii="Calibri" w:hAnsi="Calibri" w:cs="Calibri"/>
                <w:color w:val="000000"/>
                <w:sz w:val="18"/>
                <w:szCs w:val="18"/>
              </w:rPr>
            </w:pPr>
            <w:r w:rsidRPr="00226205">
              <w:rPr>
                <w:rFonts w:ascii="Calibri" w:hAnsi="Calibri" w:cs="Calibri"/>
                <w:color w:val="000000"/>
                <w:sz w:val="18"/>
                <w:szCs w:val="18"/>
              </w:rPr>
              <w:t xml:space="preserve">The building is in a fair condition requiring work to structure, roof, mechanical and electrical. </w:t>
            </w:r>
          </w:p>
        </w:tc>
        <w:tc>
          <w:tcPr>
            <w:tcW w:w="3118" w:type="dxa"/>
            <w:shd w:val="clear" w:color="auto" w:fill="auto"/>
            <w:hideMark/>
          </w:tcPr>
          <w:p w:rsidR="00226205" w:rsidRPr="00226205" w:rsidRDefault="00226205" w:rsidP="00226205">
            <w:pPr>
              <w:jc w:val="left"/>
              <w:rPr>
                <w:rFonts w:ascii="Calibri" w:hAnsi="Calibri" w:cs="Calibri"/>
                <w:color w:val="000000"/>
                <w:sz w:val="18"/>
                <w:szCs w:val="18"/>
              </w:rPr>
            </w:pPr>
            <w:r w:rsidRPr="00226205">
              <w:rPr>
                <w:rFonts w:ascii="Calibri" w:hAnsi="Calibri" w:cs="Calibri"/>
                <w:color w:val="000000"/>
                <w:sz w:val="18"/>
                <w:szCs w:val="18"/>
              </w:rPr>
              <w:t>Full assessment not yet carried out.</w:t>
            </w:r>
            <w:r w:rsidRPr="00226205">
              <w:rPr>
                <w:rFonts w:ascii="Calibri" w:hAnsi="Calibri" w:cs="Calibri"/>
                <w:color w:val="000000"/>
                <w:sz w:val="18"/>
                <w:szCs w:val="18"/>
              </w:rPr>
              <w:br/>
              <w:t>Leased to East West Childcare Inc</w:t>
            </w:r>
            <w:r w:rsidR="00840CD9">
              <w:rPr>
                <w:rFonts w:ascii="Calibri" w:hAnsi="Calibri" w:cs="Calibri"/>
                <w:color w:val="000000"/>
                <w:sz w:val="18"/>
                <w:szCs w:val="18"/>
              </w:rPr>
              <w:t>.</w:t>
            </w:r>
          </w:p>
        </w:tc>
      </w:tr>
      <w:tr w:rsidR="00226205" w:rsidRPr="00226205" w:rsidTr="00B77D83">
        <w:trPr>
          <w:cantSplit/>
          <w:trHeight w:val="2123"/>
        </w:trPr>
        <w:tc>
          <w:tcPr>
            <w:tcW w:w="998" w:type="dxa"/>
            <w:shd w:val="clear" w:color="auto" w:fill="auto"/>
            <w:hideMark/>
          </w:tcPr>
          <w:p w:rsidR="00226205" w:rsidRPr="00226205" w:rsidRDefault="00226205" w:rsidP="006918D2">
            <w:pPr>
              <w:jc w:val="center"/>
              <w:rPr>
                <w:rFonts w:ascii="Calibri" w:hAnsi="Calibri" w:cs="Calibri"/>
                <w:color w:val="000000"/>
                <w:sz w:val="18"/>
                <w:szCs w:val="18"/>
              </w:rPr>
            </w:pPr>
            <w:r w:rsidRPr="00226205">
              <w:rPr>
                <w:rFonts w:ascii="Calibri" w:hAnsi="Calibri" w:cs="Calibri"/>
                <w:color w:val="000000"/>
                <w:sz w:val="18"/>
                <w:szCs w:val="18"/>
              </w:rPr>
              <w:t>B000135</w:t>
            </w:r>
          </w:p>
        </w:tc>
        <w:tc>
          <w:tcPr>
            <w:tcW w:w="2693" w:type="dxa"/>
            <w:shd w:val="clear" w:color="auto" w:fill="auto"/>
            <w:hideMark/>
          </w:tcPr>
          <w:p w:rsidR="00226205" w:rsidRPr="00226205" w:rsidRDefault="00226205" w:rsidP="00226205">
            <w:pPr>
              <w:rPr>
                <w:rFonts w:ascii="Calibri" w:hAnsi="Calibri" w:cs="Calibri"/>
                <w:color w:val="000000"/>
                <w:sz w:val="18"/>
                <w:szCs w:val="18"/>
              </w:rPr>
            </w:pPr>
            <w:r w:rsidRPr="00226205">
              <w:rPr>
                <w:rFonts w:ascii="Calibri" w:hAnsi="Calibri" w:cs="Calibri"/>
                <w:noProof/>
                <w:color w:val="000000"/>
                <w:sz w:val="18"/>
                <w:szCs w:val="18"/>
              </w:rPr>
              <w:drawing>
                <wp:anchor distT="0" distB="0" distL="114300" distR="114300" simplePos="0" relativeHeight="251796992" behindDoc="0" locked="0" layoutInCell="1" allowOverlap="1" wp14:anchorId="11672074" wp14:editId="3C54CCB2">
                  <wp:simplePos x="0" y="0"/>
                  <wp:positionH relativeFrom="column">
                    <wp:posOffset>-20955</wp:posOffset>
                  </wp:positionH>
                  <wp:positionV relativeFrom="paragraph">
                    <wp:posOffset>53535</wp:posOffset>
                  </wp:positionV>
                  <wp:extent cx="1630800" cy="1231200"/>
                  <wp:effectExtent l="0" t="0" r="0" b="0"/>
                  <wp:wrapNone/>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Picture 114"/>
                          <pic:cNvPicPr>
                            <a:picLocks noChangeAspect="1"/>
                          </pic:cNvPicPr>
                        </pic:nvPicPr>
                        <pic:blipFill>
                          <a:blip r:embed="rId165">
                            <a:extLst>
                              <a:ext uri="{28A0092B-C50C-407E-A947-70E740481C1C}">
                                <a14:useLocalDpi xmlns:a14="http://schemas.microsoft.com/office/drawing/2010/main" val="0"/>
                              </a:ext>
                            </a:extLst>
                          </a:blip>
                          <a:stretch>
                            <a:fillRect/>
                          </a:stretch>
                        </pic:blipFill>
                        <pic:spPr>
                          <a:xfrm>
                            <a:off x="0" y="0"/>
                            <a:ext cx="1630800" cy="1231200"/>
                          </a:xfrm>
                          <a:prstGeom prst="rect">
                            <a:avLst/>
                          </a:prstGeom>
                        </pic:spPr>
                      </pic:pic>
                    </a:graphicData>
                  </a:graphic>
                  <wp14:sizeRelH relativeFrom="page">
                    <wp14:pctWidth>0</wp14:pctWidth>
                  </wp14:sizeRelH>
                  <wp14:sizeRelV relativeFrom="page">
                    <wp14:pctHeight>0</wp14:pctHeight>
                  </wp14:sizeRelV>
                </wp:anchor>
              </w:drawing>
            </w:r>
          </w:p>
        </w:tc>
        <w:tc>
          <w:tcPr>
            <w:tcW w:w="2268" w:type="dxa"/>
            <w:shd w:val="clear" w:color="auto" w:fill="auto"/>
            <w:hideMark/>
          </w:tcPr>
          <w:p w:rsidR="00226205" w:rsidRPr="00226205" w:rsidRDefault="00226205" w:rsidP="00A54993">
            <w:pPr>
              <w:jc w:val="left"/>
              <w:rPr>
                <w:rFonts w:ascii="Calibri" w:hAnsi="Calibri" w:cs="Calibri"/>
                <w:color w:val="000000"/>
                <w:sz w:val="18"/>
                <w:szCs w:val="18"/>
              </w:rPr>
            </w:pPr>
            <w:r w:rsidRPr="00226205">
              <w:rPr>
                <w:rFonts w:ascii="Calibri" w:hAnsi="Calibri" w:cs="Calibri"/>
                <w:color w:val="000000"/>
                <w:sz w:val="18"/>
                <w:szCs w:val="18"/>
              </w:rPr>
              <w:t xml:space="preserve">Chemical Store, Fitzroy Pool-  160 Alexandra Parade, Fitzroy </w:t>
            </w:r>
          </w:p>
        </w:tc>
        <w:tc>
          <w:tcPr>
            <w:tcW w:w="1276" w:type="dxa"/>
            <w:shd w:val="clear" w:color="auto" w:fill="auto"/>
            <w:hideMark/>
          </w:tcPr>
          <w:p w:rsidR="00226205" w:rsidRPr="00226205" w:rsidRDefault="00226205" w:rsidP="009965C5">
            <w:pPr>
              <w:tabs>
                <w:tab w:val="decimal" w:pos="884"/>
              </w:tabs>
              <w:jc w:val="left"/>
              <w:rPr>
                <w:rFonts w:ascii="Calibri" w:hAnsi="Calibri" w:cs="Calibri"/>
                <w:color w:val="000000"/>
                <w:sz w:val="18"/>
                <w:szCs w:val="18"/>
              </w:rPr>
            </w:pPr>
            <w:r w:rsidRPr="00226205">
              <w:rPr>
                <w:rFonts w:ascii="Calibri" w:hAnsi="Calibri" w:cs="Calibri"/>
                <w:color w:val="000000"/>
                <w:sz w:val="18"/>
                <w:szCs w:val="18"/>
              </w:rPr>
              <w:t>$50,000</w:t>
            </w:r>
          </w:p>
        </w:tc>
        <w:tc>
          <w:tcPr>
            <w:tcW w:w="1134" w:type="dxa"/>
            <w:shd w:val="clear" w:color="auto" w:fill="auto"/>
            <w:hideMark/>
          </w:tcPr>
          <w:p w:rsidR="00226205" w:rsidRPr="00226205" w:rsidRDefault="00226205" w:rsidP="00226205">
            <w:pPr>
              <w:jc w:val="center"/>
              <w:rPr>
                <w:rFonts w:ascii="Calibri" w:hAnsi="Calibri" w:cs="Calibri"/>
                <w:color w:val="000000"/>
                <w:sz w:val="18"/>
                <w:szCs w:val="18"/>
              </w:rPr>
            </w:pPr>
            <w:r w:rsidRPr="00226205">
              <w:rPr>
                <w:rFonts w:ascii="Calibri" w:hAnsi="Calibri" w:cs="Calibri"/>
                <w:color w:val="000000"/>
                <w:sz w:val="18"/>
                <w:szCs w:val="18"/>
              </w:rPr>
              <w:t>Leisure Services</w:t>
            </w:r>
          </w:p>
        </w:tc>
        <w:tc>
          <w:tcPr>
            <w:tcW w:w="1417" w:type="dxa"/>
            <w:shd w:val="clear" w:color="auto" w:fill="auto"/>
            <w:hideMark/>
          </w:tcPr>
          <w:p w:rsidR="00226205" w:rsidRPr="00226205" w:rsidRDefault="00226205" w:rsidP="00226205">
            <w:pPr>
              <w:jc w:val="center"/>
              <w:rPr>
                <w:rFonts w:ascii="Calibri" w:hAnsi="Calibri" w:cs="Calibri"/>
                <w:color w:val="000000"/>
                <w:sz w:val="18"/>
                <w:szCs w:val="18"/>
              </w:rPr>
            </w:pPr>
            <w:r w:rsidRPr="00226205">
              <w:rPr>
                <w:rFonts w:ascii="Calibri" w:hAnsi="Calibri" w:cs="Calibri"/>
                <w:color w:val="000000"/>
                <w:sz w:val="18"/>
                <w:szCs w:val="18"/>
              </w:rPr>
              <w:t>Stores / Sheds / Garages</w:t>
            </w:r>
          </w:p>
        </w:tc>
        <w:tc>
          <w:tcPr>
            <w:tcW w:w="2410" w:type="dxa"/>
            <w:shd w:val="clear" w:color="auto" w:fill="auto"/>
            <w:hideMark/>
          </w:tcPr>
          <w:p w:rsidR="00226205" w:rsidRPr="00226205" w:rsidRDefault="00226205" w:rsidP="00226205">
            <w:pPr>
              <w:jc w:val="left"/>
              <w:rPr>
                <w:rFonts w:ascii="Calibri" w:hAnsi="Calibri" w:cs="Calibri"/>
                <w:color w:val="000000"/>
                <w:sz w:val="18"/>
                <w:szCs w:val="18"/>
              </w:rPr>
            </w:pPr>
            <w:r w:rsidRPr="00226205">
              <w:rPr>
                <w:rFonts w:ascii="Calibri" w:hAnsi="Calibri" w:cs="Calibri"/>
                <w:color w:val="000000"/>
                <w:sz w:val="18"/>
                <w:szCs w:val="18"/>
              </w:rPr>
              <w:t xml:space="preserve">The building is in a fair condition requiring work to structure, roof, and fitout. </w:t>
            </w:r>
          </w:p>
        </w:tc>
        <w:tc>
          <w:tcPr>
            <w:tcW w:w="3118" w:type="dxa"/>
            <w:shd w:val="clear" w:color="auto" w:fill="auto"/>
            <w:hideMark/>
          </w:tcPr>
          <w:p w:rsidR="00226205" w:rsidRPr="00226205" w:rsidRDefault="00226205" w:rsidP="00226205">
            <w:pPr>
              <w:jc w:val="left"/>
              <w:rPr>
                <w:rFonts w:ascii="Calibri" w:hAnsi="Calibri" w:cs="Calibri"/>
                <w:color w:val="000000"/>
                <w:sz w:val="18"/>
                <w:szCs w:val="18"/>
              </w:rPr>
            </w:pPr>
            <w:r w:rsidRPr="00226205">
              <w:rPr>
                <w:rFonts w:ascii="Calibri" w:hAnsi="Calibri" w:cs="Calibri"/>
                <w:color w:val="000000"/>
                <w:sz w:val="18"/>
                <w:szCs w:val="18"/>
              </w:rPr>
              <w:t>Bunded tanks area not being utilised by deliveries truck. Ventilation could be better. If the bunded area can be improved it would allow chemical deliveries to be within the boundary of the venue.</w:t>
            </w:r>
          </w:p>
        </w:tc>
      </w:tr>
      <w:tr w:rsidR="00226205" w:rsidRPr="00226205" w:rsidTr="00B77D83">
        <w:trPr>
          <w:cantSplit/>
          <w:trHeight w:val="3996"/>
        </w:trPr>
        <w:tc>
          <w:tcPr>
            <w:tcW w:w="998" w:type="dxa"/>
            <w:shd w:val="clear" w:color="auto" w:fill="auto"/>
            <w:hideMark/>
          </w:tcPr>
          <w:p w:rsidR="00226205" w:rsidRPr="00226205" w:rsidRDefault="00226205" w:rsidP="006918D2">
            <w:pPr>
              <w:jc w:val="center"/>
              <w:rPr>
                <w:rFonts w:ascii="Calibri" w:hAnsi="Calibri" w:cs="Calibri"/>
                <w:color w:val="000000"/>
                <w:sz w:val="18"/>
                <w:szCs w:val="18"/>
              </w:rPr>
            </w:pPr>
            <w:r w:rsidRPr="00226205">
              <w:rPr>
                <w:rFonts w:ascii="Calibri" w:hAnsi="Calibri" w:cs="Calibri"/>
                <w:color w:val="000000"/>
                <w:sz w:val="18"/>
                <w:szCs w:val="18"/>
              </w:rPr>
              <w:t>B000136</w:t>
            </w:r>
          </w:p>
        </w:tc>
        <w:tc>
          <w:tcPr>
            <w:tcW w:w="2693" w:type="dxa"/>
            <w:shd w:val="clear" w:color="auto" w:fill="auto"/>
            <w:hideMark/>
          </w:tcPr>
          <w:p w:rsidR="00226205" w:rsidRPr="00226205" w:rsidRDefault="00226205" w:rsidP="00226205">
            <w:pPr>
              <w:rPr>
                <w:rFonts w:ascii="Calibri" w:hAnsi="Calibri" w:cs="Calibri"/>
                <w:color w:val="000000"/>
                <w:sz w:val="18"/>
                <w:szCs w:val="18"/>
              </w:rPr>
            </w:pPr>
            <w:r w:rsidRPr="00226205">
              <w:rPr>
                <w:rFonts w:ascii="Calibri" w:hAnsi="Calibri" w:cs="Calibri"/>
                <w:noProof/>
                <w:color w:val="000000"/>
                <w:sz w:val="18"/>
                <w:szCs w:val="18"/>
              </w:rPr>
              <w:drawing>
                <wp:anchor distT="0" distB="0" distL="114300" distR="114300" simplePos="0" relativeHeight="251753984" behindDoc="0" locked="0" layoutInCell="1" allowOverlap="1" wp14:anchorId="1C3D983E" wp14:editId="02063242">
                  <wp:simplePos x="0" y="0"/>
                  <wp:positionH relativeFrom="column">
                    <wp:posOffset>-20955</wp:posOffset>
                  </wp:positionH>
                  <wp:positionV relativeFrom="paragraph">
                    <wp:posOffset>52510</wp:posOffset>
                  </wp:positionV>
                  <wp:extent cx="1630800" cy="1285200"/>
                  <wp:effectExtent l="0" t="0" r="0" b="0"/>
                  <wp:wrapNone/>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8"/>
                          <pic:cNvPicPr>
                            <a:picLocks noChangeAspect="1"/>
                          </pic:cNvPicPr>
                        </pic:nvPicPr>
                        <pic:blipFill>
                          <a:blip r:embed="rId166">
                            <a:extLst>
                              <a:ext uri="{28A0092B-C50C-407E-A947-70E740481C1C}">
                                <a14:useLocalDpi xmlns:a14="http://schemas.microsoft.com/office/drawing/2010/main" val="0"/>
                              </a:ext>
                            </a:extLst>
                          </a:blip>
                          <a:stretch>
                            <a:fillRect/>
                          </a:stretch>
                        </pic:blipFill>
                        <pic:spPr>
                          <a:xfrm>
                            <a:off x="0" y="0"/>
                            <a:ext cx="1630800" cy="1285200"/>
                          </a:xfrm>
                          <a:prstGeom prst="rect">
                            <a:avLst/>
                          </a:prstGeom>
                        </pic:spPr>
                      </pic:pic>
                    </a:graphicData>
                  </a:graphic>
                  <wp14:sizeRelH relativeFrom="page">
                    <wp14:pctWidth>0</wp14:pctWidth>
                  </wp14:sizeRelH>
                  <wp14:sizeRelV relativeFrom="page">
                    <wp14:pctHeight>0</wp14:pctHeight>
                  </wp14:sizeRelV>
                </wp:anchor>
              </w:drawing>
            </w:r>
          </w:p>
        </w:tc>
        <w:tc>
          <w:tcPr>
            <w:tcW w:w="2268" w:type="dxa"/>
            <w:shd w:val="clear" w:color="auto" w:fill="auto"/>
            <w:hideMark/>
          </w:tcPr>
          <w:p w:rsidR="00226205" w:rsidRPr="00226205" w:rsidRDefault="00226205" w:rsidP="00A54993">
            <w:pPr>
              <w:jc w:val="left"/>
              <w:rPr>
                <w:rFonts w:ascii="Calibri" w:hAnsi="Calibri" w:cs="Calibri"/>
                <w:color w:val="000000"/>
                <w:sz w:val="18"/>
                <w:szCs w:val="18"/>
              </w:rPr>
            </w:pPr>
            <w:r w:rsidRPr="00226205">
              <w:rPr>
                <w:rFonts w:ascii="Calibri" w:hAnsi="Calibri" w:cs="Calibri"/>
                <w:color w:val="000000"/>
                <w:sz w:val="18"/>
                <w:szCs w:val="18"/>
              </w:rPr>
              <w:t xml:space="preserve">Group Fitness Room and Occasional Child Care, Fitzroy Pool- 160 Alexandra Parade, Fitzroy </w:t>
            </w:r>
          </w:p>
        </w:tc>
        <w:tc>
          <w:tcPr>
            <w:tcW w:w="1276" w:type="dxa"/>
            <w:shd w:val="clear" w:color="auto" w:fill="auto"/>
            <w:hideMark/>
          </w:tcPr>
          <w:p w:rsidR="00226205" w:rsidRPr="00226205" w:rsidRDefault="00226205" w:rsidP="009965C5">
            <w:pPr>
              <w:tabs>
                <w:tab w:val="decimal" w:pos="884"/>
              </w:tabs>
              <w:jc w:val="left"/>
              <w:rPr>
                <w:rFonts w:ascii="Calibri" w:hAnsi="Calibri" w:cs="Calibri"/>
                <w:color w:val="000000"/>
                <w:sz w:val="18"/>
                <w:szCs w:val="18"/>
              </w:rPr>
            </w:pPr>
            <w:r w:rsidRPr="00226205">
              <w:rPr>
                <w:rFonts w:ascii="Calibri" w:hAnsi="Calibri" w:cs="Calibri"/>
                <w:color w:val="000000"/>
                <w:sz w:val="18"/>
                <w:szCs w:val="18"/>
              </w:rPr>
              <w:t>$264,600</w:t>
            </w:r>
          </w:p>
        </w:tc>
        <w:tc>
          <w:tcPr>
            <w:tcW w:w="1134" w:type="dxa"/>
            <w:shd w:val="clear" w:color="auto" w:fill="auto"/>
            <w:hideMark/>
          </w:tcPr>
          <w:p w:rsidR="00226205" w:rsidRPr="00226205" w:rsidRDefault="00226205" w:rsidP="00226205">
            <w:pPr>
              <w:jc w:val="center"/>
              <w:rPr>
                <w:rFonts w:ascii="Calibri" w:hAnsi="Calibri" w:cs="Calibri"/>
                <w:color w:val="000000"/>
                <w:sz w:val="18"/>
                <w:szCs w:val="18"/>
              </w:rPr>
            </w:pPr>
            <w:r w:rsidRPr="00226205">
              <w:rPr>
                <w:rFonts w:ascii="Calibri" w:hAnsi="Calibri" w:cs="Calibri"/>
                <w:color w:val="000000"/>
                <w:sz w:val="18"/>
                <w:szCs w:val="18"/>
              </w:rPr>
              <w:t>Leisure Services</w:t>
            </w:r>
          </w:p>
        </w:tc>
        <w:tc>
          <w:tcPr>
            <w:tcW w:w="1417" w:type="dxa"/>
            <w:shd w:val="clear" w:color="auto" w:fill="auto"/>
            <w:hideMark/>
          </w:tcPr>
          <w:p w:rsidR="00226205" w:rsidRPr="00226205" w:rsidRDefault="00226205" w:rsidP="00226205">
            <w:pPr>
              <w:jc w:val="center"/>
              <w:rPr>
                <w:rFonts w:ascii="Calibri" w:hAnsi="Calibri" w:cs="Calibri"/>
                <w:color w:val="000000"/>
                <w:sz w:val="18"/>
                <w:szCs w:val="18"/>
              </w:rPr>
            </w:pPr>
            <w:r w:rsidRPr="00226205">
              <w:rPr>
                <w:rFonts w:ascii="Calibri" w:hAnsi="Calibri" w:cs="Calibri"/>
                <w:color w:val="000000"/>
                <w:sz w:val="18"/>
                <w:szCs w:val="18"/>
              </w:rPr>
              <w:t>Leisure Centres</w:t>
            </w:r>
          </w:p>
        </w:tc>
        <w:tc>
          <w:tcPr>
            <w:tcW w:w="2410" w:type="dxa"/>
            <w:shd w:val="clear" w:color="auto" w:fill="auto"/>
            <w:hideMark/>
          </w:tcPr>
          <w:p w:rsidR="00226205" w:rsidRPr="00226205" w:rsidRDefault="00226205" w:rsidP="00226205">
            <w:pPr>
              <w:jc w:val="left"/>
              <w:rPr>
                <w:rFonts w:ascii="Calibri" w:hAnsi="Calibri" w:cs="Calibri"/>
                <w:color w:val="000000"/>
                <w:sz w:val="18"/>
                <w:szCs w:val="18"/>
              </w:rPr>
            </w:pPr>
            <w:r w:rsidRPr="00226205">
              <w:rPr>
                <w:rFonts w:ascii="Calibri" w:hAnsi="Calibri" w:cs="Calibri"/>
                <w:color w:val="000000"/>
                <w:sz w:val="18"/>
                <w:szCs w:val="18"/>
              </w:rPr>
              <w:t xml:space="preserve">The building is in a fair condition requiring work to structure, roof, mechanical, electrical and fitout. </w:t>
            </w:r>
          </w:p>
        </w:tc>
        <w:tc>
          <w:tcPr>
            <w:tcW w:w="3118" w:type="dxa"/>
            <w:shd w:val="clear" w:color="auto" w:fill="auto"/>
            <w:hideMark/>
          </w:tcPr>
          <w:p w:rsidR="00226205" w:rsidRPr="00226205" w:rsidRDefault="00226205" w:rsidP="00840CD9">
            <w:pPr>
              <w:jc w:val="left"/>
              <w:rPr>
                <w:rFonts w:ascii="Calibri" w:hAnsi="Calibri" w:cs="Calibri"/>
                <w:color w:val="000000"/>
                <w:sz w:val="18"/>
                <w:szCs w:val="18"/>
              </w:rPr>
            </w:pPr>
            <w:r w:rsidRPr="00226205">
              <w:rPr>
                <w:rFonts w:ascii="Calibri" w:hAnsi="Calibri" w:cs="Calibri"/>
                <w:color w:val="000000"/>
                <w:sz w:val="18"/>
                <w:szCs w:val="18"/>
              </w:rPr>
              <w:t xml:space="preserve">Building is far too small for current use as group fitness area. It lacks pram storage and shared storage facilities with leisure programs have some impact on child care program. The adapted space is unsuitable for current purpose. Entrance to Occasional Care room inadequate and ideally need multiple rooms. Building cannot accommodate expansion. Currently not fit for purpose there is no dedicated kitchen old system heaters don’t work and split system air con inadequate for space. It has a tired appearance not appropriate for use with poor access and no shelter from weather.  Building likely to need replacement. Review of occasional care services will be undertaken in March-May 2013. Review will consider facilities and physical space requirements in conjunction with service requirements to meet community needs. </w:t>
            </w:r>
          </w:p>
        </w:tc>
      </w:tr>
      <w:tr w:rsidR="00226205" w:rsidRPr="00226205" w:rsidTr="00B77D83">
        <w:trPr>
          <w:cantSplit/>
          <w:trHeight w:val="2310"/>
        </w:trPr>
        <w:tc>
          <w:tcPr>
            <w:tcW w:w="998" w:type="dxa"/>
            <w:shd w:val="clear" w:color="auto" w:fill="auto"/>
            <w:hideMark/>
          </w:tcPr>
          <w:p w:rsidR="00226205" w:rsidRPr="00226205" w:rsidRDefault="00226205" w:rsidP="006918D2">
            <w:pPr>
              <w:jc w:val="center"/>
              <w:rPr>
                <w:rFonts w:ascii="Calibri" w:hAnsi="Calibri" w:cs="Calibri"/>
                <w:color w:val="000000"/>
                <w:sz w:val="18"/>
                <w:szCs w:val="18"/>
              </w:rPr>
            </w:pPr>
            <w:r w:rsidRPr="00226205">
              <w:rPr>
                <w:rFonts w:ascii="Calibri" w:hAnsi="Calibri" w:cs="Calibri"/>
                <w:color w:val="000000"/>
                <w:sz w:val="18"/>
                <w:szCs w:val="18"/>
              </w:rPr>
              <w:t>B000137</w:t>
            </w:r>
          </w:p>
        </w:tc>
        <w:tc>
          <w:tcPr>
            <w:tcW w:w="2693" w:type="dxa"/>
            <w:shd w:val="clear" w:color="auto" w:fill="auto"/>
            <w:hideMark/>
          </w:tcPr>
          <w:p w:rsidR="00226205" w:rsidRPr="00226205" w:rsidRDefault="00226205" w:rsidP="00226205">
            <w:pPr>
              <w:rPr>
                <w:rFonts w:ascii="Calibri" w:hAnsi="Calibri" w:cs="Calibri"/>
                <w:color w:val="000000"/>
                <w:sz w:val="18"/>
                <w:szCs w:val="18"/>
              </w:rPr>
            </w:pPr>
            <w:r w:rsidRPr="00226205">
              <w:rPr>
                <w:rFonts w:ascii="Calibri" w:hAnsi="Calibri" w:cs="Calibri"/>
                <w:noProof/>
                <w:color w:val="000000"/>
                <w:sz w:val="18"/>
                <w:szCs w:val="18"/>
              </w:rPr>
              <w:drawing>
                <wp:anchor distT="0" distB="0" distL="114300" distR="114300" simplePos="0" relativeHeight="251752960" behindDoc="0" locked="0" layoutInCell="1" allowOverlap="1" wp14:anchorId="42C2B623" wp14:editId="42D24458">
                  <wp:simplePos x="0" y="0"/>
                  <wp:positionH relativeFrom="column">
                    <wp:posOffset>-20955</wp:posOffset>
                  </wp:positionH>
                  <wp:positionV relativeFrom="paragraph">
                    <wp:posOffset>20515</wp:posOffset>
                  </wp:positionV>
                  <wp:extent cx="1630800" cy="1422000"/>
                  <wp:effectExtent l="0" t="0" r="0" b="0"/>
                  <wp:wrapNone/>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7"/>
                          <pic:cNvPicPr>
                            <a:picLocks noChangeAspect="1"/>
                          </pic:cNvPicPr>
                        </pic:nvPicPr>
                        <pic:blipFill>
                          <a:blip r:embed="rId167">
                            <a:extLst>
                              <a:ext uri="{28A0092B-C50C-407E-A947-70E740481C1C}">
                                <a14:useLocalDpi xmlns:a14="http://schemas.microsoft.com/office/drawing/2010/main" val="0"/>
                              </a:ext>
                            </a:extLst>
                          </a:blip>
                          <a:stretch>
                            <a:fillRect/>
                          </a:stretch>
                        </pic:blipFill>
                        <pic:spPr>
                          <a:xfrm>
                            <a:off x="0" y="0"/>
                            <a:ext cx="1630800" cy="1422000"/>
                          </a:xfrm>
                          <a:prstGeom prst="rect">
                            <a:avLst/>
                          </a:prstGeom>
                        </pic:spPr>
                      </pic:pic>
                    </a:graphicData>
                  </a:graphic>
                  <wp14:sizeRelH relativeFrom="page">
                    <wp14:pctWidth>0</wp14:pctWidth>
                  </wp14:sizeRelH>
                  <wp14:sizeRelV relativeFrom="page">
                    <wp14:pctHeight>0</wp14:pctHeight>
                  </wp14:sizeRelV>
                </wp:anchor>
              </w:drawing>
            </w:r>
          </w:p>
        </w:tc>
        <w:tc>
          <w:tcPr>
            <w:tcW w:w="2268" w:type="dxa"/>
            <w:shd w:val="clear" w:color="auto" w:fill="auto"/>
            <w:hideMark/>
          </w:tcPr>
          <w:p w:rsidR="00226205" w:rsidRPr="00226205" w:rsidRDefault="00226205" w:rsidP="00A54993">
            <w:pPr>
              <w:jc w:val="left"/>
              <w:rPr>
                <w:rFonts w:ascii="Calibri" w:hAnsi="Calibri" w:cs="Calibri"/>
                <w:color w:val="000000"/>
                <w:sz w:val="18"/>
                <w:szCs w:val="18"/>
              </w:rPr>
            </w:pPr>
            <w:r w:rsidRPr="00226205">
              <w:rPr>
                <w:rFonts w:ascii="Calibri" w:hAnsi="Calibri" w:cs="Calibri"/>
                <w:color w:val="000000"/>
                <w:sz w:val="18"/>
                <w:szCs w:val="18"/>
              </w:rPr>
              <w:t xml:space="preserve">Fitzroy Leisure Centre Main Building (inc Gym and Spa) - 160 Alexandra Parade, Fitzroy </w:t>
            </w:r>
          </w:p>
        </w:tc>
        <w:tc>
          <w:tcPr>
            <w:tcW w:w="1276" w:type="dxa"/>
            <w:shd w:val="clear" w:color="auto" w:fill="auto"/>
            <w:hideMark/>
          </w:tcPr>
          <w:p w:rsidR="00226205" w:rsidRPr="00226205" w:rsidRDefault="009965C5" w:rsidP="009965C5">
            <w:pPr>
              <w:tabs>
                <w:tab w:val="decimal" w:pos="884"/>
              </w:tabs>
              <w:jc w:val="left"/>
              <w:rPr>
                <w:rFonts w:ascii="Calibri" w:hAnsi="Calibri" w:cs="Calibri"/>
                <w:color w:val="000000"/>
                <w:sz w:val="18"/>
                <w:szCs w:val="18"/>
              </w:rPr>
            </w:pPr>
            <w:r>
              <w:rPr>
                <w:rFonts w:ascii="Calibri" w:hAnsi="Calibri" w:cs="Calibri"/>
                <w:color w:val="000000"/>
                <w:sz w:val="18"/>
                <w:szCs w:val="18"/>
              </w:rPr>
              <w:t>$</w:t>
            </w:r>
            <w:r w:rsidR="00226205" w:rsidRPr="00226205">
              <w:rPr>
                <w:rFonts w:ascii="Calibri" w:hAnsi="Calibri" w:cs="Calibri"/>
                <w:color w:val="000000"/>
                <w:sz w:val="18"/>
                <w:szCs w:val="18"/>
              </w:rPr>
              <w:t>4,287,500</w:t>
            </w:r>
          </w:p>
        </w:tc>
        <w:tc>
          <w:tcPr>
            <w:tcW w:w="1134" w:type="dxa"/>
            <w:shd w:val="clear" w:color="auto" w:fill="auto"/>
            <w:hideMark/>
          </w:tcPr>
          <w:p w:rsidR="00226205" w:rsidRPr="00226205" w:rsidRDefault="00226205" w:rsidP="00226205">
            <w:pPr>
              <w:jc w:val="center"/>
              <w:rPr>
                <w:rFonts w:ascii="Calibri" w:hAnsi="Calibri" w:cs="Calibri"/>
                <w:color w:val="000000"/>
                <w:sz w:val="18"/>
                <w:szCs w:val="18"/>
              </w:rPr>
            </w:pPr>
            <w:r w:rsidRPr="00226205">
              <w:rPr>
                <w:rFonts w:ascii="Calibri" w:hAnsi="Calibri" w:cs="Calibri"/>
                <w:color w:val="000000"/>
                <w:sz w:val="18"/>
                <w:szCs w:val="18"/>
              </w:rPr>
              <w:t>Leisure Services</w:t>
            </w:r>
          </w:p>
        </w:tc>
        <w:tc>
          <w:tcPr>
            <w:tcW w:w="1417" w:type="dxa"/>
            <w:shd w:val="clear" w:color="auto" w:fill="auto"/>
            <w:hideMark/>
          </w:tcPr>
          <w:p w:rsidR="00226205" w:rsidRPr="00226205" w:rsidRDefault="00226205" w:rsidP="00226205">
            <w:pPr>
              <w:jc w:val="center"/>
              <w:rPr>
                <w:rFonts w:ascii="Calibri" w:hAnsi="Calibri" w:cs="Calibri"/>
                <w:color w:val="000000"/>
                <w:sz w:val="18"/>
                <w:szCs w:val="18"/>
              </w:rPr>
            </w:pPr>
            <w:r w:rsidRPr="00226205">
              <w:rPr>
                <w:rFonts w:ascii="Calibri" w:hAnsi="Calibri" w:cs="Calibri"/>
                <w:color w:val="000000"/>
                <w:sz w:val="18"/>
                <w:szCs w:val="18"/>
              </w:rPr>
              <w:t>Leisure Centres</w:t>
            </w:r>
          </w:p>
        </w:tc>
        <w:tc>
          <w:tcPr>
            <w:tcW w:w="2410" w:type="dxa"/>
            <w:shd w:val="clear" w:color="auto" w:fill="auto"/>
            <w:hideMark/>
          </w:tcPr>
          <w:p w:rsidR="00226205" w:rsidRPr="00226205" w:rsidRDefault="00226205" w:rsidP="00226205">
            <w:pPr>
              <w:jc w:val="left"/>
              <w:rPr>
                <w:rFonts w:ascii="Calibri" w:hAnsi="Calibri" w:cs="Calibri"/>
                <w:color w:val="000000"/>
                <w:sz w:val="18"/>
                <w:szCs w:val="18"/>
              </w:rPr>
            </w:pPr>
            <w:r w:rsidRPr="00226205">
              <w:rPr>
                <w:rFonts w:ascii="Calibri" w:hAnsi="Calibri" w:cs="Calibri"/>
                <w:color w:val="000000"/>
                <w:sz w:val="18"/>
                <w:szCs w:val="18"/>
              </w:rPr>
              <w:t xml:space="preserve">The building is in a fair condition requiring work to structure, roof, mechanical, electrical and fitout. </w:t>
            </w:r>
          </w:p>
        </w:tc>
        <w:tc>
          <w:tcPr>
            <w:tcW w:w="3118" w:type="dxa"/>
            <w:shd w:val="clear" w:color="auto" w:fill="auto"/>
            <w:hideMark/>
          </w:tcPr>
          <w:p w:rsidR="00226205" w:rsidRPr="00226205" w:rsidRDefault="00226205" w:rsidP="00226205">
            <w:pPr>
              <w:jc w:val="left"/>
              <w:rPr>
                <w:rFonts w:ascii="Calibri" w:hAnsi="Calibri" w:cs="Calibri"/>
                <w:color w:val="000000"/>
                <w:sz w:val="18"/>
                <w:szCs w:val="18"/>
              </w:rPr>
            </w:pPr>
            <w:r w:rsidRPr="00226205">
              <w:rPr>
                <w:rFonts w:ascii="Calibri" w:hAnsi="Calibri" w:cs="Calibri"/>
                <w:color w:val="000000"/>
                <w:sz w:val="18"/>
                <w:szCs w:val="18"/>
              </w:rPr>
              <w:t>Administration  areas separated from outside changing rooms. There is no lift, poor plumbing, and has pool backfill problems. Building is currently inadequate for service delivery expectations, a major reconfiguration and refit is required.</w:t>
            </w:r>
          </w:p>
        </w:tc>
      </w:tr>
      <w:tr w:rsidR="00226205" w:rsidRPr="00226205" w:rsidTr="00B77D83">
        <w:trPr>
          <w:cantSplit/>
          <w:trHeight w:val="2065"/>
        </w:trPr>
        <w:tc>
          <w:tcPr>
            <w:tcW w:w="998" w:type="dxa"/>
            <w:shd w:val="clear" w:color="auto" w:fill="auto"/>
            <w:hideMark/>
          </w:tcPr>
          <w:p w:rsidR="00226205" w:rsidRPr="00226205" w:rsidRDefault="00226205" w:rsidP="006918D2">
            <w:pPr>
              <w:jc w:val="center"/>
              <w:rPr>
                <w:rFonts w:ascii="Calibri" w:hAnsi="Calibri" w:cs="Calibri"/>
                <w:color w:val="000000"/>
                <w:sz w:val="18"/>
                <w:szCs w:val="18"/>
              </w:rPr>
            </w:pPr>
            <w:r w:rsidRPr="00226205">
              <w:rPr>
                <w:rFonts w:ascii="Calibri" w:hAnsi="Calibri" w:cs="Calibri"/>
                <w:color w:val="000000"/>
                <w:sz w:val="18"/>
                <w:szCs w:val="18"/>
              </w:rPr>
              <w:t>B000139</w:t>
            </w:r>
          </w:p>
        </w:tc>
        <w:tc>
          <w:tcPr>
            <w:tcW w:w="2693" w:type="dxa"/>
            <w:shd w:val="clear" w:color="auto" w:fill="auto"/>
            <w:hideMark/>
          </w:tcPr>
          <w:p w:rsidR="00226205" w:rsidRPr="00226205" w:rsidRDefault="00226205" w:rsidP="00226205">
            <w:pPr>
              <w:rPr>
                <w:rFonts w:ascii="Calibri" w:hAnsi="Calibri" w:cs="Calibri"/>
                <w:color w:val="000000"/>
                <w:sz w:val="18"/>
                <w:szCs w:val="18"/>
              </w:rPr>
            </w:pPr>
            <w:r w:rsidRPr="00226205">
              <w:rPr>
                <w:rFonts w:ascii="Calibri" w:hAnsi="Calibri" w:cs="Calibri"/>
                <w:noProof/>
                <w:color w:val="000000"/>
                <w:sz w:val="18"/>
                <w:szCs w:val="18"/>
              </w:rPr>
              <w:drawing>
                <wp:anchor distT="0" distB="0" distL="114300" distR="114300" simplePos="0" relativeHeight="251795968" behindDoc="0" locked="0" layoutInCell="1" allowOverlap="1" wp14:anchorId="1794B678" wp14:editId="3F28CC8C">
                  <wp:simplePos x="0" y="0"/>
                  <wp:positionH relativeFrom="column">
                    <wp:posOffset>-20955</wp:posOffset>
                  </wp:positionH>
                  <wp:positionV relativeFrom="paragraph">
                    <wp:posOffset>59250</wp:posOffset>
                  </wp:positionV>
                  <wp:extent cx="1630800" cy="1231200"/>
                  <wp:effectExtent l="0" t="0" r="0" b="0"/>
                  <wp:wrapNone/>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Picture 113"/>
                          <pic:cNvPicPr>
                            <a:picLocks noChangeAspect="1"/>
                          </pic:cNvPicPr>
                        </pic:nvPicPr>
                        <pic:blipFill>
                          <a:blip r:embed="rId168">
                            <a:extLst>
                              <a:ext uri="{28A0092B-C50C-407E-A947-70E740481C1C}">
                                <a14:useLocalDpi xmlns:a14="http://schemas.microsoft.com/office/drawing/2010/main" val="0"/>
                              </a:ext>
                            </a:extLst>
                          </a:blip>
                          <a:stretch>
                            <a:fillRect/>
                          </a:stretch>
                        </pic:blipFill>
                        <pic:spPr>
                          <a:xfrm>
                            <a:off x="0" y="0"/>
                            <a:ext cx="1630800" cy="1231200"/>
                          </a:xfrm>
                          <a:prstGeom prst="rect">
                            <a:avLst/>
                          </a:prstGeom>
                        </pic:spPr>
                      </pic:pic>
                    </a:graphicData>
                  </a:graphic>
                  <wp14:sizeRelH relativeFrom="page">
                    <wp14:pctWidth>0</wp14:pctWidth>
                  </wp14:sizeRelH>
                  <wp14:sizeRelV relativeFrom="page">
                    <wp14:pctHeight>0</wp14:pctHeight>
                  </wp14:sizeRelV>
                </wp:anchor>
              </w:drawing>
            </w:r>
          </w:p>
        </w:tc>
        <w:tc>
          <w:tcPr>
            <w:tcW w:w="2268" w:type="dxa"/>
            <w:shd w:val="clear" w:color="auto" w:fill="auto"/>
            <w:hideMark/>
          </w:tcPr>
          <w:p w:rsidR="00226205" w:rsidRPr="00226205" w:rsidRDefault="00226205" w:rsidP="00A54993">
            <w:pPr>
              <w:jc w:val="left"/>
              <w:rPr>
                <w:rFonts w:ascii="Calibri" w:hAnsi="Calibri" w:cs="Calibri"/>
                <w:color w:val="000000"/>
                <w:sz w:val="18"/>
                <w:szCs w:val="18"/>
              </w:rPr>
            </w:pPr>
            <w:r w:rsidRPr="00226205">
              <w:rPr>
                <w:rFonts w:ascii="Calibri" w:hAnsi="Calibri" w:cs="Calibri"/>
                <w:color w:val="000000"/>
                <w:sz w:val="18"/>
                <w:szCs w:val="18"/>
              </w:rPr>
              <w:t xml:space="preserve">Fitzroy Leisure Centre Main Pool Plant Room - 160 Alexandra Parade, Fitzroy </w:t>
            </w:r>
          </w:p>
        </w:tc>
        <w:tc>
          <w:tcPr>
            <w:tcW w:w="1276" w:type="dxa"/>
            <w:shd w:val="clear" w:color="auto" w:fill="auto"/>
            <w:hideMark/>
          </w:tcPr>
          <w:p w:rsidR="00226205" w:rsidRPr="00226205" w:rsidRDefault="00226205" w:rsidP="009965C5">
            <w:pPr>
              <w:tabs>
                <w:tab w:val="decimal" w:pos="884"/>
              </w:tabs>
              <w:jc w:val="left"/>
              <w:rPr>
                <w:rFonts w:ascii="Calibri" w:hAnsi="Calibri" w:cs="Calibri"/>
                <w:color w:val="000000"/>
                <w:sz w:val="18"/>
                <w:szCs w:val="18"/>
              </w:rPr>
            </w:pPr>
            <w:r w:rsidRPr="00226205">
              <w:rPr>
                <w:rFonts w:ascii="Calibri" w:hAnsi="Calibri" w:cs="Calibri"/>
                <w:color w:val="000000"/>
                <w:sz w:val="18"/>
                <w:szCs w:val="18"/>
              </w:rPr>
              <w:t>$50,000</w:t>
            </w:r>
          </w:p>
        </w:tc>
        <w:tc>
          <w:tcPr>
            <w:tcW w:w="1134" w:type="dxa"/>
            <w:shd w:val="clear" w:color="auto" w:fill="auto"/>
            <w:hideMark/>
          </w:tcPr>
          <w:p w:rsidR="00226205" w:rsidRPr="00226205" w:rsidRDefault="00226205" w:rsidP="00226205">
            <w:pPr>
              <w:jc w:val="center"/>
              <w:rPr>
                <w:rFonts w:ascii="Calibri" w:hAnsi="Calibri" w:cs="Calibri"/>
                <w:color w:val="000000"/>
                <w:sz w:val="18"/>
                <w:szCs w:val="18"/>
              </w:rPr>
            </w:pPr>
            <w:r w:rsidRPr="00226205">
              <w:rPr>
                <w:rFonts w:ascii="Calibri" w:hAnsi="Calibri" w:cs="Calibri"/>
                <w:color w:val="000000"/>
                <w:sz w:val="18"/>
                <w:szCs w:val="18"/>
              </w:rPr>
              <w:t>Leisure Services</w:t>
            </w:r>
          </w:p>
        </w:tc>
        <w:tc>
          <w:tcPr>
            <w:tcW w:w="1417" w:type="dxa"/>
            <w:shd w:val="clear" w:color="auto" w:fill="auto"/>
            <w:hideMark/>
          </w:tcPr>
          <w:p w:rsidR="00226205" w:rsidRPr="00226205" w:rsidRDefault="00226205" w:rsidP="00226205">
            <w:pPr>
              <w:jc w:val="center"/>
              <w:rPr>
                <w:rFonts w:ascii="Calibri" w:hAnsi="Calibri" w:cs="Calibri"/>
                <w:color w:val="000000"/>
                <w:sz w:val="18"/>
                <w:szCs w:val="18"/>
              </w:rPr>
            </w:pPr>
            <w:r w:rsidRPr="00226205">
              <w:rPr>
                <w:rFonts w:ascii="Calibri" w:hAnsi="Calibri" w:cs="Calibri"/>
                <w:color w:val="000000"/>
                <w:sz w:val="18"/>
                <w:szCs w:val="18"/>
              </w:rPr>
              <w:t>Stores / Sheds / Garages</w:t>
            </w:r>
          </w:p>
        </w:tc>
        <w:tc>
          <w:tcPr>
            <w:tcW w:w="2410" w:type="dxa"/>
            <w:shd w:val="clear" w:color="auto" w:fill="auto"/>
            <w:hideMark/>
          </w:tcPr>
          <w:p w:rsidR="00226205" w:rsidRPr="00226205" w:rsidRDefault="00226205" w:rsidP="00226205">
            <w:pPr>
              <w:jc w:val="left"/>
              <w:rPr>
                <w:rFonts w:ascii="Calibri" w:hAnsi="Calibri" w:cs="Calibri"/>
                <w:color w:val="000000"/>
                <w:sz w:val="18"/>
                <w:szCs w:val="18"/>
              </w:rPr>
            </w:pPr>
            <w:r w:rsidRPr="00226205">
              <w:rPr>
                <w:rFonts w:ascii="Calibri" w:hAnsi="Calibri" w:cs="Calibri"/>
                <w:color w:val="000000"/>
                <w:sz w:val="18"/>
                <w:szCs w:val="18"/>
              </w:rPr>
              <w:t xml:space="preserve">The building is in a good condition. </w:t>
            </w:r>
          </w:p>
        </w:tc>
        <w:tc>
          <w:tcPr>
            <w:tcW w:w="3118" w:type="dxa"/>
            <w:shd w:val="clear" w:color="auto" w:fill="auto"/>
            <w:hideMark/>
          </w:tcPr>
          <w:p w:rsidR="00226205" w:rsidRPr="00226205" w:rsidRDefault="00226205" w:rsidP="00226205">
            <w:pPr>
              <w:jc w:val="left"/>
              <w:rPr>
                <w:rFonts w:ascii="Calibri" w:hAnsi="Calibri" w:cs="Calibri"/>
                <w:color w:val="000000"/>
                <w:sz w:val="18"/>
                <w:szCs w:val="18"/>
              </w:rPr>
            </w:pPr>
            <w:r w:rsidRPr="00226205">
              <w:rPr>
                <w:rFonts w:ascii="Calibri" w:hAnsi="Calibri" w:cs="Calibri"/>
                <w:color w:val="000000"/>
                <w:sz w:val="18"/>
                <w:szCs w:val="18"/>
              </w:rPr>
              <w:t>Inadequate bunding for delivery of chemicals. Bunded tanks area not being utilised by deliveries truck. Ventilation could be better. If the bunded area can be improved it would allow chemical deliveries to be within the boundary of the venue.</w:t>
            </w:r>
          </w:p>
        </w:tc>
      </w:tr>
      <w:tr w:rsidR="00226205" w:rsidRPr="00226205" w:rsidTr="00B77D83">
        <w:trPr>
          <w:cantSplit/>
          <w:trHeight w:val="2391"/>
        </w:trPr>
        <w:tc>
          <w:tcPr>
            <w:tcW w:w="998" w:type="dxa"/>
            <w:shd w:val="clear" w:color="auto" w:fill="auto"/>
            <w:hideMark/>
          </w:tcPr>
          <w:p w:rsidR="00226205" w:rsidRPr="00226205" w:rsidRDefault="00226205" w:rsidP="006918D2">
            <w:pPr>
              <w:jc w:val="center"/>
              <w:rPr>
                <w:rFonts w:ascii="Calibri" w:hAnsi="Calibri" w:cs="Calibri"/>
                <w:color w:val="000000"/>
                <w:sz w:val="18"/>
                <w:szCs w:val="18"/>
              </w:rPr>
            </w:pPr>
            <w:r w:rsidRPr="00226205">
              <w:rPr>
                <w:rFonts w:ascii="Calibri" w:hAnsi="Calibri" w:cs="Calibri"/>
                <w:color w:val="000000"/>
                <w:sz w:val="18"/>
                <w:szCs w:val="18"/>
              </w:rPr>
              <w:t>B000141</w:t>
            </w:r>
          </w:p>
        </w:tc>
        <w:tc>
          <w:tcPr>
            <w:tcW w:w="2693" w:type="dxa"/>
            <w:shd w:val="clear" w:color="auto" w:fill="auto"/>
            <w:hideMark/>
          </w:tcPr>
          <w:p w:rsidR="00226205" w:rsidRPr="00226205" w:rsidRDefault="00226205" w:rsidP="00226205">
            <w:pPr>
              <w:rPr>
                <w:rFonts w:ascii="Calibri" w:hAnsi="Calibri" w:cs="Calibri"/>
                <w:color w:val="000000"/>
                <w:sz w:val="18"/>
                <w:szCs w:val="18"/>
              </w:rPr>
            </w:pPr>
            <w:r w:rsidRPr="00226205">
              <w:rPr>
                <w:rFonts w:ascii="Calibri" w:hAnsi="Calibri" w:cs="Calibri"/>
                <w:noProof/>
                <w:color w:val="000000"/>
                <w:sz w:val="18"/>
                <w:szCs w:val="18"/>
              </w:rPr>
              <w:drawing>
                <wp:anchor distT="0" distB="0" distL="114300" distR="114300" simplePos="0" relativeHeight="251804160" behindDoc="0" locked="0" layoutInCell="1" allowOverlap="1" wp14:anchorId="1B3BDE1E" wp14:editId="62C4F4C5">
                  <wp:simplePos x="0" y="0"/>
                  <wp:positionH relativeFrom="column">
                    <wp:posOffset>-20955</wp:posOffset>
                  </wp:positionH>
                  <wp:positionV relativeFrom="paragraph">
                    <wp:posOffset>70680</wp:posOffset>
                  </wp:positionV>
                  <wp:extent cx="1630800" cy="1364400"/>
                  <wp:effectExtent l="0" t="0" r="0" b="0"/>
                  <wp:wrapNone/>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Picture 119"/>
                          <pic:cNvPicPr>
                            <a:picLocks noChangeAspect="1"/>
                          </pic:cNvPicPr>
                        </pic:nvPicPr>
                        <pic:blipFill>
                          <a:blip r:embed="rId169">
                            <a:extLst>
                              <a:ext uri="{28A0092B-C50C-407E-A947-70E740481C1C}">
                                <a14:useLocalDpi xmlns:a14="http://schemas.microsoft.com/office/drawing/2010/main" val="0"/>
                              </a:ext>
                            </a:extLst>
                          </a:blip>
                          <a:stretch>
                            <a:fillRect/>
                          </a:stretch>
                        </pic:blipFill>
                        <pic:spPr>
                          <a:xfrm>
                            <a:off x="0" y="0"/>
                            <a:ext cx="1630800" cy="1364400"/>
                          </a:xfrm>
                          <a:prstGeom prst="rect">
                            <a:avLst/>
                          </a:prstGeom>
                        </pic:spPr>
                      </pic:pic>
                    </a:graphicData>
                  </a:graphic>
                  <wp14:sizeRelH relativeFrom="page">
                    <wp14:pctWidth>0</wp14:pctWidth>
                  </wp14:sizeRelH>
                  <wp14:sizeRelV relativeFrom="page">
                    <wp14:pctHeight>0</wp14:pctHeight>
                  </wp14:sizeRelV>
                </wp:anchor>
              </w:drawing>
            </w:r>
          </w:p>
        </w:tc>
        <w:tc>
          <w:tcPr>
            <w:tcW w:w="2268" w:type="dxa"/>
            <w:shd w:val="clear" w:color="auto" w:fill="auto"/>
            <w:hideMark/>
          </w:tcPr>
          <w:p w:rsidR="00226205" w:rsidRPr="00226205" w:rsidRDefault="00226205" w:rsidP="00A54993">
            <w:pPr>
              <w:jc w:val="left"/>
              <w:rPr>
                <w:rFonts w:ascii="Calibri" w:hAnsi="Calibri" w:cs="Calibri"/>
                <w:color w:val="000000"/>
                <w:sz w:val="18"/>
                <w:szCs w:val="18"/>
              </w:rPr>
            </w:pPr>
            <w:r w:rsidRPr="00226205">
              <w:rPr>
                <w:rFonts w:ascii="Calibri" w:hAnsi="Calibri" w:cs="Calibri"/>
                <w:color w:val="000000"/>
                <w:sz w:val="18"/>
                <w:szCs w:val="18"/>
              </w:rPr>
              <w:t xml:space="preserve">Fitzroy Leisure Centre Toddlers Pool Plant Room -  160 Alexandra Parade, Fitzroy </w:t>
            </w:r>
          </w:p>
        </w:tc>
        <w:tc>
          <w:tcPr>
            <w:tcW w:w="1276" w:type="dxa"/>
            <w:shd w:val="clear" w:color="auto" w:fill="auto"/>
            <w:hideMark/>
          </w:tcPr>
          <w:p w:rsidR="00226205" w:rsidRPr="00226205" w:rsidRDefault="00226205" w:rsidP="009965C5">
            <w:pPr>
              <w:tabs>
                <w:tab w:val="decimal" w:pos="884"/>
              </w:tabs>
              <w:jc w:val="left"/>
              <w:rPr>
                <w:rFonts w:ascii="Calibri" w:hAnsi="Calibri" w:cs="Calibri"/>
                <w:color w:val="000000"/>
                <w:sz w:val="18"/>
                <w:szCs w:val="18"/>
              </w:rPr>
            </w:pPr>
            <w:r w:rsidRPr="00226205">
              <w:rPr>
                <w:rFonts w:ascii="Calibri" w:hAnsi="Calibri" w:cs="Calibri"/>
                <w:color w:val="000000"/>
                <w:sz w:val="18"/>
                <w:szCs w:val="18"/>
              </w:rPr>
              <w:t>$50,000</w:t>
            </w:r>
          </w:p>
        </w:tc>
        <w:tc>
          <w:tcPr>
            <w:tcW w:w="1134" w:type="dxa"/>
            <w:shd w:val="clear" w:color="auto" w:fill="auto"/>
            <w:hideMark/>
          </w:tcPr>
          <w:p w:rsidR="00226205" w:rsidRPr="00226205" w:rsidRDefault="00226205" w:rsidP="00226205">
            <w:pPr>
              <w:jc w:val="center"/>
              <w:rPr>
                <w:rFonts w:ascii="Calibri" w:hAnsi="Calibri" w:cs="Calibri"/>
                <w:color w:val="000000"/>
                <w:sz w:val="18"/>
                <w:szCs w:val="18"/>
              </w:rPr>
            </w:pPr>
            <w:r w:rsidRPr="00226205">
              <w:rPr>
                <w:rFonts w:ascii="Calibri" w:hAnsi="Calibri" w:cs="Calibri"/>
                <w:color w:val="000000"/>
                <w:sz w:val="18"/>
                <w:szCs w:val="18"/>
              </w:rPr>
              <w:t>Leisure Services</w:t>
            </w:r>
          </w:p>
        </w:tc>
        <w:tc>
          <w:tcPr>
            <w:tcW w:w="1417" w:type="dxa"/>
            <w:shd w:val="clear" w:color="auto" w:fill="auto"/>
            <w:hideMark/>
          </w:tcPr>
          <w:p w:rsidR="00226205" w:rsidRPr="00226205" w:rsidRDefault="00226205" w:rsidP="00226205">
            <w:pPr>
              <w:jc w:val="center"/>
              <w:rPr>
                <w:rFonts w:ascii="Calibri" w:hAnsi="Calibri" w:cs="Calibri"/>
                <w:color w:val="000000"/>
                <w:sz w:val="18"/>
                <w:szCs w:val="18"/>
              </w:rPr>
            </w:pPr>
            <w:r w:rsidRPr="00226205">
              <w:rPr>
                <w:rFonts w:ascii="Calibri" w:hAnsi="Calibri" w:cs="Calibri"/>
                <w:color w:val="000000"/>
                <w:sz w:val="18"/>
                <w:szCs w:val="18"/>
              </w:rPr>
              <w:t>Stores / Sheds / Garages</w:t>
            </w:r>
          </w:p>
        </w:tc>
        <w:tc>
          <w:tcPr>
            <w:tcW w:w="2410" w:type="dxa"/>
            <w:shd w:val="clear" w:color="auto" w:fill="auto"/>
            <w:hideMark/>
          </w:tcPr>
          <w:p w:rsidR="00226205" w:rsidRPr="00226205" w:rsidRDefault="00226205" w:rsidP="00226205">
            <w:pPr>
              <w:jc w:val="left"/>
              <w:rPr>
                <w:rFonts w:ascii="Calibri" w:hAnsi="Calibri" w:cs="Calibri"/>
                <w:color w:val="000000"/>
                <w:sz w:val="18"/>
                <w:szCs w:val="18"/>
              </w:rPr>
            </w:pPr>
            <w:r w:rsidRPr="00226205">
              <w:rPr>
                <w:rFonts w:ascii="Calibri" w:hAnsi="Calibri" w:cs="Calibri"/>
                <w:color w:val="000000"/>
                <w:sz w:val="18"/>
                <w:szCs w:val="18"/>
              </w:rPr>
              <w:t xml:space="preserve">The building is in a good condition. </w:t>
            </w:r>
          </w:p>
        </w:tc>
        <w:tc>
          <w:tcPr>
            <w:tcW w:w="3118" w:type="dxa"/>
            <w:shd w:val="clear" w:color="auto" w:fill="auto"/>
            <w:hideMark/>
          </w:tcPr>
          <w:p w:rsidR="00226205" w:rsidRPr="00226205" w:rsidRDefault="00226205" w:rsidP="00226205">
            <w:pPr>
              <w:jc w:val="left"/>
              <w:rPr>
                <w:rFonts w:ascii="Calibri" w:hAnsi="Calibri" w:cs="Calibri"/>
                <w:color w:val="000000"/>
                <w:sz w:val="18"/>
                <w:szCs w:val="18"/>
              </w:rPr>
            </w:pPr>
            <w:r w:rsidRPr="00226205">
              <w:rPr>
                <w:rFonts w:ascii="Calibri" w:hAnsi="Calibri" w:cs="Calibri"/>
                <w:color w:val="000000"/>
                <w:sz w:val="18"/>
                <w:szCs w:val="18"/>
              </w:rPr>
              <w:t>Not ideally located within site.</w:t>
            </w:r>
          </w:p>
        </w:tc>
      </w:tr>
      <w:tr w:rsidR="00226205" w:rsidRPr="00226205" w:rsidTr="00B77D83">
        <w:trPr>
          <w:cantSplit/>
          <w:trHeight w:val="2127"/>
        </w:trPr>
        <w:tc>
          <w:tcPr>
            <w:tcW w:w="998" w:type="dxa"/>
            <w:shd w:val="clear" w:color="auto" w:fill="auto"/>
            <w:hideMark/>
          </w:tcPr>
          <w:p w:rsidR="00226205" w:rsidRPr="00226205" w:rsidRDefault="00226205" w:rsidP="006918D2">
            <w:pPr>
              <w:jc w:val="center"/>
              <w:rPr>
                <w:rFonts w:ascii="Calibri" w:hAnsi="Calibri" w:cs="Calibri"/>
                <w:color w:val="000000"/>
                <w:sz w:val="18"/>
                <w:szCs w:val="18"/>
              </w:rPr>
            </w:pPr>
            <w:r w:rsidRPr="00226205">
              <w:rPr>
                <w:rFonts w:ascii="Calibri" w:hAnsi="Calibri" w:cs="Calibri"/>
                <w:color w:val="000000"/>
                <w:sz w:val="18"/>
                <w:szCs w:val="18"/>
              </w:rPr>
              <w:t>B000143</w:t>
            </w:r>
          </w:p>
        </w:tc>
        <w:tc>
          <w:tcPr>
            <w:tcW w:w="2693" w:type="dxa"/>
            <w:shd w:val="clear" w:color="auto" w:fill="auto"/>
            <w:hideMark/>
          </w:tcPr>
          <w:p w:rsidR="00226205" w:rsidRPr="00226205" w:rsidRDefault="00226205" w:rsidP="00226205">
            <w:pPr>
              <w:rPr>
                <w:rFonts w:ascii="Calibri" w:hAnsi="Calibri" w:cs="Calibri"/>
                <w:color w:val="000000"/>
                <w:sz w:val="18"/>
                <w:szCs w:val="18"/>
              </w:rPr>
            </w:pPr>
            <w:r w:rsidRPr="00226205">
              <w:rPr>
                <w:rFonts w:ascii="Calibri" w:hAnsi="Calibri" w:cs="Calibri"/>
                <w:noProof/>
                <w:color w:val="000000"/>
                <w:sz w:val="18"/>
                <w:szCs w:val="18"/>
              </w:rPr>
              <w:drawing>
                <wp:anchor distT="0" distB="0" distL="114300" distR="114300" simplePos="0" relativeHeight="251713024" behindDoc="0" locked="0" layoutInCell="1" allowOverlap="1" wp14:anchorId="38EF1B88" wp14:editId="480014CF">
                  <wp:simplePos x="0" y="0"/>
                  <wp:positionH relativeFrom="column">
                    <wp:posOffset>-20955</wp:posOffset>
                  </wp:positionH>
                  <wp:positionV relativeFrom="paragraph">
                    <wp:posOffset>53145</wp:posOffset>
                  </wp:positionV>
                  <wp:extent cx="1630800" cy="1252800"/>
                  <wp:effectExtent l="0" t="0" r="0"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3"/>
                          <pic:cNvPicPr>
                            <a:picLocks noChangeAspect="1"/>
                          </pic:cNvPicPr>
                        </pic:nvPicPr>
                        <pic:blipFill>
                          <a:blip r:embed="rId170">
                            <a:extLst>
                              <a:ext uri="{28A0092B-C50C-407E-A947-70E740481C1C}">
                                <a14:useLocalDpi xmlns:a14="http://schemas.microsoft.com/office/drawing/2010/main" val="0"/>
                              </a:ext>
                            </a:extLst>
                          </a:blip>
                          <a:stretch>
                            <a:fillRect/>
                          </a:stretch>
                        </pic:blipFill>
                        <pic:spPr>
                          <a:xfrm>
                            <a:off x="0" y="0"/>
                            <a:ext cx="1630800" cy="1252800"/>
                          </a:xfrm>
                          <a:prstGeom prst="rect">
                            <a:avLst/>
                          </a:prstGeom>
                        </pic:spPr>
                      </pic:pic>
                    </a:graphicData>
                  </a:graphic>
                  <wp14:sizeRelH relativeFrom="page">
                    <wp14:pctWidth>0</wp14:pctWidth>
                  </wp14:sizeRelH>
                  <wp14:sizeRelV relativeFrom="page">
                    <wp14:pctHeight>0</wp14:pctHeight>
                  </wp14:sizeRelV>
                </wp:anchor>
              </w:drawing>
            </w:r>
          </w:p>
        </w:tc>
        <w:tc>
          <w:tcPr>
            <w:tcW w:w="2268" w:type="dxa"/>
            <w:shd w:val="clear" w:color="auto" w:fill="auto"/>
            <w:hideMark/>
          </w:tcPr>
          <w:p w:rsidR="00226205" w:rsidRPr="00226205" w:rsidRDefault="00226205" w:rsidP="00A54993">
            <w:pPr>
              <w:jc w:val="left"/>
              <w:rPr>
                <w:rFonts w:ascii="Calibri" w:hAnsi="Calibri" w:cs="Calibri"/>
                <w:color w:val="000000"/>
                <w:sz w:val="18"/>
                <w:szCs w:val="18"/>
              </w:rPr>
            </w:pPr>
            <w:r w:rsidRPr="00226205">
              <w:rPr>
                <w:rFonts w:ascii="Calibri" w:hAnsi="Calibri" w:cs="Calibri"/>
                <w:color w:val="000000"/>
                <w:sz w:val="18"/>
                <w:szCs w:val="18"/>
              </w:rPr>
              <w:t xml:space="preserve">John Street Community Early Childhood Cooperative (E M Dauber Building)- 23 John Street, Fitzroy </w:t>
            </w:r>
          </w:p>
        </w:tc>
        <w:tc>
          <w:tcPr>
            <w:tcW w:w="1276" w:type="dxa"/>
            <w:shd w:val="clear" w:color="auto" w:fill="auto"/>
            <w:hideMark/>
          </w:tcPr>
          <w:p w:rsidR="00226205" w:rsidRPr="00226205" w:rsidRDefault="009965C5" w:rsidP="009965C5">
            <w:pPr>
              <w:tabs>
                <w:tab w:val="decimal" w:pos="884"/>
              </w:tabs>
              <w:jc w:val="left"/>
              <w:rPr>
                <w:rFonts w:ascii="Calibri" w:hAnsi="Calibri" w:cs="Calibri"/>
                <w:color w:val="000000"/>
                <w:sz w:val="18"/>
                <w:szCs w:val="18"/>
              </w:rPr>
            </w:pPr>
            <w:r>
              <w:rPr>
                <w:rFonts w:ascii="Calibri" w:hAnsi="Calibri" w:cs="Calibri"/>
                <w:color w:val="000000"/>
                <w:sz w:val="18"/>
                <w:szCs w:val="18"/>
              </w:rPr>
              <w:t>$</w:t>
            </w:r>
            <w:r w:rsidR="00226205" w:rsidRPr="00226205">
              <w:rPr>
                <w:rFonts w:ascii="Calibri" w:hAnsi="Calibri" w:cs="Calibri"/>
                <w:color w:val="000000"/>
                <w:sz w:val="18"/>
                <w:szCs w:val="18"/>
              </w:rPr>
              <w:t>1,098,360</w:t>
            </w:r>
          </w:p>
        </w:tc>
        <w:tc>
          <w:tcPr>
            <w:tcW w:w="1134" w:type="dxa"/>
            <w:shd w:val="clear" w:color="auto" w:fill="auto"/>
            <w:hideMark/>
          </w:tcPr>
          <w:p w:rsidR="00226205" w:rsidRPr="00226205" w:rsidRDefault="00226205" w:rsidP="00226205">
            <w:pPr>
              <w:jc w:val="center"/>
              <w:rPr>
                <w:rFonts w:ascii="Calibri" w:hAnsi="Calibri" w:cs="Calibri"/>
                <w:color w:val="000000"/>
                <w:sz w:val="18"/>
                <w:szCs w:val="18"/>
              </w:rPr>
            </w:pPr>
            <w:r w:rsidRPr="00226205">
              <w:rPr>
                <w:rFonts w:ascii="Calibri" w:hAnsi="Calibri" w:cs="Calibri"/>
                <w:color w:val="000000"/>
                <w:sz w:val="18"/>
                <w:szCs w:val="18"/>
              </w:rPr>
              <w:t>Community Services</w:t>
            </w:r>
          </w:p>
        </w:tc>
        <w:tc>
          <w:tcPr>
            <w:tcW w:w="1417" w:type="dxa"/>
            <w:shd w:val="clear" w:color="auto" w:fill="auto"/>
            <w:hideMark/>
          </w:tcPr>
          <w:p w:rsidR="00226205" w:rsidRPr="00226205" w:rsidRDefault="00226205" w:rsidP="00226205">
            <w:pPr>
              <w:jc w:val="center"/>
              <w:rPr>
                <w:rFonts w:ascii="Calibri" w:hAnsi="Calibri" w:cs="Calibri"/>
                <w:color w:val="000000"/>
                <w:sz w:val="18"/>
                <w:szCs w:val="18"/>
              </w:rPr>
            </w:pPr>
            <w:r w:rsidRPr="00226205">
              <w:rPr>
                <w:rFonts w:ascii="Calibri" w:hAnsi="Calibri" w:cs="Calibri"/>
                <w:color w:val="000000"/>
                <w:sz w:val="18"/>
                <w:szCs w:val="18"/>
              </w:rPr>
              <w:t>Child Care Centres</w:t>
            </w:r>
          </w:p>
        </w:tc>
        <w:tc>
          <w:tcPr>
            <w:tcW w:w="2410" w:type="dxa"/>
            <w:shd w:val="clear" w:color="auto" w:fill="auto"/>
            <w:hideMark/>
          </w:tcPr>
          <w:p w:rsidR="00226205" w:rsidRPr="00226205" w:rsidRDefault="00226205" w:rsidP="00226205">
            <w:pPr>
              <w:jc w:val="left"/>
              <w:rPr>
                <w:rFonts w:ascii="Calibri" w:hAnsi="Calibri" w:cs="Calibri"/>
                <w:color w:val="000000"/>
                <w:sz w:val="18"/>
                <w:szCs w:val="18"/>
              </w:rPr>
            </w:pPr>
            <w:r w:rsidRPr="00226205">
              <w:rPr>
                <w:rFonts w:ascii="Calibri" w:hAnsi="Calibri" w:cs="Calibri"/>
                <w:color w:val="000000"/>
                <w:sz w:val="18"/>
                <w:szCs w:val="18"/>
              </w:rPr>
              <w:t xml:space="preserve">The building is in a good condition. </w:t>
            </w:r>
          </w:p>
        </w:tc>
        <w:tc>
          <w:tcPr>
            <w:tcW w:w="3118" w:type="dxa"/>
            <w:shd w:val="clear" w:color="auto" w:fill="auto"/>
            <w:hideMark/>
          </w:tcPr>
          <w:p w:rsidR="00226205" w:rsidRPr="00226205" w:rsidRDefault="00226205" w:rsidP="00840CD9">
            <w:pPr>
              <w:jc w:val="left"/>
              <w:rPr>
                <w:rFonts w:ascii="Calibri" w:hAnsi="Calibri" w:cs="Calibri"/>
                <w:color w:val="000000"/>
                <w:sz w:val="18"/>
                <w:szCs w:val="18"/>
              </w:rPr>
            </w:pPr>
            <w:r w:rsidRPr="00226205">
              <w:rPr>
                <w:rFonts w:ascii="Calibri" w:hAnsi="Calibri" w:cs="Calibri"/>
                <w:color w:val="000000"/>
                <w:sz w:val="18"/>
                <w:szCs w:val="18"/>
              </w:rPr>
              <w:t>Full assessment not yet carried out.</w:t>
            </w:r>
            <w:r w:rsidRPr="00226205">
              <w:rPr>
                <w:rFonts w:ascii="Calibri" w:hAnsi="Calibri" w:cs="Calibri"/>
                <w:color w:val="000000"/>
                <w:sz w:val="18"/>
                <w:szCs w:val="18"/>
              </w:rPr>
              <w:br/>
            </w:r>
            <w:r w:rsidR="00840CD9">
              <w:rPr>
                <w:rFonts w:ascii="Calibri" w:hAnsi="Calibri" w:cs="Calibri"/>
                <w:color w:val="000000"/>
                <w:sz w:val="18"/>
                <w:szCs w:val="18"/>
              </w:rPr>
              <w:t>Leased to John St Child Care Coo</w:t>
            </w:r>
            <w:r w:rsidRPr="00226205">
              <w:rPr>
                <w:rFonts w:ascii="Calibri" w:hAnsi="Calibri" w:cs="Calibri"/>
                <w:color w:val="000000"/>
                <w:sz w:val="18"/>
                <w:szCs w:val="18"/>
              </w:rPr>
              <w:t>perative</w:t>
            </w:r>
            <w:r w:rsidR="00840CD9">
              <w:rPr>
                <w:rFonts w:ascii="Calibri" w:hAnsi="Calibri" w:cs="Calibri"/>
                <w:color w:val="000000"/>
                <w:sz w:val="18"/>
                <w:szCs w:val="18"/>
              </w:rPr>
              <w:t>.</w:t>
            </w:r>
          </w:p>
        </w:tc>
      </w:tr>
      <w:tr w:rsidR="00226205" w:rsidRPr="00226205" w:rsidTr="00B77D83">
        <w:trPr>
          <w:cantSplit/>
          <w:trHeight w:val="3288"/>
        </w:trPr>
        <w:tc>
          <w:tcPr>
            <w:tcW w:w="998" w:type="dxa"/>
            <w:shd w:val="clear" w:color="auto" w:fill="auto"/>
            <w:hideMark/>
          </w:tcPr>
          <w:p w:rsidR="00226205" w:rsidRPr="00226205" w:rsidRDefault="00226205" w:rsidP="006918D2">
            <w:pPr>
              <w:jc w:val="center"/>
              <w:rPr>
                <w:rFonts w:ascii="Calibri" w:hAnsi="Calibri" w:cs="Calibri"/>
                <w:color w:val="000000"/>
                <w:sz w:val="18"/>
                <w:szCs w:val="18"/>
              </w:rPr>
            </w:pPr>
            <w:r w:rsidRPr="00226205">
              <w:rPr>
                <w:rFonts w:ascii="Calibri" w:hAnsi="Calibri" w:cs="Calibri"/>
                <w:color w:val="000000"/>
                <w:sz w:val="18"/>
                <w:szCs w:val="18"/>
              </w:rPr>
              <w:t>B000145</w:t>
            </w:r>
          </w:p>
        </w:tc>
        <w:tc>
          <w:tcPr>
            <w:tcW w:w="2693" w:type="dxa"/>
            <w:shd w:val="clear" w:color="auto" w:fill="auto"/>
            <w:hideMark/>
          </w:tcPr>
          <w:p w:rsidR="00226205" w:rsidRPr="00226205" w:rsidRDefault="00226205" w:rsidP="00226205">
            <w:pPr>
              <w:rPr>
                <w:rFonts w:ascii="Calibri" w:hAnsi="Calibri" w:cs="Calibri"/>
                <w:color w:val="000000"/>
                <w:sz w:val="18"/>
                <w:szCs w:val="18"/>
              </w:rPr>
            </w:pPr>
            <w:r w:rsidRPr="00226205">
              <w:rPr>
                <w:rFonts w:ascii="Calibri" w:hAnsi="Calibri" w:cs="Calibri"/>
                <w:noProof/>
                <w:color w:val="000000"/>
                <w:sz w:val="18"/>
                <w:szCs w:val="18"/>
              </w:rPr>
              <w:drawing>
                <wp:anchor distT="0" distB="0" distL="114300" distR="114300" simplePos="0" relativeHeight="251714048" behindDoc="0" locked="0" layoutInCell="1" allowOverlap="1" wp14:anchorId="462B3253" wp14:editId="02366DED">
                  <wp:simplePos x="0" y="0"/>
                  <wp:positionH relativeFrom="column">
                    <wp:posOffset>-20955</wp:posOffset>
                  </wp:positionH>
                  <wp:positionV relativeFrom="paragraph">
                    <wp:posOffset>38100</wp:posOffset>
                  </wp:positionV>
                  <wp:extent cx="1630800" cy="1314000"/>
                  <wp:effectExtent l="0" t="0" r="0" b="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4"/>
                          <pic:cNvPicPr>
                            <a:picLocks noChangeAspect="1"/>
                          </pic:cNvPicPr>
                        </pic:nvPicPr>
                        <pic:blipFill>
                          <a:blip r:embed="rId171">
                            <a:extLst>
                              <a:ext uri="{28A0092B-C50C-407E-A947-70E740481C1C}">
                                <a14:useLocalDpi xmlns:a14="http://schemas.microsoft.com/office/drawing/2010/main" val="0"/>
                              </a:ext>
                            </a:extLst>
                          </a:blip>
                          <a:stretch>
                            <a:fillRect/>
                          </a:stretch>
                        </pic:blipFill>
                        <pic:spPr>
                          <a:xfrm>
                            <a:off x="0" y="0"/>
                            <a:ext cx="1630800" cy="1314000"/>
                          </a:xfrm>
                          <a:prstGeom prst="rect">
                            <a:avLst/>
                          </a:prstGeom>
                        </pic:spPr>
                      </pic:pic>
                    </a:graphicData>
                  </a:graphic>
                  <wp14:sizeRelH relativeFrom="page">
                    <wp14:pctWidth>0</wp14:pctWidth>
                  </wp14:sizeRelH>
                  <wp14:sizeRelV relativeFrom="page">
                    <wp14:pctHeight>0</wp14:pctHeight>
                  </wp14:sizeRelV>
                </wp:anchor>
              </w:drawing>
            </w:r>
          </w:p>
        </w:tc>
        <w:tc>
          <w:tcPr>
            <w:tcW w:w="2268" w:type="dxa"/>
            <w:shd w:val="clear" w:color="auto" w:fill="auto"/>
            <w:hideMark/>
          </w:tcPr>
          <w:p w:rsidR="00226205" w:rsidRPr="00226205" w:rsidRDefault="00226205" w:rsidP="00A54993">
            <w:pPr>
              <w:jc w:val="left"/>
              <w:rPr>
                <w:rFonts w:ascii="Calibri" w:hAnsi="Calibri" w:cs="Calibri"/>
                <w:color w:val="000000"/>
                <w:sz w:val="18"/>
                <w:szCs w:val="18"/>
              </w:rPr>
            </w:pPr>
            <w:r w:rsidRPr="00226205">
              <w:rPr>
                <w:rFonts w:ascii="Calibri" w:hAnsi="Calibri" w:cs="Calibri"/>
                <w:color w:val="000000"/>
                <w:sz w:val="18"/>
                <w:szCs w:val="18"/>
              </w:rPr>
              <w:t xml:space="preserve">Fitzroy Maternal Child and Health Centre, Florence Peel- 190 Young Street, Fitzroy </w:t>
            </w:r>
          </w:p>
        </w:tc>
        <w:tc>
          <w:tcPr>
            <w:tcW w:w="1276" w:type="dxa"/>
            <w:shd w:val="clear" w:color="auto" w:fill="auto"/>
            <w:hideMark/>
          </w:tcPr>
          <w:p w:rsidR="00226205" w:rsidRPr="00226205" w:rsidRDefault="00226205" w:rsidP="009965C5">
            <w:pPr>
              <w:tabs>
                <w:tab w:val="decimal" w:pos="884"/>
              </w:tabs>
              <w:jc w:val="left"/>
              <w:rPr>
                <w:rFonts w:ascii="Calibri" w:hAnsi="Calibri" w:cs="Calibri"/>
                <w:color w:val="000000"/>
                <w:sz w:val="18"/>
                <w:szCs w:val="18"/>
              </w:rPr>
            </w:pPr>
            <w:r w:rsidRPr="00226205">
              <w:rPr>
                <w:rFonts w:ascii="Calibri" w:hAnsi="Calibri" w:cs="Calibri"/>
                <w:color w:val="000000"/>
                <w:sz w:val="18"/>
                <w:szCs w:val="18"/>
              </w:rPr>
              <w:t>$401,927</w:t>
            </w:r>
          </w:p>
        </w:tc>
        <w:tc>
          <w:tcPr>
            <w:tcW w:w="1134" w:type="dxa"/>
            <w:shd w:val="clear" w:color="auto" w:fill="auto"/>
            <w:hideMark/>
          </w:tcPr>
          <w:p w:rsidR="00226205" w:rsidRPr="00226205" w:rsidRDefault="00226205" w:rsidP="00226205">
            <w:pPr>
              <w:jc w:val="center"/>
              <w:rPr>
                <w:rFonts w:ascii="Calibri" w:hAnsi="Calibri" w:cs="Calibri"/>
                <w:color w:val="000000"/>
                <w:sz w:val="18"/>
                <w:szCs w:val="18"/>
              </w:rPr>
            </w:pPr>
            <w:r w:rsidRPr="00226205">
              <w:rPr>
                <w:rFonts w:ascii="Calibri" w:hAnsi="Calibri" w:cs="Calibri"/>
                <w:color w:val="000000"/>
                <w:sz w:val="18"/>
                <w:szCs w:val="18"/>
              </w:rPr>
              <w:t>Community Services</w:t>
            </w:r>
          </w:p>
        </w:tc>
        <w:tc>
          <w:tcPr>
            <w:tcW w:w="1417" w:type="dxa"/>
            <w:shd w:val="clear" w:color="auto" w:fill="auto"/>
            <w:hideMark/>
          </w:tcPr>
          <w:p w:rsidR="00226205" w:rsidRPr="00226205" w:rsidRDefault="00226205" w:rsidP="00226205">
            <w:pPr>
              <w:jc w:val="center"/>
              <w:rPr>
                <w:rFonts w:ascii="Calibri" w:hAnsi="Calibri" w:cs="Calibri"/>
                <w:color w:val="000000"/>
                <w:sz w:val="18"/>
                <w:szCs w:val="18"/>
              </w:rPr>
            </w:pPr>
            <w:r w:rsidRPr="00226205">
              <w:rPr>
                <w:rFonts w:ascii="Calibri" w:hAnsi="Calibri" w:cs="Calibri"/>
                <w:color w:val="000000"/>
                <w:sz w:val="18"/>
                <w:szCs w:val="18"/>
              </w:rPr>
              <w:t xml:space="preserve">Maternal </w:t>
            </w:r>
            <w:r w:rsidR="00B77D83">
              <w:rPr>
                <w:rFonts w:ascii="Calibri" w:hAnsi="Calibri" w:cs="Calibri"/>
                <w:color w:val="000000"/>
                <w:sz w:val="18"/>
                <w:szCs w:val="18"/>
              </w:rPr>
              <w:t>and</w:t>
            </w:r>
            <w:r w:rsidRPr="00226205">
              <w:rPr>
                <w:rFonts w:ascii="Calibri" w:hAnsi="Calibri" w:cs="Calibri"/>
                <w:color w:val="000000"/>
                <w:sz w:val="18"/>
                <w:szCs w:val="18"/>
              </w:rPr>
              <w:t xml:space="preserve"> Child Health Centres</w:t>
            </w:r>
          </w:p>
        </w:tc>
        <w:tc>
          <w:tcPr>
            <w:tcW w:w="2410" w:type="dxa"/>
            <w:shd w:val="clear" w:color="auto" w:fill="auto"/>
            <w:hideMark/>
          </w:tcPr>
          <w:p w:rsidR="00226205" w:rsidRPr="00226205" w:rsidRDefault="00226205" w:rsidP="00226205">
            <w:pPr>
              <w:jc w:val="left"/>
              <w:rPr>
                <w:rFonts w:ascii="Calibri" w:hAnsi="Calibri" w:cs="Calibri"/>
                <w:color w:val="000000"/>
                <w:sz w:val="18"/>
                <w:szCs w:val="18"/>
              </w:rPr>
            </w:pPr>
            <w:r w:rsidRPr="00226205">
              <w:rPr>
                <w:rFonts w:ascii="Calibri" w:hAnsi="Calibri" w:cs="Calibri"/>
                <w:color w:val="000000"/>
                <w:sz w:val="18"/>
                <w:szCs w:val="18"/>
              </w:rPr>
              <w:t xml:space="preserve">The building is in a good condition. </w:t>
            </w:r>
          </w:p>
        </w:tc>
        <w:tc>
          <w:tcPr>
            <w:tcW w:w="3118" w:type="dxa"/>
            <w:shd w:val="clear" w:color="auto" w:fill="auto"/>
            <w:hideMark/>
          </w:tcPr>
          <w:p w:rsidR="00226205" w:rsidRPr="00226205" w:rsidRDefault="00226205" w:rsidP="00226205">
            <w:pPr>
              <w:jc w:val="left"/>
              <w:rPr>
                <w:rFonts w:ascii="Calibri" w:hAnsi="Calibri" w:cs="Calibri"/>
                <w:color w:val="000000"/>
                <w:sz w:val="18"/>
                <w:szCs w:val="18"/>
              </w:rPr>
            </w:pPr>
            <w:r w:rsidRPr="00226205">
              <w:rPr>
                <w:rFonts w:ascii="Calibri" w:hAnsi="Calibri" w:cs="Calibri"/>
                <w:color w:val="000000"/>
                <w:sz w:val="18"/>
                <w:szCs w:val="18"/>
              </w:rPr>
              <w:t>There is limited street parking for clients. One parking space for disabled clients and two for MCH nurses. Very good sized meeting and playgroup space. Good storage space. One staff toilet and one disabled toilet. Kitchen facilities are in need of updating however they do meet the needs of the facility. Air conditioner in one office and waiting area only. One office does not have any cooling. Air conditioners very old Fitzroy MCH Centre may be moving into the Connie Benn Centre (160 Brunswick Street). The existing building will continue to be utilised by the MCH service for groups until October 2013. The long term future use of the building is to be determined.</w:t>
            </w:r>
          </w:p>
        </w:tc>
      </w:tr>
      <w:tr w:rsidR="00226205" w:rsidRPr="00226205" w:rsidTr="00B77D83">
        <w:trPr>
          <w:cantSplit/>
          <w:trHeight w:val="2064"/>
        </w:trPr>
        <w:tc>
          <w:tcPr>
            <w:tcW w:w="998" w:type="dxa"/>
            <w:shd w:val="clear" w:color="auto" w:fill="auto"/>
            <w:hideMark/>
          </w:tcPr>
          <w:p w:rsidR="00226205" w:rsidRPr="00226205" w:rsidRDefault="00226205" w:rsidP="006918D2">
            <w:pPr>
              <w:jc w:val="center"/>
              <w:rPr>
                <w:rFonts w:ascii="Calibri" w:hAnsi="Calibri" w:cs="Calibri"/>
                <w:color w:val="000000"/>
                <w:sz w:val="18"/>
                <w:szCs w:val="18"/>
              </w:rPr>
            </w:pPr>
            <w:r w:rsidRPr="00226205">
              <w:rPr>
                <w:rFonts w:ascii="Calibri" w:hAnsi="Calibri" w:cs="Calibri"/>
                <w:color w:val="000000"/>
                <w:sz w:val="18"/>
                <w:szCs w:val="18"/>
              </w:rPr>
              <w:t>B000146</w:t>
            </w:r>
          </w:p>
        </w:tc>
        <w:tc>
          <w:tcPr>
            <w:tcW w:w="2693" w:type="dxa"/>
            <w:shd w:val="clear" w:color="auto" w:fill="auto"/>
            <w:hideMark/>
          </w:tcPr>
          <w:p w:rsidR="00226205" w:rsidRPr="00226205" w:rsidRDefault="00226205" w:rsidP="00226205">
            <w:pPr>
              <w:rPr>
                <w:rFonts w:ascii="Calibri" w:hAnsi="Calibri" w:cs="Calibri"/>
                <w:color w:val="000000"/>
                <w:sz w:val="18"/>
                <w:szCs w:val="18"/>
              </w:rPr>
            </w:pPr>
            <w:r w:rsidRPr="00226205">
              <w:rPr>
                <w:rFonts w:ascii="Calibri" w:hAnsi="Calibri" w:cs="Calibri"/>
                <w:noProof/>
                <w:color w:val="000000"/>
                <w:sz w:val="18"/>
                <w:szCs w:val="18"/>
              </w:rPr>
              <w:drawing>
                <wp:anchor distT="0" distB="0" distL="114300" distR="114300" simplePos="0" relativeHeight="251697664" behindDoc="0" locked="0" layoutInCell="1" allowOverlap="1" wp14:anchorId="7D23D36B" wp14:editId="6272A429">
                  <wp:simplePos x="0" y="0"/>
                  <wp:positionH relativeFrom="column">
                    <wp:posOffset>-20955</wp:posOffset>
                  </wp:positionH>
                  <wp:positionV relativeFrom="paragraph">
                    <wp:posOffset>53340</wp:posOffset>
                  </wp:positionV>
                  <wp:extent cx="1630800" cy="1216800"/>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6"/>
                          <pic:cNvPicPr>
                            <a:picLocks noChangeAspect="1"/>
                          </pic:cNvPicPr>
                        </pic:nvPicPr>
                        <pic:blipFill>
                          <a:blip r:embed="rId172">
                            <a:extLst>
                              <a:ext uri="{28A0092B-C50C-407E-A947-70E740481C1C}">
                                <a14:useLocalDpi xmlns:a14="http://schemas.microsoft.com/office/drawing/2010/main" val="0"/>
                              </a:ext>
                            </a:extLst>
                          </a:blip>
                          <a:stretch>
                            <a:fillRect/>
                          </a:stretch>
                        </pic:blipFill>
                        <pic:spPr>
                          <a:xfrm>
                            <a:off x="0" y="0"/>
                            <a:ext cx="1630800" cy="1216800"/>
                          </a:xfrm>
                          <a:prstGeom prst="rect">
                            <a:avLst/>
                          </a:prstGeom>
                        </pic:spPr>
                      </pic:pic>
                    </a:graphicData>
                  </a:graphic>
                  <wp14:sizeRelH relativeFrom="page">
                    <wp14:pctWidth>0</wp14:pctWidth>
                  </wp14:sizeRelH>
                  <wp14:sizeRelV relativeFrom="page">
                    <wp14:pctHeight>0</wp14:pctHeight>
                  </wp14:sizeRelV>
                </wp:anchor>
              </w:drawing>
            </w:r>
          </w:p>
        </w:tc>
        <w:tc>
          <w:tcPr>
            <w:tcW w:w="2268" w:type="dxa"/>
            <w:shd w:val="clear" w:color="auto" w:fill="auto"/>
            <w:hideMark/>
          </w:tcPr>
          <w:p w:rsidR="00226205" w:rsidRPr="00226205" w:rsidRDefault="00226205" w:rsidP="00A54993">
            <w:pPr>
              <w:jc w:val="left"/>
              <w:rPr>
                <w:rFonts w:ascii="Calibri" w:hAnsi="Calibri" w:cs="Calibri"/>
                <w:color w:val="000000"/>
                <w:sz w:val="18"/>
                <w:szCs w:val="18"/>
              </w:rPr>
            </w:pPr>
            <w:r w:rsidRPr="00226205">
              <w:rPr>
                <w:rFonts w:ascii="Calibri" w:hAnsi="Calibri" w:cs="Calibri"/>
                <w:color w:val="000000"/>
                <w:sz w:val="18"/>
                <w:szCs w:val="18"/>
              </w:rPr>
              <w:t xml:space="preserve">Offices- 126 Moor St, Fitzroy </w:t>
            </w:r>
          </w:p>
        </w:tc>
        <w:tc>
          <w:tcPr>
            <w:tcW w:w="1276" w:type="dxa"/>
            <w:shd w:val="clear" w:color="auto" w:fill="auto"/>
            <w:hideMark/>
          </w:tcPr>
          <w:p w:rsidR="00226205" w:rsidRPr="00226205" w:rsidRDefault="00226205" w:rsidP="009965C5">
            <w:pPr>
              <w:tabs>
                <w:tab w:val="decimal" w:pos="884"/>
              </w:tabs>
              <w:jc w:val="left"/>
              <w:rPr>
                <w:rFonts w:ascii="Calibri" w:hAnsi="Calibri" w:cs="Calibri"/>
                <w:color w:val="000000"/>
                <w:sz w:val="18"/>
                <w:szCs w:val="18"/>
              </w:rPr>
            </w:pPr>
            <w:r w:rsidRPr="00226205">
              <w:rPr>
                <w:rFonts w:ascii="Calibri" w:hAnsi="Calibri" w:cs="Calibri"/>
                <w:color w:val="000000"/>
                <w:sz w:val="18"/>
                <w:szCs w:val="18"/>
              </w:rPr>
              <w:t>$309,898</w:t>
            </w:r>
          </w:p>
        </w:tc>
        <w:tc>
          <w:tcPr>
            <w:tcW w:w="1134" w:type="dxa"/>
            <w:shd w:val="clear" w:color="auto" w:fill="auto"/>
            <w:hideMark/>
          </w:tcPr>
          <w:p w:rsidR="00226205" w:rsidRPr="00226205" w:rsidRDefault="00226205" w:rsidP="00226205">
            <w:pPr>
              <w:jc w:val="center"/>
              <w:rPr>
                <w:rFonts w:ascii="Calibri" w:hAnsi="Calibri" w:cs="Calibri"/>
                <w:color w:val="000000"/>
                <w:sz w:val="18"/>
                <w:szCs w:val="18"/>
              </w:rPr>
            </w:pPr>
            <w:r w:rsidRPr="00226205">
              <w:rPr>
                <w:rFonts w:ascii="Calibri" w:hAnsi="Calibri" w:cs="Calibri"/>
                <w:color w:val="000000"/>
                <w:sz w:val="18"/>
                <w:szCs w:val="18"/>
              </w:rPr>
              <w:t>Commercial</w:t>
            </w:r>
          </w:p>
        </w:tc>
        <w:tc>
          <w:tcPr>
            <w:tcW w:w="1417" w:type="dxa"/>
            <w:shd w:val="clear" w:color="auto" w:fill="auto"/>
            <w:hideMark/>
          </w:tcPr>
          <w:p w:rsidR="00226205" w:rsidRPr="00226205" w:rsidRDefault="00226205" w:rsidP="00226205">
            <w:pPr>
              <w:jc w:val="center"/>
              <w:rPr>
                <w:rFonts w:ascii="Calibri" w:hAnsi="Calibri" w:cs="Calibri"/>
                <w:color w:val="000000"/>
                <w:sz w:val="18"/>
                <w:szCs w:val="18"/>
              </w:rPr>
            </w:pPr>
            <w:r w:rsidRPr="00226205">
              <w:rPr>
                <w:rFonts w:ascii="Calibri" w:hAnsi="Calibri" w:cs="Calibri"/>
                <w:color w:val="000000"/>
                <w:sz w:val="18"/>
                <w:szCs w:val="18"/>
              </w:rPr>
              <w:t>Offices /Administration</w:t>
            </w:r>
          </w:p>
        </w:tc>
        <w:tc>
          <w:tcPr>
            <w:tcW w:w="2410" w:type="dxa"/>
            <w:shd w:val="clear" w:color="auto" w:fill="auto"/>
            <w:hideMark/>
          </w:tcPr>
          <w:p w:rsidR="00226205" w:rsidRPr="00226205" w:rsidRDefault="00226205" w:rsidP="00226205">
            <w:pPr>
              <w:jc w:val="left"/>
              <w:rPr>
                <w:rFonts w:ascii="Calibri" w:hAnsi="Calibri" w:cs="Calibri"/>
                <w:color w:val="000000"/>
                <w:sz w:val="18"/>
                <w:szCs w:val="18"/>
              </w:rPr>
            </w:pPr>
            <w:r w:rsidRPr="00226205">
              <w:rPr>
                <w:rFonts w:ascii="Calibri" w:hAnsi="Calibri" w:cs="Calibri"/>
                <w:color w:val="000000"/>
                <w:sz w:val="18"/>
                <w:szCs w:val="18"/>
              </w:rPr>
              <w:t xml:space="preserve">The building is in a average condition. </w:t>
            </w:r>
          </w:p>
        </w:tc>
        <w:tc>
          <w:tcPr>
            <w:tcW w:w="3118" w:type="dxa"/>
            <w:shd w:val="clear" w:color="auto" w:fill="auto"/>
            <w:hideMark/>
          </w:tcPr>
          <w:p w:rsidR="00226205" w:rsidRPr="00226205" w:rsidRDefault="00226205" w:rsidP="00226205">
            <w:pPr>
              <w:jc w:val="left"/>
              <w:rPr>
                <w:rFonts w:ascii="Calibri" w:hAnsi="Calibri" w:cs="Calibri"/>
                <w:color w:val="000000"/>
                <w:sz w:val="18"/>
                <w:szCs w:val="18"/>
              </w:rPr>
            </w:pPr>
            <w:r w:rsidRPr="00226205">
              <w:rPr>
                <w:rFonts w:ascii="Calibri" w:hAnsi="Calibri" w:cs="Calibri"/>
                <w:color w:val="000000"/>
                <w:sz w:val="18"/>
                <w:szCs w:val="18"/>
              </w:rPr>
              <w:t>Full assessment not yet carried out.</w:t>
            </w:r>
            <w:r w:rsidRPr="00226205">
              <w:rPr>
                <w:rFonts w:ascii="Calibri" w:hAnsi="Calibri" w:cs="Calibri"/>
                <w:color w:val="000000"/>
                <w:sz w:val="18"/>
                <w:szCs w:val="18"/>
              </w:rPr>
              <w:br/>
              <w:t>Level 1 is leased to Project Respect until October 2014.</w:t>
            </w:r>
          </w:p>
        </w:tc>
      </w:tr>
      <w:tr w:rsidR="00226205" w:rsidRPr="00226205" w:rsidTr="00B77D83">
        <w:trPr>
          <w:cantSplit/>
          <w:trHeight w:val="2220"/>
        </w:trPr>
        <w:tc>
          <w:tcPr>
            <w:tcW w:w="998" w:type="dxa"/>
            <w:shd w:val="clear" w:color="auto" w:fill="auto"/>
            <w:hideMark/>
          </w:tcPr>
          <w:p w:rsidR="00226205" w:rsidRPr="00226205" w:rsidRDefault="00226205" w:rsidP="006918D2">
            <w:pPr>
              <w:jc w:val="center"/>
              <w:rPr>
                <w:rFonts w:ascii="Calibri" w:hAnsi="Calibri" w:cs="Calibri"/>
                <w:color w:val="000000"/>
                <w:sz w:val="18"/>
                <w:szCs w:val="18"/>
              </w:rPr>
            </w:pPr>
            <w:r w:rsidRPr="00226205">
              <w:rPr>
                <w:rFonts w:ascii="Calibri" w:hAnsi="Calibri" w:cs="Calibri"/>
                <w:color w:val="000000"/>
                <w:sz w:val="18"/>
                <w:szCs w:val="18"/>
              </w:rPr>
              <w:t>B000148</w:t>
            </w:r>
          </w:p>
        </w:tc>
        <w:tc>
          <w:tcPr>
            <w:tcW w:w="2693" w:type="dxa"/>
            <w:shd w:val="clear" w:color="auto" w:fill="auto"/>
            <w:hideMark/>
          </w:tcPr>
          <w:p w:rsidR="00226205" w:rsidRPr="00226205" w:rsidRDefault="00226205" w:rsidP="00226205">
            <w:pPr>
              <w:rPr>
                <w:rFonts w:ascii="Calibri" w:hAnsi="Calibri" w:cs="Calibri"/>
                <w:color w:val="000000"/>
                <w:sz w:val="18"/>
                <w:szCs w:val="18"/>
              </w:rPr>
            </w:pPr>
            <w:r w:rsidRPr="00226205">
              <w:rPr>
                <w:rFonts w:ascii="Calibri" w:hAnsi="Calibri" w:cs="Calibri"/>
                <w:noProof/>
                <w:color w:val="000000"/>
                <w:sz w:val="18"/>
                <w:szCs w:val="18"/>
              </w:rPr>
              <w:drawing>
                <wp:anchor distT="0" distB="0" distL="114300" distR="114300" simplePos="0" relativeHeight="251808256" behindDoc="0" locked="0" layoutInCell="1" allowOverlap="1" wp14:anchorId="6310A610" wp14:editId="10BFA69B">
                  <wp:simplePos x="0" y="0"/>
                  <wp:positionH relativeFrom="column">
                    <wp:posOffset>-20955</wp:posOffset>
                  </wp:positionH>
                  <wp:positionV relativeFrom="paragraph">
                    <wp:posOffset>53340</wp:posOffset>
                  </wp:positionV>
                  <wp:extent cx="1630800" cy="1324800"/>
                  <wp:effectExtent l="0" t="0" r="0" b="0"/>
                  <wp:wrapNone/>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Picture 153"/>
                          <pic:cNvPicPr>
                            <a:picLocks noChangeAspect="1"/>
                          </pic:cNvPicPr>
                        </pic:nvPicPr>
                        <pic:blipFill>
                          <a:blip r:embed="rId173" cstate="print">
                            <a:extLst>
                              <a:ext uri="{28A0092B-C50C-407E-A947-70E740481C1C}">
                                <a14:useLocalDpi xmlns:a14="http://schemas.microsoft.com/office/drawing/2010/main" val="0"/>
                              </a:ext>
                            </a:extLst>
                          </a:blip>
                          <a:stretch>
                            <a:fillRect/>
                          </a:stretch>
                        </pic:blipFill>
                        <pic:spPr>
                          <a:xfrm>
                            <a:off x="0" y="0"/>
                            <a:ext cx="1630800" cy="1324800"/>
                          </a:xfrm>
                          <a:prstGeom prst="rect">
                            <a:avLst/>
                          </a:prstGeom>
                        </pic:spPr>
                      </pic:pic>
                    </a:graphicData>
                  </a:graphic>
                  <wp14:sizeRelH relativeFrom="page">
                    <wp14:pctWidth>0</wp14:pctWidth>
                  </wp14:sizeRelH>
                  <wp14:sizeRelV relativeFrom="page">
                    <wp14:pctHeight>0</wp14:pctHeight>
                  </wp14:sizeRelV>
                </wp:anchor>
              </w:drawing>
            </w:r>
          </w:p>
        </w:tc>
        <w:tc>
          <w:tcPr>
            <w:tcW w:w="2268" w:type="dxa"/>
            <w:shd w:val="clear" w:color="auto" w:fill="auto"/>
            <w:hideMark/>
          </w:tcPr>
          <w:p w:rsidR="00226205" w:rsidRPr="00226205" w:rsidRDefault="00226205" w:rsidP="00A54993">
            <w:pPr>
              <w:jc w:val="left"/>
              <w:rPr>
                <w:rFonts w:ascii="Calibri" w:hAnsi="Calibri" w:cs="Calibri"/>
                <w:color w:val="000000"/>
                <w:sz w:val="18"/>
                <w:szCs w:val="18"/>
              </w:rPr>
            </w:pPr>
            <w:r w:rsidRPr="00226205">
              <w:rPr>
                <w:rFonts w:ascii="Calibri" w:hAnsi="Calibri" w:cs="Calibri"/>
                <w:color w:val="000000"/>
                <w:sz w:val="18"/>
                <w:szCs w:val="18"/>
              </w:rPr>
              <w:t xml:space="preserve">Shopfront and Office - 239 Brunswick Street, Fitzroy </w:t>
            </w:r>
          </w:p>
        </w:tc>
        <w:tc>
          <w:tcPr>
            <w:tcW w:w="1276" w:type="dxa"/>
            <w:shd w:val="clear" w:color="auto" w:fill="auto"/>
            <w:hideMark/>
          </w:tcPr>
          <w:p w:rsidR="00226205" w:rsidRPr="00226205" w:rsidRDefault="009965C5" w:rsidP="009965C5">
            <w:pPr>
              <w:tabs>
                <w:tab w:val="decimal" w:pos="884"/>
              </w:tabs>
              <w:jc w:val="left"/>
              <w:rPr>
                <w:rFonts w:ascii="Calibri" w:hAnsi="Calibri" w:cs="Calibri"/>
                <w:color w:val="000000"/>
                <w:sz w:val="18"/>
                <w:szCs w:val="18"/>
              </w:rPr>
            </w:pPr>
            <w:r>
              <w:rPr>
                <w:rFonts w:ascii="Calibri" w:hAnsi="Calibri" w:cs="Calibri"/>
                <w:color w:val="000000"/>
                <w:sz w:val="18"/>
                <w:szCs w:val="18"/>
              </w:rPr>
              <w:t>$</w:t>
            </w:r>
            <w:r w:rsidR="00226205" w:rsidRPr="00226205">
              <w:rPr>
                <w:rFonts w:ascii="Calibri" w:hAnsi="Calibri" w:cs="Calibri"/>
                <w:color w:val="000000"/>
                <w:sz w:val="18"/>
                <w:szCs w:val="18"/>
              </w:rPr>
              <w:t>366,818</w:t>
            </w:r>
          </w:p>
        </w:tc>
        <w:tc>
          <w:tcPr>
            <w:tcW w:w="1134" w:type="dxa"/>
            <w:shd w:val="clear" w:color="auto" w:fill="auto"/>
            <w:hideMark/>
          </w:tcPr>
          <w:p w:rsidR="00226205" w:rsidRPr="00226205" w:rsidRDefault="00226205" w:rsidP="00226205">
            <w:pPr>
              <w:jc w:val="center"/>
              <w:rPr>
                <w:rFonts w:ascii="Calibri" w:hAnsi="Calibri" w:cs="Calibri"/>
                <w:color w:val="000000"/>
                <w:sz w:val="18"/>
                <w:szCs w:val="18"/>
              </w:rPr>
            </w:pPr>
            <w:r w:rsidRPr="00226205">
              <w:rPr>
                <w:rFonts w:ascii="Calibri" w:hAnsi="Calibri" w:cs="Calibri"/>
                <w:color w:val="000000"/>
                <w:sz w:val="18"/>
                <w:szCs w:val="18"/>
              </w:rPr>
              <w:t>Commercial</w:t>
            </w:r>
          </w:p>
        </w:tc>
        <w:tc>
          <w:tcPr>
            <w:tcW w:w="1417" w:type="dxa"/>
            <w:shd w:val="clear" w:color="auto" w:fill="auto"/>
            <w:hideMark/>
          </w:tcPr>
          <w:p w:rsidR="00226205" w:rsidRPr="00226205" w:rsidRDefault="00226205" w:rsidP="00226205">
            <w:pPr>
              <w:jc w:val="center"/>
              <w:rPr>
                <w:rFonts w:ascii="Calibri" w:hAnsi="Calibri" w:cs="Calibri"/>
                <w:color w:val="000000"/>
                <w:sz w:val="18"/>
                <w:szCs w:val="18"/>
              </w:rPr>
            </w:pPr>
            <w:r w:rsidRPr="00226205">
              <w:rPr>
                <w:rFonts w:ascii="Calibri" w:hAnsi="Calibri" w:cs="Calibri"/>
                <w:color w:val="000000"/>
                <w:sz w:val="18"/>
                <w:szCs w:val="18"/>
              </w:rPr>
              <w:t>Offices /Administration</w:t>
            </w:r>
          </w:p>
        </w:tc>
        <w:tc>
          <w:tcPr>
            <w:tcW w:w="2410" w:type="dxa"/>
            <w:shd w:val="clear" w:color="auto" w:fill="auto"/>
            <w:hideMark/>
          </w:tcPr>
          <w:p w:rsidR="00226205" w:rsidRPr="00226205" w:rsidRDefault="00226205" w:rsidP="00226205">
            <w:pPr>
              <w:jc w:val="left"/>
              <w:rPr>
                <w:rFonts w:ascii="Calibri" w:hAnsi="Calibri" w:cs="Calibri"/>
                <w:color w:val="000000"/>
                <w:sz w:val="18"/>
                <w:szCs w:val="18"/>
              </w:rPr>
            </w:pPr>
            <w:r w:rsidRPr="00226205">
              <w:rPr>
                <w:rFonts w:ascii="Calibri" w:hAnsi="Calibri" w:cs="Calibri"/>
                <w:color w:val="000000"/>
                <w:sz w:val="18"/>
                <w:szCs w:val="18"/>
              </w:rPr>
              <w:t xml:space="preserve">The building is in a good condition. </w:t>
            </w:r>
          </w:p>
        </w:tc>
        <w:tc>
          <w:tcPr>
            <w:tcW w:w="3118" w:type="dxa"/>
            <w:shd w:val="clear" w:color="auto" w:fill="auto"/>
            <w:hideMark/>
          </w:tcPr>
          <w:p w:rsidR="00226205" w:rsidRPr="00226205" w:rsidRDefault="00226205" w:rsidP="00226205">
            <w:pPr>
              <w:jc w:val="left"/>
              <w:rPr>
                <w:rFonts w:ascii="Calibri" w:hAnsi="Calibri" w:cs="Calibri"/>
                <w:color w:val="000000"/>
                <w:sz w:val="18"/>
                <w:szCs w:val="18"/>
              </w:rPr>
            </w:pPr>
            <w:r w:rsidRPr="00226205">
              <w:rPr>
                <w:rFonts w:ascii="Calibri" w:hAnsi="Calibri" w:cs="Calibri"/>
                <w:color w:val="000000"/>
                <w:sz w:val="18"/>
                <w:szCs w:val="18"/>
              </w:rPr>
              <w:t>Insufficient information to complete assessment.</w:t>
            </w:r>
            <w:r w:rsidRPr="00226205">
              <w:rPr>
                <w:rFonts w:ascii="Calibri" w:hAnsi="Calibri" w:cs="Calibri"/>
                <w:color w:val="000000"/>
                <w:sz w:val="18"/>
                <w:szCs w:val="18"/>
              </w:rPr>
              <w:br/>
              <w:t>Leased to 3rd party.</w:t>
            </w:r>
          </w:p>
        </w:tc>
      </w:tr>
      <w:tr w:rsidR="00226205" w:rsidRPr="00226205" w:rsidTr="00B77D83">
        <w:trPr>
          <w:cantSplit/>
          <w:trHeight w:val="2064"/>
        </w:trPr>
        <w:tc>
          <w:tcPr>
            <w:tcW w:w="998" w:type="dxa"/>
            <w:shd w:val="clear" w:color="auto" w:fill="auto"/>
            <w:hideMark/>
          </w:tcPr>
          <w:p w:rsidR="00226205" w:rsidRPr="00226205" w:rsidRDefault="00226205" w:rsidP="006918D2">
            <w:pPr>
              <w:jc w:val="center"/>
              <w:rPr>
                <w:rFonts w:ascii="Calibri" w:hAnsi="Calibri" w:cs="Calibri"/>
                <w:color w:val="000000"/>
                <w:sz w:val="18"/>
                <w:szCs w:val="18"/>
              </w:rPr>
            </w:pPr>
            <w:r w:rsidRPr="00226205">
              <w:rPr>
                <w:rFonts w:ascii="Calibri" w:hAnsi="Calibri" w:cs="Calibri"/>
                <w:color w:val="000000"/>
                <w:sz w:val="18"/>
                <w:szCs w:val="18"/>
              </w:rPr>
              <w:t>B000150</w:t>
            </w:r>
          </w:p>
        </w:tc>
        <w:tc>
          <w:tcPr>
            <w:tcW w:w="2693" w:type="dxa"/>
            <w:shd w:val="clear" w:color="auto" w:fill="auto"/>
            <w:hideMark/>
          </w:tcPr>
          <w:p w:rsidR="00226205" w:rsidRPr="00226205" w:rsidRDefault="00226205" w:rsidP="00226205">
            <w:pPr>
              <w:rPr>
                <w:rFonts w:ascii="Calibri" w:hAnsi="Calibri" w:cs="Calibri"/>
                <w:color w:val="000000"/>
                <w:sz w:val="18"/>
                <w:szCs w:val="18"/>
              </w:rPr>
            </w:pPr>
            <w:r w:rsidRPr="00226205">
              <w:rPr>
                <w:rFonts w:ascii="Calibri" w:hAnsi="Calibri" w:cs="Calibri"/>
                <w:noProof/>
                <w:color w:val="000000"/>
                <w:sz w:val="18"/>
                <w:szCs w:val="18"/>
              </w:rPr>
              <w:drawing>
                <wp:anchor distT="0" distB="0" distL="114300" distR="114300" simplePos="0" relativeHeight="251677184" behindDoc="0" locked="0" layoutInCell="1" allowOverlap="1" wp14:anchorId="23674647" wp14:editId="4BFFCD96">
                  <wp:simplePos x="0" y="0"/>
                  <wp:positionH relativeFrom="column">
                    <wp:posOffset>-20955</wp:posOffset>
                  </wp:positionH>
                  <wp:positionV relativeFrom="paragraph">
                    <wp:posOffset>58615</wp:posOffset>
                  </wp:positionV>
                  <wp:extent cx="1630800" cy="1220400"/>
                  <wp:effectExtent l="0" t="0" r="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74" cstate="print">
                            <a:extLst>
                              <a:ext uri="{28A0092B-C50C-407E-A947-70E740481C1C}">
                                <a14:useLocalDpi xmlns:a14="http://schemas.microsoft.com/office/drawing/2010/main" val="0"/>
                              </a:ext>
                            </a:extLst>
                          </a:blip>
                          <a:stretch>
                            <a:fillRect/>
                          </a:stretch>
                        </pic:blipFill>
                        <pic:spPr>
                          <a:xfrm>
                            <a:off x="0" y="0"/>
                            <a:ext cx="1630800" cy="1220400"/>
                          </a:xfrm>
                          <a:prstGeom prst="rect">
                            <a:avLst/>
                          </a:prstGeom>
                        </pic:spPr>
                      </pic:pic>
                    </a:graphicData>
                  </a:graphic>
                  <wp14:sizeRelH relativeFrom="page">
                    <wp14:pctWidth>0</wp14:pctWidth>
                  </wp14:sizeRelH>
                  <wp14:sizeRelV relativeFrom="page">
                    <wp14:pctHeight>0</wp14:pctHeight>
                  </wp14:sizeRelV>
                </wp:anchor>
              </w:drawing>
            </w:r>
          </w:p>
        </w:tc>
        <w:tc>
          <w:tcPr>
            <w:tcW w:w="2268" w:type="dxa"/>
            <w:shd w:val="clear" w:color="auto" w:fill="auto"/>
            <w:hideMark/>
          </w:tcPr>
          <w:p w:rsidR="00226205" w:rsidRPr="00226205" w:rsidRDefault="00226205" w:rsidP="00A54993">
            <w:pPr>
              <w:jc w:val="left"/>
              <w:rPr>
                <w:rFonts w:ascii="Calibri" w:hAnsi="Calibri" w:cs="Calibri"/>
                <w:color w:val="000000"/>
                <w:sz w:val="18"/>
                <w:szCs w:val="18"/>
              </w:rPr>
            </w:pPr>
            <w:r w:rsidRPr="00226205">
              <w:rPr>
                <w:rFonts w:ascii="Calibri" w:hAnsi="Calibri" w:cs="Calibri"/>
                <w:color w:val="000000"/>
                <w:sz w:val="18"/>
                <w:szCs w:val="18"/>
              </w:rPr>
              <w:t xml:space="preserve">Public Toilets- Condell Street, Fitzroy </w:t>
            </w:r>
          </w:p>
        </w:tc>
        <w:tc>
          <w:tcPr>
            <w:tcW w:w="1276" w:type="dxa"/>
            <w:shd w:val="clear" w:color="auto" w:fill="auto"/>
            <w:hideMark/>
          </w:tcPr>
          <w:p w:rsidR="00226205" w:rsidRPr="00226205" w:rsidRDefault="009965C5" w:rsidP="009965C5">
            <w:pPr>
              <w:tabs>
                <w:tab w:val="decimal" w:pos="884"/>
              </w:tabs>
              <w:jc w:val="left"/>
              <w:rPr>
                <w:rFonts w:ascii="Calibri" w:hAnsi="Calibri" w:cs="Calibri"/>
                <w:color w:val="000000"/>
                <w:sz w:val="18"/>
                <w:szCs w:val="18"/>
              </w:rPr>
            </w:pPr>
            <w:r>
              <w:rPr>
                <w:rFonts w:ascii="Calibri" w:hAnsi="Calibri" w:cs="Calibri"/>
                <w:color w:val="000000"/>
                <w:sz w:val="18"/>
                <w:szCs w:val="18"/>
              </w:rPr>
              <w:t>$</w:t>
            </w:r>
            <w:r w:rsidR="00226205" w:rsidRPr="00226205">
              <w:rPr>
                <w:rFonts w:ascii="Calibri" w:hAnsi="Calibri" w:cs="Calibri"/>
                <w:color w:val="000000"/>
                <w:sz w:val="18"/>
                <w:szCs w:val="18"/>
              </w:rPr>
              <w:t>122,750</w:t>
            </w:r>
          </w:p>
        </w:tc>
        <w:tc>
          <w:tcPr>
            <w:tcW w:w="1134" w:type="dxa"/>
            <w:shd w:val="clear" w:color="auto" w:fill="auto"/>
            <w:hideMark/>
          </w:tcPr>
          <w:p w:rsidR="00226205" w:rsidRPr="00226205" w:rsidRDefault="00226205" w:rsidP="00226205">
            <w:pPr>
              <w:jc w:val="center"/>
              <w:rPr>
                <w:rFonts w:ascii="Calibri" w:hAnsi="Calibri" w:cs="Calibri"/>
                <w:color w:val="000000"/>
                <w:sz w:val="18"/>
                <w:szCs w:val="18"/>
              </w:rPr>
            </w:pPr>
            <w:r w:rsidRPr="00226205">
              <w:rPr>
                <w:rFonts w:ascii="Calibri" w:hAnsi="Calibri" w:cs="Calibri"/>
                <w:color w:val="000000"/>
                <w:sz w:val="18"/>
                <w:szCs w:val="18"/>
              </w:rPr>
              <w:t>Amenity</w:t>
            </w:r>
          </w:p>
        </w:tc>
        <w:tc>
          <w:tcPr>
            <w:tcW w:w="1417" w:type="dxa"/>
            <w:shd w:val="clear" w:color="auto" w:fill="auto"/>
            <w:hideMark/>
          </w:tcPr>
          <w:p w:rsidR="00226205" w:rsidRPr="00226205" w:rsidRDefault="00226205" w:rsidP="00226205">
            <w:pPr>
              <w:jc w:val="center"/>
              <w:rPr>
                <w:rFonts w:ascii="Calibri" w:hAnsi="Calibri" w:cs="Calibri"/>
                <w:color w:val="000000"/>
                <w:sz w:val="18"/>
                <w:szCs w:val="18"/>
              </w:rPr>
            </w:pPr>
            <w:r w:rsidRPr="00226205">
              <w:rPr>
                <w:rFonts w:ascii="Calibri" w:hAnsi="Calibri" w:cs="Calibri"/>
                <w:color w:val="000000"/>
                <w:sz w:val="18"/>
                <w:szCs w:val="18"/>
              </w:rPr>
              <w:t>Public Toilets</w:t>
            </w:r>
          </w:p>
        </w:tc>
        <w:tc>
          <w:tcPr>
            <w:tcW w:w="2410" w:type="dxa"/>
            <w:shd w:val="clear" w:color="auto" w:fill="auto"/>
            <w:hideMark/>
          </w:tcPr>
          <w:p w:rsidR="00226205" w:rsidRPr="00226205" w:rsidRDefault="00226205" w:rsidP="00226205">
            <w:pPr>
              <w:jc w:val="left"/>
              <w:rPr>
                <w:rFonts w:ascii="Calibri" w:hAnsi="Calibri" w:cs="Calibri"/>
                <w:color w:val="000000"/>
                <w:sz w:val="18"/>
                <w:szCs w:val="18"/>
              </w:rPr>
            </w:pPr>
            <w:r w:rsidRPr="00226205">
              <w:rPr>
                <w:rFonts w:ascii="Calibri" w:hAnsi="Calibri" w:cs="Calibri"/>
                <w:color w:val="000000"/>
                <w:sz w:val="18"/>
                <w:szCs w:val="18"/>
              </w:rPr>
              <w:t xml:space="preserve">The public toilet is in a good condition. </w:t>
            </w:r>
          </w:p>
        </w:tc>
        <w:tc>
          <w:tcPr>
            <w:tcW w:w="3118" w:type="dxa"/>
            <w:shd w:val="clear" w:color="auto" w:fill="auto"/>
            <w:hideMark/>
          </w:tcPr>
          <w:p w:rsidR="00226205" w:rsidRPr="00226205" w:rsidRDefault="00226205" w:rsidP="00226205">
            <w:pPr>
              <w:jc w:val="left"/>
              <w:rPr>
                <w:rFonts w:ascii="Calibri" w:hAnsi="Calibri" w:cs="Calibri"/>
                <w:color w:val="000000"/>
                <w:sz w:val="18"/>
                <w:szCs w:val="18"/>
              </w:rPr>
            </w:pPr>
            <w:r w:rsidRPr="00226205">
              <w:rPr>
                <w:rFonts w:ascii="Calibri" w:hAnsi="Calibri" w:cs="Calibri"/>
                <w:color w:val="000000"/>
                <w:sz w:val="18"/>
                <w:szCs w:val="18"/>
              </w:rPr>
              <w:t>Poor location, inadequate size.</w:t>
            </w:r>
          </w:p>
        </w:tc>
      </w:tr>
      <w:tr w:rsidR="00226205" w:rsidRPr="00226205" w:rsidTr="00B77D83">
        <w:trPr>
          <w:cantSplit/>
          <w:trHeight w:val="2250"/>
        </w:trPr>
        <w:tc>
          <w:tcPr>
            <w:tcW w:w="998" w:type="dxa"/>
            <w:shd w:val="clear" w:color="auto" w:fill="auto"/>
            <w:hideMark/>
          </w:tcPr>
          <w:p w:rsidR="00226205" w:rsidRPr="00226205" w:rsidRDefault="00226205" w:rsidP="006918D2">
            <w:pPr>
              <w:jc w:val="center"/>
              <w:rPr>
                <w:rFonts w:ascii="Calibri" w:hAnsi="Calibri" w:cs="Calibri"/>
                <w:color w:val="000000"/>
                <w:sz w:val="18"/>
                <w:szCs w:val="18"/>
              </w:rPr>
            </w:pPr>
            <w:r w:rsidRPr="00226205">
              <w:rPr>
                <w:rFonts w:ascii="Calibri" w:hAnsi="Calibri" w:cs="Calibri"/>
                <w:color w:val="000000"/>
                <w:sz w:val="18"/>
                <w:szCs w:val="18"/>
              </w:rPr>
              <w:t>B000151</w:t>
            </w:r>
          </w:p>
        </w:tc>
        <w:tc>
          <w:tcPr>
            <w:tcW w:w="2693" w:type="dxa"/>
            <w:shd w:val="clear" w:color="auto" w:fill="auto"/>
            <w:hideMark/>
          </w:tcPr>
          <w:p w:rsidR="00226205" w:rsidRPr="00226205" w:rsidRDefault="00226205" w:rsidP="00226205">
            <w:pPr>
              <w:rPr>
                <w:rFonts w:ascii="Calibri" w:hAnsi="Calibri" w:cs="Calibri"/>
                <w:color w:val="000000"/>
                <w:sz w:val="18"/>
                <w:szCs w:val="18"/>
              </w:rPr>
            </w:pPr>
            <w:r w:rsidRPr="00226205">
              <w:rPr>
                <w:rFonts w:ascii="Calibri" w:hAnsi="Calibri" w:cs="Calibri"/>
                <w:noProof/>
                <w:color w:val="000000"/>
                <w:sz w:val="18"/>
                <w:szCs w:val="18"/>
              </w:rPr>
              <w:drawing>
                <wp:anchor distT="0" distB="0" distL="114300" distR="114300" simplePos="0" relativeHeight="251686400" behindDoc="0" locked="0" layoutInCell="1" allowOverlap="1" wp14:anchorId="2F7ECB62" wp14:editId="2E4D4AEA">
                  <wp:simplePos x="0" y="0"/>
                  <wp:positionH relativeFrom="column">
                    <wp:posOffset>-20955</wp:posOffset>
                  </wp:positionH>
                  <wp:positionV relativeFrom="paragraph">
                    <wp:posOffset>60960</wp:posOffset>
                  </wp:positionV>
                  <wp:extent cx="1630800" cy="1310400"/>
                  <wp:effectExtent l="0"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9"/>
                          <pic:cNvPicPr>
                            <a:picLocks noChangeAspect="1"/>
                          </pic:cNvPicPr>
                        </pic:nvPicPr>
                        <pic:blipFill>
                          <a:blip r:embed="rId175">
                            <a:extLst>
                              <a:ext uri="{28A0092B-C50C-407E-A947-70E740481C1C}">
                                <a14:useLocalDpi xmlns:a14="http://schemas.microsoft.com/office/drawing/2010/main" val="0"/>
                              </a:ext>
                            </a:extLst>
                          </a:blip>
                          <a:stretch>
                            <a:fillRect/>
                          </a:stretch>
                        </pic:blipFill>
                        <pic:spPr>
                          <a:xfrm>
                            <a:off x="0" y="0"/>
                            <a:ext cx="1630800" cy="1310400"/>
                          </a:xfrm>
                          <a:prstGeom prst="rect">
                            <a:avLst/>
                          </a:prstGeom>
                        </pic:spPr>
                      </pic:pic>
                    </a:graphicData>
                  </a:graphic>
                  <wp14:sizeRelH relativeFrom="page">
                    <wp14:pctWidth>0</wp14:pctWidth>
                  </wp14:sizeRelH>
                  <wp14:sizeRelV relativeFrom="page">
                    <wp14:pctHeight>0</wp14:pctHeight>
                  </wp14:sizeRelV>
                </wp:anchor>
              </w:drawing>
            </w:r>
          </w:p>
        </w:tc>
        <w:tc>
          <w:tcPr>
            <w:tcW w:w="2268" w:type="dxa"/>
            <w:shd w:val="clear" w:color="auto" w:fill="auto"/>
            <w:hideMark/>
          </w:tcPr>
          <w:p w:rsidR="00226205" w:rsidRPr="00226205" w:rsidRDefault="00226205" w:rsidP="00A54993">
            <w:pPr>
              <w:jc w:val="left"/>
              <w:rPr>
                <w:rFonts w:ascii="Calibri" w:hAnsi="Calibri" w:cs="Calibri"/>
                <w:color w:val="000000"/>
                <w:sz w:val="18"/>
                <w:szCs w:val="18"/>
              </w:rPr>
            </w:pPr>
            <w:r w:rsidRPr="00226205">
              <w:rPr>
                <w:rFonts w:ascii="Calibri" w:hAnsi="Calibri" w:cs="Calibri"/>
                <w:color w:val="000000"/>
                <w:sz w:val="18"/>
                <w:szCs w:val="18"/>
              </w:rPr>
              <w:t>Public Toilets (exeloo) - Kerr Street, Collingwood</w:t>
            </w:r>
          </w:p>
        </w:tc>
        <w:tc>
          <w:tcPr>
            <w:tcW w:w="1276" w:type="dxa"/>
            <w:shd w:val="clear" w:color="auto" w:fill="auto"/>
            <w:hideMark/>
          </w:tcPr>
          <w:p w:rsidR="00226205" w:rsidRPr="00226205" w:rsidRDefault="00226205" w:rsidP="009965C5">
            <w:pPr>
              <w:tabs>
                <w:tab w:val="decimal" w:pos="884"/>
              </w:tabs>
              <w:jc w:val="left"/>
              <w:rPr>
                <w:rFonts w:ascii="Calibri" w:hAnsi="Calibri" w:cs="Calibri"/>
                <w:color w:val="000000"/>
                <w:sz w:val="18"/>
                <w:szCs w:val="18"/>
              </w:rPr>
            </w:pPr>
            <w:r w:rsidRPr="00226205">
              <w:rPr>
                <w:rFonts w:ascii="Calibri" w:hAnsi="Calibri" w:cs="Calibri"/>
                <w:color w:val="000000"/>
                <w:sz w:val="18"/>
                <w:szCs w:val="18"/>
              </w:rPr>
              <w:t>$132,570</w:t>
            </w:r>
          </w:p>
        </w:tc>
        <w:tc>
          <w:tcPr>
            <w:tcW w:w="1134" w:type="dxa"/>
            <w:shd w:val="clear" w:color="auto" w:fill="auto"/>
            <w:hideMark/>
          </w:tcPr>
          <w:p w:rsidR="00226205" w:rsidRPr="00226205" w:rsidRDefault="00226205" w:rsidP="00226205">
            <w:pPr>
              <w:jc w:val="center"/>
              <w:rPr>
                <w:rFonts w:ascii="Calibri" w:hAnsi="Calibri" w:cs="Calibri"/>
                <w:color w:val="000000"/>
                <w:sz w:val="18"/>
                <w:szCs w:val="18"/>
              </w:rPr>
            </w:pPr>
            <w:r w:rsidRPr="00226205">
              <w:rPr>
                <w:rFonts w:ascii="Calibri" w:hAnsi="Calibri" w:cs="Calibri"/>
                <w:color w:val="000000"/>
                <w:sz w:val="18"/>
                <w:szCs w:val="18"/>
              </w:rPr>
              <w:t>Amenity</w:t>
            </w:r>
          </w:p>
        </w:tc>
        <w:tc>
          <w:tcPr>
            <w:tcW w:w="1417" w:type="dxa"/>
            <w:shd w:val="clear" w:color="auto" w:fill="auto"/>
            <w:hideMark/>
          </w:tcPr>
          <w:p w:rsidR="00226205" w:rsidRPr="00226205" w:rsidRDefault="00226205" w:rsidP="00226205">
            <w:pPr>
              <w:jc w:val="center"/>
              <w:rPr>
                <w:rFonts w:ascii="Calibri" w:hAnsi="Calibri" w:cs="Calibri"/>
                <w:color w:val="000000"/>
                <w:sz w:val="18"/>
                <w:szCs w:val="18"/>
              </w:rPr>
            </w:pPr>
            <w:r w:rsidRPr="00226205">
              <w:rPr>
                <w:rFonts w:ascii="Calibri" w:hAnsi="Calibri" w:cs="Calibri"/>
                <w:color w:val="000000"/>
                <w:sz w:val="18"/>
                <w:szCs w:val="18"/>
              </w:rPr>
              <w:t>Public Toilets</w:t>
            </w:r>
          </w:p>
        </w:tc>
        <w:tc>
          <w:tcPr>
            <w:tcW w:w="2410" w:type="dxa"/>
            <w:shd w:val="clear" w:color="auto" w:fill="auto"/>
            <w:hideMark/>
          </w:tcPr>
          <w:p w:rsidR="00226205" w:rsidRPr="00226205" w:rsidRDefault="00226205" w:rsidP="00226205">
            <w:pPr>
              <w:jc w:val="left"/>
              <w:rPr>
                <w:rFonts w:ascii="Calibri" w:hAnsi="Calibri" w:cs="Calibri"/>
                <w:color w:val="000000"/>
                <w:sz w:val="18"/>
                <w:szCs w:val="18"/>
              </w:rPr>
            </w:pPr>
            <w:r w:rsidRPr="00226205">
              <w:rPr>
                <w:rFonts w:ascii="Calibri" w:hAnsi="Calibri" w:cs="Calibri"/>
                <w:color w:val="000000"/>
                <w:sz w:val="18"/>
                <w:szCs w:val="18"/>
              </w:rPr>
              <w:t>This public toilet is in excellent condition.</w:t>
            </w:r>
          </w:p>
        </w:tc>
        <w:tc>
          <w:tcPr>
            <w:tcW w:w="3118" w:type="dxa"/>
            <w:shd w:val="clear" w:color="auto" w:fill="auto"/>
            <w:hideMark/>
          </w:tcPr>
          <w:p w:rsidR="00226205" w:rsidRPr="00226205" w:rsidRDefault="00226205" w:rsidP="00226205">
            <w:pPr>
              <w:jc w:val="left"/>
              <w:rPr>
                <w:rFonts w:ascii="Calibri" w:hAnsi="Calibri" w:cs="Calibri"/>
                <w:color w:val="000000"/>
                <w:sz w:val="18"/>
                <w:szCs w:val="18"/>
              </w:rPr>
            </w:pPr>
            <w:r w:rsidRPr="00226205">
              <w:rPr>
                <w:rFonts w:ascii="Calibri" w:hAnsi="Calibri" w:cs="Calibri"/>
                <w:color w:val="000000"/>
                <w:sz w:val="18"/>
                <w:szCs w:val="18"/>
              </w:rPr>
              <w:t>Meets service needs</w:t>
            </w:r>
          </w:p>
        </w:tc>
      </w:tr>
      <w:tr w:rsidR="00226205" w:rsidRPr="00226205" w:rsidTr="00B77D83">
        <w:trPr>
          <w:cantSplit/>
          <w:trHeight w:val="3480"/>
        </w:trPr>
        <w:tc>
          <w:tcPr>
            <w:tcW w:w="998" w:type="dxa"/>
            <w:shd w:val="clear" w:color="auto" w:fill="auto"/>
            <w:hideMark/>
          </w:tcPr>
          <w:p w:rsidR="00226205" w:rsidRPr="00226205" w:rsidRDefault="00226205" w:rsidP="006918D2">
            <w:pPr>
              <w:jc w:val="center"/>
              <w:rPr>
                <w:rFonts w:ascii="Calibri" w:hAnsi="Calibri" w:cs="Calibri"/>
                <w:color w:val="000000"/>
                <w:sz w:val="18"/>
                <w:szCs w:val="18"/>
              </w:rPr>
            </w:pPr>
            <w:r w:rsidRPr="00226205">
              <w:rPr>
                <w:rFonts w:ascii="Calibri" w:hAnsi="Calibri" w:cs="Calibri"/>
                <w:color w:val="000000"/>
                <w:sz w:val="18"/>
                <w:szCs w:val="18"/>
              </w:rPr>
              <w:t>B000153</w:t>
            </w:r>
          </w:p>
        </w:tc>
        <w:tc>
          <w:tcPr>
            <w:tcW w:w="2693" w:type="dxa"/>
            <w:shd w:val="clear" w:color="auto" w:fill="auto"/>
            <w:hideMark/>
          </w:tcPr>
          <w:p w:rsidR="00226205" w:rsidRPr="00226205" w:rsidRDefault="00226205" w:rsidP="00226205">
            <w:pPr>
              <w:rPr>
                <w:rFonts w:ascii="Calibri" w:hAnsi="Calibri" w:cs="Calibri"/>
                <w:color w:val="000000"/>
                <w:sz w:val="18"/>
                <w:szCs w:val="18"/>
              </w:rPr>
            </w:pPr>
            <w:r w:rsidRPr="00226205">
              <w:rPr>
                <w:rFonts w:ascii="Calibri" w:hAnsi="Calibri" w:cs="Calibri"/>
                <w:noProof/>
                <w:color w:val="000000"/>
                <w:sz w:val="18"/>
                <w:szCs w:val="18"/>
              </w:rPr>
              <w:drawing>
                <wp:anchor distT="0" distB="0" distL="114300" distR="114300" simplePos="0" relativeHeight="251715072" behindDoc="0" locked="0" layoutInCell="1" allowOverlap="1" wp14:anchorId="663FC474" wp14:editId="376080FD">
                  <wp:simplePos x="0" y="0"/>
                  <wp:positionH relativeFrom="column">
                    <wp:posOffset>-20955</wp:posOffset>
                  </wp:positionH>
                  <wp:positionV relativeFrom="paragraph">
                    <wp:posOffset>45720</wp:posOffset>
                  </wp:positionV>
                  <wp:extent cx="1630680" cy="1226820"/>
                  <wp:effectExtent l="0" t="0" r="0" b="0"/>
                  <wp:wrapNone/>
                  <wp:docPr id="56" name="Picture 56"/>
                  <wp:cNvGraphicFramePr/>
                  <a:graphic xmlns:a="http://schemas.openxmlformats.org/drawingml/2006/main">
                    <a:graphicData uri="http://schemas.openxmlformats.org/drawingml/2006/picture">
                      <pic:pic xmlns:pic="http://schemas.openxmlformats.org/drawingml/2006/picture">
                        <pic:nvPicPr>
                          <pic:cNvPr id="56" name="Picture 55"/>
                          <pic:cNvPicPr>
                            <a:picLocks noChangeAspect="1"/>
                          </pic:cNvPicPr>
                        </pic:nvPicPr>
                        <pic:blipFill>
                          <a:blip r:embed="rId176">
                            <a:extLst>
                              <a:ext uri="{28A0092B-C50C-407E-A947-70E740481C1C}">
                                <a14:useLocalDpi xmlns:a14="http://schemas.microsoft.com/office/drawing/2010/main" val="0"/>
                              </a:ext>
                            </a:extLst>
                          </a:blip>
                          <a:stretch>
                            <a:fillRect/>
                          </a:stretch>
                        </pic:blipFill>
                        <pic:spPr>
                          <a:xfrm>
                            <a:off x="0" y="0"/>
                            <a:ext cx="1633641" cy="1222375"/>
                          </a:xfrm>
                          <a:prstGeom prst="rect">
                            <a:avLst/>
                          </a:prstGeom>
                        </pic:spPr>
                      </pic:pic>
                    </a:graphicData>
                  </a:graphic>
                  <wp14:sizeRelH relativeFrom="page">
                    <wp14:pctWidth>0</wp14:pctWidth>
                  </wp14:sizeRelH>
                  <wp14:sizeRelV relativeFrom="page">
                    <wp14:pctHeight>0</wp14:pctHeight>
                  </wp14:sizeRelV>
                </wp:anchor>
              </w:drawing>
            </w:r>
          </w:p>
        </w:tc>
        <w:tc>
          <w:tcPr>
            <w:tcW w:w="2268" w:type="dxa"/>
            <w:shd w:val="clear" w:color="auto" w:fill="auto"/>
            <w:hideMark/>
          </w:tcPr>
          <w:p w:rsidR="00226205" w:rsidRPr="00226205" w:rsidRDefault="00226205" w:rsidP="00A54993">
            <w:pPr>
              <w:jc w:val="left"/>
              <w:rPr>
                <w:rFonts w:ascii="Calibri" w:hAnsi="Calibri" w:cs="Calibri"/>
                <w:color w:val="000000"/>
                <w:sz w:val="18"/>
                <w:szCs w:val="18"/>
              </w:rPr>
            </w:pPr>
            <w:r w:rsidRPr="00226205">
              <w:rPr>
                <w:rFonts w:ascii="Calibri" w:hAnsi="Calibri" w:cs="Calibri"/>
                <w:color w:val="000000"/>
                <w:sz w:val="18"/>
                <w:szCs w:val="18"/>
              </w:rPr>
              <w:t>Yarra Community Youth Centre- 156 Napier St Fitzroy</w:t>
            </w:r>
          </w:p>
        </w:tc>
        <w:tc>
          <w:tcPr>
            <w:tcW w:w="1276" w:type="dxa"/>
            <w:shd w:val="clear" w:color="auto" w:fill="auto"/>
            <w:hideMark/>
          </w:tcPr>
          <w:p w:rsidR="00226205" w:rsidRPr="00226205" w:rsidRDefault="009965C5" w:rsidP="009965C5">
            <w:pPr>
              <w:tabs>
                <w:tab w:val="decimal" w:pos="884"/>
              </w:tabs>
              <w:jc w:val="left"/>
              <w:rPr>
                <w:rFonts w:ascii="Calibri" w:hAnsi="Calibri" w:cs="Calibri"/>
                <w:color w:val="000000"/>
                <w:sz w:val="18"/>
                <w:szCs w:val="18"/>
              </w:rPr>
            </w:pPr>
            <w:r>
              <w:rPr>
                <w:rFonts w:ascii="Calibri" w:hAnsi="Calibri" w:cs="Calibri"/>
                <w:color w:val="000000"/>
                <w:sz w:val="18"/>
                <w:szCs w:val="18"/>
              </w:rPr>
              <w:t>$</w:t>
            </w:r>
            <w:r w:rsidR="00226205" w:rsidRPr="00226205">
              <w:rPr>
                <w:rFonts w:ascii="Calibri" w:hAnsi="Calibri" w:cs="Calibri"/>
                <w:color w:val="000000"/>
                <w:sz w:val="18"/>
                <w:szCs w:val="18"/>
              </w:rPr>
              <w:t>1,455,300</w:t>
            </w:r>
          </w:p>
        </w:tc>
        <w:tc>
          <w:tcPr>
            <w:tcW w:w="1134" w:type="dxa"/>
            <w:shd w:val="clear" w:color="auto" w:fill="auto"/>
            <w:hideMark/>
          </w:tcPr>
          <w:p w:rsidR="00226205" w:rsidRPr="00226205" w:rsidRDefault="00226205" w:rsidP="00226205">
            <w:pPr>
              <w:jc w:val="center"/>
              <w:rPr>
                <w:rFonts w:ascii="Calibri" w:hAnsi="Calibri" w:cs="Calibri"/>
                <w:color w:val="000000"/>
                <w:sz w:val="18"/>
                <w:szCs w:val="18"/>
              </w:rPr>
            </w:pPr>
            <w:r w:rsidRPr="00226205">
              <w:rPr>
                <w:rFonts w:ascii="Calibri" w:hAnsi="Calibri" w:cs="Calibri"/>
                <w:color w:val="000000"/>
                <w:sz w:val="18"/>
                <w:szCs w:val="18"/>
              </w:rPr>
              <w:t>Community Services</w:t>
            </w:r>
          </w:p>
        </w:tc>
        <w:tc>
          <w:tcPr>
            <w:tcW w:w="1417" w:type="dxa"/>
            <w:shd w:val="clear" w:color="auto" w:fill="auto"/>
            <w:hideMark/>
          </w:tcPr>
          <w:p w:rsidR="00226205" w:rsidRPr="00226205" w:rsidRDefault="00226205" w:rsidP="00226205">
            <w:pPr>
              <w:jc w:val="center"/>
              <w:rPr>
                <w:rFonts w:ascii="Calibri" w:hAnsi="Calibri" w:cs="Calibri"/>
                <w:color w:val="000000"/>
                <w:sz w:val="18"/>
                <w:szCs w:val="18"/>
              </w:rPr>
            </w:pPr>
            <w:r w:rsidRPr="00226205">
              <w:rPr>
                <w:rFonts w:ascii="Calibri" w:hAnsi="Calibri" w:cs="Calibri"/>
                <w:color w:val="000000"/>
                <w:sz w:val="18"/>
                <w:szCs w:val="18"/>
              </w:rPr>
              <w:t>Youth Centre</w:t>
            </w:r>
          </w:p>
        </w:tc>
        <w:tc>
          <w:tcPr>
            <w:tcW w:w="2410" w:type="dxa"/>
            <w:shd w:val="clear" w:color="auto" w:fill="auto"/>
            <w:hideMark/>
          </w:tcPr>
          <w:p w:rsidR="00226205" w:rsidRPr="00226205" w:rsidRDefault="00226205" w:rsidP="00226205">
            <w:pPr>
              <w:jc w:val="left"/>
              <w:rPr>
                <w:rFonts w:ascii="Calibri" w:hAnsi="Calibri" w:cs="Calibri"/>
                <w:color w:val="000000"/>
                <w:sz w:val="18"/>
                <w:szCs w:val="18"/>
              </w:rPr>
            </w:pPr>
            <w:r w:rsidRPr="00226205">
              <w:rPr>
                <w:rFonts w:ascii="Calibri" w:hAnsi="Calibri" w:cs="Calibri"/>
                <w:color w:val="000000"/>
                <w:sz w:val="18"/>
                <w:szCs w:val="18"/>
              </w:rPr>
              <w:t xml:space="preserve">The building is in a good condition requires some roof restoration. </w:t>
            </w:r>
          </w:p>
        </w:tc>
        <w:tc>
          <w:tcPr>
            <w:tcW w:w="3118" w:type="dxa"/>
            <w:shd w:val="clear" w:color="auto" w:fill="auto"/>
            <w:hideMark/>
          </w:tcPr>
          <w:p w:rsidR="00226205" w:rsidRPr="00226205" w:rsidRDefault="00226205" w:rsidP="00226205">
            <w:pPr>
              <w:jc w:val="left"/>
              <w:rPr>
                <w:rFonts w:ascii="Calibri" w:hAnsi="Calibri" w:cs="Calibri"/>
                <w:color w:val="000000"/>
                <w:sz w:val="18"/>
                <w:szCs w:val="18"/>
              </w:rPr>
            </w:pPr>
            <w:r w:rsidRPr="00226205">
              <w:rPr>
                <w:rFonts w:ascii="Calibri" w:hAnsi="Calibri" w:cs="Calibri"/>
                <w:color w:val="000000"/>
                <w:sz w:val="18"/>
                <w:szCs w:val="18"/>
              </w:rPr>
              <w:t>Building has limited number of carparks, 1 needs to be for disabled. Catchment is mainly Collingwood/Fitzroy but limited for rest of Yarra. Does not comply for large numbers - Toy Library space not for Youth. All bookable meeting room space has been taken away from community groups. Staff rooms on upper level and programs are run on ground floor. There could be more a effective layout. It has 2 male/ 2 female + 1 unisex toilets that are not DDA compliant. Existing layout does not suit programs - kitchenette in store room,  oven should be removed,  electrical system problems, not compliant as no lift to meet disabled needs, location of bins is  inadequate, back gate cannot be easily opened (heavy).</w:t>
            </w:r>
          </w:p>
        </w:tc>
      </w:tr>
      <w:tr w:rsidR="00226205" w:rsidRPr="00226205" w:rsidTr="00B77D83">
        <w:trPr>
          <w:cantSplit/>
          <w:trHeight w:val="2127"/>
        </w:trPr>
        <w:tc>
          <w:tcPr>
            <w:tcW w:w="998" w:type="dxa"/>
            <w:shd w:val="clear" w:color="auto" w:fill="auto"/>
            <w:hideMark/>
          </w:tcPr>
          <w:p w:rsidR="00226205" w:rsidRPr="00226205" w:rsidRDefault="00226205" w:rsidP="006918D2">
            <w:pPr>
              <w:jc w:val="center"/>
              <w:rPr>
                <w:rFonts w:ascii="Calibri" w:hAnsi="Calibri" w:cs="Calibri"/>
                <w:color w:val="000000"/>
                <w:sz w:val="18"/>
                <w:szCs w:val="18"/>
              </w:rPr>
            </w:pPr>
            <w:r w:rsidRPr="00226205">
              <w:rPr>
                <w:rFonts w:ascii="Calibri" w:hAnsi="Calibri" w:cs="Calibri"/>
                <w:color w:val="000000"/>
                <w:sz w:val="18"/>
                <w:szCs w:val="18"/>
              </w:rPr>
              <w:t>B000154</w:t>
            </w:r>
          </w:p>
        </w:tc>
        <w:tc>
          <w:tcPr>
            <w:tcW w:w="2693" w:type="dxa"/>
            <w:shd w:val="clear" w:color="auto" w:fill="auto"/>
            <w:hideMark/>
          </w:tcPr>
          <w:p w:rsidR="00226205" w:rsidRPr="00226205" w:rsidRDefault="00226205" w:rsidP="00226205">
            <w:pPr>
              <w:rPr>
                <w:rFonts w:ascii="Calibri" w:hAnsi="Calibri" w:cs="Calibri"/>
                <w:color w:val="000000"/>
                <w:sz w:val="18"/>
                <w:szCs w:val="18"/>
              </w:rPr>
            </w:pPr>
            <w:r w:rsidRPr="00226205">
              <w:rPr>
                <w:rFonts w:ascii="Calibri" w:hAnsi="Calibri" w:cs="Calibri"/>
                <w:noProof/>
                <w:color w:val="000000"/>
                <w:sz w:val="18"/>
                <w:szCs w:val="18"/>
              </w:rPr>
              <w:drawing>
                <wp:anchor distT="0" distB="0" distL="114300" distR="114300" simplePos="0" relativeHeight="251716096" behindDoc="0" locked="0" layoutInCell="1" allowOverlap="1" wp14:anchorId="0C414480" wp14:editId="3EEDAD21">
                  <wp:simplePos x="0" y="0"/>
                  <wp:positionH relativeFrom="column">
                    <wp:posOffset>-20955</wp:posOffset>
                  </wp:positionH>
                  <wp:positionV relativeFrom="paragraph">
                    <wp:posOffset>38100</wp:posOffset>
                  </wp:positionV>
                  <wp:extent cx="1630800" cy="1238400"/>
                  <wp:effectExtent l="0" t="0" r="0" b="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77">
                            <a:extLst>
                              <a:ext uri="{28A0092B-C50C-407E-A947-70E740481C1C}">
                                <a14:useLocalDpi xmlns:a14="http://schemas.microsoft.com/office/drawing/2010/main" val="0"/>
                              </a:ext>
                            </a:extLst>
                          </a:blip>
                          <a:stretch>
                            <a:fillRect/>
                          </a:stretch>
                        </pic:blipFill>
                        <pic:spPr>
                          <a:xfrm>
                            <a:off x="0" y="0"/>
                            <a:ext cx="1630800" cy="1238400"/>
                          </a:xfrm>
                          <a:prstGeom prst="rect">
                            <a:avLst/>
                          </a:prstGeom>
                        </pic:spPr>
                      </pic:pic>
                    </a:graphicData>
                  </a:graphic>
                  <wp14:sizeRelH relativeFrom="page">
                    <wp14:pctWidth>0</wp14:pctWidth>
                  </wp14:sizeRelH>
                  <wp14:sizeRelV relativeFrom="page">
                    <wp14:pctHeight>0</wp14:pctHeight>
                  </wp14:sizeRelV>
                </wp:anchor>
              </w:drawing>
            </w:r>
          </w:p>
        </w:tc>
        <w:tc>
          <w:tcPr>
            <w:tcW w:w="2268" w:type="dxa"/>
            <w:shd w:val="clear" w:color="auto" w:fill="auto"/>
            <w:hideMark/>
          </w:tcPr>
          <w:p w:rsidR="00226205" w:rsidRPr="00226205" w:rsidRDefault="00226205" w:rsidP="00A54993">
            <w:pPr>
              <w:jc w:val="left"/>
              <w:rPr>
                <w:rFonts w:ascii="Calibri" w:hAnsi="Calibri" w:cs="Calibri"/>
                <w:color w:val="000000"/>
                <w:sz w:val="18"/>
                <w:szCs w:val="18"/>
              </w:rPr>
            </w:pPr>
            <w:r w:rsidRPr="00226205">
              <w:rPr>
                <w:rFonts w:ascii="Calibri" w:hAnsi="Calibri" w:cs="Calibri"/>
                <w:color w:val="000000"/>
                <w:sz w:val="18"/>
                <w:szCs w:val="18"/>
              </w:rPr>
              <w:t xml:space="preserve">Clifton Childcare Cooperative- 121 Rushall Crescent, Fitzroy North </w:t>
            </w:r>
          </w:p>
        </w:tc>
        <w:tc>
          <w:tcPr>
            <w:tcW w:w="1276" w:type="dxa"/>
            <w:shd w:val="clear" w:color="auto" w:fill="auto"/>
            <w:hideMark/>
          </w:tcPr>
          <w:p w:rsidR="00226205" w:rsidRPr="00226205" w:rsidRDefault="009965C5" w:rsidP="009965C5">
            <w:pPr>
              <w:tabs>
                <w:tab w:val="decimal" w:pos="884"/>
              </w:tabs>
              <w:jc w:val="left"/>
              <w:rPr>
                <w:rFonts w:ascii="Calibri" w:hAnsi="Calibri" w:cs="Calibri"/>
                <w:color w:val="000000"/>
                <w:sz w:val="18"/>
                <w:szCs w:val="18"/>
              </w:rPr>
            </w:pPr>
            <w:r>
              <w:rPr>
                <w:rFonts w:ascii="Calibri" w:hAnsi="Calibri" w:cs="Calibri"/>
                <w:color w:val="000000"/>
                <w:sz w:val="18"/>
                <w:szCs w:val="18"/>
              </w:rPr>
              <w:t>$</w:t>
            </w:r>
            <w:r w:rsidR="00226205" w:rsidRPr="00226205">
              <w:rPr>
                <w:rFonts w:ascii="Calibri" w:hAnsi="Calibri" w:cs="Calibri"/>
                <w:color w:val="000000"/>
                <w:sz w:val="18"/>
                <w:szCs w:val="18"/>
              </w:rPr>
              <w:t>447,480</w:t>
            </w:r>
          </w:p>
        </w:tc>
        <w:tc>
          <w:tcPr>
            <w:tcW w:w="1134" w:type="dxa"/>
            <w:shd w:val="clear" w:color="auto" w:fill="auto"/>
            <w:hideMark/>
          </w:tcPr>
          <w:p w:rsidR="00226205" w:rsidRPr="00226205" w:rsidRDefault="00226205" w:rsidP="00226205">
            <w:pPr>
              <w:jc w:val="center"/>
              <w:rPr>
                <w:rFonts w:ascii="Calibri" w:hAnsi="Calibri" w:cs="Calibri"/>
                <w:color w:val="000000"/>
                <w:sz w:val="18"/>
                <w:szCs w:val="18"/>
              </w:rPr>
            </w:pPr>
            <w:r w:rsidRPr="00226205">
              <w:rPr>
                <w:rFonts w:ascii="Calibri" w:hAnsi="Calibri" w:cs="Calibri"/>
                <w:color w:val="000000"/>
                <w:sz w:val="18"/>
                <w:szCs w:val="18"/>
              </w:rPr>
              <w:t>Community Services</w:t>
            </w:r>
          </w:p>
        </w:tc>
        <w:tc>
          <w:tcPr>
            <w:tcW w:w="1417" w:type="dxa"/>
            <w:shd w:val="clear" w:color="auto" w:fill="auto"/>
            <w:hideMark/>
          </w:tcPr>
          <w:p w:rsidR="00226205" w:rsidRPr="00226205" w:rsidRDefault="00226205" w:rsidP="00226205">
            <w:pPr>
              <w:jc w:val="center"/>
              <w:rPr>
                <w:rFonts w:ascii="Calibri" w:hAnsi="Calibri" w:cs="Calibri"/>
                <w:color w:val="000000"/>
                <w:sz w:val="18"/>
                <w:szCs w:val="18"/>
              </w:rPr>
            </w:pPr>
            <w:r w:rsidRPr="00226205">
              <w:rPr>
                <w:rFonts w:ascii="Calibri" w:hAnsi="Calibri" w:cs="Calibri"/>
                <w:color w:val="000000"/>
                <w:sz w:val="18"/>
                <w:szCs w:val="18"/>
              </w:rPr>
              <w:t>Child Care Centres</w:t>
            </w:r>
          </w:p>
        </w:tc>
        <w:tc>
          <w:tcPr>
            <w:tcW w:w="2410" w:type="dxa"/>
            <w:shd w:val="clear" w:color="auto" w:fill="auto"/>
            <w:hideMark/>
          </w:tcPr>
          <w:p w:rsidR="00226205" w:rsidRPr="00226205" w:rsidRDefault="00226205" w:rsidP="00226205">
            <w:pPr>
              <w:jc w:val="left"/>
              <w:rPr>
                <w:rFonts w:ascii="Calibri" w:hAnsi="Calibri" w:cs="Calibri"/>
                <w:color w:val="000000"/>
                <w:sz w:val="18"/>
                <w:szCs w:val="18"/>
              </w:rPr>
            </w:pPr>
            <w:r w:rsidRPr="00226205">
              <w:rPr>
                <w:rFonts w:ascii="Calibri" w:hAnsi="Calibri" w:cs="Calibri"/>
                <w:color w:val="000000"/>
                <w:sz w:val="18"/>
                <w:szCs w:val="18"/>
              </w:rPr>
              <w:t xml:space="preserve">The building is in a good condition some fitout work required (floor underpinning). </w:t>
            </w:r>
          </w:p>
        </w:tc>
        <w:tc>
          <w:tcPr>
            <w:tcW w:w="3118" w:type="dxa"/>
            <w:shd w:val="clear" w:color="auto" w:fill="auto"/>
            <w:hideMark/>
          </w:tcPr>
          <w:p w:rsidR="00226205" w:rsidRPr="00226205" w:rsidRDefault="00226205" w:rsidP="00226205">
            <w:pPr>
              <w:jc w:val="left"/>
              <w:rPr>
                <w:rFonts w:ascii="Calibri" w:hAnsi="Calibri" w:cs="Calibri"/>
                <w:color w:val="000000"/>
                <w:sz w:val="18"/>
                <w:szCs w:val="18"/>
              </w:rPr>
            </w:pPr>
            <w:r w:rsidRPr="00226205">
              <w:rPr>
                <w:rFonts w:ascii="Calibri" w:hAnsi="Calibri" w:cs="Calibri"/>
                <w:color w:val="000000"/>
                <w:sz w:val="18"/>
                <w:szCs w:val="18"/>
              </w:rPr>
              <w:t>Full assessment not yet carried out.</w:t>
            </w:r>
            <w:r w:rsidRPr="00226205">
              <w:rPr>
                <w:rFonts w:ascii="Calibri" w:hAnsi="Calibri" w:cs="Calibri"/>
                <w:color w:val="000000"/>
                <w:sz w:val="18"/>
                <w:szCs w:val="18"/>
              </w:rPr>
              <w:br/>
              <w:t>Leased to Clifton Childcare Cooperative</w:t>
            </w:r>
          </w:p>
        </w:tc>
      </w:tr>
      <w:tr w:rsidR="00226205" w:rsidRPr="00226205" w:rsidTr="00B77D83">
        <w:trPr>
          <w:cantSplit/>
          <w:trHeight w:val="1923"/>
        </w:trPr>
        <w:tc>
          <w:tcPr>
            <w:tcW w:w="998" w:type="dxa"/>
            <w:shd w:val="clear" w:color="auto" w:fill="auto"/>
            <w:hideMark/>
          </w:tcPr>
          <w:p w:rsidR="00226205" w:rsidRPr="00226205" w:rsidRDefault="00226205" w:rsidP="006918D2">
            <w:pPr>
              <w:jc w:val="center"/>
              <w:rPr>
                <w:rFonts w:ascii="Calibri" w:hAnsi="Calibri" w:cs="Calibri"/>
                <w:color w:val="000000"/>
                <w:sz w:val="18"/>
                <w:szCs w:val="18"/>
              </w:rPr>
            </w:pPr>
            <w:r w:rsidRPr="00226205">
              <w:rPr>
                <w:rFonts w:ascii="Calibri" w:hAnsi="Calibri" w:cs="Calibri"/>
                <w:color w:val="000000"/>
                <w:sz w:val="18"/>
                <w:szCs w:val="18"/>
              </w:rPr>
              <w:t>B000157</w:t>
            </w:r>
          </w:p>
        </w:tc>
        <w:tc>
          <w:tcPr>
            <w:tcW w:w="2693" w:type="dxa"/>
            <w:shd w:val="clear" w:color="auto" w:fill="auto"/>
            <w:hideMark/>
          </w:tcPr>
          <w:p w:rsidR="00226205" w:rsidRPr="00226205" w:rsidRDefault="00226205" w:rsidP="00226205">
            <w:pPr>
              <w:rPr>
                <w:rFonts w:ascii="Calibri" w:hAnsi="Calibri" w:cs="Calibri"/>
                <w:color w:val="000000"/>
                <w:sz w:val="18"/>
                <w:szCs w:val="18"/>
              </w:rPr>
            </w:pPr>
            <w:r w:rsidRPr="00226205">
              <w:rPr>
                <w:rFonts w:ascii="Calibri" w:hAnsi="Calibri" w:cs="Calibri"/>
                <w:noProof/>
                <w:color w:val="000000"/>
                <w:sz w:val="18"/>
                <w:szCs w:val="18"/>
              </w:rPr>
              <w:drawing>
                <wp:anchor distT="0" distB="0" distL="114300" distR="114300" simplePos="0" relativeHeight="251779584" behindDoc="0" locked="0" layoutInCell="1" allowOverlap="1" wp14:anchorId="3F17A188" wp14:editId="089CB062">
                  <wp:simplePos x="0" y="0"/>
                  <wp:positionH relativeFrom="column">
                    <wp:posOffset>-20955</wp:posOffset>
                  </wp:positionH>
                  <wp:positionV relativeFrom="paragraph">
                    <wp:posOffset>60960</wp:posOffset>
                  </wp:positionV>
                  <wp:extent cx="1630800" cy="1101600"/>
                  <wp:effectExtent l="0" t="0" r="0" b="0"/>
                  <wp:wrapNone/>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Picture 125"/>
                          <pic:cNvPicPr>
                            <a:picLocks noChangeAspect="1"/>
                          </pic:cNvPicPr>
                        </pic:nvPicPr>
                        <pic:blipFill>
                          <a:blip r:embed="rId178">
                            <a:extLst>
                              <a:ext uri="{28A0092B-C50C-407E-A947-70E740481C1C}">
                                <a14:useLocalDpi xmlns:a14="http://schemas.microsoft.com/office/drawing/2010/main" val="0"/>
                              </a:ext>
                            </a:extLst>
                          </a:blip>
                          <a:stretch>
                            <a:fillRect/>
                          </a:stretch>
                        </pic:blipFill>
                        <pic:spPr>
                          <a:xfrm>
                            <a:off x="0" y="0"/>
                            <a:ext cx="1630800" cy="1101600"/>
                          </a:xfrm>
                          <a:prstGeom prst="rect">
                            <a:avLst/>
                          </a:prstGeom>
                        </pic:spPr>
                      </pic:pic>
                    </a:graphicData>
                  </a:graphic>
                  <wp14:sizeRelH relativeFrom="page">
                    <wp14:pctWidth>0</wp14:pctWidth>
                  </wp14:sizeRelH>
                  <wp14:sizeRelV relativeFrom="page">
                    <wp14:pctHeight>0</wp14:pctHeight>
                  </wp14:sizeRelV>
                </wp:anchor>
              </w:drawing>
            </w:r>
          </w:p>
        </w:tc>
        <w:tc>
          <w:tcPr>
            <w:tcW w:w="2268" w:type="dxa"/>
            <w:shd w:val="clear" w:color="auto" w:fill="auto"/>
            <w:hideMark/>
          </w:tcPr>
          <w:p w:rsidR="00226205" w:rsidRPr="00226205" w:rsidRDefault="00226205" w:rsidP="00A54993">
            <w:pPr>
              <w:jc w:val="left"/>
              <w:rPr>
                <w:rFonts w:ascii="Calibri" w:hAnsi="Calibri" w:cs="Calibri"/>
                <w:color w:val="000000"/>
                <w:sz w:val="18"/>
                <w:szCs w:val="18"/>
              </w:rPr>
            </w:pPr>
            <w:r w:rsidRPr="00226205">
              <w:rPr>
                <w:rFonts w:ascii="Calibri" w:hAnsi="Calibri" w:cs="Calibri"/>
                <w:color w:val="000000"/>
                <w:sz w:val="18"/>
                <w:szCs w:val="18"/>
              </w:rPr>
              <w:t>Brick Ticket Box, Edinburgh Gardens- Alfred Crescent, Fitzroy North</w:t>
            </w:r>
          </w:p>
        </w:tc>
        <w:tc>
          <w:tcPr>
            <w:tcW w:w="1276" w:type="dxa"/>
            <w:shd w:val="clear" w:color="auto" w:fill="auto"/>
            <w:hideMark/>
          </w:tcPr>
          <w:p w:rsidR="00226205" w:rsidRPr="00226205" w:rsidRDefault="009965C5" w:rsidP="009965C5">
            <w:pPr>
              <w:tabs>
                <w:tab w:val="decimal" w:pos="884"/>
              </w:tabs>
              <w:jc w:val="left"/>
              <w:rPr>
                <w:rFonts w:ascii="Calibri" w:hAnsi="Calibri" w:cs="Calibri"/>
                <w:color w:val="000000"/>
                <w:sz w:val="18"/>
                <w:szCs w:val="18"/>
              </w:rPr>
            </w:pPr>
            <w:r>
              <w:rPr>
                <w:rFonts w:ascii="Calibri" w:hAnsi="Calibri" w:cs="Calibri"/>
                <w:color w:val="000000"/>
                <w:sz w:val="18"/>
                <w:szCs w:val="18"/>
              </w:rPr>
              <w:t>$</w:t>
            </w:r>
            <w:r w:rsidR="00226205" w:rsidRPr="00226205">
              <w:rPr>
                <w:rFonts w:ascii="Calibri" w:hAnsi="Calibri" w:cs="Calibri"/>
                <w:color w:val="000000"/>
                <w:sz w:val="18"/>
                <w:szCs w:val="18"/>
              </w:rPr>
              <w:t>47,775</w:t>
            </w:r>
          </w:p>
        </w:tc>
        <w:tc>
          <w:tcPr>
            <w:tcW w:w="1134" w:type="dxa"/>
            <w:shd w:val="clear" w:color="auto" w:fill="auto"/>
            <w:hideMark/>
          </w:tcPr>
          <w:p w:rsidR="00226205" w:rsidRPr="00226205" w:rsidRDefault="00226205" w:rsidP="00226205">
            <w:pPr>
              <w:jc w:val="center"/>
              <w:rPr>
                <w:rFonts w:ascii="Calibri" w:hAnsi="Calibri" w:cs="Calibri"/>
                <w:color w:val="000000"/>
                <w:sz w:val="18"/>
                <w:szCs w:val="18"/>
              </w:rPr>
            </w:pPr>
            <w:r w:rsidRPr="00226205">
              <w:rPr>
                <w:rFonts w:ascii="Calibri" w:hAnsi="Calibri" w:cs="Calibri"/>
                <w:color w:val="000000"/>
                <w:sz w:val="18"/>
                <w:szCs w:val="18"/>
              </w:rPr>
              <w:t xml:space="preserve">Recreation </w:t>
            </w:r>
            <w:r w:rsidR="00B77D83">
              <w:rPr>
                <w:rFonts w:ascii="Calibri" w:hAnsi="Calibri" w:cs="Calibri"/>
                <w:color w:val="000000"/>
                <w:sz w:val="18"/>
                <w:szCs w:val="18"/>
              </w:rPr>
              <w:t>and</w:t>
            </w:r>
            <w:r w:rsidRPr="00226205">
              <w:rPr>
                <w:rFonts w:ascii="Calibri" w:hAnsi="Calibri" w:cs="Calibri"/>
                <w:color w:val="000000"/>
                <w:sz w:val="18"/>
                <w:szCs w:val="18"/>
              </w:rPr>
              <w:t xml:space="preserve"> Open Space</w:t>
            </w:r>
          </w:p>
        </w:tc>
        <w:tc>
          <w:tcPr>
            <w:tcW w:w="1417" w:type="dxa"/>
            <w:shd w:val="clear" w:color="auto" w:fill="auto"/>
            <w:hideMark/>
          </w:tcPr>
          <w:p w:rsidR="00226205" w:rsidRPr="00226205" w:rsidRDefault="00226205" w:rsidP="00226205">
            <w:pPr>
              <w:jc w:val="center"/>
              <w:rPr>
                <w:rFonts w:ascii="Calibri" w:hAnsi="Calibri" w:cs="Calibri"/>
                <w:color w:val="000000"/>
                <w:sz w:val="18"/>
                <w:szCs w:val="18"/>
              </w:rPr>
            </w:pPr>
            <w:r w:rsidRPr="00226205">
              <w:rPr>
                <w:rFonts w:ascii="Calibri" w:hAnsi="Calibri" w:cs="Calibri"/>
                <w:color w:val="000000"/>
                <w:sz w:val="18"/>
                <w:szCs w:val="18"/>
              </w:rPr>
              <w:t>Structures</w:t>
            </w:r>
          </w:p>
        </w:tc>
        <w:tc>
          <w:tcPr>
            <w:tcW w:w="2410" w:type="dxa"/>
            <w:shd w:val="clear" w:color="auto" w:fill="auto"/>
            <w:hideMark/>
          </w:tcPr>
          <w:p w:rsidR="00226205" w:rsidRPr="00226205" w:rsidRDefault="00226205" w:rsidP="00226205">
            <w:pPr>
              <w:jc w:val="left"/>
              <w:rPr>
                <w:rFonts w:ascii="Calibri" w:hAnsi="Calibri" w:cs="Calibri"/>
                <w:color w:val="000000"/>
                <w:sz w:val="18"/>
                <w:szCs w:val="18"/>
              </w:rPr>
            </w:pPr>
            <w:r w:rsidRPr="00226205">
              <w:rPr>
                <w:rFonts w:ascii="Calibri" w:hAnsi="Calibri" w:cs="Calibri"/>
                <w:color w:val="000000"/>
                <w:sz w:val="18"/>
                <w:szCs w:val="18"/>
              </w:rPr>
              <w:t>The building is in a good condition.</w:t>
            </w:r>
          </w:p>
        </w:tc>
        <w:tc>
          <w:tcPr>
            <w:tcW w:w="3118" w:type="dxa"/>
            <w:shd w:val="clear" w:color="auto" w:fill="auto"/>
            <w:hideMark/>
          </w:tcPr>
          <w:p w:rsidR="00226205" w:rsidRPr="00226205" w:rsidRDefault="00226205" w:rsidP="00226205">
            <w:pPr>
              <w:jc w:val="left"/>
              <w:rPr>
                <w:rFonts w:ascii="Calibri" w:hAnsi="Calibri" w:cs="Calibri"/>
                <w:color w:val="000000"/>
                <w:sz w:val="18"/>
                <w:szCs w:val="18"/>
              </w:rPr>
            </w:pPr>
            <w:r w:rsidRPr="00226205">
              <w:rPr>
                <w:rFonts w:ascii="Calibri" w:hAnsi="Calibri" w:cs="Calibri"/>
                <w:color w:val="000000"/>
                <w:sz w:val="18"/>
                <w:szCs w:val="18"/>
              </w:rPr>
              <w:t xml:space="preserve"> Used for storage space only. </w:t>
            </w:r>
          </w:p>
        </w:tc>
      </w:tr>
      <w:tr w:rsidR="00226205" w:rsidRPr="00226205" w:rsidTr="00B77D83">
        <w:trPr>
          <w:cantSplit/>
          <w:trHeight w:val="1978"/>
        </w:trPr>
        <w:tc>
          <w:tcPr>
            <w:tcW w:w="998" w:type="dxa"/>
            <w:shd w:val="clear" w:color="auto" w:fill="auto"/>
            <w:hideMark/>
          </w:tcPr>
          <w:p w:rsidR="00226205" w:rsidRPr="00226205" w:rsidRDefault="00226205" w:rsidP="006918D2">
            <w:pPr>
              <w:jc w:val="center"/>
              <w:rPr>
                <w:rFonts w:ascii="Calibri" w:hAnsi="Calibri" w:cs="Calibri"/>
                <w:color w:val="000000"/>
                <w:sz w:val="18"/>
                <w:szCs w:val="18"/>
              </w:rPr>
            </w:pPr>
            <w:r w:rsidRPr="00226205">
              <w:rPr>
                <w:rFonts w:ascii="Calibri" w:hAnsi="Calibri" w:cs="Calibri"/>
                <w:color w:val="000000"/>
                <w:sz w:val="18"/>
                <w:szCs w:val="18"/>
              </w:rPr>
              <w:t>B000158</w:t>
            </w:r>
          </w:p>
        </w:tc>
        <w:tc>
          <w:tcPr>
            <w:tcW w:w="2693" w:type="dxa"/>
            <w:shd w:val="clear" w:color="auto" w:fill="auto"/>
            <w:hideMark/>
          </w:tcPr>
          <w:p w:rsidR="00226205" w:rsidRPr="00226205" w:rsidRDefault="00226205" w:rsidP="00226205">
            <w:pPr>
              <w:rPr>
                <w:rFonts w:ascii="Calibri" w:hAnsi="Calibri" w:cs="Calibri"/>
                <w:color w:val="000000"/>
                <w:sz w:val="18"/>
                <w:szCs w:val="18"/>
              </w:rPr>
            </w:pPr>
            <w:r w:rsidRPr="00226205">
              <w:rPr>
                <w:rFonts w:ascii="Calibri" w:hAnsi="Calibri" w:cs="Calibri"/>
                <w:noProof/>
                <w:color w:val="000000"/>
                <w:sz w:val="18"/>
                <w:szCs w:val="18"/>
              </w:rPr>
              <w:drawing>
                <wp:anchor distT="0" distB="0" distL="114300" distR="114300" simplePos="0" relativeHeight="251780608" behindDoc="0" locked="0" layoutInCell="1" allowOverlap="1" wp14:anchorId="7E274822" wp14:editId="44074AD2">
                  <wp:simplePos x="0" y="0"/>
                  <wp:positionH relativeFrom="column">
                    <wp:posOffset>-20955</wp:posOffset>
                  </wp:positionH>
                  <wp:positionV relativeFrom="paragraph">
                    <wp:posOffset>53535</wp:posOffset>
                  </wp:positionV>
                  <wp:extent cx="1630800" cy="1119600"/>
                  <wp:effectExtent l="0" t="0" r="0" b="0"/>
                  <wp:wrapNone/>
                  <wp:docPr id="127" name="Picture 127"/>
                  <wp:cNvGraphicFramePr/>
                  <a:graphic xmlns:a="http://schemas.openxmlformats.org/drawingml/2006/main">
                    <a:graphicData uri="http://schemas.openxmlformats.org/drawingml/2006/picture">
                      <pic:pic xmlns:pic="http://schemas.openxmlformats.org/drawingml/2006/picture">
                        <pic:nvPicPr>
                          <pic:cNvPr id="127" name="Picture 126"/>
                          <pic:cNvPicPr>
                            <a:picLocks noChangeAspect="1"/>
                          </pic:cNvPicPr>
                        </pic:nvPicPr>
                        <pic:blipFill>
                          <a:blip r:embed="rId179">
                            <a:extLst>
                              <a:ext uri="{28A0092B-C50C-407E-A947-70E740481C1C}">
                                <a14:useLocalDpi xmlns:a14="http://schemas.microsoft.com/office/drawing/2010/main" val="0"/>
                              </a:ext>
                            </a:extLst>
                          </a:blip>
                          <a:stretch>
                            <a:fillRect/>
                          </a:stretch>
                        </pic:blipFill>
                        <pic:spPr>
                          <a:xfrm>
                            <a:off x="0" y="0"/>
                            <a:ext cx="1630800" cy="1119600"/>
                          </a:xfrm>
                          <a:prstGeom prst="rect">
                            <a:avLst/>
                          </a:prstGeom>
                        </pic:spPr>
                      </pic:pic>
                    </a:graphicData>
                  </a:graphic>
                  <wp14:sizeRelH relativeFrom="page">
                    <wp14:pctWidth>0</wp14:pctWidth>
                  </wp14:sizeRelH>
                  <wp14:sizeRelV relativeFrom="page">
                    <wp14:pctHeight>0</wp14:pctHeight>
                  </wp14:sizeRelV>
                </wp:anchor>
              </w:drawing>
            </w:r>
          </w:p>
        </w:tc>
        <w:tc>
          <w:tcPr>
            <w:tcW w:w="2268" w:type="dxa"/>
            <w:shd w:val="clear" w:color="auto" w:fill="auto"/>
            <w:hideMark/>
          </w:tcPr>
          <w:p w:rsidR="00226205" w:rsidRPr="00226205" w:rsidRDefault="00226205" w:rsidP="00A54993">
            <w:pPr>
              <w:jc w:val="left"/>
              <w:rPr>
                <w:rFonts w:ascii="Calibri" w:hAnsi="Calibri" w:cs="Calibri"/>
                <w:color w:val="000000"/>
                <w:sz w:val="18"/>
                <w:szCs w:val="18"/>
              </w:rPr>
            </w:pPr>
            <w:r w:rsidRPr="00226205">
              <w:rPr>
                <w:rFonts w:ascii="Calibri" w:hAnsi="Calibri" w:cs="Calibri"/>
                <w:color w:val="000000"/>
                <w:sz w:val="18"/>
                <w:szCs w:val="18"/>
              </w:rPr>
              <w:t xml:space="preserve">Fitzroy Football Club Grandstand, Edinburgh Gardens- Alfred Crescent, Fitzroy North </w:t>
            </w:r>
          </w:p>
        </w:tc>
        <w:tc>
          <w:tcPr>
            <w:tcW w:w="1276" w:type="dxa"/>
            <w:shd w:val="clear" w:color="auto" w:fill="auto"/>
            <w:hideMark/>
          </w:tcPr>
          <w:p w:rsidR="00226205" w:rsidRPr="00226205" w:rsidRDefault="009965C5" w:rsidP="009965C5">
            <w:pPr>
              <w:tabs>
                <w:tab w:val="decimal" w:pos="884"/>
              </w:tabs>
              <w:jc w:val="left"/>
              <w:rPr>
                <w:rFonts w:ascii="Calibri" w:hAnsi="Calibri" w:cs="Calibri"/>
                <w:color w:val="000000"/>
                <w:sz w:val="18"/>
                <w:szCs w:val="18"/>
              </w:rPr>
            </w:pPr>
            <w:r>
              <w:rPr>
                <w:rFonts w:ascii="Calibri" w:hAnsi="Calibri" w:cs="Calibri"/>
                <w:color w:val="000000"/>
                <w:sz w:val="18"/>
                <w:szCs w:val="18"/>
              </w:rPr>
              <w:t>$</w:t>
            </w:r>
            <w:r w:rsidR="00226205" w:rsidRPr="00226205">
              <w:rPr>
                <w:rFonts w:ascii="Calibri" w:hAnsi="Calibri" w:cs="Calibri"/>
                <w:color w:val="000000"/>
                <w:sz w:val="18"/>
                <w:szCs w:val="18"/>
              </w:rPr>
              <w:t>2,726,850</w:t>
            </w:r>
          </w:p>
        </w:tc>
        <w:tc>
          <w:tcPr>
            <w:tcW w:w="1134" w:type="dxa"/>
            <w:shd w:val="clear" w:color="auto" w:fill="auto"/>
            <w:hideMark/>
          </w:tcPr>
          <w:p w:rsidR="00226205" w:rsidRPr="00226205" w:rsidRDefault="00226205" w:rsidP="00226205">
            <w:pPr>
              <w:jc w:val="center"/>
              <w:rPr>
                <w:rFonts w:ascii="Calibri" w:hAnsi="Calibri" w:cs="Calibri"/>
                <w:color w:val="000000"/>
                <w:sz w:val="18"/>
                <w:szCs w:val="18"/>
              </w:rPr>
            </w:pPr>
            <w:r w:rsidRPr="00226205">
              <w:rPr>
                <w:rFonts w:ascii="Calibri" w:hAnsi="Calibri" w:cs="Calibri"/>
                <w:color w:val="000000"/>
                <w:sz w:val="18"/>
                <w:szCs w:val="18"/>
              </w:rPr>
              <w:t xml:space="preserve">Recreation </w:t>
            </w:r>
            <w:r w:rsidR="00B77D83">
              <w:rPr>
                <w:rFonts w:ascii="Calibri" w:hAnsi="Calibri" w:cs="Calibri"/>
                <w:color w:val="000000"/>
                <w:sz w:val="18"/>
                <w:szCs w:val="18"/>
              </w:rPr>
              <w:t>and</w:t>
            </w:r>
            <w:r w:rsidRPr="00226205">
              <w:rPr>
                <w:rFonts w:ascii="Calibri" w:hAnsi="Calibri" w:cs="Calibri"/>
                <w:color w:val="000000"/>
                <w:sz w:val="18"/>
                <w:szCs w:val="18"/>
              </w:rPr>
              <w:t xml:space="preserve"> Open Space</w:t>
            </w:r>
          </w:p>
        </w:tc>
        <w:tc>
          <w:tcPr>
            <w:tcW w:w="1417" w:type="dxa"/>
            <w:shd w:val="clear" w:color="auto" w:fill="auto"/>
            <w:hideMark/>
          </w:tcPr>
          <w:p w:rsidR="00226205" w:rsidRPr="00226205" w:rsidRDefault="00226205" w:rsidP="00226205">
            <w:pPr>
              <w:jc w:val="center"/>
              <w:rPr>
                <w:rFonts w:ascii="Calibri" w:hAnsi="Calibri" w:cs="Calibri"/>
                <w:color w:val="000000"/>
                <w:sz w:val="18"/>
                <w:szCs w:val="18"/>
              </w:rPr>
            </w:pPr>
            <w:r w:rsidRPr="00226205">
              <w:rPr>
                <w:rFonts w:ascii="Calibri" w:hAnsi="Calibri" w:cs="Calibri"/>
                <w:color w:val="000000"/>
                <w:sz w:val="18"/>
                <w:szCs w:val="18"/>
              </w:rPr>
              <w:t>Pavilions / Clubrooms / Change rooms</w:t>
            </w:r>
          </w:p>
        </w:tc>
        <w:tc>
          <w:tcPr>
            <w:tcW w:w="2410" w:type="dxa"/>
            <w:shd w:val="clear" w:color="auto" w:fill="auto"/>
            <w:hideMark/>
          </w:tcPr>
          <w:p w:rsidR="00226205" w:rsidRPr="00226205" w:rsidRDefault="00226205" w:rsidP="00226205">
            <w:pPr>
              <w:jc w:val="left"/>
              <w:rPr>
                <w:rFonts w:ascii="Calibri" w:hAnsi="Calibri" w:cs="Calibri"/>
                <w:color w:val="000000"/>
                <w:sz w:val="18"/>
                <w:szCs w:val="18"/>
              </w:rPr>
            </w:pPr>
            <w:r w:rsidRPr="00226205">
              <w:rPr>
                <w:rFonts w:ascii="Calibri" w:hAnsi="Calibri" w:cs="Calibri"/>
                <w:color w:val="000000"/>
                <w:sz w:val="18"/>
                <w:szCs w:val="18"/>
              </w:rPr>
              <w:t>The building is in a good condition.</w:t>
            </w:r>
          </w:p>
        </w:tc>
        <w:tc>
          <w:tcPr>
            <w:tcW w:w="3118" w:type="dxa"/>
            <w:shd w:val="clear" w:color="auto" w:fill="auto"/>
            <w:hideMark/>
          </w:tcPr>
          <w:p w:rsidR="00226205" w:rsidRPr="00226205" w:rsidRDefault="00226205" w:rsidP="00226205">
            <w:pPr>
              <w:jc w:val="left"/>
              <w:rPr>
                <w:rFonts w:ascii="Calibri" w:hAnsi="Calibri" w:cs="Calibri"/>
                <w:color w:val="000000"/>
                <w:sz w:val="18"/>
                <w:szCs w:val="18"/>
              </w:rPr>
            </w:pPr>
            <w:r w:rsidRPr="00226205">
              <w:rPr>
                <w:rFonts w:ascii="Calibri" w:hAnsi="Calibri" w:cs="Calibri"/>
                <w:color w:val="000000"/>
                <w:sz w:val="18"/>
                <w:szCs w:val="18"/>
              </w:rPr>
              <w:t>Requires additional storage; clubs currently use brick ticket box. Shared toilets with community room could be improved.</w:t>
            </w:r>
          </w:p>
        </w:tc>
      </w:tr>
      <w:tr w:rsidR="00226205" w:rsidRPr="00226205" w:rsidTr="00B77D83">
        <w:trPr>
          <w:cantSplit/>
          <w:trHeight w:val="2268"/>
        </w:trPr>
        <w:tc>
          <w:tcPr>
            <w:tcW w:w="998" w:type="dxa"/>
            <w:shd w:val="clear" w:color="auto" w:fill="auto"/>
            <w:hideMark/>
          </w:tcPr>
          <w:p w:rsidR="00226205" w:rsidRPr="00226205" w:rsidRDefault="00226205" w:rsidP="006918D2">
            <w:pPr>
              <w:jc w:val="center"/>
              <w:rPr>
                <w:rFonts w:ascii="Calibri" w:hAnsi="Calibri" w:cs="Calibri"/>
                <w:color w:val="000000"/>
                <w:sz w:val="18"/>
                <w:szCs w:val="18"/>
              </w:rPr>
            </w:pPr>
            <w:r w:rsidRPr="00226205">
              <w:rPr>
                <w:rFonts w:ascii="Calibri" w:hAnsi="Calibri" w:cs="Calibri"/>
                <w:color w:val="000000"/>
                <w:sz w:val="18"/>
                <w:szCs w:val="18"/>
              </w:rPr>
              <w:t>B000159</w:t>
            </w:r>
          </w:p>
        </w:tc>
        <w:tc>
          <w:tcPr>
            <w:tcW w:w="2693" w:type="dxa"/>
            <w:shd w:val="clear" w:color="auto" w:fill="auto"/>
            <w:hideMark/>
          </w:tcPr>
          <w:p w:rsidR="00226205" w:rsidRPr="00226205" w:rsidRDefault="00226205" w:rsidP="00226205">
            <w:pPr>
              <w:rPr>
                <w:rFonts w:ascii="Calibri" w:hAnsi="Calibri" w:cs="Calibri"/>
                <w:color w:val="000000"/>
                <w:sz w:val="18"/>
                <w:szCs w:val="18"/>
              </w:rPr>
            </w:pPr>
            <w:r w:rsidRPr="00226205">
              <w:rPr>
                <w:rFonts w:ascii="Calibri" w:hAnsi="Calibri" w:cs="Calibri"/>
                <w:noProof/>
                <w:color w:val="000000"/>
                <w:sz w:val="18"/>
                <w:szCs w:val="18"/>
              </w:rPr>
              <w:drawing>
                <wp:anchor distT="0" distB="0" distL="114300" distR="114300" simplePos="0" relativeHeight="251717120" behindDoc="0" locked="0" layoutInCell="1" allowOverlap="1" wp14:anchorId="66CE278A" wp14:editId="0DCFBD64">
                  <wp:simplePos x="0" y="0"/>
                  <wp:positionH relativeFrom="column">
                    <wp:posOffset>-20955</wp:posOffset>
                  </wp:positionH>
                  <wp:positionV relativeFrom="paragraph">
                    <wp:posOffset>53535</wp:posOffset>
                  </wp:positionV>
                  <wp:extent cx="1630800" cy="1260000"/>
                  <wp:effectExtent l="0" t="0" r="0" b="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180">
                            <a:extLst>
                              <a:ext uri="{28A0092B-C50C-407E-A947-70E740481C1C}">
                                <a14:useLocalDpi xmlns:a14="http://schemas.microsoft.com/office/drawing/2010/main" val="0"/>
                              </a:ext>
                            </a:extLst>
                          </a:blip>
                          <a:stretch>
                            <a:fillRect/>
                          </a:stretch>
                        </pic:blipFill>
                        <pic:spPr>
                          <a:xfrm>
                            <a:off x="0" y="0"/>
                            <a:ext cx="1630800" cy="1260000"/>
                          </a:xfrm>
                          <a:prstGeom prst="rect">
                            <a:avLst/>
                          </a:prstGeom>
                        </pic:spPr>
                      </pic:pic>
                    </a:graphicData>
                  </a:graphic>
                  <wp14:sizeRelH relativeFrom="page">
                    <wp14:pctWidth>0</wp14:pctWidth>
                  </wp14:sizeRelH>
                  <wp14:sizeRelV relativeFrom="page">
                    <wp14:pctHeight>0</wp14:pctHeight>
                  </wp14:sizeRelV>
                </wp:anchor>
              </w:drawing>
            </w:r>
          </w:p>
        </w:tc>
        <w:tc>
          <w:tcPr>
            <w:tcW w:w="2268" w:type="dxa"/>
            <w:shd w:val="clear" w:color="auto" w:fill="auto"/>
            <w:hideMark/>
          </w:tcPr>
          <w:p w:rsidR="00226205" w:rsidRPr="00226205" w:rsidRDefault="00226205" w:rsidP="00A54993">
            <w:pPr>
              <w:jc w:val="left"/>
              <w:rPr>
                <w:rFonts w:ascii="Calibri" w:hAnsi="Calibri" w:cs="Calibri"/>
                <w:color w:val="000000"/>
                <w:sz w:val="18"/>
                <w:szCs w:val="18"/>
              </w:rPr>
            </w:pPr>
            <w:r w:rsidRPr="00226205">
              <w:rPr>
                <w:rFonts w:ascii="Calibri" w:hAnsi="Calibri" w:cs="Calibri"/>
                <w:color w:val="000000"/>
                <w:sz w:val="18"/>
                <w:szCs w:val="18"/>
              </w:rPr>
              <w:t>Edinburgh Gardens Community Room- Alfred Crescent, Fitzroy North</w:t>
            </w:r>
          </w:p>
        </w:tc>
        <w:tc>
          <w:tcPr>
            <w:tcW w:w="1276" w:type="dxa"/>
            <w:shd w:val="clear" w:color="auto" w:fill="auto"/>
            <w:hideMark/>
          </w:tcPr>
          <w:p w:rsidR="00226205" w:rsidRPr="00226205" w:rsidRDefault="009965C5" w:rsidP="009965C5">
            <w:pPr>
              <w:tabs>
                <w:tab w:val="decimal" w:pos="884"/>
              </w:tabs>
              <w:jc w:val="left"/>
              <w:rPr>
                <w:rFonts w:ascii="Calibri" w:hAnsi="Calibri" w:cs="Calibri"/>
                <w:color w:val="000000"/>
                <w:sz w:val="18"/>
                <w:szCs w:val="18"/>
              </w:rPr>
            </w:pPr>
            <w:r>
              <w:rPr>
                <w:rFonts w:ascii="Calibri" w:hAnsi="Calibri" w:cs="Calibri"/>
                <w:color w:val="000000"/>
                <w:sz w:val="18"/>
                <w:szCs w:val="18"/>
              </w:rPr>
              <w:t>$</w:t>
            </w:r>
            <w:r w:rsidR="00226205" w:rsidRPr="00226205">
              <w:rPr>
                <w:rFonts w:ascii="Calibri" w:hAnsi="Calibri" w:cs="Calibri"/>
                <w:color w:val="000000"/>
                <w:sz w:val="18"/>
                <w:szCs w:val="18"/>
              </w:rPr>
              <w:t>309,053</w:t>
            </w:r>
          </w:p>
        </w:tc>
        <w:tc>
          <w:tcPr>
            <w:tcW w:w="1134" w:type="dxa"/>
            <w:shd w:val="clear" w:color="auto" w:fill="auto"/>
            <w:hideMark/>
          </w:tcPr>
          <w:p w:rsidR="00226205" w:rsidRPr="00226205" w:rsidRDefault="00226205" w:rsidP="00226205">
            <w:pPr>
              <w:jc w:val="center"/>
              <w:rPr>
                <w:rFonts w:ascii="Calibri" w:hAnsi="Calibri" w:cs="Calibri"/>
                <w:color w:val="000000"/>
                <w:sz w:val="18"/>
                <w:szCs w:val="18"/>
              </w:rPr>
            </w:pPr>
            <w:r w:rsidRPr="00226205">
              <w:rPr>
                <w:rFonts w:ascii="Calibri" w:hAnsi="Calibri" w:cs="Calibri"/>
                <w:color w:val="000000"/>
                <w:sz w:val="18"/>
                <w:szCs w:val="18"/>
              </w:rPr>
              <w:t>Community Services</w:t>
            </w:r>
          </w:p>
        </w:tc>
        <w:tc>
          <w:tcPr>
            <w:tcW w:w="1417" w:type="dxa"/>
            <w:shd w:val="clear" w:color="auto" w:fill="auto"/>
            <w:hideMark/>
          </w:tcPr>
          <w:p w:rsidR="00226205" w:rsidRPr="00226205" w:rsidRDefault="00226205" w:rsidP="00226205">
            <w:pPr>
              <w:jc w:val="center"/>
              <w:rPr>
                <w:rFonts w:ascii="Calibri" w:hAnsi="Calibri" w:cs="Calibri"/>
                <w:color w:val="000000"/>
                <w:sz w:val="18"/>
                <w:szCs w:val="18"/>
              </w:rPr>
            </w:pPr>
            <w:r w:rsidRPr="00226205">
              <w:rPr>
                <w:rFonts w:ascii="Calibri" w:hAnsi="Calibri" w:cs="Calibri"/>
                <w:color w:val="000000"/>
                <w:sz w:val="18"/>
                <w:szCs w:val="18"/>
              </w:rPr>
              <w:t>Community Halls</w:t>
            </w:r>
          </w:p>
        </w:tc>
        <w:tc>
          <w:tcPr>
            <w:tcW w:w="2410" w:type="dxa"/>
            <w:shd w:val="clear" w:color="auto" w:fill="auto"/>
            <w:hideMark/>
          </w:tcPr>
          <w:p w:rsidR="00226205" w:rsidRPr="00226205" w:rsidRDefault="00226205" w:rsidP="00226205">
            <w:pPr>
              <w:jc w:val="left"/>
              <w:rPr>
                <w:rFonts w:ascii="Calibri" w:hAnsi="Calibri" w:cs="Calibri"/>
                <w:color w:val="000000"/>
                <w:sz w:val="18"/>
                <w:szCs w:val="18"/>
              </w:rPr>
            </w:pPr>
            <w:r w:rsidRPr="00226205">
              <w:rPr>
                <w:rFonts w:ascii="Calibri" w:hAnsi="Calibri" w:cs="Calibri"/>
                <w:color w:val="000000"/>
                <w:sz w:val="18"/>
                <w:szCs w:val="18"/>
              </w:rPr>
              <w:t>The building is in a good condition mechanical and electrical requires attention.</w:t>
            </w:r>
          </w:p>
        </w:tc>
        <w:tc>
          <w:tcPr>
            <w:tcW w:w="3118" w:type="dxa"/>
            <w:shd w:val="clear" w:color="auto" w:fill="auto"/>
            <w:hideMark/>
          </w:tcPr>
          <w:p w:rsidR="00226205" w:rsidRPr="00226205" w:rsidRDefault="00226205" w:rsidP="00840CD9">
            <w:pPr>
              <w:jc w:val="left"/>
              <w:rPr>
                <w:rFonts w:ascii="Calibri" w:hAnsi="Calibri" w:cs="Calibri"/>
                <w:color w:val="000000"/>
                <w:sz w:val="18"/>
                <w:szCs w:val="18"/>
              </w:rPr>
            </w:pPr>
            <w:r w:rsidRPr="00226205">
              <w:rPr>
                <w:rFonts w:ascii="Calibri" w:hAnsi="Calibri" w:cs="Calibri"/>
                <w:color w:val="000000"/>
                <w:sz w:val="18"/>
                <w:szCs w:val="18"/>
              </w:rPr>
              <w:t xml:space="preserve">Inadequate </w:t>
            </w:r>
            <w:r w:rsidR="005E5635">
              <w:rPr>
                <w:rFonts w:ascii="Calibri" w:hAnsi="Calibri" w:cs="Calibri"/>
                <w:color w:val="000000"/>
                <w:sz w:val="18"/>
                <w:szCs w:val="18"/>
              </w:rPr>
              <w:t>carpark</w:t>
            </w:r>
            <w:r w:rsidRPr="00226205">
              <w:rPr>
                <w:rFonts w:ascii="Calibri" w:hAnsi="Calibri" w:cs="Calibri"/>
                <w:color w:val="000000"/>
                <w:sz w:val="18"/>
                <w:szCs w:val="18"/>
              </w:rPr>
              <w:t xml:space="preserve">ing for volunteer committee and other residents who are using walking frames and wheelchairs. Needs additional storage capacity as the groups increase in </w:t>
            </w:r>
            <w:r w:rsidR="00840CD9">
              <w:rPr>
                <w:rFonts w:ascii="Calibri" w:hAnsi="Calibri" w:cs="Calibri"/>
                <w:color w:val="000000"/>
                <w:sz w:val="18"/>
                <w:szCs w:val="18"/>
              </w:rPr>
              <w:t>n</w:t>
            </w:r>
            <w:r w:rsidRPr="00226205">
              <w:rPr>
                <w:rFonts w:ascii="Calibri" w:hAnsi="Calibri" w:cs="Calibri"/>
                <w:color w:val="000000"/>
                <w:sz w:val="18"/>
                <w:szCs w:val="18"/>
              </w:rPr>
              <w:t>umbers</w:t>
            </w:r>
            <w:r w:rsidR="00840CD9">
              <w:rPr>
                <w:rFonts w:ascii="Calibri" w:hAnsi="Calibri" w:cs="Calibri"/>
                <w:color w:val="000000"/>
                <w:sz w:val="18"/>
                <w:szCs w:val="18"/>
              </w:rPr>
              <w:t>.</w:t>
            </w:r>
            <w:r w:rsidRPr="00226205">
              <w:rPr>
                <w:rFonts w:ascii="Calibri" w:hAnsi="Calibri" w:cs="Calibri"/>
                <w:color w:val="000000"/>
                <w:sz w:val="18"/>
                <w:szCs w:val="18"/>
              </w:rPr>
              <w:t xml:space="preserve"> Access issues for people with a disability when entertaining large numbers. Need to be able to subdivide space for different groups to share area a</w:t>
            </w:r>
            <w:r w:rsidR="00840CD9">
              <w:rPr>
                <w:rFonts w:ascii="Calibri" w:hAnsi="Calibri" w:cs="Calibri"/>
                <w:color w:val="000000"/>
                <w:sz w:val="18"/>
                <w:szCs w:val="18"/>
              </w:rPr>
              <w:t>t</w:t>
            </w:r>
            <w:r w:rsidRPr="00226205">
              <w:rPr>
                <w:rFonts w:ascii="Calibri" w:hAnsi="Calibri" w:cs="Calibri"/>
                <w:color w:val="000000"/>
                <w:sz w:val="18"/>
                <w:szCs w:val="18"/>
              </w:rPr>
              <w:t xml:space="preserve"> the same time. Shared toilets causing conflict between hirers.  </w:t>
            </w:r>
          </w:p>
        </w:tc>
      </w:tr>
      <w:tr w:rsidR="00226205" w:rsidRPr="00226205" w:rsidTr="00B77D83">
        <w:trPr>
          <w:cantSplit/>
          <w:trHeight w:val="2065"/>
        </w:trPr>
        <w:tc>
          <w:tcPr>
            <w:tcW w:w="998" w:type="dxa"/>
            <w:shd w:val="clear" w:color="auto" w:fill="auto"/>
            <w:hideMark/>
          </w:tcPr>
          <w:p w:rsidR="00226205" w:rsidRPr="00226205" w:rsidRDefault="00226205" w:rsidP="006918D2">
            <w:pPr>
              <w:jc w:val="center"/>
              <w:rPr>
                <w:rFonts w:ascii="Calibri" w:hAnsi="Calibri" w:cs="Calibri"/>
                <w:color w:val="000000"/>
                <w:sz w:val="18"/>
                <w:szCs w:val="18"/>
              </w:rPr>
            </w:pPr>
            <w:r w:rsidRPr="00226205">
              <w:rPr>
                <w:rFonts w:ascii="Calibri" w:hAnsi="Calibri" w:cs="Calibri"/>
                <w:color w:val="000000"/>
                <w:sz w:val="18"/>
                <w:szCs w:val="18"/>
              </w:rPr>
              <w:t>B000160</w:t>
            </w:r>
          </w:p>
        </w:tc>
        <w:tc>
          <w:tcPr>
            <w:tcW w:w="2693" w:type="dxa"/>
            <w:shd w:val="clear" w:color="auto" w:fill="auto"/>
            <w:hideMark/>
          </w:tcPr>
          <w:p w:rsidR="00226205" w:rsidRPr="00226205" w:rsidRDefault="00226205" w:rsidP="00226205">
            <w:pPr>
              <w:rPr>
                <w:rFonts w:ascii="Calibri" w:hAnsi="Calibri" w:cs="Calibri"/>
                <w:color w:val="000000"/>
                <w:sz w:val="18"/>
                <w:szCs w:val="18"/>
              </w:rPr>
            </w:pPr>
            <w:r w:rsidRPr="00226205">
              <w:rPr>
                <w:rFonts w:ascii="Calibri" w:hAnsi="Calibri" w:cs="Calibri"/>
                <w:noProof/>
                <w:color w:val="000000"/>
                <w:sz w:val="18"/>
                <w:szCs w:val="18"/>
              </w:rPr>
              <w:drawing>
                <wp:anchor distT="0" distB="0" distL="114300" distR="114300" simplePos="0" relativeHeight="251690496" behindDoc="0" locked="0" layoutInCell="1" allowOverlap="1" wp14:anchorId="75A15A26" wp14:editId="4A0C662E">
                  <wp:simplePos x="0" y="0"/>
                  <wp:positionH relativeFrom="column">
                    <wp:posOffset>-20955</wp:posOffset>
                  </wp:positionH>
                  <wp:positionV relativeFrom="paragraph">
                    <wp:posOffset>59495</wp:posOffset>
                  </wp:positionV>
                  <wp:extent cx="1630800" cy="1177200"/>
                  <wp:effectExtent l="0" t="0" r="0" b="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5"/>
                          <pic:cNvPicPr>
                            <a:picLocks noChangeAspect="1"/>
                          </pic:cNvPicPr>
                        </pic:nvPicPr>
                        <pic:blipFill>
                          <a:blip r:embed="rId181">
                            <a:extLst>
                              <a:ext uri="{28A0092B-C50C-407E-A947-70E740481C1C}">
                                <a14:useLocalDpi xmlns:a14="http://schemas.microsoft.com/office/drawing/2010/main" val="0"/>
                              </a:ext>
                            </a:extLst>
                          </a:blip>
                          <a:stretch>
                            <a:fillRect/>
                          </a:stretch>
                        </pic:blipFill>
                        <pic:spPr>
                          <a:xfrm>
                            <a:off x="0" y="0"/>
                            <a:ext cx="1630800" cy="1177200"/>
                          </a:xfrm>
                          <a:prstGeom prst="rect">
                            <a:avLst/>
                          </a:prstGeom>
                        </pic:spPr>
                      </pic:pic>
                    </a:graphicData>
                  </a:graphic>
                  <wp14:sizeRelH relativeFrom="page">
                    <wp14:pctWidth>0</wp14:pctWidth>
                  </wp14:sizeRelH>
                  <wp14:sizeRelV relativeFrom="page">
                    <wp14:pctHeight>0</wp14:pctHeight>
                  </wp14:sizeRelV>
                </wp:anchor>
              </w:drawing>
            </w:r>
          </w:p>
        </w:tc>
        <w:tc>
          <w:tcPr>
            <w:tcW w:w="2268" w:type="dxa"/>
            <w:shd w:val="clear" w:color="auto" w:fill="auto"/>
            <w:hideMark/>
          </w:tcPr>
          <w:p w:rsidR="00226205" w:rsidRPr="00226205" w:rsidRDefault="00226205" w:rsidP="00A54993">
            <w:pPr>
              <w:jc w:val="left"/>
              <w:rPr>
                <w:rFonts w:ascii="Calibri" w:hAnsi="Calibri" w:cs="Calibri"/>
                <w:color w:val="000000"/>
                <w:sz w:val="18"/>
                <w:szCs w:val="18"/>
              </w:rPr>
            </w:pPr>
            <w:r w:rsidRPr="00226205">
              <w:rPr>
                <w:rFonts w:ascii="Calibri" w:hAnsi="Calibri" w:cs="Calibri"/>
                <w:color w:val="000000"/>
                <w:sz w:val="18"/>
                <w:szCs w:val="18"/>
              </w:rPr>
              <w:t>Fitzroy Bowling Club, Edinburgh Gardens- Alfred Crescent, Fitzroy North</w:t>
            </w:r>
          </w:p>
        </w:tc>
        <w:tc>
          <w:tcPr>
            <w:tcW w:w="1276" w:type="dxa"/>
            <w:shd w:val="clear" w:color="auto" w:fill="auto"/>
            <w:hideMark/>
          </w:tcPr>
          <w:p w:rsidR="00226205" w:rsidRPr="00226205" w:rsidRDefault="009965C5" w:rsidP="009965C5">
            <w:pPr>
              <w:tabs>
                <w:tab w:val="decimal" w:pos="884"/>
              </w:tabs>
              <w:jc w:val="left"/>
              <w:rPr>
                <w:rFonts w:ascii="Calibri" w:hAnsi="Calibri" w:cs="Calibri"/>
                <w:color w:val="000000"/>
                <w:sz w:val="18"/>
                <w:szCs w:val="18"/>
              </w:rPr>
            </w:pPr>
            <w:r>
              <w:rPr>
                <w:rFonts w:ascii="Calibri" w:hAnsi="Calibri" w:cs="Calibri"/>
                <w:color w:val="000000"/>
                <w:sz w:val="18"/>
                <w:szCs w:val="18"/>
              </w:rPr>
              <w:t>$</w:t>
            </w:r>
            <w:r w:rsidR="00226205" w:rsidRPr="00226205">
              <w:rPr>
                <w:rFonts w:ascii="Calibri" w:hAnsi="Calibri" w:cs="Calibri"/>
                <w:color w:val="000000"/>
                <w:sz w:val="18"/>
                <w:szCs w:val="18"/>
              </w:rPr>
              <w:t>3,023,599</w:t>
            </w:r>
          </w:p>
        </w:tc>
        <w:tc>
          <w:tcPr>
            <w:tcW w:w="1134" w:type="dxa"/>
            <w:shd w:val="clear" w:color="auto" w:fill="auto"/>
            <w:hideMark/>
          </w:tcPr>
          <w:p w:rsidR="00226205" w:rsidRPr="00226205" w:rsidRDefault="00226205" w:rsidP="00226205">
            <w:pPr>
              <w:jc w:val="center"/>
              <w:rPr>
                <w:rFonts w:ascii="Calibri" w:hAnsi="Calibri" w:cs="Calibri"/>
                <w:color w:val="000000"/>
                <w:sz w:val="18"/>
                <w:szCs w:val="18"/>
              </w:rPr>
            </w:pPr>
            <w:r w:rsidRPr="00226205">
              <w:rPr>
                <w:rFonts w:ascii="Calibri" w:hAnsi="Calibri" w:cs="Calibri"/>
                <w:color w:val="000000"/>
                <w:sz w:val="18"/>
                <w:szCs w:val="18"/>
              </w:rPr>
              <w:t>Commercial</w:t>
            </w:r>
          </w:p>
        </w:tc>
        <w:tc>
          <w:tcPr>
            <w:tcW w:w="1417" w:type="dxa"/>
            <w:shd w:val="clear" w:color="auto" w:fill="auto"/>
            <w:hideMark/>
          </w:tcPr>
          <w:p w:rsidR="00226205" w:rsidRPr="00226205" w:rsidRDefault="00226205" w:rsidP="00226205">
            <w:pPr>
              <w:jc w:val="center"/>
              <w:rPr>
                <w:rFonts w:ascii="Calibri" w:hAnsi="Calibri" w:cs="Calibri"/>
                <w:color w:val="000000"/>
                <w:sz w:val="18"/>
                <w:szCs w:val="18"/>
              </w:rPr>
            </w:pPr>
            <w:r w:rsidRPr="00226205">
              <w:rPr>
                <w:rFonts w:ascii="Calibri" w:hAnsi="Calibri" w:cs="Calibri"/>
                <w:color w:val="000000"/>
                <w:sz w:val="18"/>
                <w:szCs w:val="18"/>
              </w:rPr>
              <w:t>Bowling Club</w:t>
            </w:r>
          </w:p>
        </w:tc>
        <w:tc>
          <w:tcPr>
            <w:tcW w:w="2410" w:type="dxa"/>
            <w:shd w:val="clear" w:color="auto" w:fill="auto"/>
            <w:hideMark/>
          </w:tcPr>
          <w:p w:rsidR="00226205" w:rsidRPr="00226205" w:rsidRDefault="00226205" w:rsidP="00226205">
            <w:pPr>
              <w:jc w:val="left"/>
              <w:rPr>
                <w:rFonts w:ascii="Calibri" w:hAnsi="Calibri" w:cs="Calibri"/>
                <w:color w:val="000000"/>
                <w:sz w:val="18"/>
                <w:szCs w:val="18"/>
              </w:rPr>
            </w:pPr>
            <w:r w:rsidRPr="00226205">
              <w:rPr>
                <w:rFonts w:ascii="Calibri" w:hAnsi="Calibri" w:cs="Calibri"/>
                <w:color w:val="000000"/>
                <w:sz w:val="18"/>
                <w:szCs w:val="18"/>
              </w:rPr>
              <w:t>The building is in a good condition mechanical services require attention.</w:t>
            </w:r>
          </w:p>
        </w:tc>
        <w:tc>
          <w:tcPr>
            <w:tcW w:w="3118" w:type="dxa"/>
            <w:shd w:val="clear" w:color="auto" w:fill="auto"/>
            <w:hideMark/>
          </w:tcPr>
          <w:p w:rsidR="00226205" w:rsidRPr="00226205" w:rsidRDefault="00226205" w:rsidP="00226205">
            <w:pPr>
              <w:jc w:val="left"/>
              <w:rPr>
                <w:rFonts w:ascii="Calibri" w:hAnsi="Calibri" w:cs="Calibri"/>
                <w:color w:val="000000"/>
                <w:sz w:val="18"/>
                <w:szCs w:val="18"/>
              </w:rPr>
            </w:pPr>
            <w:r w:rsidRPr="00226205">
              <w:rPr>
                <w:rFonts w:ascii="Calibri" w:hAnsi="Calibri" w:cs="Calibri"/>
                <w:color w:val="000000"/>
                <w:sz w:val="18"/>
                <w:szCs w:val="18"/>
              </w:rPr>
              <w:t>Disability access needs improvements. Social room is too small to service club needs (300+ members) an upgrade needed. Site is leased to the Fitzroy  and Victoria Bowling and Sports Club</w:t>
            </w:r>
          </w:p>
        </w:tc>
      </w:tr>
      <w:tr w:rsidR="00226205" w:rsidRPr="00226205" w:rsidTr="00B77D83">
        <w:trPr>
          <w:cantSplit/>
          <w:trHeight w:val="1966"/>
        </w:trPr>
        <w:tc>
          <w:tcPr>
            <w:tcW w:w="998" w:type="dxa"/>
            <w:shd w:val="clear" w:color="auto" w:fill="auto"/>
            <w:hideMark/>
          </w:tcPr>
          <w:p w:rsidR="00226205" w:rsidRPr="00226205" w:rsidRDefault="00226205" w:rsidP="006918D2">
            <w:pPr>
              <w:jc w:val="center"/>
              <w:rPr>
                <w:rFonts w:ascii="Calibri" w:hAnsi="Calibri" w:cs="Calibri"/>
                <w:color w:val="000000"/>
                <w:sz w:val="18"/>
                <w:szCs w:val="18"/>
              </w:rPr>
            </w:pPr>
            <w:r w:rsidRPr="00226205">
              <w:rPr>
                <w:rFonts w:ascii="Calibri" w:hAnsi="Calibri" w:cs="Calibri"/>
                <w:color w:val="000000"/>
                <w:sz w:val="18"/>
                <w:szCs w:val="18"/>
              </w:rPr>
              <w:t>B000161</w:t>
            </w:r>
          </w:p>
        </w:tc>
        <w:tc>
          <w:tcPr>
            <w:tcW w:w="2693" w:type="dxa"/>
            <w:shd w:val="clear" w:color="auto" w:fill="auto"/>
            <w:hideMark/>
          </w:tcPr>
          <w:p w:rsidR="00226205" w:rsidRPr="00226205" w:rsidRDefault="00226205" w:rsidP="00226205">
            <w:pPr>
              <w:rPr>
                <w:rFonts w:ascii="Calibri" w:hAnsi="Calibri" w:cs="Calibri"/>
                <w:color w:val="000000"/>
                <w:sz w:val="18"/>
                <w:szCs w:val="18"/>
              </w:rPr>
            </w:pPr>
            <w:r w:rsidRPr="00226205">
              <w:rPr>
                <w:rFonts w:ascii="Calibri" w:hAnsi="Calibri" w:cs="Calibri"/>
                <w:noProof/>
                <w:color w:val="000000"/>
                <w:sz w:val="18"/>
                <w:szCs w:val="18"/>
              </w:rPr>
              <w:drawing>
                <wp:anchor distT="0" distB="0" distL="114300" distR="114300" simplePos="0" relativeHeight="251781632" behindDoc="0" locked="0" layoutInCell="1" allowOverlap="1" wp14:anchorId="58B8CEA6" wp14:editId="44DC8B46">
                  <wp:simplePos x="0" y="0"/>
                  <wp:positionH relativeFrom="column">
                    <wp:posOffset>-20955</wp:posOffset>
                  </wp:positionH>
                  <wp:positionV relativeFrom="paragraph">
                    <wp:posOffset>68580</wp:posOffset>
                  </wp:positionV>
                  <wp:extent cx="1630800" cy="1112400"/>
                  <wp:effectExtent l="0" t="0" r="0" b="0"/>
                  <wp:wrapNone/>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Picture 127"/>
                          <pic:cNvPicPr>
                            <a:picLocks noChangeAspect="1"/>
                          </pic:cNvPicPr>
                        </pic:nvPicPr>
                        <pic:blipFill>
                          <a:blip r:embed="rId182">
                            <a:extLst>
                              <a:ext uri="{28A0092B-C50C-407E-A947-70E740481C1C}">
                                <a14:useLocalDpi xmlns:a14="http://schemas.microsoft.com/office/drawing/2010/main" val="0"/>
                              </a:ext>
                            </a:extLst>
                          </a:blip>
                          <a:stretch>
                            <a:fillRect/>
                          </a:stretch>
                        </pic:blipFill>
                        <pic:spPr>
                          <a:xfrm>
                            <a:off x="0" y="0"/>
                            <a:ext cx="1630800" cy="1112400"/>
                          </a:xfrm>
                          <a:prstGeom prst="rect">
                            <a:avLst/>
                          </a:prstGeom>
                        </pic:spPr>
                      </pic:pic>
                    </a:graphicData>
                  </a:graphic>
                  <wp14:sizeRelH relativeFrom="page">
                    <wp14:pctWidth>0</wp14:pctWidth>
                  </wp14:sizeRelH>
                  <wp14:sizeRelV relativeFrom="page">
                    <wp14:pctHeight>0</wp14:pctHeight>
                  </wp14:sizeRelV>
                </wp:anchor>
              </w:drawing>
            </w:r>
          </w:p>
        </w:tc>
        <w:tc>
          <w:tcPr>
            <w:tcW w:w="2268" w:type="dxa"/>
            <w:shd w:val="clear" w:color="auto" w:fill="auto"/>
            <w:hideMark/>
          </w:tcPr>
          <w:p w:rsidR="00226205" w:rsidRPr="00226205" w:rsidRDefault="00226205" w:rsidP="00A54993">
            <w:pPr>
              <w:jc w:val="left"/>
              <w:rPr>
                <w:rFonts w:ascii="Calibri" w:hAnsi="Calibri" w:cs="Calibri"/>
                <w:color w:val="000000"/>
                <w:sz w:val="18"/>
                <w:szCs w:val="18"/>
              </w:rPr>
            </w:pPr>
            <w:r w:rsidRPr="00226205">
              <w:rPr>
                <w:rFonts w:ascii="Calibri" w:hAnsi="Calibri" w:cs="Calibri"/>
                <w:color w:val="000000"/>
                <w:sz w:val="18"/>
                <w:szCs w:val="18"/>
              </w:rPr>
              <w:t>Fitzroy Tennis Club, Edinburgh Gardens- Alfred Crescent, Fitzroy North</w:t>
            </w:r>
          </w:p>
        </w:tc>
        <w:tc>
          <w:tcPr>
            <w:tcW w:w="1276" w:type="dxa"/>
            <w:shd w:val="clear" w:color="auto" w:fill="auto"/>
            <w:hideMark/>
          </w:tcPr>
          <w:p w:rsidR="00226205" w:rsidRPr="00226205" w:rsidRDefault="009965C5" w:rsidP="009965C5">
            <w:pPr>
              <w:tabs>
                <w:tab w:val="decimal" w:pos="884"/>
              </w:tabs>
              <w:jc w:val="left"/>
              <w:rPr>
                <w:rFonts w:ascii="Calibri" w:hAnsi="Calibri" w:cs="Calibri"/>
                <w:color w:val="000000"/>
                <w:sz w:val="18"/>
                <w:szCs w:val="18"/>
              </w:rPr>
            </w:pPr>
            <w:r>
              <w:rPr>
                <w:rFonts w:ascii="Calibri" w:hAnsi="Calibri" w:cs="Calibri"/>
                <w:color w:val="000000"/>
                <w:sz w:val="18"/>
                <w:szCs w:val="18"/>
              </w:rPr>
              <w:t>$</w:t>
            </w:r>
            <w:r w:rsidR="00226205" w:rsidRPr="00226205">
              <w:rPr>
                <w:rFonts w:ascii="Calibri" w:hAnsi="Calibri" w:cs="Calibri"/>
                <w:color w:val="000000"/>
                <w:sz w:val="18"/>
                <w:szCs w:val="18"/>
              </w:rPr>
              <w:t>216,497</w:t>
            </w:r>
          </w:p>
        </w:tc>
        <w:tc>
          <w:tcPr>
            <w:tcW w:w="1134" w:type="dxa"/>
            <w:shd w:val="clear" w:color="auto" w:fill="auto"/>
            <w:hideMark/>
          </w:tcPr>
          <w:p w:rsidR="00226205" w:rsidRPr="00226205" w:rsidRDefault="00226205" w:rsidP="00226205">
            <w:pPr>
              <w:jc w:val="center"/>
              <w:rPr>
                <w:rFonts w:ascii="Calibri" w:hAnsi="Calibri" w:cs="Calibri"/>
                <w:color w:val="000000"/>
                <w:sz w:val="18"/>
                <w:szCs w:val="18"/>
              </w:rPr>
            </w:pPr>
            <w:r w:rsidRPr="00226205">
              <w:rPr>
                <w:rFonts w:ascii="Calibri" w:hAnsi="Calibri" w:cs="Calibri"/>
                <w:color w:val="000000"/>
                <w:sz w:val="18"/>
                <w:szCs w:val="18"/>
              </w:rPr>
              <w:t xml:space="preserve">Recreation </w:t>
            </w:r>
            <w:r w:rsidR="00B77D83">
              <w:rPr>
                <w:rFonts w:ascii="Calibri" w:hAnsi="Calibri" w:cs="Calibri"/>
                <w:color w:val="000000"/>
                <w:sz w:val="18"/>
                <w:szCs w:val="18"/>
              </w:rPr>
              <w:t>and</w:t>
            </w:r>
            <w:r w:rsidRPr="00226205">
              <w:rPr>
                <w:rFonts w:ascii="Calibri" w:hAnsi="Calibri" w:cs="Calibri"/>
                <w:color w:val="000000"/>
                <w:sz w:val="18"/>
                <w:szCs w:val="18"/>
              </w:rPr>
              <w:t xml:space="preserve"> Open Space</w:t>
            </w:r>
          </w:p>
        </w:tc>
        <w:tc>
          <w:tcPr>
            <w:tcW w:w="1417" w:type="dxa"/>
            <w:shd w:val="clear" w:color="auto" w:fill="auto"/>
            <w:hideMark/>
          </w:tcPr>
          <w:p w:rsidR="00226205" w:rsidRPr="00226205" w:rsidRDefault="00226205" w:rsidP="00226205">
            <w:pPr>
              <w:jc w:val="center"/>
              <w:rPr>
                <w:rFonts w:ascii="Calibri" w:hAnsi="Calibri" w:cs="Calibri"/>
                <w:color w:val="000000"/>
                <w:sz w:val="18"/>
                <w:szCs w:val="18"/>
              </w:rPr>
            </w:pPr>
            <w:r w:rsidRPr="00226205">
              <w:rPr>
                <w:rFonts w:ascii="Calibri" w:hAnsi="Calibri" w:cs="Calibri"/>
                <w:color w:val="000000"/>
                <w:sz w:val="18"/>
                <w:szCs w:val="18"/>
              </w:rPr>
              <w:t>Pavilions / Clubrooms / Change rooms</w:t>
            </w:r>
          </w:p>
        </w:tc>
        <w:tc>
          <w:tcPr>
            <w:tcW w:w="2410" w:type="dxa"/>
            <w:shd w:val="clear" w:color="auto" w:fill="auto"/>
            <w:hideMark/>
          </w:tcPr>
          <w:p w:rsidR="00226205" w:rsidRPr="00226205" w:rsidRDefault="00226205" w:rsidP="00226205">
            <w:pPr>
              <w:jc w:val="left"/>
              <w:rPr>
                <w:rFonts w:ascii="Calibri" w:hAnsi="Calibri" w:cs="Calibri"/>
                <w:color w:val="000000"/>
                <w:sz w:val="18"/>
                <w:szCs w:val="18"/>
              </w:rPr>
            </w:pPr>
            <w:r w:rsidRPr="00226205">
              <w:rPr>
                <w:rFonts w:ascii="Calibri" w:hAnsi="Calibri" w:cs="Calibri"/>
                <w:color w:val="000000"/>
                <w:sz w:val="18"/>
                <w:szCs w:val="18"/>
              </w:rPr>
              <w:t>The building is in a good condition.</w:t>
            </w:r>
          </w:p>
        </w:tc>
        <w:tc>
          <w:tcPr>
            <w:tcW w:w="3118" w:type="dxa"/>
            <w:shd w:val="clear" w:color="auto" w:fill="auto"/>
            <w:hideMark/>
          </w:tcPr>
          <w:p w:rsidR="00226205" w:rsidRPr="00226205" w:rsidRDefault="00226205" w:rsidP="00226205">
            <w:pPr>
              <w:jc w:val="left"/>
              <w:rPr>
                <w:rFonts w:ascii="Calibri" w:hAnsi="Calibri" w:cs="Calibri"/>
                <w:color w:val="000000"/>
                <w:sz w:val="18"/>
                <w:szCs w:val="18"/>
              </w:rPr>
            </w:pPr>
            <w:r w:rsidRPr="00226205">
              <w:rPr>
                <w:rFonts w:ascii="Calibri" w:hAnsi="Calibri" w:cs="Calibri"/>
                <w:color w:val="000000"/>
                <w:sz w:val="18"/>
                <w:szCs w:val="18"/>
              </w:rPr>
              <w:t>Upgrade needed.  Site is leased to the Fitzroy Tennis Club.</w:t>
            </w:r>
          </w:p>
        </w:tc>
      </w:tr>
      <w:tr w:rsidR="00226205" w:rsidRPr="00226205" w:rsidTr="00B77D83">
        <w:trPr>
          <w:cantSplit/>
          <w:trHeight w:val="2400"/>
        </w:trPr>
        <w:tc>
          <w:tcPr>
            <w:tcW w:w="998" w:type="dxa"/>
            <w:shd w:val="clear" w:color="auto" w:fill="auto"/>
            <w:hideMark/>
          </w:tcPr>
          <w:p w:rsidR="00226205" w:rsidRPr="00226205" w:rsidRDefault="00226205" w:rsidP="006918D2">
            <w:pPr>
              <w:jc w:val="center"/>
              <w:rPr>
                <w:rFonts w:ascii="Calibri" w:hAnsi="Calibri" w:cs="Calibri"/>
                <w:color w:val="000000"/>
                <w:sz w:val="18"/>
                <w:szCs w:val="18"/>
              </w:rPr>
            </w:pPr>
            <w:r w:rsidRPr="00226205">
              <w:rPr>
                <w:rFonts w:ascii="Calibri" w:hAnsi="Calibri" w:cs="Calibri"/>
                <w:color w:val="000000"/>
                <w:sz w:val="18"/>
                <w:szCs w:val="18"/>
              </w:rPr>
              <w:t>B000162</w:t>
            </w:r>
          </w:p>
        </w:tc>
        <w:tc>
          <w:tcPr>
            <w:tcW w:w="2693" w:type="dxa"/>
            <w:shd w:val="clear" w:color="auto" w:fill="auto"/>
            <w:hideMark/>
          </w:tcPr>
          <w:p w:rsidR="00226205" w:rsidRPr="00226205" w:rsidRDefault="00226205" w:rsidP="00226205">
            <w:pPr>
              <w:rPr>
                <w:rFonts w:ascii="Calibri" w:hAnsi="Calibri" w:cs="Calibri"/>
                <w:color w:val="000000"/>
                <w:sz w:val="18"/>
                <w:szCs w:val="18"/>
              </w:rPr>
            </w:pPr>
            <w:r w:rsidRPr="00226205">
              <w:rPr>
                <w:rFonts w:ascii="Calibri" w:hAnsi="Calibri" w:cs="Calibri"/>
                <w:noProof/>
                <w:color w:val="000000"/>
                <w:sz w:val="18"/>
                <w:szCs w:val="18"/>
              </w:rPr>
              <w:drawing>
                <wp:anchor distT="0" distB="0" distL="114300" distR="114300" simplePos="0" relativeHeight="251718144" behindDoc="0" locked="0" layoutInCell="1" allowOverlap="1" wp14:anchorId="5BD7D585" wp14:editId="02272809">
                  <wp:simplePos x="0" y="0"/>
                  <wp:positionH relativeFrom="column">
                    <wp:posOffset>-20955</wp:posOffset>
                  </wp:positionH>
                  <wp:positionV relativeFrom="paragraph">
                    <wp:posOffset>38100</wp:posOffset>
                  </wp:positionV>
                  <wp:extent cx="1630680" cy="1409700"/>
                  <wp:effectExtent l="0" t="0" r="0" b="0"/>
                  <wp:wrapNone/>
                  <wp:docPr id="60" name="Picture 60"/>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183">
                            <a:extLst>
                              <a:ext uri="{28A0092B-C50C-407E-A947-70E740481C1C}">
                                <a14:useLocalDpi xmlns:a14="http://schemas.microsoft.com/office/drawing/2010/main" val="0"/>
                              </a:ext>
                            </a:extLst>
                          </a:blip>
                          <a:stretch>
                            <a:fillRect/>
                          </a:stretch>
                        </pic:blipFill>
                        <pic:spPr>
                          <a:xfrm>
                            <a:off x="0" y="0"/>
                            <a:ext cx="1627188" cy="1407298"/>
                          </a:xfrm>
                          <a:prstGeom prst="rect">
                            <a:avLst/>
                          </a:prstGeom>
                        </pic:spPr>
                      </pic:pic>
                    </a:graphicData>
                  </a:graphic>
                  <wp14:sizeRelH relativeFrom="page">
                    <wp14:pctWidth>0</wp14:pctWidth>
                  </wp14:sizeRelH>
                  <wp14:sizeRelV relativeFrom="page">
                    <wp14:pctHeight>0</wp14:pctHeight>
                  </wp14:sizeRelV>
                </wp:anchor>
              </w:drawing>
            </w:r>
          </w:p>
        </w:tc>
        <w:tc>
          <w:tcPr>
            <w:tcW w:w="2268" w:type="dxa"/>
            <w:shd w:val="clear" w:color="auto" w:fill="auto"/>
            <w:hideMark/>
          </w:tcPr>
          <w:p w:rsidR="00226205" w:rsidRPr="00226205" w:rsidRDefault="00226205" w:rsidP="00A54993">
            <w:pPr>
              <w:jc w:val="left"/>
              <w:rPr>
                <w:rFonts w:ascii="Calibri" w:hAnsi="Calibri" w:cs="Calibri"/>
                <w:color w:val="000000"/>
                <w:sz w:val="18"/>
                <w:szCs w:val="18"/>
              </w:rPr>
            </w:pPr>
            <w:r w:rsidRPr="00226205">
              <w:rPr>
                <w:rFonts w:ascii="Calibri" w:hAnsi="Calibri" w:cs="Calibri"/>
                <w:color w:val="000000"/>
                <w:sz w:val="18"/>
                <w:szCs w:val="18"/>
              </w:rPr>
              <w:t>International House, Edinburgh Gardens- Alfred Crescent, Fitzroy North</w:t>
            </w:r>
          </w:p>
        </w:tc>
        <w:tc>
          <w:tcPr>
            <w:tcW w:w="1276" w:type="dxa"/>
            <w:shd w:val="clear" w:color="auto" w:fill="auto"/>
            <w:hideMark/>
          </w:tcPr>
          <w:p w:rsidR="00226205" w:rsidRPr="00226205" w:rsidRDefault="009965C5" w:rsidP="009965C5">
            <w:pPr>
              <w:tabs>
                <w:tab w:val="decimal" w:pos="884"/>
              </w:tabs>
              <w:jc w:val="left"/>
              <w:rPr>
                <w:rFonts w:ascii="Calibri" w:hAnsi="Calibri" w:cs="Calibri"/>
                <w:color w:val="000000"/>
                <w:sz w:val="18"/>
                <w:szCs w:val="18"/>
              </w:rPr>
            </w:pPr>
            <w:r>
              <w:rPr>
                <w:rFonts w:ascii="Calibri" w:hAnsi="Calibri" w:cs="Calibri"/>
                <w:color w:val="000000"/>
                <w:sz w:val="18"/>
                <w:szCs w:val="18"/>
              </w:rPr>
              <w:t>$</w:t>
            </w:r>
            <w:r w:rsidR="00226205" w:rsidRPr="00226205">
              <w:rPr>
                <w:rFonts w:ascii="Calibri" w:hAnsi="Calibri" w:cs="Calibri"/>
                <w:color w:val="000000"/>
                <w:sz w:val="18"/>
                <w:szCs w:val="18"/>
              </w:rPr>
              <w:t>186,984</w:t>
            </w:r>
          </w:p>
        </w:tc>
        <w:tc>
          <w:tcPr>
            <w:tcW w:w="1134" w:type="dxa"/>
            <w:shd w:val="clear" w:color="auto" w:fill="auto"/>
            <w:hideMark/>
          </w:tcPr>
          <w:p w:rsidR="00226205" w:rsidRPr="00226205" w:rsidRDefault="00226205" w:rsidP="00226205">
            <w:pPr>
              <w:jc w:val="center"/>
              <w:rPr>
                <w:rFonts w:ascii="Calibri" w:hAnsi="Calibri" w:cs="Calibri"/>
                <w:color w:val="000000"/>
                <w:sz w:val="18"/>
                <w:szCs w:val="18"/>
              </w:rPr>
            </w:pPr>
            <w:r w:rsidRPr="00226205">
              <w:rPr>
                <w:rFonts w:ascii="Calibri" w:hAnsi="Calibri" w:cs="Calibri"/>
                <w:color w:val="000000"/>
                <w:sz w:val="18"/>
                <w:szCs w:val="18"/>
              </w:rPr>
              <w:t>Community Services</w:t>
            </w:r>
          </w:p>
        </w:tc>
        <w:tc>
          <w:tcPr>
            <w:tcW w:w="1417" w:type="dxa"/>
            <w:shd w:val="clear" w:color="auto" w:fill="auto"/>
            <w:hideMark/>
          </w:tcPr>
          <w:p w:rsidR="00226205" w:rsidRPr="00226205" w:rsidRDefault="00226205" w:rsidP="00226205">
            <w:pPr>
              <w:jc w:val="center"/>
              <w:rPr>
                <w:rFonts w:ascii="Calibri" w:hAnsi="Calibri" w:cs="Calibri"/>
                <w:color w:val="000000"/>
                <w:sz w:val="18"/>
                <w:szCs w:val="18"/>
              </w:rPr>
            </w:pPr>
            <w:r w:rsidRPr="00226205">
              <w:rPr>
                <w:rFonts w:ascii="Calibri" w:hAnsi="Calibri" w:cs="Calibri"/>
                <w:color w:val="000000"/>
                <w:sz w:val="18"/>
                <w:szCs w:val="18"/>
              </w:rPr>
              <w:t>Community Halls</w:t>
            </w:r>
          </w:p>
        </w:tc>
        <w:tc>
          <w:tcPr>
            <w:tcW w:w="2410" w:type="dxa"/>
            <w:shd w:val="clear" w:color="auto" w:fill="auto"/>
            <w:hideMark/>
          </w:tcPr>
          <w:p w:rsidR="00226205" w:rsidRPr="00226205" w:rsidRDefault="00226205" w:rsidP="00226205">
            <w:pPr>
              <w:jc w:val="left"/>
              <w:rPr>
                <w:rFonts w:ascii="Calibri" w:hAnsi="Calibri" w:cs="Calibri"/>
                <w:color w:val="000000"/>
                <w:sz w:val="18"/>
                <w:szCs w:val="18"/>
              </w:rPr>
            </w:pPr>
            <w:r w:rsidRPr="00226205">
              <w:rPr>
                <w:rFonts w:ascii="Calibri" w:hAnsi="Calibri" w:cs="Calibri"/>
                <w:color w:val="000000"/>
                <w:sz w:val="18"/>
                <w:szCs w:val="18"/>
              </w:rPr>
              <w:t>The building is in a fair condition mechanical and electrical requires attention.</w:t>
            </w:r>
          </w:p>
        </w:tc>
        <w:tc>
          <w:tcPr>
            <w:tcW w:w="3118" w:type="dxa"/>
            <w:shd w:val="clear" w:color="auto" w:fill="auto"/>
            <w:hideMark/>
          </w:tcPr>
          <w:p w:rsidR="00226205" w:rsidRPr="00226205" w:rsidRDefault="00226205" w:rsidP="00226205">
            <w:pPr>
              <w:jc w:val="left"/>
              <w:rPr>
                <w:rFonts w:ascii="Calibri" w:hAnsi="Calibri" w:cs="Calibri"/>
                <w:color w:val="000000"/>
                <w:sz w:val="18"/>
                <w:szCs w:val="18"/>
              </w:rPr>
            </w:pPr>
            <w:r w:rsidRPr="00226205">
              <w:rPr>
                <w:rFonts w:ascii="Calibri" w:hAnsi="Calibri" w:cs="Calibri"/>
                <w:color w:val="000000"/>
                <w:sz w:val="18"/>
                <w:szCs w:val="18"/>
              </w:rPr>
              <w:t>Group sizes are large and the space cannot accommodate. This is an old house with 3 rooms plus kitchen. one toilet only. Overall not fit for purpose.  Site is leased to International House</w:t>
            </w:r>
          </w:p>
        </w:tc>
      </w:tr>
      <w:tr w:rsidR="00226205" w:rsidRPr="00226205" w:rsidTr="00B77D83">
        <w:trPr>
          <w:cantSplit/>
          <w:trHeight w:val="2148"/>
        </w:trPr>
        <w:tc>
          <w:tcPr>
            <w:tcW w:w="998" w:type="dxa"/>
            <w:shd w:val="clear" w:color="auto" w:fill="auto"/>
            <w:hideMark/>
          </w:tcPr>
          <w:p w:rsidR="00226205" w:rsidRPr="00226205" w:rsidRDefault="00226205" w:rsidP="006918D2">
            <w:pPr>
              <w:jc w:val="center"/>
              <w:rPr>
                <w:rFonts w:ascii="Calibri" w:hAnsi="Calibri" w:cs="Calibri"/>
                <w:color w:val="000000"/>
                <w:sz w:val="18"/>
                <w:szCs w:val="18"/>
              </w:rPr>
            </w:pPr>
            <w:r w:rsidRPr="00226205">
              <w:rPr>
                <w:rFonts w:ascii="Calibri" w:hAnsi="Calibri" w:cs="Calibri"/>
                <w:color w:val="000000"/>
                <w:sz w:val="18"/>
                <w:szCs w:val="18"/>
              </w:rPr>
              <w:t>B000163</w:t>
            </w:r>
          </w:p>
        </w:tc>
        <w:tc>
          <w:tcPr>
            <w:tcW w:w="2693" w:type="dxa"/>
            <w:shd w:val="clear" w:color="auto" w:fill="auto"/>
            <w:hideMark/>
          </w:tcPr>
          <w:p w:rsidR="00226205" w:rsidRPr="00226205" w:rsidRDefault="00226205" w:rsidP="00226205">
            <w:pPr>
              <w:rPr>
                <w:rFonts w:ascii="Calibri" w:hAnsi="Calibri" w:cs="Calibri"/>
                <w:color w:val="000000"/>
                <w:sz w:val="18"/>
                <w:szCs w:val="18"/>
              </w:rPr>
            </w:pPr>
            <w:r w:rsidRPr="00226205">
              <w:rPr>
                <w:rFonts w:ascii="Calibri" w:hAnsi="Calibri" w:cs="Calibri"/>
                <w:noProof/>
                <w:color w:val="000000"/>
                <w:sz w:val="18"/>
                <w:szCs w:val="18"/>
              </w:rPr>
              <w:drawing>
                <wp:anchor distT="0" distB="0" distL="114300" distR="114300" simplePos="0" relativeHeight="251782656" behindDoc="0" locked="0" layoutInCell="1" allowOverlap="1" wp14:anchorId="33379725" wp14:editId="76AE30EB">
                  <wp:simplePos x="0" y="0"/>
                  <wp:positionH relativeFrom="column">
                    <wp:posOffset>-20955</wp:posOffset>
                  </wp:positionH>
                  <wp:positionV relativeFrom="paragraph">
                    <wp:posOffset>60960</wp:posOffset>
                  </wp:positionV>
                  <wp:extent cx="1630800" cy="1216800"/>
                  <wp:effectExtent l="0" t="0" r="0" b="0"/>
                  <wp:wrapNone/>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Picture 128"/>
                          <pic:cNvPicPr>
                            <a:picLocks noChangeAspect="1"/>
                          </pic:cNvPicPr>
                        </pic:nvPicPr>
                        <pic:blipFill>
                          <a:blip r:embed="rId184">
                            <a:extLst>
                              <a:ext uri="{28A0092B-C50C-407E-A947-70E740481C1C}">
                                <a14:useLocalDpi xmlns:a14="http://schemas.microsoft.com/office/drawing/2010/main" val="0"/>
                              </a:ext>
                            </a:extLst>
                          </a:blip>
                          <a:stretch>
                            <a:fillRect/>
                          </a:stretch>
                        </pic:blipFill>
                        <pic:spPr>
                          <a:xfrm>
                            <a:off x="0" y="0"/>
                            <a:ext cx="1630800" cy="1216800"/>
                          </a:xfrm>
                          <a:prstGeom prst="rect">
                            <a:avLst/>
                          </a:prstGeom>
                        </pic:spPr>
                      </pic:pic>
                    </a:graphicData>
                  </a:graphic>
                  <wp14:sizeRelH relativeFrom="page">
                    <wp14:pctWidth>0</wp14:pctWidth>
                  </wp14:sizeRelH>
                  <wp14:sizeRelV relativeFrom="page">
                    <wp14:pctHeight>0</wp14:pctHeight>
                  </wp14:sizeRelV>
                </wp:anchor>
              </w:drawing>
            </w:r>
          </w:p>
        </w:tc>
        <w:tc>
          <w:tcPr>
            <w:tcW w:w="2268" w:type="dxa"/>
            <w:shd w:val="clear" w:color="auto" w:fill="auto"/>
            <w:hideMark/>
          </w:tcPr>
          <w:p w:rsidR="00226205" w:rsidRPr="00226205" w:rsidRDefault="00226205" w:rsidP="00A54993">
            <w:pPr>
              <w:jc w:val="left"/>
              <w:rPr>
                <w:rFonts w:ascii="Calibri" w:hAnsi="Calibri" w:cs="Calibri"/>
                <w:color w:val="000000"/>
                <w:sz w:val="18"/>
                <w:szCs w:val="18"/>
              </w:rPr>
            </w:pPr>
            <w:r w:rsidRPr="00226205">
              <w:rPr>
                <w:rFonts w:ascii="Calibri" w:hAnsi="Calibri" w:cs="Calibri"/>
                <w:color w:val="000000"/>
                <w:sz w:val="18"/>
                <w:szCs w:val="18"/>
              </w:rPr>
              <w:t>Alfred Crescent Pavilion, Edinburgh Gardens- Alfred Crescent, Fitzroy North</w:t>
            </w:r>
          </w:p>
        </w:tc>
        <w:tc>
          <w:tcPr>
            <w:tcW w:w="1276" w:type="dxa"/>
            <w:shd w:val="clear" w:color="auto" w:fill="auto"/>
            <w:hideMark/>
          </w:tcPr>
          <w:p w:rsidR="00226205" w:rsidRPr="00226205" w:rsidRDefault="009965C5" w:rsidP="009965C5">
            <w:pPr>
              <w:tabs>
                <w:tab w:val="decimal" w:pos="884"/>
              </w:tabs>
              <w:jc w:val="left"/>
              <w:rPr>
                <w:rFonts w:ascii="Calibri" w:hAnsi="Calibri" w:cs="Calibri"/>
                <w:color w:val="000000"/>
                <w:sz w:val="18"/>
                <w:szCs w:val="18"/>
              </w:rPr>
            </w:pPr>
            <w:r>
              <w:rPr>
                <w:rFonts w:ascii="Calibri" w:hAnsi="Calibri" w:cs="Calibri"/>
                <w:color w:val="000000"/>
                <w:sz w:val="18"/>
                <w:szCs w:val="18"/>
              </w:rPr>
              <w:t>$</w:t>
            </w:r>
            <w:r w:rsidR="00226205" w:rsidRPr="00226205">
              <w:rPr>
                <w:rFonts w:ascii="Calibri" w:hAnsi="Calibri" w:cs="Calibri"/>
                <w:color w:val="000000"/>
                <w:sz w:val="18"/>
                <w:szCs w:val="18"/>
              </w:rPr>
              <w:t>354,750</w:t>
            </w:r>
          </w:p>
        </w:tc>
        <w:tc>
          <w:tcPr>
            <w:tcW w:w="1134" w:type="dxa"/>
            <w:shd w:val="clear" w:color="auto" w:fill="auto"/>
            <w:hideMark/>
          </w:tcPr>
          <w:p w:rsidR="00226205" w:rsidRPr="00226205" w:rsidRDefault="00226205" w:rsidP="00226205">
            <w:pPr>
              <w:jc w:val="center"/>
              <w:rPr>
                <w:rFonts w:ascii="Calibri" w:hAnsi="Calibri" w:cs="Calibri"/>
                <w:color w:val="000000"/>
                <w:sz w:val="18"/>
                <w:szCs w:val="18"/>
              </w:rPr>
            </w:pPr>
            <w:r w:rsidRPr="00226205">
              <w:rPr>
                <w:rFonts w:ascii="Calibri" w:hAnsi="Calibri" w:cs="Calibri"/>
                <w:color w:val="000000"/>
                <w:sz w:val="18"/>
                <w:szCs w:val="18"/>
              </w:rPr>
              <w:t xml:space="preserve">Recreation </w:t>
            </w:r>
            <w:r w:rsidR="00B77D83">
              <w:rPr>
                <w:rFonts w:ascii="Calibri" w:hAnsi="Calibri" w:cs="Calibri"/>
                <w:color w:val="000000"/>
                <w:sz w:val="18"/>
                <w:szCs w:val="18"/>
              </w:rPr>
              <w:t>and</w:t>
            </w:r>
            <w:r w:rsidRPr="00226205">
              <w:rPr>
                <w:rFonts w:ascii="Calibri" w:hAnsi="Calibri" w:cs="Calibri"/>
                <w:color w:val="000000"/>
                <w:sz w:val="18"/>
                <w:szCs w:val="18"/>
              </w:rPr>
              <w:t xml:space="preserve"> Open Space</w:t>
            </w:r>
          </w:p>
        </w:tc>
        <w:tc>
          <w:tcPr>
            <w:tcW w:w="1417" w:type="dxa"/>
            <w:shd w:val="clear" w:color="auto" w:fill="auto"/>
            <w:hideMark/>
          </w:tcPr>
          <w:p w:rsidR="00226205" w:rsidRPr="00226205" w:rsidRDefault="00226205" w:rsidP="00226205">
            <w:pPr>
              <w:jc w:val="center"/>
              <w:rPr>
                <w:rFonts w:ascii="Calibri" w:hAnsi="Calibri" w:cs="Calibri"/>
                <w:color w:val="000000"/>
                <w:sz w:val="18"/>
                <w:szCs w:val="18"/>
              </w:rPr>
            </w:pPr>
            <w:r w:rsidRPr="00226205">
              <w:rPr>
                <w:rFonts w:ascii="Calibri" w:hAnsi="Calibri" w:cs="Calibri"/>
                <w:color w:val="000000"/>
                <w:sz w:val="18"/>
                <w:szCs w:val="18"/>
              </w:rPr>
              <w:t>Pavilions / Clubrooms / Change rooms</w:t>
            </w:r>
          </w:p>
        </w:tc>
        <w:tc>
          <w:tcPr>
            <w:tcW w:w="2410" w:type="dxa"/>
            <w:shd w:val="clear" w:color="auto" w:fill="auto"/>
            <w:hideMark/>
          </w:tcPr>
          <w:p w:rsidR="00226205" w:rsidRPr="00226205" w:rsidRDefault="00226205" w:rsidP="00226205">
            <w:pPr>
              <w:jc w:val="left"/>
              <w:rPr>
                <w:rFonts w:ascii="Calibri" w:hAnsi="Calibri" w:cs="Calibri"/>
                <w:color w:val="000000"/>
                <w:sz w:val="18"/>
                <w:szCs w:val="18"/>
              </w:rPr>
            </w:pPr>
            <w:r w:rsidRPr="00226205">
              <w:rPr>
                <w:rFonts w:ascii="Calibri" w:hAnsi="Calibri" w:cs="Calibri"/>
                <w:color w:val="000000"/>
                <w:sz w:val="18"/>
                <w:szCs w:val="18"/>
              </w:rPr>
              <w:t>This new pavilion is in excellent condition.</w:t>
            </w:r>
          </w:p>
        </w:tc>
        <w:tc>
          <w:tcPr>
            <w:tcW w:w="3118" w:type="dxa"/>
            <w:shd w:val="clear" w:color="auto" w:fill="auto"/>
            <w:hideMark/>
          </w:tcPr>
          <w:p w:rsidR="00226205" w:rsidRPr="00226205" w:rsidRDefault="00226205" w:rsidP="00226205">
            <w:pPr>
              <w:jc w:val="left"/>
              <w:rPr>
                <w:rFonts w:ascii="Calibri" w:hAnsi="Calibri" w:cs="Calibri"/>
                <w:color w:val="000000"/>
                <w:sz w:val="18"/>
                <w:szCs w:val="18"/>
              </w:rPr>
            </w:pPr>
            <w:r w:rsidRPr="00226205">
              <w:rPr>
                <w:rFonts w:ascii="Calibri" w:hAnsi="Calibri" w:cs="Calibri"/>
                <w:color w:val="000000"/>
                <w:sz w:val="18"/>
                <w:szCs w:val="18"/>
              </w:rPr>
              <w:t>Recently constructed this building is currently fit for purpose.</w:t>
            </w:r>
          </w:p>
        </w:tc>
      </w:tr>
      <w:tr w:rsidR="00226205" w:rsidRPr="00226205" w:rsidTr="00B77D83">
        <w:trPr>
          <w:cantSplit/>
          <w:trHeight w:val="3156"/>
        </w:trPr>
        <w:tc>
          <w:tcPr>
            <w:tcW w:w="998" w:type="dxa"/>
            <w:shd w:val="clear" w:color="auto" w:fill="auto"/>
            <w:hideMark/>
          </w:tcPr>
          <w:p w:rsidR="00226205" w:rsidRPr="00226205" w:rsidRDefault="00226205" w:rsidP="006918D2">
            <w:pPr>
              <w:jc w:val="center"/>
              <w:rPr>
                <w:rFonts w:ascii="Calibri" w:hAnsi="Calibri" w:cs="Calibri"/>
                <w:color w:val="000000"/>
                <w:sz w:val="18"/>
                <w:szCs w:val="18"/>
              </w:rPr>
            </w:pPr>
            <w:r w:rsidRPr="00226205">
              <w:rPr>
                <w:rFonts w:ascii="Calibri" w:hAnsi="Calibri" w:cs="Calibri"/>
                <w:color w:val="000000"/>
                <w:sz w:val="18"/>
                <w:szCs w:val="18"/>
              </w:rPr>
              <w:t>B000164</w:t>
            </w:r>
          </w:p>
        </w:tc>
        <w:tc>
          <w:tcPr>
            <w:tcW w:w="2693" w:type="dxa"/>
            <w:shd w:val="clear" w:color="auto" w:fill="auto"/>
            <w:hideMark/>
          </w:tcPr>
          <w:p w:rsidR="00226205" w:rsidRPr="00226205" w:rsidRDefault="00226205" w:rsidP="00226205">
            <w:pPr>
              <w:rPr>
                <w:rFonts w:ascii="Calibri" w:hAnsi="Calibri" w:cs="Calibri"/>
                <w:color w:val="000000"/>
                <w:sz w:val="18"/>
                <w:szCs w:val="18"/>
              </w:rPr>
            </w:pPr>
            <w:r w:rsidRPr="00226205">
              <w:rPr>
                <w:rFonts w:ascii="Calibri" w:hAnsi="Calibri" w:cs="Calibri"/>
                <w:noProof/>
                <w:color w:val="000000"/>
                <w:sz w:val="18"/>
                <w:szCs w:val="18"/>
              </w:rPr>
              <w:drawing>
                <wp:anchor distT="0" distB="0" distL="114300" distR="114300" simplePos="0" relativeHeight="251719168" behindDoc="0" locked="0" layoutInCell="1" allowOverlap="1" wp14:anchorId="1397AD59" wp14:editId="3CE1DA1E">
                  <wp:simplePos x="0" y="0"/>
                  <wp:positionH relativeFrom="column">
                    <wp:posOffset>-20955</wp:posOffset>
                  </wp:positionH>
                  <wp:positionV relativeFrom="paragraph">
                    <wp:posOffset>53340</wp:posOffset>
                  </wp:positionV>
                  <wp:extent cx="1630800" cy="1252800"/>
                  <wp:effectExtent l="0" t="0" r="0" b="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pic:cNvPicPr>
                            <a:picLocks noChangeAspect="1"/>
                          </pic:cNvPicPr>
                        </pic:nvPicPr>
                        <pic:blipFill>
                          <a:blip r:embed="rId185">
                            <a:extLst>
                              <a:ext uri="{28A0092B-C50C-407E-A947-70E740481C1C}">
                                <a14:useLocalDpi xmlns:a14="http://schemas.microsoft.com/office/drawing/2010/main" val="0"/>
                              </a:ext>
                            </a:extLst>
                          </a:blip>
                          <a:stretch>
                            <a:fillRect/>
                          </a:stretch>
                        </pic:blipFill>
                        <pic:spPr>
                          <a:xfrm>
                            <a:off x="0" y="0"/>
                            <a:ext cx="1630800" cy="1252800"/>
                          </a:xfrm>
                          <a:prstGeom prst="rect">
                            <a:avLst/>
                          </a:prstGeom>
                        </pic:spPr>
                      </pic:pic>
                    </a:graphicData>
                  </a:graphic>
                  <wp14:sizeRelH relativeFrom="page">
                    <wp14:pctWidth>0</wp14:pctWidth>
                  </wp14:sizeRelH>
                  <wp14:sizeRelV relativeFrom="page">
                    <wp14:pctHeight>0</wp14:pctHeight>
                  </wp14:sizeRelV>
                </wp:anchor>
              </w:drawing>
            </w:r>
          </w:p>
        </w:tc>
        <w:tc>
          <w:tcPr>
            <w:tcW w:w="2268" w:type="dxa"/>
            <w:shd w:val="clear" w:color="auto" w:fill="auto"/>
            <w:hideMark/>
          </w:tcPr>
          <w:p w:rsidR="00226205" w:rsidRPr="00226205" w:rsidRDefault="00226205" w:rsidP="00A54993">
            <w:pPr>
              <w:jc w:val="left"/>
              <w:rPr>
                <w:rFonts w:ascii="Calibri" w:hAnsi="Calibri" w:cs="Calibri"/>
                <w:color w:val="000000"/>
                <w:sz w:val="18"/>
                <w:szCs w:val="18"/>
              </w:rPr>
            </w:pPr>
            <w:r w:rsidRPr="00226205">
              <w:rPr>
                <w:rFonts w:ascii="Calibri" w:hAnsi="Calibri" w:cs="Calibri"/>
                <w:color w:val="000000"/>
                <w:sz w:val="18"/>
                <w:szCs w:val="18"/>
              </w:rPr>
              <w:t xml:space="preserve">North Fitzroy Maternal Child and Health Centre (Emily Baker Infant Welfare Centre), Edinburgh Gardens- Alfred Crescent, Fitzroy North </w:t>
            </w:r>
          </w:p>
        </w:tc>
        <w:tc>
          <w:tcPr>
            <w:tcW w:w="1276" w:type="dxa"/>
            <w:shd w:val="clear" w:color="auto" w:fill="auto"/>
            <w:hideMark/>
          </w:tcPr>
          <w:p w:rsidR="00226205" w:rsidRPr="00226205" w:rsidRDefault="00226205" w:rsidP="009965C5">
            <w:pPr>
              <w:tabs>
                <w:tab w:val="decimal" w:pos="884"/>
              </w:tabs>
              <w:jc w:val="left"/>
              <w:rPr>
                <w:rFonts w:ascii="Calibri" w:hAnsi="Calibri" w:cs="Calibri"/>
                <w:color w:val="000000"/>
                <w:sz w:val="18"/>
                <w:szCs w:val="18"/>
              </w:rPr>
            </w:pPr>
            <w:r w:rsidRPr="00226205">
              <w:rPr>
                <w:rFonts w:ascii="Calibri" w:hAnsi="Calibri" w:cs="Calibri"/>
                <w:color w:val="000000"/>
                <w:sz w:val="18"/>
                <w:szCs w:val="18"/>
              </w:rPr>
              <w:t>$504,432</w:t>
            </w:r>
          </w:p>
        </w:tc>
        <w:tc>
          <w:tcPr>
            <w:tcW w:w="1134" w:type="dxa"/>
            <w:shd w:val="clear" w:color="auto" w:fill="auto"/>
            <w:hideMark/>
          </w:tcPr>
          <w:p w:rsidR="00226205" w:rsidRPr="00226205" w:rsidRDefault="00226205" w:rsidP="00226205">
            <w:pPr>
              <w:jc w:val="center"/>
              <w:rPr>
                <w:rFonts w:ascii="Calibri" w:hAnsi="Calibri" w:cs="Calibri"/>
                <w:color w:val="000000"/>
                <w:sz w:val="18"/>
                <w:szCs w:val="18"/>
              </w:rPr>
            </w:pPr>
            <w:r w:rsidRPr="00226205">
              <w:rPr>
                <w:rFonts w:ascii="Calibri" w:hAnsi="Calibri" w:cs="Calibri"/>
                <w:color w:val="000000"/>
                <w:sz w:val="18"/>
                <w:szCs w:val="18"/>
              </w:rPr>
              <w:t>Community Services</w:t>
            </w:r>
          </w:p>
        </w:tc>
        <w:tc>
          <w:tcPr>
            <w:tcW w:w="1417" w:type="dxa"/>
            <w:shd w:val="clear" w:color="auto" w:fill="auto"/>
            <w:hideMark/>
          </w:tcPr>
          <w:p w:rsidR="00226205" w:rsidRPr="00226205" w:rsidRDefault="00226205" w:rsidP="00226205">
            <w:pPr>
              <w:jc w:val="center"/>
              <w:rPr>
                <w:rFonts w:ascii="Calibri" w:hAnsi="Calibri" w:cs="Calibri"/>
                <w:color w:val="000000"/>
                <w:sz w:val="18"/>
                <w:szCs w:val="18"/>
              </w:rPr>
            </w:pPr>
            <w:r w:rsidRPr="00226205">
              <w:rPr>
                <w:rFonts w:ascii="Calibri" w:hAnsi="Calibri" w:cs="Calibri"/>
                <w:color w:val="000000"/>
                <w:sz w:val="18"/>
                <w:szCs w:val="18"/>
              </w:rPr>
              <w:t xml:space="preserve">Maternal </w:t>
            </w:r>
            <w:r w:rsidR="00B77D83">
              <w:rPr>
                <w:rFonts w:ascii="Calibri" w:hAnsi="Calibri" w:cs="Calibri"/>
                <w:color w:val="000000"/>
                <w:sz w:val="18"/>
                <w:szCs w:val="18"/>
              </w:rPr>
              <w:t>and</w:t>
            </w:r>
            <w:r w:rsidRPr="00226205">
              <w:rPr>
                <w:rFonts w:ascii="Calibri" w:hAnsi="Calibri" w:cs="Calibri"/>
                <w:color w:val="000000"/>
                <w:sz w:val="18"/>
                <w:szCs w:val="18"/>
              </w:rPr>
              <w:t xml:space="preserve"> Child Health Centres</w:t>
            </w:r>
          </w:p>
        </w:tc>
        <w:tc>
          <w:tcPr>
            <w:tcW w:w="2410" w:type="dxa"/>
            <w:shd w:val="clear" w:color="auto" w:fill="auto"/>
            <w:hideMark/>
          </w:tcPr>
          <w:p w:rsidR="00226205" w:rsidRPr="00226205" w:rsidRDefault="00226205" w:rsidP="00226205">
            <w:pPr>
              <w:jc w:val="left"/>
              <w:rPr>
                <w:rFonts w:ascii="Calibri" w:hAnsi="Calibri" w:cs="Calibri"/>
                <w:color w:val="000000"/>
                <w:sz w:val="18"/>
                <w:szCs w:val="18"/>
              </w:rPr>
            </w:pPr>
            <w:r w:rsidRPr="00226205">
              <w:rPr>
                <w:rFonts w:ascii="Calibri" w:hAnsi="Calibri" w:cs="Calibri"/>
                <w:color w:val="000000"/>
                <w:sz w:val="18"/>
                <w:szCs w:val="18"/>
              </w:rPr>
              <w:t>The building is in a good condition fitout could be improved.</w:t>
            </w:r>
          </w:p>
        </w:tc>
        <w:tc>
          <w:tcPr>
            <w:tcW w:w="3118" w:type="dxa"/>
            <w:shd w:val="clear" w:color="auto" w:fill="auto"/>
            <w:hideMark/>
          </w:tcPr>
          <w:p w:rsidR="00226205" w:rsidRPr="00226205" w:rsidRDefault="00226205" w:rsidP="00840CD9">
            <w:pPr>
              <w:jc w:val="left"/>
              <w:rPr>
                <w:rFonts w:ascii="Calibri" w:hAnsi="Calibri" w:cs="Calibri"/>
                <w:color w:val="000000"/>
                <w:sz w:val="18"/>
                <w:szCs w:val="18"/>
              </w:rPr>
            </w:pPr>
            <w:r w:rsidRPr="00226205">
              <w:rPr>
                <w:rFonts w:ascii="Calibri" w:hAnsi="Calibri" w:cs="Calibri"/>
                <w:color w:val="000000"/>
                <w:sz w:val="18"/>
                <w:szCs w:val="18"/>
              </w:rPr>
              <w:t xml:space="preserve">Building is centrally located, has street parking with no designated parking for clients. Often difficult for families to find a </w:t>
            </w:r>
            <w:r w:rsidR="005E5635">
              <w:rPr>
                <w:rFonts w:ascii="Calibri" w:hAnsi="Calibri" w:cs="Calibri"/>
                <w:color w:val="000000"/>
                <w:sz w:val="18"/>
                <w:szCs w:val="18"/>
              </w:rPr>
              <w:t>carpark</w:t>
            </w:r>
            <w:r w:rsidRPr="00226205">
              <w:rPr>
                <w:rFonts w:ascii="Calibri" w:hAnsi="Calibri" w:cs="Calibri"/>
                <w:color w:val="000000"/>
                <w:sz w:val="18"/>
                <w:szCs w:val="18"/>
              </w:rPr>
              <w:t xml:space="preserve"> close to MCH Centre during school collection times. Second office space is currently the interconnecting room between the waiting area and the kitchen. Reconfiguration of this space would improve service use.  With the exception of the second office space the building operates adequately to meet needs. There is currently no provision for disable access. Kitchen is dated but provides a reasonable degree of facility. Centre is to be co - located with the new North Fitzroy Hub development. </w:t>
            </w:r>
          </w:p>
        </w:tc>
      </w:tr>
      <w:tr w:rsidR="00226205" w:rsidRPr="00226205" w:rsidTr="00B77D83">
        <w:trPr>
          <w:cantSplit/>
          <w:trHeight w:val="2024"/>
        </w:trPr>
        <w:tc>
          <w:tcPr>
            <w:tcW w:w="998" w:type="dxa"/>
            <w:shd w:val="clear" w:color="auto" w:fill="auto"/>
            <w:hideMark/>
          </w:tcPr>
          <w:p w:rsidR="00226205" w:rsidRPr="00226205" w:rsidRDefault="00226205" w:rsidP="006918D2">
            <w:pPr>
              <w:jc w:val="center"/>
              <w:rPr>
                <w:rFonts w:ascii="Calibri" w:hAnsi="Calibri" w:cs="Calibri"/>
                <w:color w:val="000000"/>
                <w:sz w:val="18"/>
                <w:szCs w:val="18"/>
              </w:rPr>
            </w:pPr>
            <w:r w:rsidRPr="00226205">
              <w:rPr>
                <w:rFonts w:ascii="Calibri" w:hAnsi="Calibri" w:cs="Calibri"/>
                <w:color w:val="000000"/>
                <w:sz w:val="18"/>
                <w:szCs w:val="18"/>
              </w:rPr>
              <w:t>B000166</w:t>
            </w:r>
          </w:p>
        </w:tc>
        <w:tc>
          <w:tcPr>
            <w:tcW w:w="2693" w:type="dxa"/>
            <w:shd w:val="clear" w:color="auto" w:fill="auto"/>
            <w:hideMark/>
          </w:tcPr>
          <w:p w:rsidR="00226205" w:rsidRPr="00226205" w:rsidRDefault="00226205" w:rsidP="00226205">
            <w:pPr>
              <w:rPr>
                <w:rFonts w:ascii="Calibri" w:hAnsi="Calibri" w:cs="Calibri"/>
                <w:color w:val="000000"/>
                <w:sz w:val="18"/>
                <w:szCs w:val="18"/>
              </w:rPr>
            </w:pPr>
            <w:r w:rsidRPr="00226205">
              <w:rPr>
                <w:rFonts w:ascii="Calibri" w:hAnsi="Calibri" w:cs="Calibri"/>
                <w:noProof/>
                <w:color w:val="000000"/>
                <w:sz w:val="18"/>
                <w:szCs w:val="18"/>
              </w:rPr>
              <w:drawing>
                <wp:anchor distT="0" distB="0" distL="114300" distR="114300" simplePos="0" relativeHeight="251783680" behindDoc="0" locked="0" layoutInCell="1" allowOverlap="1" wp14:anchorId="3F797FE0" wp14:editId="332B7916">
                  <wp:simplePos x="0" y="0"/>
                  <wp:positionH relativeFrom="column">
                    <wp:posOffset>-20955</wp:posOffset>
                  </wp:positionH>
                  <wp:positionV relativeFrom="paragraph">
                    <wp:posOffset>68775</wp:posOffset>
                  </wp:positionV>
                  <wp:extent cx="1630800" cy="1137600"/>
                  <wp:effectExtent l="0" t="0" r="0" b="0"/>
                  <wp:wrapNone/>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Picture 129"/>
                          <pic:cNvPicPr>
                            <a:picLocks noChangeAspect="1"/>
                          </pic:cNvPicPr>
                        </pic:nvPicPr>
                        <pic:blipFill>
                          <a:blip r:embed="rId186">
                            <a:extLst>
                              <a:ext uri="{28A0092B-C50C-407E-A947-70E740481C1C}">
                                <a14:useLocalDpi xmlns:a14="http://schemas.microsoft.com/office/drawing/2010/main" val="0"/>
                              </a:ext>
                            </a:extLst>
                          </a:blip>
                          <a:stretch>
                            <a:fillRect/>
                          </a:stretch>
                        </pic:blipFill>
                        <pic:spPr>
                          <a:xfrm>
                            <a:off x="0" y="0"/>
                            <a:ext cx="1630800" cy="1137600"/>
                          </a:xfrm>
                          <a:prstGeom prst="rect">
                            <a:avLst/>
                          </a:prstGeom>
                        </pic:spPr>
                      </pic:pic>
                    </a:graphicData>
                  </a:graphic>
                  <wp14:sizeRelH relativeFrom="page">
                    <wp14:pctWidth>0</wp14:pctWidth>
                  </wp14:sizeRelH>
                  <wp14:sizeRelV relativeFrom="page">
                    <wp14:pctHeight>0</wp14:pctHeight>
                  </wp14:sizeRelV>
                </wp:anchor>
              </w:drawing>
            </w:r>
          </w:p>
        </w:tc>
        <w:tc>
          <w:tcPr>
            <w:tcW w:w="2268" w:type="dxa"/>
            <w:shd w:val="clear" w:color="auto" w:fill="auto"/>
            <w:hideMark/>
          </w:tcPr>
          <w:p w:rsidR="00226205" w:rsidRPr="00226205" w:rsidRDefault="00226205" w:rsidP="00A54993">
            <w:pPr>
              <w:jc w:val="left"/>
              <w:rPr>
                <w:rFonts w:ascii="Calibri" w:hAnsi="Calibri" w:cs="Calibri"/>
                <w:color w:val="000000"/>
                <w:sz w:val="18"/>
                <w:szCs w:val="18"/>
              </w:rPr>
            </w:pPr>
            <w:r w:rsidRPr="00226205">
              <w:rPr>
                <w:rFonts w:ascii="Calibri" w:hAnsi="Calibri" w:cs="Calibri"/>
                <w:color w:val="000000"/>
                <w:sz w:val="18"/>
                <w:szCs w:val="18"/>
              </w:rPr>
              <w:t>Timber Ticket Box,  Edinburgh Gardens- Alfred Crescent, Fitzroy North</w:t>
            </w:r>
          </w:p>
        </w:tc>
        <w:tc>
          <w:tcPr>
            <w:tcW w:w="1276" w:type="dxa"/>
            <w:shd w:val="clear" w:color="auto" w:fill="auto"/>
            <w:hideMark/>
          </w:tcPr>
          <w:p w:rsidR="00226205" w:rsidRPr="00226205" w:rsidRDefault="009965C5" w:rsidP="009965C5">
            <w:pPr>
              <w:tabs>
                <w:tab w:val="decimal" w:pos="884"/>
              </w:tabs>
              <w:jc w:val="left"/>
              <w:rPr>
                <w:rFonts w:ascii="Calibri" w:hAnsi="Calibri" w:cs="Calibri"/>
                <w:color w:val="000000"/>
                <w:sz w:val="18"/>
                <w:szCs w:val="18"/>
              </w:rPr>
            </w:pPr>
            <w:r>
              <w:rPr>
                <w:rFonts w:ascii="Calibri" w:hAnsi="Calibri" w:cs="Calibri"/>
                <w:color w:val="000000"/>
                <w:sz w:val="18"/>
                <w:szCs w:val="18"/>
              </w:rPr>
              <w:t>$</w:t>
            </w:r>
            <w:r w:rsidR="00226205" w:rsidRPr="00226205">
              <w:rPr>
                <w:rFonts w:ascii="Calibri" w:hAnsi="Calibri" w:cs="Calibri"/>
                <w:color w:val="000000"/>
                <w:sz w:val="18"/>
                <w:szCs w:val="18"/>
              </w:rPr>
              <w:t>50,000</w:t>
            </w:r>
          </w:p>
        </w:tc>
        <w:tc>
          <w:tcPr>
            <w:tcW w:w="1134" w:type="dxa"/>
            <w:shd w:val="clear" w:color="auto" w:fill="auto"/>
            <w:hideMark/>
          </w:tcPr>
          <w:p w:rsidR="00226205" w:rsidRPr="00226205" w:rsidRDefault="00226205" w:rsidP="00226205">
            <w:pPr>
              <w:jc w:val="center"/>
              <w:rPr>
                <w:rFonts w:ascii="Calibri" w:hAnsi="Calibri" w:cs="Calibri"/>
                <w:color w:val="000000"/>
                <w:sz w:val="18"/>
                <w:szCs w:val="18"/>
              </w:rPr>
            </w:pPr>
            <w:r w:rsidRPr="00226205">
              <w:rPr>
                <w:rFonts w:ascii="Calibri" w:hAnsi="Calibri" w:cs="Calibri"/>
                <w:color w:val="000000"/>
                <w:sz w:val="18"/>
                <w:szCs w:val="18"/>
              </w:rPr>
              <w:t xml:space="preserve">Recreation </w:t>
            </w:r>
            <w:r w:rsidR="00B77D83">
              <w:rPr>
                <w:rFonts w:ascii="Calibri" w:hAnsi="Calibri" w:cs="Calibri"/>
                <w:color w:val="000000"/>
                <w:sz w:val="18"/>
                <w:szCs w:val="18"/>
              </w:rPr>
              <w:t>and</w:t>
            </w:r>
            <w:r w:rsidRPr="00226205">
              <w:rPr>
                <w:rFonts w:ascii="Calibri" w:hAnsi="Calibri" w:cs="Calibri"/>
                <w:color w:val="000000"/>
                <w:sz w:val="18"/>
                <w:szCs w:val="18"/>
              </w:rPr>
              <w:t xml:space="preserve"> Open Space</w:t>
            </w:r>
          </w:p>
        </w:tc>
        <w:tc>
          <w:tcPr>
            <w:tcW w:w="1417" w:type="dxa"/>
            <w:shd w:val="clear" w:color="auto" w:fill="auto"/>
            <w:hideMark/>
          </w:tcPr>
          <w:p w:rsidR="00226205" w:rsidRPr="00226205" w:rsidRDefault="00226205" w:rsidP="00226205">
            <w:pPr>
              <w:jc w:val="center"/>
              <w:rPr>
                <w:rFonts w:ascii="Calibri" w:hAnsi="Calibri" w:cs="Calibri"/>
                <w:color w:val="000000"/>
                <w:sz w:val="18"/>
                <w:szCs w:val="18"/>
              </w:rPr>
            </w:pPr>
            <w:r w:rsidRPr="00226205">
              <w:rPr>
                <w:rFonts w:ascii="Calibri" w:hAnsi="Calibri" w:cs="Calibri"/>
                <w:color w:val="000000"/>
                <w:sz w:val="18"/>
                <w:szCs w:val="18"/>
              </w:rPr>
              <w:t>Structures</w:t>
            </w:r>
          </w:p>
        </w:tc>
        <w:tc>
          <w:tcPr>
            <w:tcW w:w="2410" w:type="dxa"/>
            <w:shd w:val="clear" w:color="auto" w:fill="auto"/>
            <w:hideMark/>
          </w:tcPr>
          <w:p w:rsidR="00226205" w:rsidRPr="00226205" w:rsidRDefault="00226205" w:rsidP="00226205">
            <w:pPr>
              <w:jc w:val="left"/>
              <w:rPr>
                <w:rFonts w:ascii="Calibri" w:hAnsi="Calibri" w:cs="Calibri"/>
                <w:color w:val="000000"/>
                <w:sz w:val="18"/>
                <w:szCs w:val="18"/>
              </w:rPr>
            </w:pPr>
            <w:r w:rsidRPr="00226205">
              <w:rPr>
                <w:rFonts w:ascii="Calibri" w:hAnsi="Calibri" w:cs="Calibri"/>
                <w:color w:val="000000"/>
                <w:sz w:val="18"/>
                <w:szCs w:val="18"/>
              </w:rPr>
              <w:t>The building is in a good condition.</w:t>
            </w:r>
          </w:p>
        </w:tc>
        <w:tc>
          <w:tcPr>
            <w:tcW w:w="3118" w:type="dxa"/>
            <w:shd w:val="clear" w:color="auto" w:fill="auto"/>
            <w:hideMark/>
          </w:tcPr>
          <w:p w:rsidR="00226205" w:rsidRPr="00226205" w:rsidRDefault="00226205" w:rsidP="00226205">
            <w:pPr>
              <w:jc w:val="left"/>
              <w:rPr>
                <w:rFonts w:ascii="Calibri" w:hAnsi="Calibri" w:cs="Calibri"/>
                <w:color w:val="000000"/>
                <w:sz w:val="18"/>
                <w:szCs w:val="18"/>
              </w:rPr>
            </w:pPr>
            <w:r w:rsidRPr="00226205">
              <w:rPr>
                <w:rFonts w:ascii="Calibri" w:hAnsi="Calibri" w:cs="Calibri"/>
                <w:color w:val="000000"/>
                <w:sz w:val="18"/>
                <w:szCs w:val="18"/>
              </w:rPr>
              <w:t>No service currently delivered through building. Building retained for heritage purposes only.</w:t>
            </w:r>
          </w:p>
        </w:tc>
      </w:tr>
      <w:tr w:rsidR="00226205" w:rsidRPr="00226205" w:rsidTr="00B77D83">
        <w:trPr>
          <w:cantSplit/>
          <w:trHeight w:val="2065"/>
        </w:trPr>
        <w:tc>
          <w:tcPr>
            <w:tcW w:w="998" w:type="dxa"/>
            <w:shd w:val="clear" w:color="auto" w:fill="auto"/>
            <w:hideMark/>
          </w:tcPr>
          <w:p w:rsidR="00226205" w:rsidRPr="00226205" w:rsidRDefault="00226205" w:rsidP="006918D2">
            <w:pPr>
              <w:jc w:val="center"/>
              <w:rPr>
                <w:rFonts w:ascii="Calibri" w:hAnsi="Calibri" w:cs="Calibri"/>
                <w:color w:val="000000"/>
                <w:sz w:val="18"/>
                <w:szCs w:val="18"/>
              </w:rPr>
            </w:pPr>
            <w:r w:rsidRPr="00226205">
              <w:rPr>
                <w:rFonts w:ascii="Calibri" w:hAnsi="Calibri" w:cs="Calibri"/>
                <w:color w:val="000000"/>
                <w:sz w:val="18"/>
                <w:szCs w:val="18"/>
              </w:rPr>
              <w:t>B000167</w:t>
            </w:r>
          </w:p>
        </w:tc>
        <w:tc>
          <w:tcPr>
            <w:tcW w:w="2693" w:type="dxa"/>
            <w:shd w:val="clear" w:color="auto" w:fill="auto"/>
            <w:hideMark/>
          </w:tcPr>
          <w:p w:rsidR="00226205" w:rsidRPr="00226205" w:rsidRDefault="00226205" w:rsidP="00226205">
            <w:pPr>
              <w:rPr>
                <w:rFonts w:ascii="Calibri" w:hAnsi="Calibri" w:cs="Calibri"/>
                <w:color w:val="000000"/>
                <w:sz w:val="18"/>
                <w:szCs w:val="18"/>
              </w:rPr>
            </w:pPr>
            <w:r w:rsidRPr="00226205">
              <w:rPr>
                <w:rFonts w:ascii="Calibri" w:hAnsi="Calibri" w:cs="Calibri"/>
                <w:noProof/>
                <w:color w:val="000000"/>
                <w:sz w:val="18"/>
                <w:szCs w:val="18"/>
              </w:rPr>
              <w:drawing>
                <wp:anchor distT="0" distB="0" distL="114300" distR="114300" simplePos="0" relativeHeight="251784704" behindDoc="0" locked="0" layoutInCell="1" allowOverlap="1" wp14:anchorId="25D10A20" wp14:editId="5F7E2BE4">
                  <wp:simplePos x="0" y="0"/>
                  <wp:positionH relativeFrom="column">
                    <wp:posOffset>-20955</wp:posOffset>
                  </wp:positionH>
                  <wp:positionV relativeFrom="paragraph">
                    <wp:posOffset>55440</wp:posOffset>
                  </wp:positionV>
                  <wp:extent cx="1630680" cy="1205865"/>
                  <wp:effectExtent l="0" t="0" r="0" b="0"/>
                  <wp:wrapNone/>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Picture 130"/>
                          <pic:cNvPicPr>
                            <a:picLocks noChangeAspect="1"/>
                          </pic:cNvPicPr>
                        </pic:nvPicPr>
                        <pic:blipFill>
                          <a:blip r:embed="rId187">
                            <a:extLst>
                              <a:ext uri="{28A0092B-C50C-407E-A947-70E740481C1C}">
                                <a14:useLocalDpi xmlns:a14="http://schemas.microsoft.com/office/drawing/2010/main" val="0"/>
                              </a:ext>
                            </a:extLst>
                          </a:blip>
                          <a:stretch>
                            <a:fillRect/>
                          </a:stretch>
                        </pic:blipFill>
                        <pic:spPr>
                          <a:xfrm>
                            <a:off x="0" y="0"/>
                            <a:ext cx="1630680" cy="1205865"/>
                          </a:xfrm>
                          <a:prstGeom prst="rect">
                            <a:avLst/>
                          </a:prstGeom>
                        </pic:spPr>
                      </pic:pic>
                    </a:graphicData>
                  </a:graphic>
                  <wp14:sizeRelH relativeFrom="page">
                    <wp14:pctWidth>0</wp14:pctWidth>
                  </wp14:sizeRelH>
                  <wp14:sizeRelV relativeFrom="page">
                    <wp14:pctHeight>0</wp14:pctHeight>
                  </wp14:sizeRelV>
                </wp:anchor>
              </w:drawing>
            </w:r>
          </w:p>
        </w:tc>
        <w:tc>
          <w:tcPr>
            <w:tcW w:w="2268" w:type="dxa"/>
            <w:shd w:val="clear" w:color="auto" w:fill="auto"/>
            <w:hideMark/>
          </w:tcPr>
          <w:p w:rsidR="00226205" w:rsidRPr="00226205" w:rsidRDefault="00226205" w:rsidP="00A54993">
            <w:pPr>
              <w:jc w:val="left"/>
              <w:rPr>
                <w:rFonts w:ascii="Calibri" w:hAnsi="Calibri" w:cs="Calibri"/>
                <w:color w:val="000000"/>
                <w:sz w:val="18"/>
                <w:szCs w:val="18"/>
              </w:rPr>
            </w:pPr>
            <w:r w:rsidRPr="00226205">
              <w:rPr>
                <w:rFonts w:ascii="Calibri" w:hAnsi="Calibri" w:cs="Calibri"/>
                <w:color w:val="000000"/>
                <w:sz w:val="18"/>
                <w:szCs w:val="18"/>
              </w:rPr>
              <w:t>Public Toilets North, Edinburgh Gardens, Alfred Crescent, Fitzroy North</w:t>
            </w:r>
          </w:p>
        </w:tc>
        <w:tc>
          <w:tcPr>
            <w:tcW w:w="1276" w:type="dxa"/>
            <w:shd w:val="clear" w:color="auto" w:fill="auto"/>
            <w:hideMark/>
          </w:tcPr>
          <w:p w:rsidR="00226205" w:rsidRPr="00226205" w:rsidRDefault="00226205" w:rsidP="009965C5">
            <w:pPr>
              <w:tabs>
                <w:tab w:val="decimal" w:pos="884"/>
              </w:tabs>
              <w:jc w:val="left"/>
              <w:rPr>
                <w:rFonts w:ascii="Calibri" w:hAnsi="Calibri" w:cs="Calibri"/>
                <w:color w:val="000000"/>
                <w:sz w:val="18"/>
                <w:szCs w:val="18"/>
              </w:rPr>
            </w:pPr>
            <w:r w:rsidRPr="00226205">
              <w:rPr>
                <w:rFonts w:ascii="Calibri" w:hAnsi="Calibri" w:cs="Calibri"/>
                <w:color w:val="000000"/>
                <w:sz w:val="18"/>
                <w:szCs w:val="18"/>
              </w:rPr>
              <w:t>$129,624</w:t>
            </w:r>
          </w:p>
        </w:tc>
        <w:tc>
          <w:tcPr>
            <w:tcW w:w="1134" w:type="dxa"/>
            <w:shd w:val="clear" w:color="auto" w:fill="auto"/>
            <w:hideMark/>
          </w:tcPr>
          <w:p w:rsidR="00226205" w:rsidRPr="00226205" w:rsidRDefault="00226205" w:rsidP="00226205">
            <w:pPr>
              <w:jc w:val="center"/>
              <w:rPr>
                <w:rFonts w:ascii="Calibri" w:hAnsi="Calibri" w:cs="Calibri"/>
                <w:color w:val="000000"/>
                <w:sz w:val="18"/>
                <w:szCs w:val="18"/>
              </w:rPr>
            </w:pPr>
            <w:r w:rsidRPr="00226205">
              <w:rPr>
                <w:rFonts w:ascii="Calibri" w:hAnsi="Calibri" w:cs="Calibri"/>
                <w:color w:val="000000"/>
                <w:sz w:val="18"/>
                <w:szCs w:val="18"/>
              </w:rPr>
              <w:t xml:space="preserve">Recreation </w:t>
            </w:r>
            <w:r w:rsidR="00B77D83">
              <w:rPr>
                <w:rFonts w:ascii="Calibri" w:hAnsi="Calibri" w:cs="Calibri"/>
                <w:color w:val="000000"/>
                <w:sz w:val="18"/>
                <w:szCs w:val="18"/>
              </w:rPr>
              <w:t>and</w:t>
            </w:r>
            <w:r w:rsidRPr="00226205">
              <w:rPr>
                <w:rFonts w:ascii="Calibri" w:hAnsi="Calibri" w:cs="Calibri"/>
                <w:color w:val="000000"/>
                <w:sz w:val="18"/>
                <w:szCs w:val="18"/>
              </w:rPr>
              <w:t xml:space="preserve"> Open Space</w:t>
            </w:r>
          </w:p>
        </w:tc>
        <w:tc>
          <w:tcPr>
            <w:tcW w:w="1417" w:type="dxa"/>
            <w:shd w:val="clear" w:color="auto" w:fill="auto"/>
            <w:hideMark/>
          </w:tcPr>
          <w:p w:rsidR="00226205" w:rsidRPr="00226205" w:rsidRDefault="00226205" w:rsidP="00226205">
            <w:pPr>
              <w:jc w:val="center"/>
              <w:rPr>
                <w:rFonts w:ascii="Calibri" w:hAnsi="Calibri" w:cs="Calibri"/>
                <w:color w:val="000000"/>
                <w:sz w:val="18"/>
                <w:szCs w:val="18"/>
              </w:rPr>
            </w:pPr>
            <w:r w:rsidRPr="00226205">
              <w:rPr>
                <w:rFonts w:ascii="Calibri" w:hAnsi="Calibri" w:cs="Calibri"/>
                <w:color w:val="000000"/>
                <w:sz w:val="18"/>
                <w:szCs w:val="18"/>
              </w:rPr>
              <w:t>Public Toilets</w:t>
            </w:r>
          </w:p>
        </w:tc>
        <w:tc>
          <w:tcPr>
            <w:tcW w:w="2410" w:type="dxa"/>
            <w:shd w:val="clear" w:color="auto" w:fill="auto"/>
            <w:hideMark/>
          </w:tcPr>
          <w:p w:rsidR="00226205" w:rsidRPr="00226205" w:rsidRDefault="00226205" w:rsidP="00226205">
            <w:pPr>
              <w:jc w:val="left"/>
              <w:rPr>
                <w:rFonts w:ascii="Calibri" w:hAnsi="Calibri" w:cs="Calibri"/>
                <w:color w:val="000000"/>
                <w:sz w:val="18"/>
                <w:szCs w:val="18"/>
              </w:rPr>
            </w:pPr>
            <w:r w:rsidRPr="00226205">
              <w:rPr>
                <w:rFonts w:ascii="Calibri" w:hAnsi="Calibri" w:cs="Calibri"/>
                <w:color w:val="000000"/>
                <w:sz w:val="18"/>
                <w:szCs w:val="18"/>
              </w:rPr>
              <w:t>The building is in a good condition fit out in poor condition.</w:t>
            </w:r>
          </w:p>
        </w:tc>
        <w:tc>
          <w:tcPr>
            <w:tcW w:w="3118" w:type="dxa"/>
            <w:shd w:val="clear" w:color="auto" w:fill="auto"/>
            <w:hideMark/>
          </w:tcPr>
          <w:p w:rsidR="00226205" w:rsidRPr="00226205" w:rsidRDefault="00226205" w:rsidP="00226205">
            <w:pPr>
              <w:jc w:val="left"/>
              <w:rPr>
                <w:rFonts w:ascii="Calibri" w:hAnsi="Calibri" w:cs="Calibri"/>
                <w:color w:val="000000"/>
                <w:sz w:val="18"/>
                <w:szCs w:val="18"/>
              </w:rPr>
            </w:pPr>
            <w:r w:rsidRPr="00226205">
              <w:rPr>
                <w:rFonts w:ascii="Calibri" w:hAnsi="Calibri" w:cs="Calibri"/>
                <w:color w:val="000000"/>
                <w:sz w:val="18"/>
                <w:szCs w:val="18"/>
              </w:rPr>
              <w:t>Due to size, toilets cannot meet demand at peak times. Due to be replaced 2013/14. Building needs to be demolished.</w:t>
            </w:r>
          </w:p>
        </w:tc>
      </w:tr>
      <w:tr w:rsidR="00226205" w:rsidRPr="00226205" w:rsidTr="00B77D83">
        <w:trPr>
          <w:cantSplit/>
          <w:trHeight w:val="1966"/>
        </w:trPr>
        <w:tc>
          <w:tcPr>
            <w:tcW w:w="998" w:type="dxa"/>
            <w:shd w:val="clear" w:color="auto" w:fill="auto"/>
            <w:hideMark/>
          </w:tcPr>
          <w:p w:rsidR="00226205" w:rsidRPr="00226205" w:rsidRDefault="00226205" w:rsidP="006918D2">
            <w:pPr>
              <w:jc w:val="center"/>
              <w:rPr>
                <w:rFonts w:ascii="Calibri" w:hAnsi="Calibri" w:cs="Calibri"/>
                <w:color w:val="000000"/>
                <w:sz w:val="18"/>
                <w:szCs w:val="18"/>
              </w:rPr>
            </w:pPr>
            <w:r w:rsidRPr="00226205">
              <w:rPr>
                <w:rFonts w:ascii="Calibri" w:hAnsi="Calibri" w:cs="Calibri"/>
                <w:color w:val="000000"/>
                <w:sz w:val="18"/>
                <w:szCs w:val="18"/>
              </w:rPr>
              <w:t>B000170</w:t>
            </w:r>
          </w:p>
        </w:tc>
        <w:tc>
          <w:tcPr>
            <w:tcW w:w="2693" w:type="dxa"/>
            <w:shd w:val="clear" w:color="auto" w:fill="auto"/>
            <w:hideMark/>
          </w:tcPr>
          <w:p w:rsidR="00226205" w:rsidRPr="00226205" w:rsidRDefault="00226205" w:rsidP="00226205">
            <w:pPr>
              <w:rPr>
                <w:rFonts w:ascii="Calibri" w:hAnsi="Calibri" w:cs="Calibri"/>
                <w:color w:val="000000"/>
                <w:sz w:val="18"/>
                <w:szCs w:val="18"/>
              </w:rPr>
            </w:pPr>
            <w:r w:rsidRPr="00226205">
              <w:rPr>
                <w:rFonts w:ascii="Calibri" w:hAnsi="Calibri" w:cs="Calibri"/>
                <w:noProof/>
                <w:color w:val="000000"/>
                <w:sz w:val="18"/>
                <w:szCs w:val="18"/>
              </w:rPr>
              <w:drawing>
                <wp:anchor distT="0" distB="0" distL="114300" distR="114300" simplePos="0" relativeHeight="251794944" behindDoc="0" locked="0" layoutInCell="1" allowOverlap="1" wp14:anchorId="0666A180" wp14:editId="2A4E4C8C">
                  <wp:simplePos x="0" y="0"/>
                  <wp:positionH relativeFrom="column">
                    <wp:posOffset>-20955</wp:posOffset>
                  </wp:positionH>
                  <wp:positionV relativeFrom="paragraph">
                    <wp:posOffset>32825</wp:posOffset>
                  </wp:positionV>
                  <wp:extent cx="1630680" cy="1173480"/>
                  <wp:effectExtent l="0" t="0" r="0" b="0"/>
                  <wp:wrapNone/>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03"/>
                          <pic:cNvPicPr>
                            <a:picLocks noChangeAspect="1"/>
                          </pic:cNvPicPr>
                        </pic:nvPicPr>
                        <pic:blipFill>
                          <a:blip r:embed="rId188">
                            <a:extLst>
                              <a:ext uri="{28A0092B-C50C-407E-A947-70E740481C1C}">
                                <a14:useLocalDpi xmlns:a14="http://schemas.microsoft.com/office/drawing/2010/main" val="0"/>
                              </a:ext>
                            </a:extLst>
                          </a:blip>
                          <a:stretch>
                            <a:fillRect/>
                          </a:stretch>
                        </pic:blipFill>
                        <pic:spPr>
                          <a:xfrm>
                            <a:off x="0" y="0"/>
                            <a:ext cx="1630680" cy="1173480"/>
                          </a:xfrm>
                          <a:prstGeom prst="rect">
                            <a:avLst/>
                          </a:prstGeom>
                        </pic:spPr>
                      </pic:pic>
                    </a:graphicData>
                  </a:graphic>
                  <wp14:sizeRelH relativeFrom="page">
                    <wp14:pctWidth>0</wp14:pctWidth>
                  </wp14:sizeRelH>
                  <wp14:sizeRelV relativeFrom="page">
                    <wp14:pctHeight>0</wp14:pctHeight>
                  </wp14:sizeRelV>
                </wp:anchor>
              </w:drawing>
            </w:r>
          </w:p>
        </w:tc>
        <w:tc>
          <w:tcPr>
            <w:tcW w:w="2268" w:type="dxa"/>
            <w:shd w:val="clear" w:color="auto" w:fill="auto"/>
            <w:hideMark/>
          </w:tcPr>
          <w:p w:rsidR="00226205" w:rsidRPr="00226205" w:rsidRDefault="00226205" w:rsidP="00A54993">
            <w:pPr>
              <w:jc w:val="left"/>
              <w:rPr>
                <w:rFonts w:ascii="Calibri" w:hAnsi="Calibri" w:cs="Calibri"/>
                <w:color w:val="000000"/>
                <w:sz w:val="18"/>
                <w:szCs w:val="18"/>
              </w:rPr>
            </w:pPr>
            <w:r w:rsidRPr="00226205">
              <w:rPr>
                <w:rFonts w:ascii="Calibri" w:hAnsi="Calibri" w:cs="Calibri"/>
                <w:color w:val="000000"/>
                <w:sz w:val="18"/>
                <w:szCs w:val="18"/>
              </w:rPr>
              <w:t xml:space="preserve">Administration Building, Fitzroy Depot- 111 Queens Parade, Fitzroy North </w:t>
            </w:r>
          </w:p>
        </w:tc>
        <w:tc>
          <w:tcPr>
            <w:tcW w:w="1276" w:type="dxa"/>
            <w:shd w:val="clear" w:color="auto" w:fill="auto"/>
            <w:hideMark/>
          </w:tcPr>
          <w:p w:rsidR="00226205" w:rsidRPr="00226205" w:rsidRDefault="009965C5" w:rsidP="009965C5">
            <w:pPr>
              <w:tabs>
                <w:tab w:val="decimal" w:pos="884"/>
              </w:tabs>
              <w:jc w:val="left"/>
              <w:rPr>
                <w:rFonts w:ascii="Calibri" w:hAnsi="Calibri" w:cs="Calibri"/>
                <w:color w:val="000000"/>
                <w:sz w:val="18"/>
                <w:szCs w:val="18"/>
              </w:rPr>
            </w:pPr>
            <w:r>
              <w:rPr>
                <w:rFonts w:ascii="Calibri" w:hAnsi="Calibri" w:cs="Calibri"/>
                <w:color w:val="000000"/>
                <w:sz w:val="18"/>
                <w:szCs w:val="18"/>
              </w:rPr>
              <w:t>$</w:t>
            </w:r>
            <w:r w:rsidR="00226205" w:rsidRPr="00226205">
              <w:rPr>
                <w:rFonts w:ascii="Calibri" w:hAnsi="Calibri" w:cs="Calibri"/>
                <w:color w:val="000000"/>
                <w:sz w:val="18"/>
                <w:szCs w:val="18"/>
              </w:rPr>
              <w:t>140,352</w:t>
            </w:r>
          </w:p>
        </w:tc>
        <w:tc>
          <w:tcPr>
            <w:tcW w:w="1134" w:type="dxa"/>
            <w:shd w:val="clear" w:color="auto" w:fill="auto"/>
            <w:hideMark/>
          </w:tcPr>
          <w:p w:rsidR="00226205" w:rsidRPr="00226205" w:rsidRDefault="00226205" w:rsidP="00226205">
            <w:pPr>
              <w:jc w:val="center"/>
              <w:rPr>
                <w:rFonts w:ascii="Calibri" w:hAnsi="Calibri" w:cs="Calibri"/>
                <w:color w:val="000000"/>
                <w:sz w:val="18"/>
                <w:szCs w:val="18"/>
              </w:rPr>
            </w:pPr>
            <w:r w:rsidRPr="00226205">
              <w:rPr>
                <w:rFonts w:ascii="Calibri" w:hAnsi="Calibri" w:cs="Calibri"/>
                <w:color w:val="000000"/>
                <w:sz w:val="18"/>
                <w:szCs w:val="18"/>
              </w:rPr>
              <w:t>Council Operations</w:t>
            </w:r>
          </w:p>
        </w:tc>
        <w:tc>
          <w:tcPr>
            <w:tcW w:w="1417" w:type="dxa"/>
            <w:shd w:val="clear" w:color="auto" w:fill="auto"/>
            <w:hideMark/>
          </w:tcPr>
          <w:p w:rsidR="00226205" w:rsidRPr="00226205" w:rsidRDefault="00226205" w:rsidP="00226205">
            <w:pPr>
              <w:jc w:val="center"/>
              <w:rPr>
                <w:rFonts w:ascii="Calibri" w:hAnsi="Calibri" w:cs="Calibri"/>
                <w:color w:val="000000"/>
                <w:sz w:val="18"/>
                <w:szCs w:val="18"/>
              </w:rPr>
            </w:pPr>
            <w:r w:rsidRPr="00226205">
              <w:rPr>
                <w:rFonts w:ascii="Calibri" w:hAnsi="Calibri" w:cs="Calibri"/>
                <w:color w:val="000000"/>
                <w:sz w:val="18"/>
                <w:szCs w:val="18"/>
              </w:rPr>
              <w:t>Depot</w:t>
            </w:r>
          </w:p>
        </w:tc>
        <w:tc>
          <w:tcPr>
            <w:tcW w:w="2410" w:type="dxa"/>
            <w:shd w:val="clear" w:color="auto" w:fill="auto"/>
            <w:hideMark/>
          </w:tcPr>
          <w:p w:rsidR="00226205" w:rsidRPr="00226205" w:rsidRDefault="00226205" w:rsidP="00226205">
            <w:pPr>
              <w:jc w:val="left"/>
              <w:rPr>
                <w:rFonts w:ascii="Calibri" w:hAnsi="Calibri" w:cs="Calibri"/>
                <w:color w:val="000000"/>
                <w:sz w:val="18"/>
                <w:szCs w:val="18"/>
              </w:rPr>
            </w:pPr>
            <w:r w:rsidRPr="00226205">
              <w:rPr>
                <w:rFonts w:ascii="Calibri" w:hAnsi="Calibri" w:cs="Calibri"/>
                <w:color w:val="000000"/>
                <w:sz w:val="18"/>
                <w:szCs w:val="18"/>
              </w:rPr>
              <w:t xml:space="preserve">The building is in a fair condition structure and fitout renewal works are required. </w:t>
            </w:r>
          </w:p>
        </w:tc>
        <w:tc>
          <w:tcPr>
            <w:tcW w:w="3118" w:type="dxa"/>
            <w:shd w:val="clear" w:color="auto" w:fill="auto"/>
            <w:hideMark/>
          </w:tcPr>
          <w:p w:rsidR="00226205" w:rsidRPr="00226205" w:rsidRDefault="00226205" w:rsidP="00840CD9">
            <w:pPr>
              <w:jc w:val="left"/>
              <w:rPr>
                <w:rFonts w:ascii="Calibri" w:hAnsi="Calibri" w:cs="Calibri"/>
                <w:color w:val="000000"/>
                <w:sz w:val="18"/>
                <w:szCs w:val="18"/>
              </w:rPr>
            </w:pPr>
            <w:r w:rsidRPr="00226205">
              <w:rPr>
                <w:rFonts w:ascii="Calibri" w:hAnsi="Calibri" w:cs="Calibri"/>
                <w:color w:val="000000"/>
                <w:sz w:val="18"/>
                <w:szCs w:val="18"/>
              </w:rPr>
              <w:t>Needs upgrading</w:t>
            </w:r>
            <w:r w:rsidR="00840CD9">
              <w:rPr>
                <w:rFonts w:ascii="Calibri" w:hAnsi="Calibri" w:cs="Calibri"/>
                <w:color w:val="000000"/>
                <w:sz w:val="18"/>
                <w:szCs w:val="18"/>
              </w:rPr>
              <w:t>,</w:t>
            </w:r>
            <w:r w:rsidRPr="00226205">
              <w:rPr>
                <w:rFonts w:ascii="Calibri" w:hAnsi="Calibri" w:cs="Calibri"/>
                <w:color w:val="000000"/>
                <w:sz w:val="18"/>
                <w:szCs w:val="18"/>
              </w:rPr>
              <w:t xml:space="preserve"> untidy and tired.  Various Service Contractor User Groups</w:t>
            </w:r>
          </w:p>
        </w:tc>
      </w:tr>
      <w:tr w:rsidR="00226205" w:rsidRPr="00226205" w:rsidTr="00B77D83">
        <w:trPr>
          <w:cantSplit/>
          <w:trHeight w:val="1982"/>
        </w:trPr>
        <w:tc>
          <w:tcPr>
            <w:tcW w:w="998" w:type="dxa"/>
            <w:shd w:val="clear" w:color="auto" w:fill="auto"/>
            <w:hideMark/>
          </w:tcPr>
          <w:p w:rsidR="00226205" w:rsidRPr="00226205" w:rsidRDefault="00226205" w:rsidP="006918D2">
            <w:pPr>
              <w:jc w:val="center"/>
              <w:rPr>
                <w:rFonts w:ascii="Calibri" w:hAnsi="Calibri" w:cs="Calibri"/>
                <w:color w:val="000000"/>
                <w:sz w:val="18"/>
                <w:szCs w:val="18"/>
              </w:rPr>
            </w:pPr>
            <w:r w:rsidRPr="00226205">
              <w:rPr>
                <w:rFonts w:ascii="Calibri" w:hAnsi="Calibri" w:cs="Calibri"/>
                <w:color w:val="000000"/>
                <w:sz w:val="18"/>
                <w:szCs w:val="18"/>
              </w:rPr>
              <w:t>B000171</w:t>
            </w:r>
          </w:p>
        </w:tc>
        <w:tc>
          <w:tcPr>
            <w:tcW w:w="2693" w:type="dxa"/>
            <w:shd w:val="clear" w:color="auto" w:fill="auto"/>
            <w:hideMark/>
          </w:tcPr>
          <w:p w:rsidR="00226205" w:rsidRPr="00226205" w:rsidRDefault="00226205" w:rsidP="00226205">
            <w:pPr>
              <w:rPr>
                <w:rFonts w:ascii="Calibri" w:hAnsi="Calibri" w:cs="Calibri"/>
                <w:color w:val="000000"/>
                <w:sz w:val="18"/>
                <w:szCs w:val="18"/>
              </w:rPr>
            </w:pPr>
            <w:r w:rsidRPr="00226205">
              <w:rPr>
                <w:rFonts w:ascii="Calibri" w:hAnsi="Calibri" w:cs="Calibri"/>
                <w:noProof/>
                <w:color w:val="000000"/>
                <w:sz w:val="18"/>
                <w:szCs w:val="18"/>
              </w:rPr>
              <w:drawing>
                <wp:anchor distT="0" distB="0" distL="114300" distR="114300" simplePos="0" relativeHeight="251743744" behindDoc="0" locked="0" layoutInCell="1" allowOverlap="1" wp14:anchorId="18DB4E4F" wp14:editId="3057F010">
                  <wp:simplePos x="0" y="0"/>
                  <wp:positionH relativeFrom="column">
                    <wp:posOffset>-20955</wp:posOffset>
                  </wp:positionH>
                  <wp:positionV relativeFrom="paragraph">
                    <wp:posOffset>33460</wp:posOffset>
                  </wp:positionV>
                  <wp:extent cx="1630680" cy="1184275"/>
                  <wp:effectExtent l="0" t="0" r="0" b="0"/>
                  <wp:wrapNone/>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7"/>
                          <pic:cNvPicPr>
                            <a:picLocks noChangeAspect="1"/>
                          </pic:cNvPicPr>
                        </pic:nvPicPr>
                        <pic:blipFill>
                          <a:blip r:embed="rId189">
                            <a:extLst>
                              <a:ext uri="{28A0092B-C50C-407E-A947-70E740481C1C}">
                                <a14:useLocalDpi xmlns:a14="http://schemas.microsoft.com/office/drawing/2010/main" val="0"/>
                              </a:ext>
                            </a:extLst>
                          </a:blip>
                          <a:stretch>
                            <a:fillRect/>
                          </a:stretch>
                        </pic:blipFill>
                        <pic:spPr>
                          <a:xfrm>
                            <a:off x="0" y="0"/>
                            <a:ext cx="1630680" cy="1184275"/>
                          </a:xfrm>
                          <a:prstGeom prst="rect">
                            <a:avLst/>
                          </a:prstGeom>
                        </pic:spPr>
                      </pic:pic>
                    </a:graphicData>
                  </a:graphic>
                  <wp14:sizeRelH relativeFrom="page">
                    <wp14:pctWidth>0</wp14:pctWidth>
                  </wp14:sizeRelH>
                  <wp14:sizeRelV relativeFrom="page">
                    <wp14:pctHeight>0</wp14:pctHeight>
                  </wp14:sizeRelV>
                </wp:anchor>
              </w:drawing>
            </w:r>
          </w:p>
        </w:tc>
        <w:tc>
          <w:tcPr>
            <w:tcW w:w="2268" w:type="dxa"/>
            <w:shd w:val="clear" w:color="auto" w:fill="auto"/>
            <w:hideMark/>
          </w:tcPr>
          <w:p w:rsidR="00226205" w:rsidRPr="00226205" w:rsidRDefault="00226205" w:rsidP="00A54993">
            <w:pPr>
              <w:jc w:val="left"/>
              <w:rPr>
                <w:rFonts w:ascii="Calibri" w:hAnsi="Calibri" w:cs="Calibri"/>
                <w:color w:val="000000"/>
                <w:sz w:val="18"/>
                <w:szCs w:val="18"/>
              </w:rPr>
            </w:pPr>
            <w:r w:rsidRPr="00226205">
              <w:rPr>
                <w:rFonts w:ascii="Calibri" w:hAnsi="Calibri" w:cs="Calibri"/>
                <w:color w:val="000000"/>
                <w:sz w:val="18"/>
                <w:szCs w:val="18"/>
              </w:rPr>
              <w:t>Carpenters and Painters Workshop, Fitzroy Depot- 111 Queens Parade, North Fitzroy</w:t>
            </w:r>
          </w:p>
        </w:tc>
        <w:tc>
          <w:tcPr>
            <w:tcW w:w="1276" w:type="dxa"/>
            <w:shd w:val="clear" w:color="auto" w:fill="auto"/>
            <w:hideMark/>
          </w:tcPr>
          <w:p w:rsidR="00226205" w:rsidRPr="00226205" w:rsidRDefault="00226205" w:rsidP="009965C5">
            <w:pPr>
              <w:tabs>
                <w:tab w:val="decimal" w:pos="884"/>
              </w:tabs>
              <w:jc w:val="left"/>
              <w:rPr>
                <w:rFonts w:ascii="Calibri" w:hAnsi="Calibri" w:cs="Calibri"/>
                <w:color w:val="000000"/>
                <w:sz w:val="18"/>
                <w:szCs w:val="18"/>
              </w:rPr>
            </w:pPr>
            <w:r w:rsidRPr="00226205">
              <w:rPr>
                <w:rFonts w:ascii="Calibri" w:hAnsi="Calibri" w:cs="Calibri"/>
                <w:color w:val="000000"/>
                <w:sz w:val="18"/>
                <w:szCs w:val="18"/>
              </w:rPr>
              <w:t>$262,056</w:t>
            </w:r>
          </w:p>
        </w:tc>
        <w:tc>
          <w:tcPr>
            <w:tcW w:w="1134" w:type="dxa"/>
            <w:shd w:val="clear" w:color="auto" w:fill="auto"/>
            <w:hideMark/>
          </w:tcPr>
          <w:p w:rsidR="00226205" w:rsidRPr="00226205" w:rsidRDefault="00226205" w:rsidP="00226205">
            <w:pPr>
              <w:jc w:val="center"/>
              <w:rPr>
                <w:rFonts w:ascii="Calibri" w:hAnsi="Calibri" w:cs="Calibri"/>
                <w:color w:val="000000"/>
                <w:sz w:val="18"/>
                <w:szCs w:val="18"/>
              </w:rPr>
            </w:pPr>
            <w:r w:rsidRPr="00226205">
              <w:rPr>
                <w:rFonts w:ascii="Calibri" w:hAnsi="Calibri" w:cs="Calibri"/>
                <w:color w:val="000000"/>
                <w:sz w:val="18"/>
                <w:szCs w:val="18"/>
              </w:rPr>
              <w:t>Council Operations</w:t>
            </w:r>
          </w:p>
        </w:tc>
        <w:tc>
          <w:tcPr>
            <w:tcW w:w="1417" w:type="dxa"/>
            <w:shd w:val="clear" w:color="auto" w:fill="auto"/>
            <w:hideMark/>
          </w:tcPr>
          <w:p w:rsidR="00226205" w:rsidRPr="00226205" w:rsidRDefault="00226205" w:rsidP="00226205">
            <w:pPr>
              <w:jc w:val="center"/>
              <w:rPr>
                <w:rFonts w:ascii="Calibri" w:hAnsi="Calibri" w:cs="Calibri"/>
                <w:color w:val="000000"/>
                <w:sz w:val="18"/>
                <w:szCs w:val="18"/>
              </w:rPr>
            </w:pPr>
            <w:r w:rsidRPr="00226205">
              <w:rPr>
                <w:rFonts w:ascii="Calibri" w:hAnsi="Calibri" w:cs="Calibri"/>
                <w:color w:val="000000"/>
                <w:sz w:val="18"/>
                <w:szCs w:val="18"/>
              </w:rPr>
              <w:t>Stores / Sheds / Garages</w:t>
            </w:r>
          </w:p>
        </w:tc>
        <w:tc>
          <w:tcPr>
            <w:tcW w:w="2410" w:type="dxa"/>
            <w:shd w:val="clear" w:color="auto" w:fill="auto"/>
            <w:hideMark/>
          </w:tcPr>
          <w:p w:rsidR="00226205" w:rsidRPr="00226205" w:rsidRDefault="00226205" w:rsidP="00226205">
            <w:pPr>
              <w:jc w:val="left"/>
              <w:rPr>
                <w:rFonts w:ascii="Calibri" w:hAnsi="Calibri" w:cs="Calibri"/>
                <w:color w:val="000000"/>
                <w:sz w:val="18"/>
                <w:szCs w:val="18"/>
              </w:rPr>
            </w:pPr>
            <w:r w:rsidRPr="00226205">
              <w:rPr>
                <w:rFonts w:ascii="Calibri" w:hAnsi="Calibri" w:cs="Calibri"/>
                <w:color w:val="000000"/>
                <w:sz w:val="18"/>
                <w:szCs w:val="18"/>
              </w:rPr>
              <w:t xml:space="preserve">The building is generally in a fair condition. </w:t>
            </w:r>
          </w:p>
        </w:tc>
        <w:tc>
          <w:tcPr>
            <w:tcW w:w="3118" w:type="dxa"/>
            <w:shd w:val="clear" w:color="auto" w:fill="auto"/>
            <w:hideMark/>
          </w:tcPr>
          <w:p w:rsidR="00226205" w:rsidRPr="00226205" w:rsidRDefault="00226205" w:rsidP="00226205">
            <w:pPr>
              <w:jc w:val="left"/>
              <w:rPr>
                <w:rFonts w:ascii="Calibri" w:hAnsi="Calibri" w:cs="Calibri"/>
                <w:color w:val="000000"/>
                <w:sz w:val="18"/>
                <w:szCs w:val="18"/>
              </w:rPr>
            </w:pPr>
            <w:r w:rsidRPr="00226205">
              <w:rPr>
                <w:rFonts w:ascii="Calibri" w:hAnsi="Calibri" w:cs="Calibri"/>
                <w:color w:val="000000"/>
                <w:sz w:val="18"/>
                <w:szCs w:val="18"/>
              </w:rPr>
              <w:t>Future needs report on depots should form basis of future improvements.</w:t>
            </w:r>
          </w:p>
        </w:tc>
      </w:tr>
      <w:tr w:rsidR="00226205" w:rsidRPr="00226205" w:rsidTr="00B77D83">
        <w:trPr>
          <w:cantSplit/>
          <w:trHeight w:val="1980"/>
        </w:trPr>
        <w:tc>
          <w:tcPr>
            <w:tcW w:w="998" w:type="dxa"/>
            <w:shd w:val="clear" w:color="auto" w:fill="auto"/>
            <w:hideMark/>
          </w:tcPr>
          <w:p w:rsidR="00226205" w:rsidRPr="00226205" w:rsidRDefault="00226205" w:rsidP="006918D2">
            <w:pPr>
              <w:jc w:val="center"/>
              <w:rPr>
                <w:rFonts w:ascii="Calibri" w:hAnsi="Calibri" w:cs="Calibri"/>
                <w:color w:val="000000"/>
                <w:sz w:val="18"/>
                <w:szCs w:val="18"/>
              </w:rPr>
            </w:pPr>
            <w:r w:rsidRPr="00226205">
              <w:rPr>
                <w:rFonts w:ascii="Calibri" w:hAnsi="Calibri" w:cs="Calibri"/>
                <w:color w:val="000000"/>
                <w:sz w:val="18"/>
                <w:szCs w:val="18"/>
              </w:rPr>
              <w:t>B000172</w:t>
            </w:r>
          </w:p>
        </w:tc>
        <w:tc>
          <w:tcPr>
            <w:tcW w:w="2693" w:type="dxa"/>
            <w:shd w:val="clear" w:color="auto" w:fill="auto"/>
            <w:hideMark/>
          </w:tcPr>
          <w:p w:rsidR="00226205" w:rsidRPr="00226205" w:rsidRDefault="00226205" w:rsidP="00226205">
            <w:pPr>
              <w:rPr>
                <w:rFonts w:ascii="Calibri" w:hAnsi="Calibri" w:cs="Calibri"/>
                <w:color w:val="000000"/>
                <w:sz w:val="18"/>
                <w:szCs w:val="18"/>
              </w:rPr>
            </w:pPr>
            <w:r w:rsidRPr="00226205">
              <w:rPr>
                <w:rFonts w:ascii="Calibri" w:hAnsi="Calibri" w:cs="Calibri"/>
                <w:noProof/>
                <w:color w:val="000000"/>
                <w:sz w:val="18"/>
                <w:szCs w:val="18"/>
              </w:rPr>
              <w:drawing>
                <wp:anchor distT="0" distB="0" distL="114300" distR="114300" simplePos="0" relativeHeight="251744768" behindDoc="0" locked="0" layoutInCell="1" allowOverlap="1" wp14:anchorId="38A1549A" wp14:editId="20377A07">
                  <wp:simplePos x="0" y="0"/>
                  <wp:positionH relativeFrom="column">
                    <wp:posOffset>-20955</wp:posOffset>
                  </wp:positionH>
                  <wp:positionV relativeFrom="paragraph">
                    <wp:posOffset>27110</wp:posOffset>
                  </wp:positionV>
                  <wp:extent cx="1630800" cy="1209600"/>
                  <wp:effectExtent l="0" t="0" r="0" b="0"/>
                  <wp:wrapNone/>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8"/>
                          <pic:cNvPicPr>
                            <a:picLocks noChangeAspect="1"/>
                          </pic:cNvPicPr>
                        </pic:nvPicPr>
                        <pic:blipFill>
                          <a:blip r:embed="rId190">
                            <a:extLst>
                              <a:ext uri="{28A0092B-C50C-407E-A947-70E740481C1C}">
                                <a14:useLocalDpi xmlns:a14="http://schemas.microsoft.com/office/drawing/2010/main" val="0"/>
                              </a:ext>
                            </a:extLst>
                          </a:blip>
                          <a:stretch>
                            <a:fillRect/>
                          </a:stretch>
                        </pic:blipFill>
                        <pic:spPr>
                          <a:xfrm>
                            <a:off x="0" y="0"/>
                            <a:ext cx="1630800" cy="1209600"/>
                          </a:xfrm>
                          <a:prstGeom prst="rect">
                            <a:avLst/>
                          </a:prstGeom>
                        </pic:spPr>
                      </pic:pic>
                    </a:graphicData>
                  </a:graphic>
                  <wp14:sizeRelH relativeFrom="page">
                    <wp14:pctWidth>0</wp14:pctWidth>
                  </wp14:sizeRelH>
                  <wp14:sizeRelV relativeFrom="page">
                    <wp14:pctHeight>0</wp14:pctHeight>
                  </wp14:sizeRelV>
                </wp:anchor>
              </w:drawing>
            </w:r>
          </w:p>
        </w:tc>
        <w:tc>
          <w:tcPr>
            <w:tcW w:w="2268" w:type="dxa"/>
            <w:shd w:val="clear" w:color="auto" w:fill="auto"/>
            <w:hideMark/>
          </w:tcPr>
          <w:p w:rsidR="00226205" w:rsidRPr="00226205" w:rsidRDefault="00226205" w:rsidP="00A54993">
            <w:pPr>
              <w:jc w:val="left"/>
              <w:rPr>
                <w:rFonts w:ascii="Calibri" w:hAnsi="Calibri" w:cs="Calibri"/>
                <w:color w:val="000000"/>
                <w:sz w:val="18"/>
                <w:szCs w:val="18"/>
              </w:rPr>
            </w:pPr>
            <w:r w:rsidRPr="00226205">
              <w:rPr>
                <w:rFonts w:ascii="Calibri" w:hAnsi="Calibri" w:cs="Calibri"/>
                <w:color w:val="000000"/>
                <w:sz w:val="18"/>
                <w:szCs w:val="18"/>
              </w:rPr>
              <w:t>Porter Shed - Heritage Storage Shed, Fitzroy Depot- 111 Queens Parade, North Fitzroy</w:t>
            </w:r>
          </w:p>
        </w:tc>
        <w:tc>
          <w:tcPr>
            <w:tcW w:w="1276" w:type="dxa"/>
            <w:shd w:val="clear" w:color="auto" w:fill="auto"/>
            <w:hideMark/>
          </w:tcPr>
          <w:p w:rsidR="00226205" w:rsidRPr="00226205" w:rsidRDefault="00226205" w:rsidP="009965C5">
            <w:pPr>
              <w:tabs>
                <w:tab w:val="decimal" w:pos="884"/>
              </w:tabs>
              <w:jc w:val="left"/>
              <w:rPr>
                <w:rFonts w:ascii="Calibri" w:hAnsi="Calibri" w:cs="Calibri"/>
                <w:color w:val="000000"/>
                <w:sz w:val="18"/>
                <w:szCs w:val="18"/>
              </w:rPr>
            </w:pPr>
            <w:r w:rsidRPr="00226205">
              <w:rPr>
                <w:rFonts w:ascii="Calibri" w:hAnsi="Calibri" w:cs="Calibri"/>
                <w:color w:val="000000"/>
                <w:sz w:val="18"/>
                <w:szCs w:val="18"/>
              </w:rPr>
              <w:t>$51,600</w:t>
            </w:r>
          </w:p>
        </w:tc>
        <w:tc>
          <w:tcPr>
            <w:tcW w:w="1134" w:type="dxa"/>
            <w:shd w:val="clear" w:color="auto" w:fill="auto"/>
            <w:hideMark/>
          </w:tcPr>
          <w:p w:rsidR="00226205" w:rsidRPr="00226205" w:rsidRDefault="00226205" w:rsidP="00226205">
            <w:pPr>
              <w:jc w:val="center"/>
              <w:rPr>
                <w:rFonts w:ascii="Calibri" w:hAnsi="Calibri" w:cs="Calibri"/>
                <w:color w:val="000000"/>
                <w:sz w:val="18"/>
                <w:szCs w:val="18"/>
              </w:rPr>
            </w:pPr>
            <w:r w:rsidRPr="00226205">
              <w:rPr>
                <w:rFonts w:ascii="Calibri" w:hAnsi="Calibri" w:cs="Calibri"/>
                <w:color w:val="000000"/>
                <w:sz w:val="18"/>
                <w:szCs w:val="18"/>
              </w:rPr>
              <w:t>Council Operations</w:t>
            </w:r>
          </w:p>
        </w:tc>
        <w:tc>
          <w:tcPr>
            <w:tcW w:w="1417" w:type="dxa"/>
            <w:shd w:val="clear" w:color="auto" w:fill="auto"/>
            <w:hideMark/>
          </w:tcPr>
          <w:p w:rsidR="00226205" w:rsidRPr="00226205" w:rsidRDefault="00226205" w:rsidP="00226205">
            <w:pPr>
              <w:jc w:val="center"/>
              <w:rPr>
                <w:rFonts w:ascii="Calibri" w:hAnsi="Calibri" w:cs="Calibri"/>
                <w:color w:val="000000"/>
                <w:sz w:val="18"/>
                <w:szCs w:val="18"/>
              </w:rPr>
            </w:pPr>
            <w:r w:rsidRPr="00226205">
              <w:rPr>
                <w:rFonts w:ascii="Calibri" w:hAnsi="Calibri" w:cs="Calibri"/>
                <w:color w:val="000000"/>
                <w:sz w:val="18"/>
                <w:szCs w:val="18"/>
              </w:rPr>
              <w:t>Stores / Sheds / Garages</w:t>
            </w:r>
          </w:p>
        </w:tc>
        <w:tc>
          <w:tcPr>
            <w:tcW w:w="2410" w:type="dxa"/>
            <w:shd w:val="clear" w:color="auto" w:fill="auto"/>
            <w:hideMark/>
          </w:tcPr>
          <w:p w:rsidR="00226205" w:rsidRPr="00226205" w:rsidRDefault="00226205" w:rsidP="00226205">
            <w:pPr>
              <w:jc w:val="left"/>
              <w:rPr>
                <w:rFonts w:ascii="Calibri" w:hAnsi="Calibri" w:cs="Calibri"/>
                <w:color w:val="000000"/>
                <w:sz w:val="18"/>
                <w:szCs w:val="18"/>
              </w:rPr>
            </w:pPr>
            <w:r w:rsidRPr="00226205">
              <w:rPr>
                <w:rFonts w:ascii="Calibri" w:hAnsi="Calibri" w:cs="Calibri"/>
                <w:color w:val="000000"/>
                <w:sz w:val="18"/>
                <w:szCs w:val="18"/>
              </w:rPr>
              <w:t xml:space="preserve">The building is generally in a fair condition. </w:t>
            </w:r>
          </w:p>
        </w:tc>
        <w:tc>
          <w:tcPr>
            <w:tcW w:w="3118" w:type="dxa"/>
            <w:shd w:val="clear" w:color="auto" w:fill="auto"/>
            <w:hideMark/>
          </w:tcPr>
          <w:p w:rsidR="00226205" w:rsidRPr="00226205" w:rsidRDefault="00226205" w:rsidP="00226205">
            <w:pPr>
              <w:jc w:val="left"/>
              <w:rPr>
                <w:rFonts w:ascii="Calibri" w:hAnsi="Calibri" w:cs="Calibri"/>
                <w:color w:val="000000"/>
                <w:sz w:val="18"/>
                <w:szCs w:val="18"/>
              </w:rPr>
            </w:pPr>
            <w:r w:rsidRPr="00226205">
              <w:rPr>
                <w:rFonts w:ascii="Calibri" w:hAnsi="Calibri" w:cs="Calibri"/>
                <w:color w:val="000000"/>
                <w:sz w:val="18"/>
                <w:szCs w:val="18"/>
              </w:rPr>
              <w:t>Future needs report on depots should form basis of future improvements.  This building is on the Victorian Heritage Register</w:t>
            </w:r>
            <w:r w:rsidR="00840CD9">
              <w:rPr>
                <w:rFonts w:ascii="Calibri" w:hAnsi="Calibri" w:cs="Calibri"/>
                <w:color w:val="000000"/>
                <w:sz w:val="18"/>
                <w:szCs w:val="18"/>
              </w:rPr>
              <w:t>.</w:t>
            </w:r>
          </w:p>
        </w:tc>
      </w:tr>
      <w:tr w:rsidR="00226205" w:rsidRPr="00226205" w:rsidTr="00B77D83">
        <w:trPr>
          <w:cantSplit/>
          <w:trHeight w:val="1923"/>
        </w:trPr>
        <w:tc>
          <w:tcPr>
            <w:tcW w:w="998" w:type="dxa"/>
            <w:shd w:val="clear" w:color="auto" w:fill="auto"/>
            <w:hideMark/>
          </w:tcPr>
          <w:p w:rsidR="00226205" w:rsidRPr="00226205" w:rsidRDefault="00226205" w:rsidP="006918D2">
            <w:pPr>
              <w:jc w:val="center"/>
              <w:rPr>
                <w:rFonts w:ascii="Calibri" w:hAnsi="Calibri" w:cs="Calibri"/>
                <w:color w:val="000000"/>
                <w:sz w:val="18"/>
                <w:szCs w:val="18"/>
              </w:rPr>
            </w:pPr>
            <w:r w:rsidRPr="00226205">
              <w:rPr>
                <w:rFonts w:ascii="Calibri" w:hAnsi="Calibri" w:cs="Calibri"/>
                <w:color w:val="000000"/>
                <w:sz w:val="18"/>
                <w:szCs w:val="18"/>
              </w:rPr>
              <w:t>B000173</w:t>
            </w:r>
          </w:p>
        </w:tc>
        <w:tc>
          <w:tcPr>
            <w:tcW w:w="2693" w:type="dxa"/>
            <w:shd w:val="clear" w:color="auto" w:fill="auto"/>
            <w:hideMark/>
          </w:tcPr>
          <w:p w:rsidR="00226205" w:rsidRPr="00226205" w:rsidRDefault="00226205" w:rsidP="00226205">
            <w:pPr>
              <w:rPr>
                <w:rFonts w:ascii="Calibri" w:hAnsi="Calibri" w:cs="Calibri"/>
                <w:color w:val="000000"/>
                <w:sz w:val="18"/>
                <w:szCs w:val="18"/>
              </w:rPr>
            </w:pPr>
            <w:r w:rsidRPr="00226205">
              <w:rPr>
                <w:rFonts w:ascii="Calibri" w:hAnsi="Calibri" w:cs="Calibri"/>
                <w:noProof/>
                <w:color w:val="000000"/>
                <w:sz w:val="18"/>
                <w:szCs w:val="18"/>
              </w:rPr>
              <w:drawing>
                <wp:anchor distT="0" distB="0" distL="114300" distR="114300" simplePos="0" relativeHeight="251745792" behindDoc="0" locked="0" layoutInCell="1" allowOverlap="1" wp14:anchorId="0B512F78" wp14:editId="4496C8AA">
                  <wp:simplePos x="0" y="0"/>
                  <wp:positionH relativeFrom="column">
                    <wp:posOffset>-20955</wp:posOffset>
                  </wp:positionH>
                  <wp:positionV relativeFrom="paragraph">
                    <wp:posOffset>45720</wp:posOffset>
                  </wp:positionV>
                  <wp:extent cx="1630800" cy="1144800"/>
                  <wp:effectExtent l="0" t="0" r="0" b="0"/>
                  <wp:wrapNone/>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79"/>
                          <pic:cNvPicPr>
                            <a:picLocks noChangeAspect="1"/>
                          </pic:cNvPicPr>
                        </pic:nvPicPr>
                        <pic:blipFill>
                          <a:blip r:embed="rId191">
                            <a:extLst>
                              <a:ext uri="{28A0092B-C50C-407E-A947-70E740481C1C}">
                                <a14:useLocalDpi xmlns:a14="http://schemas.microsoft.com/office/drawing/2010/main" val="0"/>
                              </a:ext>
                            </a:extLst>
                          </a:blip>
                          <a:stretch>
                            <a:fillRect/>
                          </a:stretch>
                        </pic:blipFill>
                        <pic:spPr>
                          <a:xfrm>
                            <a:off x="0" y="0"/>
                            <a:ext cx="1630800" cy="1144800"/>
                          </a:xfrm>
                          <a:prstGeom prst="rect">
                            <a:avLst/>
                          </a:prstGeom>
                        </pic:spPr>
                      </pic:pic>
                    </a:graphicData>
                  </a:graphic>
                  <wp14:sizeRelH relativeFrom="page">
                    <wp14:pctWidth>0</wp14:pctWidth>
                  </wp14:sizeRelH>
                  <wp14:sizeRelV relativeFrom="page">
                    <wp14:pctHeight>0</wp14:pctHeight>
                  </wp14:sizeRelV>
                </wp:anchor>
              </w:drawing>
            </w:r>
          </w:p>
        </w:tc>
        <w:tc>
          <w:tcPr>
            <w:tcW w:w="2268" w:type="dxa"/>
            <w:shd w:val="clear" w:color="auto" w:fill="auto"/>
            <w:hideMark/>
          </w:tcPr>
          <w:p w:rsidR="00226205" w:rsidRPr="00226205" w:rsidRDefault="00226205" w:rsidP="00A54993">
            <w:pPr>
              <w:jc w:val="left"/>
              <w:rPr>
                <w:rFonts w:ascii="Calibri" w:hAnsi="Calibri" w:cs="Calibri"/>
                <w:color w:val="000000"/>
                <w:sz w:val="18"/>
                <w:szCs w:val="18"/>
              </w:rPr>
            </w:pPr>
            <w:r w:rsidRPr="00226205">
              <w:rPr>
                <w:rFonts w:ascii="Calibri" w:hAnsi="Calibri" w:cs="Calibri"/>
                <w:color w:val="000000"/>
                <w:sz w:val="18"/>
                <w:szCs w:val="18"/>
              </w:rPr>
              <w:t>Gatehouse, Fitzroy Depot-  111 Queens Parade, North Fitzroy</w:t>
            </w:r>
          </w:p>
        </w:tc>
        <w:tc>
          <w:tcPr>
            <w:tcW w:w="1276" w:type="dxa"/>
            <w:shd w:val="clear" w:color="auto" w:fill="auto"/>
            <w:hideMark/>
          </w:tcPr>
          <w:p w:rsidR="00226205" w:rsidRPr="00226205" w:rsidRDefault="009965C5" w:rsidP="009965C5">
            <w:pPr>
              <w:tabs>
                <w:tab w:val="decimal" w:pos="884"/>
              </w:tabs>
              <w:jc w:val="left"/>
              <w:rPr>
                <w:rFonts w:ascii="Calibri" w:hAnsi="Calibri" w:cs="Calibri"/>
                <w:color w:val="000000"/>
                <w:sz w:val="18"/>
                <w:szCs w:val="18"/>
              </w:rPr>
            </w:pPr>
            <w:r>
              <w:rPr>
                <w:rFonts w:ascii="Calibri" w:hAnsi="Calibri" w:cs="Calibri"/>
                <w:color w:val="000000"/>
                <w:sz w:val="18"/>
                <w:szCs w:val="18"/>
              </w:rPr>
              <w:t>$</w:t>
            </w:r>
            <w:r w:rsidR="00226205" w:rsidRPr="00226205">
              <w:rPr>
                <w:rFonts w:ascii="Calibri" w:hAnsi="Calibri" w:cs="Calibri"/>
                <w:color w:val="000000"/>
                <w:sz w:val="18"/>
                <w:szCs w:val="18"/>
              </w:rPr>
              <w:t>43,344</w:t>
            </w:r>
          </w:p>
        </w:tc>
        <w:tc>
          <w:tcPr>
            <w:tcW w:w="1134" w:type="dxa"/>
            <w:shd w:val="clear" w:color="auto" w:fill="auto"/>
            <w:hideMark/>
          </w:tcPr>
          <w:p w:rsidR="00226205" w:rsidRPr="00226205" w:rsidRDefault="00226205" w:rsidP="00226205">
            <w:pPr>
              <w:jc w:val="center"/>
              <w:rPr>
                <w:rFonts w:ascii="Calibri" w:hAnsi="Calibri" w:cs="Calibri"/>
                <w:color w:val="000000"/>
                <w:sz w:val="18"/>
                <w:szCs w:val="18"/>
              </w:rPr>
            </w:pPr>
            <w:r w:rsidRPr="00226205">
              <w:rPr>
                <w:rFonts w:ascii="Calibri" w:hAnsi="Calibri" w:cs="Calibri"/>
                <w:color w:val="000000"/>
                <w:sz w:val="18"/>
                <w:szCs w:val="18"/>
              </w:rPr>
              <w:t>Council Operations</w:t>
            </w:r>
          </w:p>
        </w:tc>
        <w:tc>
          <w:tcPr>
            <w:tcW w:w="1417" w:type="dxa"/>
            <w:shd w:val="clear" w:color="auto" w:fill="auto"/>
            <w:hideMark/>
          </w:tcPr>
          <w:p w:rsidR="00226205" w:rsidRPr="00226205" w:rsidRDefault="00226205" w:rsidP="00226205">
            <w:pPr>
              <w:jc w:val="center"/>
              <w:rPr>
                <w:rFonts w:ascii="Calibri" w:hAnsi="Calibri" w:cs="Calibri"/>
                <w:color w:val="000000"/>
                <w:sz w:val="18"/>
                <w:szCs w:val="18"/>
              </w:rPr>
            </w:pPr>
            <w:r w:rsidRPr="00226205">
              <w:rPr>
                <w:rFonts w:ascii="Calibri" w:hAnsi="Calibri" w:cs="Calibri"/>
                <w:color w:val="000000"/>
                <w:sz w:val="18"/>
                <w:szCs w:val="18"/>
              </w:rPr>
              <w:t>Stores / Sheds / Garages</w:t>
            </w:r>
          </w:p>
        </w:tc>
        <w:tc>
          <w:tcPr>
            <w:tcW w:w="2410" w:type="dxa"/>
            <w:shd w:val="clear" w:color="auto" w:fill="auto"/>
            <w:hideMark/>
          </w:tcPr>
          <w:p w:rsidR="00226205" w:rsidRPr="00226205" w:rsidRDefault="00226205" w:rsidP="00226205">
            <w:pPr>
              <w:jc w:val="left"/>
              <w:rPr>
                <w:rFonts w:ascii="Calibri" w:hAnsi="Calibri" w:cs="Calibri"/>
                <w:color w:val="000000"/>
                <w:sz w:val="18"/>
                <w:szCs w:val="18"/>
              </w:rPr>
            </w:pPr>
            <w:r w:rsidRPr="00226205">
              <w:rPr>
                <w:rFonts w:ascii="Calibri" w:hAnsi="Calibri" w:cs="Calibri"/>
                <w:color w:val="000000"/>
                <w:sz w:val="18"/>
                <w:szCs w:val="18"/>
              </w:rPr>
              <w:t xml:space="preserve">The building is generally in a fair condition. </w:t>
            </w:r>
          </w:p>
        </w:tc>
        <w:tc>
          <w:tcPr>
            <w:tcW w:w="3118" w:type="dxa"/>
            <w:shd w:val="clear" w:color="auto" w:fill="auto"/>
            <w:hideMark/>
          </w:tcPr>
          <w:p w:rsidR="00226205" w:rsidRPr="00226205" w:rsidRDefault="00226205" w:rsidP="00226205">
            <w:pPr>
              <w:jc w:val="left"/>
              <w:rPr>
                <w:rFonts w:ascii="Calibri" w:hAnsi="Calibri" w:cs="Calibri"/>
                <w:color w:val="000000"/>
                <w:sz w:val="18"/>
                <w:szCs w:val="18"/>
              </w:rPr>
            </w:pPr>
            <w:r w:rsidRPr="00226205">
              <w:rPr>
                <w:rFonts w:ascii="Calibri" w:hAnsi="Calibri" w:cs="Calibri"/>
                <w:color w:val="000000"/>
                <w:sz w:val="18"/>
                <w:szCs w:val="18"/>
              </w:rPr>
              <w:t>Future needs report on depots should form basis of future improvements.</w:t>
            </w:r>
          </w:p>
        </w:tc>
      </w:tr>
      <w:tr w:rsidR="00226205" w:rsidRPr="00226205" w:rsidTr="00B77D83">
        <w:trPr>
          <w:cantSplit/>
          <w:trHeight w:val="2036"/>
        </w:trPr>
        <w:tc>
          <w:tcPr>
            <w:tcW w:w="998" w:type="dxa"/>
            <w:shd w:val="clear" w:color="auto" w:fill="auto"/>
            <w:hideMark/>
          </w:tcPr>
          <w:p w:rsidR="00226205" w:rsidRPr="00226205" w:rsidRDefault="00226205" w:rsidP="006918D2">
            <w:pPr>
              <w:jc w:val="center"/>
              <w:rPr>
                <w:rFonts w:ascii="Calibri" w:hAnsi="Calibri" w:cs="Calibri"/>
                <w:color w:val="000000"/>
                <w:sz w:val="18"/>
                <w:szCs w:val="18"/>
              </w:rPr>
            </w:pPr>
            <w:r w:rsidRPr="00226205">
              <w:rPr>
                <w:rFonts w:ascii="Calibri" w:hAnsi="Calibri" w:cs="Calibri"/>
                <w:color w:val="000000"/>
                <w:sz w:val="18"/>
                <w:szCs w:val="18"/>
              </w:rPr>
              <w:t>B000174</w:t>
            </w:r>
          </w:p>
        </w:tc>
        <w:tc>
          <w:tcPr>
            <w:tcW w:w="2693" w:type="dxa"/>
            <w:shd w:val="clear" w:color="auto" w:fill="auto"/>
            <w:hideMark/>
          </w:tcPr>
          <w:p w:rsidR="00226205" w:rsidRPr="00226205" w:rsidRDefault="00226205" w:rsidP="00226205">
            <w:pPr>
              <w:rPr>
                <w:rFonts w:ascii="Calibri" w:hAnsi="Calibri" w:cs="Calibri"/>
                <w:color w:val="000000"/>
                <w:sz w:val="18"/>
                <w:szCs w:val="18"/>
              </w:rPr>
            </w:pPr>
            <w:r w:rsidRPr="00226205">
              <w:rPr>
                <w:rFonts w:ascii="Calibri" w:hAnsi="Calibri" w:cs="Calibri"/>
                <w:noProof/>
                <w:color w:val="000000"/>
                <w:sz w:val="18"/>
                <w:szCs w:val="18"/>
              </w:rPr>
              <w:drawing>
                <wp:anchor distT="0" distB="0" distL="114300" distR="114300" simplePos="0" relativeHeight="251746816" behindDoc="0" locked="0" layoutInCell="1" allowOverlap="1" wp14:anchorId="679CF2D4" wp14:editId="0B1C9D63">
                  <wp:simplePos x="0" y="0"/>
                  <wp:positionH relativeFrom="column">
                    <wp:posOffset>-20955</wp:posOffset>
                  </wp:positionH>
                  <wp:positionV relativeFrom="paragraph">
                    <wp:posOffset>61155</wp:posOffset>
                  </wp:positionV>
                  <wp:extent cx="1630800" cy="1148400"/>
                  <wp:effectExtent l="0" t="0" r="0" b="0"/>
                  <wp:wrapNone/>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0"/>
                          <pic:cNvPicPr>
                            <a:picLocks noChangeAspect="1"/>
                          </pic:cNvPicPr>
                        </pic:nvPicPr>
                        <pic:blipFill>
                          <a:blip r:embed="rId192">
                            <a:extLst>
                              <a:ext uri="{28A0092B-C50C-407E-A947-70E740481C1C}">
                                <a14:useLocalDpi xmlns:a14="http://schemas.microsoft.com/office/drawing/2010/main" val="0"/>
                              </a:ext>
                            </a:extLst>
                          </a:blip>
                          <a:stretch>
                            <a:fillRect/>
                          </a:stretch>
                        </pic:blipFill>
                        <pic:spPr>
                          <a:xfrm>
                            <a:off x="0" y="0"/>
                            <a:ext cx="1630800" cy="1148400"/>
                          </a:xfrm>
                          <a:prstGeom prst="rect">
                            <a:avLst/>
                          </a:prstGeom>
                        </pic:spPr>
                      </pic:pic>
                    </a:graphicData>
                  </a:graphic>
                  <wp14:sizeRelH relativeFrom="page">
                    <wp14:pctWidth>0</wp14:pctWidth>
                  </wp14:sizeRelH>
                  <wp14:sizeRelV relativeFrom="page">
                    <wp14:pctHeight>0</wp14:pctHeight>
                  </wp14:sizeRelV>
                </wp:anchor>
              </w:drawing>
            </w:r>
          </w:p>
        </w:tc>
        <w:tc>
          <w:tcPr>
            <w:tcW w:w="2268" w:type="dxa"/>
            <w:shd w:val="clear" w:color="auto" w:fill="auto"/>
            <w:hideMark/>
          </w:tcPr>
          <w:p w:rsidR="00226205" w:rsidRPr="00226205" w:rsidRDefault="00226205" w:rsidP="00A54993">
            <w:pPr>
              <w:jc w:val="left"/>
              <w:rPr>
                <w:rFonts w:ascii="Calibri" w:hAnsi="Calibri" w:cs="Calibri"/>
                <w:color w:val="000000"/>
                <w:sz w:val="18"/>
                <w:szCs w:val="18"/>
              </w:rPr>
            </w:pPr>
            <w:r w:rsidRPr="00226205">
              <w:rPr>
                <w:rFonts w:ascii="Calibri" w:hAnsi="Calibri" w:cs="Calibri"/>
                <w:color w:val="000000"/>
                <w:sz w:val="18"/>
                <w:szCs w:val="18"/>
              </w:rPr>
              <w:t xml:space="preserve">Lunchroom and Toilets, Fitzroy Depot- 111 Queens Parade, North Fitzroy </w:t>
            </w:r>
          </w:p>
        </w:tc>
        <w:tc>
          <w:tcPr>
            <w:tcW w:w="1276" w:type="dxa"/>
            <w:shd w:val="clear" w:color="auto" w:fill="auto"/>
            <w:hideMark/>
          </w:tcPr>
          <w:p w:rsidR="00226205" w:rsidRPr="00226205" w:rsidRDefault="009965C5" w:rsidP="009965C5">
            <w:pPr>
              <w:tabs>
                <w:tab w:val="decimal" w:pos="884"/>
              </w:tabs>
              <w:jc w:val="left"/>
              <w:rPr>
                <w:rFonts w:ascii="Calibri" w:hAnsi="Calibri" w:cs="Calibri"/>
                <w:color w:val="000000"/>
                <w:sz w:val="18"/>
                <w:szCs w:val="18"/>
              </w:rPr>
            </w:pPr>
            <w:r>
              <w:rPr>
                <w:rFonts w:ascii="Calibri" w:hAnsi="Calibri" w:cs="Calibri"/>
                <w:color w:val="000000"/>
                <w:sz w:val="18"/>
                <w:szCs w:val="18"/>
              </w:rPr>
              <w:t>$</w:t>
            </w:r>
            <w:r w:rsidR="00226205" w:rsidRPr="00226205">
              <w:rPr>
                <w:rFonts w:ascii="Calibri" w:hAnsi="Calibri" w:cs="Calibri"/>
                <w:color w:val="000000"/>
                <w:sz w:val="18"/>
                <w:szCs w:val="18"/>
              </w:rPr>
              <w:t>137,256</w:t>
            </w:r>
          </w:p>
        </w:tc>
        <w:tc>
          <w:tcPr>
            <w:tcW w:w="1134" w:type="dxa"/>
            <w:shd w:val="clear" w:color="auto" w:fill="auto"/>
            <w:hideMark/>
          </w:tcPr>
          <w:p w:rsidR="00226205" w:rsidRPr="00226205" w:rsidRDefault="00226205" w:rsidP="00226205">
            <w:pPr>
              <w:jc w:val="center"/>
              <w:rPr>
                <w:rFonts w:ascii="Calibri" w:hAnsi="Calibri" w:cs="Calibri"/>
                <w:color w:val="000000"/>
                <w:sz w:val="18"/>
                <w:szCs w:val="18"/>
              </w:rPr>
            </w:pPr>
            <w:r w:rsidRPr="00226205">
              <w:rPr>
                <w:rFonts w:ascii="Calibri" w:hAnsi="Calibri" w:cs="Calibri"/>
                <w:color w:val="000000"/>
                <w:sz w:val="18"/>
                <w:szCs w:val="18"/>
              </w:rPr>
              <w:t>Council Operations</w:t>
            </w:r>
          </w:p>
        </w:tc>
        <w:tc>
          <w:tcPr>
            <w:tcW w:w="1417" w:type="dxa"/>
            <w:shd w:val="clear" w:color="auto" w:fill="auto"/>
            <w:hideMark/>
          </w:tcPr>
          <w:p w:rsidR="00226205" w:rsidRPr="00226205" w:rsidRDefault="00226205" w:rsidP="00226205">
            <w:pPr>
              <w:jc w:val="center"/>
              <w:rPr>
                <w:rFonts w:ascii="Calibri" w:hAnsi="Calibri" w:cs="Calibri"/>
                <w:color w:val="000000"/>
                <w:sz w:val="18"/>
                <w:szCs w:val="18"/>
              </w:rPr>
            </w:pPr>
            <w:r w:rsidRPr="00226205">
              <w:rPr>
                <w:rFonts w:ascii="Calibri" w:hAnsi="Calibri" w:cs="Calibri"/>
                <w:color w:val="000000"/>
                <w:sz w:val="18"/>
                <w:szCs w:val="18"/>
              </w:rPr>
              <w:t>Offices /Administration</w:t>
            </w:r>
          </w:p>
        </w:tc>
        <w:tc>
          <w:tcPr>
            <w:tcW w:w="2410" w:type="dxa"/>
            <w:shd w:val="clear" w:color="auto" w:fill="auto"/>
            <w:hideMark/>
          </w:tcPr>
          <w:p w:rsidR="00226205" w:rsidRPr="00226205" w:rsidRDefault="00226205" w:rsidP="00226205">
            <w:pPr>
              <w:jc w:val="left"/>
              <w:rPr>
                <w:rFonts w:ascii="Calibri" w:hAnsi="Calibri" w:cs="Calibri"/>
                <w:color w:val="000000"/>
                <w:sz w:val="18"/>
                <w:szCs w:val="18"/>
              </w:rPr>
            </w:pPr>
            <w:r w:rsidRPr="00226205">
              <w:rPr>
                <w:rFonts w:ascii="Calibri" w:hAnsi="Calibri" w:cs="Calibri"/>
                <w:color w:val="000000"/>
                <w:sz w:val="18"/>
                <w:szCs w:val="18"/>
              </w:rPr>
              <w:t xml:space="preserve">The building is generally in a fair condition. </w:t>
            </w:r>
          </w:p>
        </w:tc>
        <w:tc>
          <w:tcPr>
            <w:tcW w:w="3118" w:type="dxa"/>
            <w:shd w:val="clear" w:color="auto" w:fill="auto"/>
            <w:hideMark/>
          </w:tcPr>
          <w:p w:rsidR="00226205" w:rsidRPr="00226205" w:rsidRDefault="00840CD9" w:rsidP="00840CD9">
            <w:pPr>
              <w:jc w:val="left"/>
              <w:rPr>
                <w:rFonts w:ascii="Calibri" w:hAnsi="Calibri" w:cs="Calibri"/>
                <w:color w:val="000000"/>
                <w:sz w:val="18"/>
                <w:szCs w:val="18"/>
              </w:rPr>
            </w:pPr>
            <w:r>
              <w:rPr>
                <w:rFonts w:ascii="Calibri" w:hAnsi="Calibri" w:cs="Calibri"/>
                <w:color w:val="000000"/>
                <w:sz w:val="18"/>
                <w:szCs w:val="18"/>
              </w:rPr>
              <w:t>A</w:t>
            </w:r>
            <w:r w:rsidR="00226205" w:rsidRPr="00226205">
              <w:rPr>
                <w:rFonts w:ascii="Calibri" w:hAnsi="Calibri" w:cs="Calibri"/>
                <w:color w:val="000000"/>
                <w:sz w:val="18"/>
                <w:szCs w:val="18"/>
              </w:rPr>
              <w:t>ged, some plumbing/sewer problems with toilets.</w:t>
            </w:r>
          </w:p>
        </w:tc>
      </w:tr>
      <w:tr w:rsidR="00226205" w:rsidRPr="00226205" w:rsidTr="00B77D83">
        <w:trPr>
          <w:cantSplit/>
          <w:trHeight w:val="2202"/>
        </w:trPr>
        <w:tc>
          <w:tcPr>
            <w:tcW w:w="998" w:type="dxa"/>
            <w:shd w:val="clear" w:color="auto" w:fill="auto"/>
            <w:hideMark/>
          </w:tcPr>
          <w:p w:rsidR="00226205" w:rsidRPr="00226205" w:rsidRDefault="00226205" w:rsidP="006918D2">
            <w:pPr>
              <w:jc w:val="center"/>
              <w:rPr>
                <w:rFonts w:ascii="Calibri" w:hAnsi="Calibri" w:cs="Calibri"/>
                <w:color w:val="000000"/>
                <w:sz w:val="18"/>
                <w:szCs w:val="18"/>
              </w:rPr>
            </w:pPr>
            <w:r w:rsidRPr="00226205">
              <w:rPr>
                <w:rFonts w:ascii="Calibri" w:hAnsi="Calibri" w:cs="Calibri"/>
                <w:color w:val="000000"/>
                <w:sz w:val="18"/>
                <w:szCs w:val="18"/>
              </w:rPr>
              <w:t>B000175</w:t>
            </w:r>
          </w:p>
        </w:tc>
        <w:tc>
          <w:tcPr>
            <w:tcW w:w="2693" w:type="dxa"/>
            <w:shd w:val="clear" w:color="auto" w:fill="auto"/>
            <w:hideMark/>
          </w:tcPr>
          <w:p w:rsidR="00226205" w:rsidRPr="00226205" w:rsidRDefault="00226205" w:rsidP="00226205">
            <w:pPr>
              <w:rPr>
                <w:rFonts w:ascii="Calibri" w:hAnsi="Calibri" w:cs="Calibri"/>
                <w:color w:val="000000"/>
                <w:sz w:val="18"/>
                <w:szCs w:val="18"/>
              </w:rPr>
            </w:pPr>
            <w:r w:rsidRPr="00226205">
              <w:rPr>
                <w:rFonts w:ascii="Calibri" w:hAnsi="Calibri" w:cs="Calibri"/>
                <w:noProof/>
                <w:color w:val="000000"/>
                <w:sz w:val="18"/>
                <w:szCs w:val="18"/>
              </w:rPr>
              <w:drawing>
                <wp:anchor distT="0" distB="0" distL="114300" distR="114300" simplePos="0" relativeHeight="251747840" behindDoc="0" locked="0" layoutInCell="1" allowOverlap="1" wp14:anchorId="63CEA7CB" wp14:editId="0A0805DE">
                  <wp:simplePos x="0" y="0"/>
                  <wp:positionH relativeFrom="column">
                    <wp:posOffset>-20955</wp:posOffset>
                  </wp:positionH>
                  <wp:positionV relativeFrom="paragraph">
                    <wp:posOffset>61155</wp:posOffset>
                  </wp:positionV>
                  <wp:extent cx="1630800" cy="1267200"/>
                  <wp:effectExtent l="0" t="0" r="0" b="0"/>
                  <wp:wrapNone/>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1"/>
                          <pic:cNvPicPr>
                            <a:picLocks noChangeAspect="1"/>
                          </pic:cNvPicPr>
                        </pic:nvPicPr>
                        <pic:blipFill>
                          <a:blip r:embed="rId193">
                            <a:extLst>
                              <a:ext uri="{28A0092B-C50C-407E-A947-70E740481C1C}">
                                <a14:useLocalDpi xmlns:a14="http://schemas.microsoft.com/office/drawing/2010/main" val="0"/>
                              </a:ext>
                            </a:extLst>
                          </a:blip>
                          <a:stretch>
                            <a:fillRect/>
                          </a:stretch>
                        </pic:blipFill>
                        <pic:spPr>
                          <a:xfrm>
                            <a:off x="0" y="0"/>
                            <a:ext cx="1630800" cy="1267200"/>
                          </a:xfrm>
                          <a:prstGeom prst="rect">
                            <a:avLst/>
                          </a:prstGeom>
                        </pic:spPr>
                      </pic:pic>
                    </a:graphicData>
                  </a:graphic>
                  <wp14:sizeRelH relativeFrom="page">
                    <wp14:pctWidth>0</wp14:pctWidth>
                  </wp14:sizeRelH>
                  <wp14:sizeRelV relativeFrom="page">
                    <wp14:pctHeight>0</wp14:pctHeight>
                  </wp14:sizeRelV>
                </wp:anchor>
              </w:drawing>
            </w:r>
          </w:p>
        </w:tc>
        <w:tc>
          <w:tcPr>
            <w:tcW w:w="2268" w:type="dxa"/>
            <w:shd w:val="clear" w:color="auto" w:fill="auto"/>
            <w:hideMark/>
          </w:tcPr>
          <w:p w:rsidR="00226205" w:rsidRPr="00226205" w:rsidRDefault="00226205" w:rsidP="00A54993">
            <w:pPr>
              <w:jc w:val="left"/>
              <w:rPr>
                <w:rFonts w:ascii="Calibri" w:hAnsi="Calibri" w:cs="Calibri"/>
                <w:color w:val="000000"/>
                <w:sz w:val="18"/>
                <w:szCs w:val="18"/>
              </w:rPr>
            </w:pPr>
            <w:r w:rsidRPr="00226205">
              <w:rPr>
                <w:rFonts w:ascii="Calibri" w:hAnsi="Calibri" w:cs="Calibri"/>
                <w:color w:val="000000"/>
                <w:sz w:val="18"/>
                <w:szCs w:val="18"/>
              </w:rPr>
              <w:t>Mechanics Workshop, Fitzroy Depot- 111 Queens Parade, North Fitzroy</w:t>
            </w:r>
          </w:p>
        </w:tc>
        <w:tc>
          <w:tcPr>
            <w:tcW w:w="1276" w:type="dxa"/>
            <w:shd w:val="clear" w:color="auto" w:fill="auto"/>
            <w:hideMark/>
          </w:tcPr>
          <w:p w:rsidR="00226205" w:rsidRPr="00226205" w:rsidRDefault="009965C5" w:rsidP="009965C5">
            <w:pPr>
              <w:tabs>
                <w:tab w:val="decimal" w:pos="884"/>
              </w:tabs>
              <w:jc w:val="left"/>
              <w:rPr>
                <w:rFonts w:ascii="Calibri" w:hAnsi="Calibri" w:cs="Calibri"/>
                <w:color w:val="000000"/>
                <w:sz w:val="18"/>
                <w:szCs w:val="18"/>
              </w:rPr>
            </w:pPr>
            <w:r>
              <w:rPr>
                <w:rFonts w:ascii="Calibri" w:hAnsi="Calibri" w:cs="Calibri"/>
                <w:color w:val="000000"/>
                <w:sz w:val="18"/>
                <w:szCs w:val="18"/>
              </w:rPr>
              <w:t>$</w:t>
            </w:r>
            <w:r w:rsidR="00226205" w:rsidRPr="00226205">
              <w:rPr>
                <w:rFonts w:ascii="Calibri" w:hAnsi="Calibri" w:cs="Calibri"/>
                <w:color w:val="000000"/>
                <w:sz w:val="18"/>
                <w:szCs w:val="18"/>
              </w:rPr>
              <w:t>201,630</w:t>
            </w:r>
          </w:p>
        </w:tc>
        <w:tc>
          <w:tcPr>
            <w:tcW w:w="1134" w:type="dxa"/>
            <w:shd w:val="clear" w:color="auto" w:fill="auto"/>
            <w:hideMark/>
          </w:tcPr>
          <w:p w:rsidR="00226205" w:rsidRPr="00226205" w:rsidRDefault="00226205" w:rsidP="00226205">
            <w:pPr>
              <w:jc w:val="center"/>
              <w:rPr>
                <w:rFonts w:ascii="Calibri" w:hAnsi="Calibri" w:cs="Calibri"/>
                <w:color w:val="000000"/>
                <w:sz w:val="18"/>
                <w:szCs w:val="18"/>
              </w:rPr>
            </w:pPr>
            <w:r w:rsidRPr="00226205">
              <w:rPr>
                <w:rFonts w:ascii="Calibri" w:hAnsi="Calibri" w:cs="Calibri"/>
                <w:color w:val="000000"/>
                <w:sz w:val="18"/>
                <w:szCs w:val="18"/>
              </w:rPr>
              <w:t>Council Operations</w:t>
            </w:r>
          </w:p>
        </w:tc>
        <w:tc>
          <w:tcPr>
            <w:tcW w:w="1417" w:type="dxa"/>
            <w:shd w:val="clear" w:color="auto" w:fill="auto"/>
            <w:hideMark/>
          </w:tcPr>
          <w:p w:rsidR="00226205" w:rsidRPr="00226205" w:rsidRDefault="00226205" w:rsidP="00226205">
            <w:pPr>
              <w:jc w:val="center"/>
              <w:rPr>
                <w:rFonts w:ascii="Calibri" w:hAnsi="Calibri" w:cs="Calibri"/>
                <w:color w:val="000000"/>
                <w:sz w:val="18"/>
                <w:szCs w:val="18"/>
              </w:rPr>
            </w:pPr>
            <w:r w:rsidRPr="00226205">
              <w:rPr>
                <w:rFonts w:ascii="Calibri" w:hAnsi="Calibri" w:cs="Calibri"/>
                <w:color w:val="000000"/>
                <w:sz w:val="18"/>
                <w:szCs w:val="18"/>
              </w:rPr>
              <w:t>Stores / Sheds / Garages</w:t>
            </w:r>
          </w:p>
        </w:tc>
        <w:tc>
          <w:tcPr>
            <w:tcW w:w="2410" w:type="dxa"/>
            <w:shd w:val="clear" w:color="auto" w:fill="auto"/>
            <w:hideMark/>
          </w:tcPr>
          <w:p w:rsidR="00226205" w:rsidRPr="00226205" w:rsidRDefault="00226205" w:rsidP="00226205">
            <w:pPr>
              <w:jc w:val="left"/>
              <w:rPr>
                <w:rFonts w:ascii="Calibri" w:hAnsi="Calibri" w:cs="Calibri"/>
                <w:color w:val="000000"/>
                <w:sz w:val="18"/>
                <w:szCs w:val="18"/>
              </w:rPr>
            </w:pPr>
            <w:r w:rsidRPr="00226205">
              <w:rPr>
                <w:rFonts w:ascii="Calibri" w:hAnsi="Calibri" w:cs="Calibri"/>
                <w:color w:val="000000"/>
                <w:sz w:val="18"/>
                <w:szCs w:val="18"/>
              </w:rPr>
              <w:t xml:space="preserve">The building is generally in a fair condition. </w:t>
            </w:r>
          </w:p>
        </w:tc>
        <w:tc>
          <w:tcPr>
            <w:tcW w:w="3118" w:type="dxa"/>
            <w:shd w:val="clear" w:color="auto" w:fill="auto"/>
            <w:hideMark/>
          </w:tcPr>
          <w:p w:rsidR="00226205" w:rsidRPr="00226205" w:rsidRDefault="00226205" w:rsidP="00226205">
            <w:pPr>
              <w:jc w:val="left"/>
              <w:rPr>
                <w:rFonts w:ascii="Calibri" w:hAnsi="Calibri" w:cs="Calibri"/>
                <w:color w:val="000000"/>
                <w:sz w:val="18"/>
                <w:szCs w:val="18"/>
              </w:rPr>
            </w:pPr>
            <w:r w:rsidRPr="00226205">
              <w:rPr>
                <w:rFonts w:ascii="Calibri" w:hAnsi="Calibri" w:cs="Calibri"/>
                <w:color w:val="000000"/>
                <w:sz w:val="18"/>
                <w:szCs w:val="18"/>
              </w:rPr>
              <w:t>Needs upgrading, untidy and tired.</w:t>
            </w:r>
          </w:p>
        </w:tc>
      </w:tr>
      <w:tr w:rsidR="00226205" w:rsidRPr="00226205" w:rsidTr="00B77D83">
        <w:trPr>
          <w:cantSplit/>
          <w:trHeight w:val="2064"/>
        </w:trPr>
        <w:tc>
          <w:tcPr>
            <w:tcW w:w="998" w:type="dxa"/>
            <w:shd w:val="clear" w:color="auto" w:fill="auto"/>
            <w:hideMark/>
          </w:tcPr>
          <w:p w:rsidR="00226205" w:rsidRPr="00226205" w:rsidRDefault="00226205" w:rsidP="006918D2">
            <w:pPr>
              <w:jc w:val="center"/>
              <w:rPr>
                <w:rFonts w:ascii="Calibri" w:hAnsi="Calibri" w:cs="Calibri"/>
                <w:color w:val="000000"/>
                <w:sz w:val="18"/>
                <w:szCs w:val="18"/>
              </w:rPr>
            </w:pPr>
            <w:r w:rsidRPr="00226205">
              <w:rPr>
                <w:rFonts w:ascii="Calibri" w:hAnsi="Calibri" w:cs="Calibri"/>
                <w:color w:val="000000"/>
                <w:sz w:val="18"/>
                <w:szCs w:val="18"/>
              </w:rPr>
              <w:t>B000176</w:t>
            </w:r>
          </w:p>
        </w:tc>
        <w:tc>
          <w:tcPr>
            <w:tcW w:w="2693" w:type="dxa"/>
            <w:shd w:val="clear" w:color="auto" w:fill="auto"/>
            <w:hideMark/>
          </w:tcPr>
          <w:p w:rsidR="00226205" w:rsidRPr="00226205" w:rsidRDefault="00226205" w:rsidP="00226205">
            <w:pPr>
              <w:rPr>
                <w:rFonts w:ascii="Calibri" w:hAnsi="Calibri" w:cs="Calibri"/>
                <w:color w:val="000000"/>
                <w:sz w:val="18"/>
                <w:szCs w:val="18"/>
              </w:rPr>
            </w:pPr>
            <w:r w:rsidRPr="00226205">
              <w:rPr>
                <w:rFonts w:ascii="Calibri" w:hAnsi="Calibri" w:cs="Calibri"/>
                <w:noProof/>
                <w:color w:val="000000"/>
                <w:sz w:val="18"/>
                <w:szCs w:val="18"/>
              </w:rPr>
              <w:drawing>
                <wp:anchor distT="0" distB="0" distL="114300" distR="114300" simplePos="0" relativeHeight="251667967" behindDoc="0" locked="0" layoutInCell="1" allowOverlap="1" wp14:anchorId="70D5D76F" wp14:editId="56B6A998">
                  <wp:simplePos x="0" y="0"/>
                  <wp:positionH relativeFrom="column">
                    <wp:posOffset>-20955</wp:posOffset>
                  </wp:positionH>
                  <wp:positionV relativeFrom="paragraph">
                    <wp:posOffset>68580</wp:posOffset>
                  </wp:positionV>
                  <wp:extent cx="1630800" cy="1180800"/>
                  <wp:effectExtent l="0" t="0" r="0" b="0"/>
                  <wp:wrapNone/>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2"/>
                          <pic:cNvPicPr>
                            <a:picLocks noChangeAspect="1"/>
                          </pic:cNvPicPr>
                        </pic:nvPicPr>
                        <pic:blipFill>
                          <a:blip r:embed="rId194">
                            <a:extLst>
                              <a:ext uri="{28A0092B-C50C-407E-A947-70E740481C1C}">
                                <a14:useLocalDpi xmlns:a14="http://schemas.microsoft.com/office/drawing/2010/main" val="0"/>
                              </a:ext>
                            </a:extLst>
                          </a:blip>
                          <a:stretch>
                            <a:fillRect/>
                          </a:stretch>
                        </pic:blipFill>
                        <pic:spPr>
                          <a:xfrm>
                            <a:off x="0" y="0"/>
                            <a:ext cx="1630800" cy="1180800"/>
                          </a:xfrm>
                          <a:prstGeom prst="rect">
                            <a:avLst/>
                          </a:prstGeom>
                        </pic:spPr>
                      </pic:pic>
                    </a:graphicData>
                  </a:graphic>
                  <wp14:sizeRelH relativeFrom="page">
                    <wp14:pctWidth>0</wp14:pctWidth>
                  </wp14:sizeRelH>
                  <wp14:sizeRelV relativeFrom="page">
                    <wp14:pctHeight>0</wp14:pctHeight>
                  </wp14:sizeRelV>
                </wp:anchor>
              </w:drawing>
            </w:r>
          </w:p>
        </w:tc>
        <w:tc>
          <w:tcPr>
            <w:tcW w:w="2268" w:type="dxa"/>
            <w:shd w:val="clear" w:color="auto" w:fill="auto"/>
            <w:hideMark/>
          </w:tcPr>
          <w:p w:rsidR="00226205" w:rsidRPr="00226205" w:rsidRDefault="00226205" w:rsidP="00A54993">
            <w:pPr>
              <w:jc w:val="left"/>
              <w:rPr>
                <w:rFonts w:ascii="Calibri" w:hAnsi="Calibri" w:cs="Calibri"/>
                <w:color w:val="000000"/>
                <w:sz w:val="18"/>
                <w:szCs w:val="18"/>
              </w:rPr>
            </w:pPr>
            <w:r w:rsidRPr="00226205">
              <w:rPr>
                <w:rFonts w:ascii="Calibri" w:hAnsi="Calibri" w:cs="Calibri"/>
                <w:color w:val="000000"/>
                <w:sz w:val="18"/>
                <w:szCs w:val="18"/>
              </w:rPr>
              <w:t>Vehicle Parking Sheds, Fitzroy Depot- 111 Queens Parade, North Fitzroy</w:t>
            </w:r>
          </w:p>
        </w:tc>
        <w:tc>
          <w:tcPr>
            <w:tcW w:w="1276" w:type="dxa"/>
            <w:shd w:val="clear" w:color="auto" w:fill="auto"/>
            <w:hideMark/>
          </w:tcPr>
          <w:p w:rsidR="00226205" w:rsidRPr="00226205" w:rsidRDefault="009965C5" w:rsidP="009965C5">
            <w:pPr>
              <w:tabs>
                <w:tab w:val="decimal" w:pos="884"/>
              </w:tabs>
              <w:jc w:val="left"/>
              <w:rPr>
                <w:rFonts w:ascii="Calibri" w:hAnsi="Calibri" w:cs="Calibri"/>
                <w:color w:val="000000"/>
                <w:sz w:val="18"/>
                <w:szCs w:val="18"/>
              </w:rPr>
            </w:pPr>
            <w:r>
              <w:rPr>
                <w:rFonts w:ascii="Calibri" w:hAnsi="Calibri" w:cs="Calibri"/>
                <w:color w:val="000000"/>
                <w:sz w:val="18"/>
                <w:szCs w:val="18"/>
              </w:rPr>
              <w:t>$</w:t>
            </w:r>
            <w:r w:rsidR="00226205" w:rsidRPr="00226205">
              <w:rPr>
                <w:rFonts w:ascii="Calibri" w:hAnsi="Calibri" w:cs="Calibri"/>
                <w:color w:val="000000"/>
                <w:sz w:val="18"/>
                <w:szCs w:val="18"/>
              </w:rPr>
              <w:t>100,000</w:t>
            </w:r>
          </w:p>
        </w:tc>
        <w:tc>
          <w:tcPr>
            <w:tcW w:w="1134" w:type="dxa"/>
            <w:shd w:val="clear" w:color="auto" w:fill="auto"/>
            <w:hideMark/>
          </w:tcPr>
          <w:p w:rsidR="00226205" w:rsidRPr="00226205" w:rsidRDefault="00226205" w:rsidP="00226205">
            <w:pPr>
              <w:jc w:val="center"/>
              <w:rPr>
                <w:rFonts w:ascii="Calibri" w:hAnsi="Calibri" w:cs="Calibri"/>
                <w:color w:val="000000"/>
                <w:sz w:val="18"/>
                <w:szCs w:val="18"/>
              </w:rPr>
            </w:pPr>
            <w:r w:rsidRPr="00226205">
              <w:rPr>
                <w:rFonts w:ascii="Calibri" w:hAnsi="Calibri" w:cs="Calibri"/>
                <w:color w:val="000000"/>
                <w:sz w:val="18"/>
                <w:szCs w:val="18"/>
              </w:rPr>
              <w:t>Council Operations</w:t>
            </w:r>
          </w:p>
        </w:tc>
        <w:tc>
          <w:tcPr>
            <w:tcW w:w="1417" w:type="dxa"/>
            <w:shd w:val="clear" w:color="auto" w:fill="auto"/>
            <w:hideMark/>
          </w:tcPr>
          <w:p w:rsidR="00226205" w:rsidRPr="00226205" w:rsidRDefault="00226205" w:rsidP="00226205">
            <w:pPr>
              <w:jc w:val="center"/>
              <w:rPr>
                <w:rFonts w:ascii="Calibri" w:hAnsi="Calibri" w:cs="Calibri"/>
                <w:color w:val="000000"/>
                <w:sz w:val="18"/>
                <w:szCs w:val="18"/>
              </w:rPr>
            </w:pPr>
            <w:r w:rsidRPr="00226205">
              <w:rPr>
                <w:rFonts w:ascii="Calibri" w:hAnsi="Calibri" w:cs="Calibri"/>
                <w:color w:val="000000"/>
                <w:sz w:val="18"/>
                <w:szCs w:val="18"/>
              </w:rPr>
              <w:t>Stores / Sheds / Garages</w:t>
            </w:r>
          </w:p>
        </w:tc>
        <w:tc>
          <w:tcPr>
            <w:tcW w:w="2410" w:type="dxa"/>
            <w:shd w:val="clear" w:color="auto" w:fill="auto"/>
            <w:hideMark/>
          </w:tcPr>
          <w:p w:rsidR="00226205" w:rsidRPr="00226205" w:rsidRDefault="00226205" w:rsidP="00226205">
            <w:pPr>
              <w:jc w:val="left"/>
              <w:rPr>
                <w:rFonts w:ascii="Calibri" w:hAnsi="Calibri" w:cs="Calibri"/>
                <w:color w:val="000000"/>
                <w:sz w:val="18"/>
                <w:szCs w:val="18"/>
              </w:rPr>
            </w:pPr>
            <w:r w:rsidRPr="00226205">
              <w:rPr>
                <w:rFonts w:ascii="Calibri" w:hAnsi="Calibri" w:cs="Calibri"/>
                <w:color w:val="000000"/>
                <w:sz w:val="18"/>
                <w:szCs w:val="18"/>
              </w:rPr>
              <w:t xml:space="preserve">The building is generally in a fair condition. </w:t>
            </w:r>
          </w:p>
        </w:tc>
        <w:tc>
          <w:tcPr>
            <w:tcW w:w="3118" w:type="dxa"/>
            <w:shd w:val="clear" w:color="auto" w:fill="auto"/>
            <w:hideMark/>
          </w:tcPr>
          <w:p w:rsidR="00226205" w:rsidRPr="00226205" w:rsidRDefault="00226205" w:rsidP="00226205">
            <w:pPr>
              <w:jc w:val="left"/>
              <w:rPr>
                <w:rFonts w:ascii="Calibri" w:hAnsi="Calibri" w:cs="Calibri"/>
                <w:color w:val="000000"/>
                <w:sz w:val="18"/>
                <w:szCs w:val="18"/>
              </w:rPr>
            </w:pPr>
            <w:r w:rsidRPr="00226205">
              <w:rPr>
                <w:rFonts w:ascii="Calibri" w:hAnsi="Calibri" w:cs="Calibri"/>
                <w:color w:val="000000"/>
                <w:sz w:val="18"/>
                <w:szCs w:val="18"/>
              </w:rPr>
              <w:t>Tired and old.</w:t>
            </w:r>
          </w:p>
        </w:tc>
      </w:tr>
      <w:tr w:rsidR="00226205" w:rsidRPr="00226205" w:rsidTr="00B77D83">
        <w:trPr>
          <w:cantSplit/>
          <w:trHeight w:val="1893"/>
        </w:trPr>
        <w:tc>
          <w:tcPr>
            <w:tcW w:w="998" w:type="dxa"/>
            <w:shd w:val="clear" w:color="auto" w:fill="auto"/>
            <w:hideMark/>
          </w:tcPr>
          <w:p w:rsidR="00226205" w:rsidRPr="00226205" w:rsidRDefault="00226205" w:rsidP="006918D2">
            <w:pPr>
              <w:jc w:val="center"/>
              <w:rPr>
                <w:rFonts w:ascii="Calibri" w:hAnsi="Calibri" w:cs="Calibri"/>
                <w:color w:val="000000"/>
                <w:sz w:val="18"/>
                <w:szCs w:val="18"/>
              </w:rPr>
            </w:pPr>
            <w:r w:rsidRPr="00226205">
              <w:rPr>
                <w:rFonts w:ascii="Calibri" w:hAnsi="Calibri" w:cs="Calibri"/>
                <w:color w:val="000000"/>
                <w:sz w:val="18"/>
                <w:szCs w:val="18"/>
              </w:rPr>
              <w:t>B000178</w:t>
            </w:r>
          </w:p>
        </w:tc>
        <w:tc>
          <w:tcPr>
            <w:tcW w:w="2693" w:type="dxa"/>
            <w:shd w:val="clear" w:color="auto" w:fill="auto"/>
            <w:hideMark/>
          </w:tcPr>
          <w:p w:rsidR="00226205" w:rsidRPr="00226205" w:rsidRDefault="00226205" w:rsidP="00226205">
            <w:pPr>
              <w:rPr>
                <w:rFonts w:ascii="Calibri" w:hAnsi="Calibri" w:cs="Calibri"/>
                <w:color w:val="000000"/>
                <w:sz w:val="18"/>
                <w:szCs w:val="18"/>
              </w:rPr>
            </w:pPr>
            <w:r w:rsidRPr="00226205">
              <w:rPr>
                <w:rFonts w:ascii="Calibri" w:hAnsi="Calibri" w:cs="Calibri"/>
                <w:noProof/>
                <w:color w:val="000000"/>
                <w:sz w:val="18"/>
                <w:szCs w:val="18"/>
              </w:rPr>
              <w:drawing>
                <wp:anchor distT="0" distB="0" distL="114300" distR="114300" simplePos="0" relativeHeight="251749888" behindDoc="0" locked="0" layoutInCell="1" allowOverlap="1" wp14:anchorId="38951831" wp14:editId="4ACDDFD3">
                  <wp:simplePos x="0" y="0"/>
                  <wp:positionH relativeFrom="column">
                    <wp:posOffset>-20955</wp:posOffset>
                  </wp:positionH>
                  <wp:positionV relativeFrom="paragraph">
                    <wp:posOffset>36390</wp:posOffset>
                  </wp:positionV>
                  <wp:extent cx="1630800" cy="1123200"/>
                  <wp:effectExtent l="0" t="0" r="0" b="0"/>
                  <wp:wrapNone/>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3"/>
                          <pic:cNvPicPr>
                            <a:picLocks noChangeAspect="1"/>
                          </pic:cNvPicPr>
                        </pic:nvPicPr>
                        <pic:blipFill>
                          <a:blip r:embed="rId195">
                            <a:extLst>
                              <a:ext uri="{28A0092B-C50C-407E-A947-70E740481C1C}">
                                <a14:useLocalDpi xmlns:a14="http://schemas.microsoft.com/office/drawing/2010/main" val="0"/>
                              </a:ext>
                            </a:extLst>
                          </a:blip>
                          <a:stretch>
                            <a:fillRect/>
                          </a:stretch>
                        </pic:blipFill>
                        <pic:spPr>
                          <a:xfrm>
                            <a:off x="0" y="0"/>
                            <a:ext cx="1630800" cy="1123200"/>
                          </a:xfrm>
                          <a:prstGeom prst="rect">
                            <a:avLst/>
                          </a:prstGeom>
                        </pic:spPr>
                      </pic:pic>
                    </a:graphicData>
                  </a:graphic>
                  <wp14:sizeRelH relativeFrom="page">
                    <wp14:pctWidth>0</wp14:pctWidth>
                  </wp14:sizeRelH>
                  <wp14:sizeRelV relativeFrom="page">
                    <wp14:pctHeight>0</wp14:pctHeight>
                  </wp14:sizeRelV>
                </wp:anchor>
              </w:drawing>
            </w:r>
          </w:p>
        </w:tc>
        <w:tc>
          <w:tcPr>
            <w:tcW w:w="2268" w:type="dxa"/>
            <w:shd w:val="clear" w:color="auto" w:fill="auto"/>
            <w:hideMark/>
          </w:tcPr>
          <w:p w:rsidR="00226205" w:rsidRPr="00226205" w:rsidRDefault="00226205" w:rsidP="00A54993">
            <w:pPr>
              <w:jc w:val="left"/>
              <w:rPr>
                <w:rFonts w:ascii="Calibri" w:hAnsi="Calibri" w:cs="Calibri"/>
                <w:color w:val="000000"/>
                <w:sz w:val="18"/>
                <w:szCs w:val="18"/>
              </w:rPr>
            </w:pPr>
            <w:r w:rsidRPr="00226205">
              <w:rPr>
                <w:rFonts w:ascii="Calibri" w:hAnsi="Calibri" w:cs="Calibri"/>
                <w:color w:val="000000"/>
                <w:sz w:val="18"/>
                <w:szCs w:val="18"/>
              </w:rPr>
              <w:t>Store Fitzroy Depot-  111 Queens Parade, North Fitzroy</w:t>
            </w:r>
          </w:p>
        </w:tc>
        <w:tc>
          <w:tcPr>
            <w:tcW w:w="1276" w:type="dxa"/>
            <w:shd w:val="clear" w:color="auto" w:fill="auto"/>
            <w:hideMark/>
          </w:tcPr>
          <w:p w:rsidR="00226205" w:rsidRPr="00226205" w:rsidRDefault="009965C5" w:rsidP="009965C5">
            <w:pPr>
              <w:tabs>
                <w:tab w:val="decimal" w:pos="884"/>
              </w:tabs>
              <w:jc w:val="left"/>
              <w:rPr>
                <w:rFonts w:ascii="Calibri" w:hAnsi="Calibri" w:cs="Calibri"/>
                <w:color w:val="000000"/>
                <w:sz w:val="18"/>
                <w:szCs w:val="18"/>
              </w:rPr>
            </w:pPr>
            <w:r>
              <w:rPr>
                <w:rFonts w:ascii="Calibri" w:hAnsi="Calibri" w:cs="Calibri"/>
                <w:color w:val="000000"/>
                <w:sz w:val="18"/>
                <w:szCs w:val="18"/>
              </w:rPr>
              <w:t>$</w:t>
            </w:r>
            <w:r w:rsidR="00226205" w:rsidRPr="00226205">
              <w:rPr>
                <w:rFonts w:ascii="Calibri" w:hAnsi="Calibri" w:cs="Calibri"/>
                <w:color w:val="000000"/>
                <w:sz w:val="18"/>
                <w:szCs w:val="18"/>
              </w:rPr>
              <w:t>20,000</w:t>
            </w:r>
          </w:p>
        </w:tc>
        <w:tc>
          <w:tcPr>
            <w:tcW w:w="1134" w:type="dxa"/>
            <w:shd w:val="clear" w:color="auto" w:fill="auto"/>
            <w:hideMark/>
          </w:tcPr>
          <w:p w:rsidR="00226205" w:rsidRPr="00226205" w:rsidRDefault="00226205" w:rsidP="00226205">
            <w:pPr>
              <w:jc w:val="center"/>
              <w:rPr>
                <w:rFonts w:ascii="Calibri" w:hAnsi="Calibri" w:cs="Calibri"/>
                <w:color w:val="000000"/>
                <w:sz w:val="18"/>
                <w:szCs w:val="18"/>
              </w:rPr>
            </w:pPr>
            <w:r w:rsidRPr="00226205">
              <w:rPr>
                <w:rFonts w:ascii="Calibri" w:hAnsi="Calibri" w:cs="Calibri"/>
                <w:color w:val="000000"/>
                <w:sz w:val="18"/>
                <w:szCs w:val="18"/>
              </w:rPr>
              <w:t>Council Operations</w:t>
            </w:r>
          </w:p>
        </w:tc>
        <w:tc>
          <w:tcPr>
            <w:tcW w:w="1417" w:type="dxa"/>
            <w:shd w:val="clear" w:color="auto" w:fill="auto"/>
            <w:hideMark/>
          </w:tcPr>
          <w:p w:rsidR="00226205" w:rsidRPr="00226205" w:rsidRDefault="00226205" w:rsidP="00226205">
            <w:pPr>
              <w:jc w:val="center"/>
              <w:rPr>
                <w:rFonts w:ascii="Calibri" w:hAnsi="Calibri" w:cs="Calibri"/>
                <w:color w:val="000000"/>
                <w:sz w:val="18"/>
                <w:szCs w:val="18"/>
              </w:rPr>
            </w:pPr>
            <w:r w:rsidRPr="00226205">
              <w:rPr>
                <w:rFonts w:ascii="Calibri" w:hAnsi="Calibri" w:cs="Calibri"/>
                <w:color w:val="000000"/>
                <w:sz w:val="18"/>
                <w:szCs w:val="18"/>
              </w:rPr>
              <w:t>Stores / Sheds / Garages</w:t>
            </w:r>
          </w:p>
        </w:tc>
        <w:tc>
          <w:tcPr>
            <w:tcW w:w="2410" w:type="dxa"/>
            <w:shd w:val="clear" w:color="auto" w:fill="auto"/>
            <w:hideMark/>
          </w:tcPr>
          <w:p w:rsidR="00226205" w:rsidRPr="00226205" w:rsidRDefault="00226205" w:rsidP="00226205">
            <w:pPr>
              <w:jc w:val="left"/>
              <w:rPr>
                <w:rFonts w:ascii="Calibri" w:hAnsi="Calibri" w:cs="Calibri"/>
                <w:color w:val="000000"/>
                <w:sz w:val="18"/>
                <w:szCs w:val="18"/>
              </w:rPr>
            </w:pPr>
            <w:r w:rsidRPr="00226205">
              <w:rPr>
                <w:rFonts w:ascii="Calibri" w:hAnsi="Calibri" w:cs="Calibri"/>
                <w:color w:val="000000"/>
                <w:sz w:val="18"/>
                <w:szCs w:val="18"/>
              </w:rPr>
              <w:t xml:space="preserve">The building is generally in a poor condition. </w:t>
            </w:r>
          </w:p>
        </w:tc>
        <w:tc>
          <w:tcPr>
            <w:tcW w:w="3118" w:type="dxa"/>
            <w:shd w:val="clear" w:color="auto" w:fill="auto"/>
            <w:hideMark/>
          </w:tcPr>
          <w:p w:rsidR="00226205" w:rsidRPr="00226205" w:rsidRDefault="00226205" w:rsidP="00226205">
            <w:pPr>
              <w:jc w:val="left"/>
              <w:rPr>
                <w:rFonts w:ascii="Calibri" w:hAnsi="Calibri" w:cs="Calibri"/>
                <w:color w:val="000000"/>
                <w:sz w:val="18"/>
                <w:szCs w:val="18"/>
              </w:rPr>
            </w:pPr>
            <w:r w:rsidRPr="00226205">
              <w:rPr>
                <w:rFonts w:ascii="Calibri" w:hAnsi="Calibri" w:cs="Calibri"/>
                <w:color w:val="000000"/>
                <w:sz w:val="18"/>
                <w:szCs w:val="18"/>
              </w:rPr>
              <w:t>Future needs report on depots should form basis of future improvements.</w:t>
            </w:r>
          </w:p>
        </w:tc>
      </w:tr>
      <w:tr w:rsidR="00226205" w:rsidRPr="00226205" w:rsidTr="00B77D83">
        <w:trPr>
          <w:cantSplit/>
          <w:trHeight w:val="2052"/>
        </w:trPr>
        <w:tc>
          <w:tcPr>
            <w:tcW w:w="998" w:type="dxa"/>
            <w:shd w:val="clear" w:color="auto" w:fill="auto"/>
            <w:hideMark/>
          </w:tcPr>
          <w:p w:rsidR="00226205" w:rsidRPr="00226205" w:rsidRDefault="00226205" w:rsidP="006918D2">
            <w:pPr>
              <w:jc w:val="center"/>
              <w:rPr>
                <w:rFonts w:ascii="Calibri" w:hAnsi="Calibri" w:cs="Calibri"/>
                <w:color w:val="000000"/>
                <w:sz w:val="18"/>
                <w:szCs w:val="18"/>
              </w:rPr>
            </w:pPr>
            <w:r w:rsidRPr="00226205">
              <w:rPr>
                <w:rFonts w:ascii="Calibri" w:hAnsi="Calibri" w:cs="Calibri"/>
                <w:color w:val="000000"/>
                <w:sz w:val="18"/>
                <w:szCs w:val="18"/>
              </w:rPr>
              <w:t>B000179</w:t>
            </w:r>
          </w:p>
        </w:tc>
        <w:tc>
          <w:tcPr>
            <w:tcW w:w="2693" w:type="dxa"/>
            <w:shd w:val="clear" w:color="auto" w:fill="auto"/>
            <w:hideMark/>
          </w:tcPr>
          <w:p w:rsidR="00226205" w:rsidRPr="00226205" w:rsidRDefault="00226205" w:rsidP="00226205">
            <w:pPr>
              <w:rPr>
                <w:rFonts w:ascii="Calibri" w:hAnsi="Calibri" w:cs="Calibri"/>
                <w:color w:val="000000"/>
                <w:sz w:val="18"/>
                <w:szCs w:val="18"/>
              </w:rPr>
            </w:pPr>
            <w:r w:rsidRPr="00226205">
              <w:rPr>
                <w:rFonts w:ascii="Calibri" w:hAnsi="Calibri" w:cs="Calibri"/>
                <w:noProof/>
                <w:color w:val="000000"/>
                <w:sz w:val="18"/>
                <w:szCs w:val="18"/>
              </w:rPr>
              <w:drawing>
                <wp:anchor distT="0" distB="0" distL="114300" distR="114300" simplePos="0" relativeHeight="251720192" behindDoc="0" locked="0" layoutInCell="1" allowOverlap="1" wp14:anchorId="57107B31" wp14:editId="2E52E2F7">
                  <wp:simplePos x="0" y="0"/>
                  <wp:positionH relativeFrom="column">
                    <wp:posOffset>-20955</wp:posOffset>
                  </wp:positionH>
                  <wp:positionV relativeFrom="paragraph">
                    <wp:posOffset>45720</wp:posOffset>
                  </wp:positionV>
                  <wp:extent cx="1630800" cy="1202400"/>
                  <wp:effectExtent l="0" t="0" r="0" b="0"/>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pic:cNvPicPr>
                            <a:picLocks noChangeAspect="1"/>
                          </pic:cNvPicPr>
                        </pic:nvPicPr>
                        <pic:blipFill>
                          <a:blip r:embed="rId196">
                            <a:extLst>
                              <a:ext uri="{28A0092B-C50C-407E-A947-70E740481C1C}">
                                <a14:useLocalDpi xmlns:a14="http://schemas.microsoft.com/office/drawing/2010/main" val="0"/>
                              </a:ext>
                            </a:extLst>
                          </a:blip>
                          <a:stretch>
                            <a:fillRect/>
                          </a:stretch>
                        </pic:blipFill>
                        <pic:spPr>
                          <a:xfrm>
                            <a:off x="0" y="0"/>
                            <a:ext cx="1630800" cy="1202400"/>
                          </a:xfrm>
                          <a:prstGeom prst="rect">
                            <a:avLst/>
                          </a:prstGeom>
                        </pic:spPr>
                      </pic:pic>
                    </a:graphicData>
                  </a:graphic>
                  <wp14:sizeRelH relativeFrom="page">
                    <wp14:pctWidth>0</wp14:pctWidth>
                  </wp14:sizeRelH>
                  <wp14:sizeRelV relativeFrom="page">
                    <wp14:pctHeight>0</wp14:pctHeight>
                  </wp14:sizeRelV>
                </wp:anchor>
              </w:drawing>
            </w:r>
          </w:p>
        </w:tc>
        <w:tc>
          <w:tcPr>
            <w:tcW w:w="2268" w:type="dxa"/>
            <w:shd w:val="clear" w:color="auto" w:fill="auto"/>
            <w:hideMark/>
          </w:tcPr>
          <w:p w:rsidR="00226205" w:rsidRPr="00226205" w:rsidRDefault="00226205" w:rsidP="00A54993">
            <w:pPr>
              <w:jc w:val="left"/>
              <w:rPr>
                <w:rFonts w:ascii="Calibri" w:hAnsi="Calibri" w:cs="Calibri"/>
                <w:color w:val="000000"/>
                <w:sz w:val="18"/>
                <w:szCs w:val="18"/>
              </w:rPr>
            </w:pPr>
            <w:r w:rsidRPr="00226205">
              <w:rPr>
                <w:rFonts w:ascii="Calibri" w:hAnsi="Calibri" w:cs="Calibri"/>
                <w:color w:val="000000"/>
                <w:sz w:val="18"/>
                <w:szCs w:val="18"/>
              </w:rPr>
              <w:t xml:space="preserve">Mark Street Hall- 11 Mark Street, Fitzroy North </w:t>
            </w:r>
          </w:p>
        </w:tc>
        <w:tc>
          <w:tcPr>
            <w:tcW w:w="1276" w:type="dxa"/>
            <w:shd w:val="clear" w:color="auto" w:fill="auto"/>
            <w:hideMark/>
          </w:tcPr>
          <w:p w:rsidR="00226205" w:rsidRPr="00226205" w:rsidRDefault="00226205" w:rsidP="009965C5">
            <w:pPr>
              <w:tabs>
                <w:tab w:val="decimal" w:pos="884"/>
              </w:tabs>
              <w:jc w:val="left"/>
              <w:rPr>
                <w:rFonts w:ascii="Calibri" w:hAnsi="Calibri" w:cs="Calibri"/>
                <w:color w:val="000000"/>
                <w:sz w:val="18"/>
                <w:szCs w:val="18"/>
              </w:rPr>
            </w:pPr>
            <w:r w:rsidRPr="00226205">
              <w:rPr>
                <w:rFonts w:ascii="Calibri" w:hAnsi="Calibri" w:cs="Calibri"/>
                <w:color w:val="000000"/>
                <w:sz w:val="18"/>
                <w:szCs w:val="18"/>
              </w:rPr>
              <w:t>$222,950</w:t>
            </w:r>
          </w:p>
        </w:tc>
        <w:tc>
          <w:tcPr>
            <w:tcW w:w="1134" w:type="dxa"/>
            <w:shd w:val="clear" w:color="auto" w:fill="auto"/>
            <w:hideMark/>
          </w:tcPr>
          <w:p w:rsidR="00226205" w:rsidRPr="00226205" w:rsidRDefault="00226205" w:rsidP="00226205">
            <w:pPr>
              <w:jc w:val="center"/>
              <w:rPr>
                <w:rFonts w:ascii="Calibri" w:hAnsi="Calibri" w:cs="Calibri"/>
                <w:color w:val="000000"/>
                <w:sz w:val="18"/>
                <w:szCs w:val="18"/>
              </w:rPr>
            </w:pPr>
            <w:r w:rsidRPr="00226205">
              <w:rPr>
                <w:rFonts w:ascii="Calibri" w:hAnsi="Calibri" w:cs="Calibri"/>
                <w:color w:val="000000"/>
                <w:sz w:val="18"/>
                <w:szCs w:val="18"/>
              </w:rPr>
              <w:t>Community Services</w:t>
            </w:r>
          </w:p>
        </w:tc>
        <w:tc>
          <w:tcPr>
            <w:tcW w:w="1417" w:type="dxa"/>
            <w:shd w:val="clear" w:color="auto" w:fill="auto"/>
            <w:hideMark/>
          </w:tcPr>
          <w:p w:rsidR="00226205" w:rsidRPr="00226205" w:rsidRDefault="00226205" w:rsidP="00226205">
            <w:pPr>
              <w:jc w:val="center"/>
              <w:rPr>
                <w:rFonts w:ascii="Calibri" w:hAnsi="Calibri" w:cs="Calibri"/>
                <w:color w:val="000000"/>
                <w:sz w:val="18"/>
                <w:szCs w:val="18"/>
              </w:rPr>
            </w:pPr>
            <w:r w:rsidRPr="00226205">
              <w:rPr>
                <w:rFonts w:ascii="Calibri" w:hAnsi="Calibri" w:cs="Calibri"/>
                <w:color w:val="000000"/>
                <w:sz w:val="18"/>
                <w:szCs w:val="18"/>
              </w:rPr>
              <w:t>Community Halls</w:t>
            </w:r>
          </w:p>
        </w:tc>
        <w:tc>
          <w:tcPr>
            <w:tcW w:w="2410" w:type="dxa"/>
            <w:shd w:val="clear" w:color="auto" w:fill="auto"/>
            <w:hideMark/>
          </w:tcPr>
          <w:p w:rsidR="00226205" w:rsidRPr="00226205" w:rsidRDefault="00226205" w:rsidP="00226205">
            <w:pPr>
              <w:jc w:val="left"/>
              <w:rPr>
                <w:rFonts w:ascii="Calibri" w:hAnsi="Calibri" w:cs="Calibri"/>
                <w:color w:val="000000"/>
                <w:sz w:val="18"/>
                <w:szCs w:val="18"/>
              </w:rPr>
            </w:pPr>
            <w:r w:rsidRPr="00226205">
              <w:rPr>
                <w:rFonts w:ascii="Calibri" w:hAnsi="Calibri" w:cs="Calibri"/>
                <w:color w:val="000000"/>
                <w:sz w:val="18"/>
                <w:szCs w:val="18"/>
              </w:rPr>
              <w:t>The building is in a good condition.</w:t>
            </w:r>
          </w:p>
        </w:tc>
        <w:tc>
          <w:tcPr>
            <w:tcW w:w="3118" w:type="dxa"/>
            <w:shd w:val="clear" w:color="auto" w:fill="auto"/>
            <w:hideMark/>
          </w:tcPr>
          <w:p w:rsidR="00226205" w:rsidRPr="00226205" w:rsidRDefault="00226205" w:rsidP="00840CD9">
            <w:pPr>
              <w:jc w:val="left"/>
              <w:rPr>
                <w:rFonts w:ascii="Calibri" w:hAnsi="Calibri" w:cs="Calibri"/>
                <w:color w:val="000000"/>
                <w:sz w:val="18"/>
                <w:szCs w:val="18"/>
              </w:rPr>
            </w:pPr>
            <w:r w:rsidRPr="00226205">
              <w:rPr>
                <w:rFonts w:ascii="Calibri" w:hAnsi="Calibri" w:cs="Calibri"/>
                <w:color w:val="000000"/>
                <w:sz w:val="18"/>
                <w:szCs w:val="18"/>
              </w:rPr>
              <w:t xml:space="preserve">Inadequate parking except for community buses to load and unload.  Location not ideal due to proximity of local residents, most service users live in Collingwood. Storage area needs to be improved shelving and space design. Kitchen is too small </w:t>
            </w:r>
            <w:r w:rsidR="00840CD9">
              <w:rPr>
                <w:rFonts w:ascii="Calibri" w:hAnsi="Calibri" w:cs="Calibri"/>
                <w:color w:val="000000"/>
                <w:sz w:val="18"/>
                <w:szCs w:val="18"/>
              </w:rPr>
              <w:t>and needs updating.</w:t>
            </w:r>
            <w:r w:rsidRPr="00226205">
              <w:rPr>
                <w:rFonts w:ascii="Calibri" w:hAnsi="Calibri" w:cs="Calibri"/>
                <w:color w:val="000000"/>
                <w:sz w:val="18"/>
                <w:szCs w:val="18"/>
              </w:rPr>
              <w:t xml:space="preserve"> Entire building needs updating. </w:t>
            </w:r>
          </w:p>
        </w:tc>
      </w:tr>
      <w:tr w:rsidR="00226205" w:rsidRPr="00226205" w:rsidTr="00B77D83">
        <w:trPr>
          <w:cantSplit/>
          <w:trHeight w:val="1980"/>
        </w:trPr>
        <w:tc>
          <w:tcPr>
            <w:tcW w:w="998" w:type="dxa"/>
            <w:shd w:val="clear" w:color="auto" w:fill="auto"/>
            <w:hideMark/>
          </w:tcPr>
          <w:p w:rsidR="00226205" w:rsidRPr="00226205" w:rsidRDefault="00226205" w:rsidP="006918D2">
            <w:pPr>
              <w:jc w:val="center"/>
              <w:rPr>
                <w:rFonts w:ascii="Calibri" w:hAnsi="Calibri" w:cs="Calibri"/>
                <w:color w:val="000000"/>
                <w:sz w:val="18"/>
                <w:szCs w:val="18"/>
              </w:rPr>
            </w:pPr>
            <w:r w:rsidRPr="00226205">
              <w:rPr>
                <w:rFonts w:ascii="Calibri" w:hAnsi="Calibri" w:cs="Calibri"/>
                <w:color w:val="000000"/>
                <w:sz w:val="18"/>
                <w:szCs w:val="18"/>
              </w:rPr>
              <w:t>B000180</w:t>
            </w:r>
          </w:p>
        </w:tc>
        <w:tc>
          <w:tcPr>
            <w:tcW w:w="2693" w:type="dxa"/>
            <w:shd w:val="clear" w:color="auto" w:fill="auto"/>
            <w:hideMark/>
          </w:tcPr>
          <w:p w:rsidR="00226205" w:rsidRPr="00226205" w:rsidRDefault="00226205" w:rsidP="00226205">
            <w:pPr>
              <w:rPr>
                <w:rFonts w:ascii="Calibri" w:hAnsi="Calibri" w:cs="Calibri"/>
                <w:color w:val="000000"/>
                <w:sz w:val="18"/>
                <w:szCs w:val="18"/>
              </w:rPr>
            </w:pPr>
            <w:r w:rsidRPr="00226205">
              <w:rPr>
                <w:rFonts w:ascii="Calibri" w:hAnsi="Calibri" w:cs="Calibri"/>
                <w:noProof/>
                <w:color w:val="000000"/>
                <w:sz w:val="18"/>
                <w:szCs w:val="18"/>
              </w:rPr>
              <w:drawing>
                <wp:anchor distT="0" distB="0" distL="114300" distR="114300" simplePos="0" relativeHeight="251721216" behindDoc="0" locked="0" layoutInCell="1" allowOverlap="1" wp14:anchorId="3CD9E13E" wp14:editId="0DA2D441">
                  <wp:simplePos x="0" y="0"/>
                  <wp:positionH relativeFrom="column">
                    <wp:posOffset>-20955</wp:posOffset>
                  </wp:positionH>
                  <wp:positionV relativeFrom="paragraph">
                    <wp:posOffset>61155</wp:posOffset>
                  </wp:positionV>
                  <wp:extent cx="1630800" cy="1144800"/>
                  <wp:effectExtent l="0" t="0" r="0" b="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pic:cNvPicPr>
                            <a:picLocks noChangeAspect="1"/>
                          </pic:cNvPicPr>
                        </pic:nvPicPr>
                        <pic:blipFill>
                          <a:blip r:embed="rId197">
                            <a:extLst>
                              <a:ext uri="{28A0092B-C50C-407E-A947-70E740481C1C}">
                                <a14:useLocalDpi xmlns:a14="http://schemas.microsoft.com/office/drawing/2010/main" val="0"/>
                              </a:ext>
                            </a:extLst>
                          </a:blip>
                          <a:stretch>
                            <a:fillRect/>
                          </a:stretch>
                        </pic:blipFill>
                        <pic:spPr>
                          <a:xfrm>
                            <a:off x="0" y="0"/>
                            <a:ext cx="1630800" cy="1144800"/>
                          </a:xfrm>
                          <a:prstGeom prst="rect">
                            <a:avLst/>
                          </a:prstGeom>
                        </pic:spPr>
                      </pic:pic>
                    </a:graphicData>
                  </a:graphic>
                  <wp14:sizeRelH relativeFrom="page">
                    <wp14:pctWidth>0</wp14:pctWidth>
                  </wp14:sizeRelH>
                  <wp14:sizeRelV relativeFrom="page">
                    <wp14:pctHeight>0</wp14:pctHeight>
                  </wp14:sizeRelV>
                </wp:anchor>
              </w:drawing>
            </w:r>
          </w:p>
        </w:tc>
        <w:tc>
          <w:tcPr>
            <w:tcW w:w="2268" w:type="dxa"/>
            <w:shd w:val="clear" w:color="auto" w:fill="auto"/>
            <w:hideMark/>
          </w:tcPr>
          <w:p w:rsidR="00226205" w:rsidRPr="00226205" w:rsidRDefault="00226205" w:rsidP="00A54993">
            <w:pPr>
              <w:jc w:val="left"/>
              <w:rPr>
                <w:rFonts w:ascii="Calibri" w:hAnsi="Calibri" w:cs="Calibri"/>
                <w:color w:val="000000"/>
                <w:sz w:val="18"/>
                <w:szCs w:val="18"/>
              </w:rPr>
            </w:pPr>
            <w:r w:rsidRPr="00226205">
              <w:rPr>
                <w:rFonts w:ascii="Calibri" w:hAnsi="Calibri" w:cs="Calibri"/>
                <w:color w:val="000000"/>
                <w:sz w:val="18"/>
                <w:szCs w:val="18"/>
              </w:rPr>
              <w:t xml:space="preserve">North Fitzroy Childcare Cooperative- 173 Clauscen Street, Fitzroy North </w:t>
            </w:r>
          </w:p>
        </w:tc>
        <w:tc>
          <w:tcPr>
            <w:tcW w:w="1276" w:type="dxa"/>
            <w:shd w:val="clear" w:color="auto" w:fill="auto"/>
            <w:hideMark/>
          </w:tcPr>
          <w:p w:rsidR="00226205" w:rsidRPr="00226205" w:rsidRDefault="009965C5" w:rsidP="009965C5">
            <w:pPr>
              <w:tabs>
                <w:tab w:val="decimal" w:pos="884"/>
              </w:tabs>
              <w:jc w:val="left"/>
              <w:rPr>
                <w:rFonts w:ascii="Calibri" w:hAnsi="Calibri" w:cs="Calibri"/>
                <w:color w:val="000000"/>
                <w:sz w:val="18"/>
                <w:szCs w:val="18"/>
              </w:rPr>
            </w:pPr>
            <w:r>
              <w:rPr>
                <w:rFonts w:ascii="Calibri" w:hAnsi="Calibri" w:cs="Calibri"/>
                <w:color w:val="000000"/>
                <w:sz w:val="18"/>
                <w:szCs w:val="18"/>
              </w:rPr>
              <w:t>$</w:t>
            </w:r>
            <w:r w:rsidR="00226205" w:rsidRPr="00226205">
              <w:rPr>
                <w:rFonts w:ascii="Calibri" w:hAnsi="Calibri" w:cs="Calibri"/>
                <w:color w:val="000000"/>
                <w:sz w:val="18"/>
                <w:szCs w:val="18"/>
              </w:rPr>
              <w:t>237,063</w:t>
            </w:r>
          </w:p>
        </w:tc>
        <w:tc>
          <w:tcPr>
            <w:tcW w:w="1134" w:type="dxa"/>
            <w:shd w:val="clear" w:color="auto" w:fill="auto"/>
            <w:hideMark/>
          </w:tcPr>
          <w:p w:rsidR="00226205" w:rsidRPr="00226205" w:rsidRDefault="00226205" w:rsidP="00226205">
            <w:pPr>
              <w:jc w:val="center"/>
              <w:rPr>
                <w:rFonts w:ascii="Calibri" w:hAnsi="Calibri" w:cs="Calibri"/>
                <w:color w:val="000000"/>
                <w:sz w:val="18"/>
                <w:szCs w:val="18"/>
              </w:rPr>
            </w:pPr>
            <w:r w:rsidRPr="00226205">
              <w:rPr>
                <w:rFonts w:ascii="Calibri" w:hAnsi="Calibri" w:cs="Calibri"/>
                <w:color w:val="000000"/>
                <w:sz w:val="18"/>
                <w:szCs w:val="18"/>
              </w:rPr>
              <w:t>Community Services</w:t>
            </w:r>
          </w:p>
        </w:tc>
        <w:tc>
          <w:tcPr>
            <w:tcW w:w="1417" w:type="dxa"/>
            <w:shd w:val="clear" w:color="auto" w:fill="auto"/>
            <w:hideMark/>
          </w:tcPr>
          <w:p w:rsidR="00226205" w:rsidRPr="00226205" w:rsidRDefault="00226205" w:rsidP="00226205">
            <w:pPr>
              <w:jc w:val="center"/>
              <w:rPr>
                <w:rFonts w:ascii="Calibri" w:hAnsi="Calibri" w:cs="Calibri"/>
                <w:color w:val="000000"/>
                <w:sz w:val="18"/>
                <w:szCs w:val="18"/>
              </w:rPr>
            </w:pPr>
            <w:r w:rsidRPr="00226205">
              <w:rPr>
                <w:rFonts w:ascii="Calibri" w:hAnsi="Calibri" w:cs="Calibri"/>
                <w:color w:val="000000"/>
                <w:sz w:val="18"/>
                <w:szCs w:val="18"/>
              </w:rPr>
              <w:t>Child Care Centres</w:t>
            </w:r>
          </w:p>
        </w:tc>
        <w:tc>
          <w:tcPr>
            <w:tcW w:w="2410" w:type="dxa"/>
            <w:shd w:val="clear" w:color="auto" w:fill="auto"/>
            <w:hideMark/>
          </w:tcPr>
          <w:p w:rsidR="00226205" w:rsidRPr="00226205" w:rsidRDefault="00226205" w:rsidP="00226205">
            <w:pPr>
              <w:jc w:val="left"/>
              <w:rPr>
                <w:rFonts w:ascii="Calibri" w:hAnsi="Calibri" w:cs="Calibri"/>
                <w:color w:val="000000"/>
                <w:sz w:val="18"/>
                <w:szCs w:val="18"/>
              </w:rPr>
            </w:pPr>
            <w:r w:rsidRPr="00226205">
              <w:rPr>
                <w:rFonts w:ascii="Calibri" w:hAnsi="Calibri" w:cs="Calibri"/>
                <w:color w:val="000000"/>
                <w:sz w:val="18"/>
                <w:szCs w:val="18"/>
              </w:rPr>
              <w:t>The building is in a good condition.</w:t>
            </w:r>
          </w:p>
        </w:tc>
        <w:tc>
          <w:tcPr>
            <w:tcW w:w="3118" w:type="dxa"/>
            <w:shd w:val="clear" w:color="auto" w:fill="auto"/>
            <w:hideMark/>
          </w:tcPr>
          <w:p w:rsidR="00226205" w:rsidRPr="00226205" w:rsidRDefault="00226205" w:rsidP="00226205">
            <w:pPr>
              <w:jc w:val="left"/>
              <w:rPr>
                <w:rFonts w:ascii="Calibri" w:hAnsi="Calibri" w:cs="Calibri"/>
                <w:color w:val="000000"/>
                <w:sz w:val="18"/>
                <w:szCs w:val="18"/>
              </w:rPr>
            </w:pPr>
            <w:r w:rsidRPr="00226205">
              <w:rPr>
                <w:rFonts w:ascii="Calibri" w:hAnsi="Calibri" w:cs="Calibri"/>
                <w:color w:val="000000"/>
                <w:sz w:val="18"/>
                <w:szCs w:val="18"/>
              </w:rPr>
              <w:t>Full assessment not yet carried out.</w:t>
            </w:r>
            <w:r w:rsidRPr="00226205">
              <w:rPr>
                <w:rFonts w:ascii="Calibri" w:hAnsi="Calibri" w:cs="Calibri"/>
                <w:color w:val="000000"/>
                <w:sz w:val="18"/>
                <w:szCs w:val="18"/>
              </w:rPr>
              <w:br/>
              <w:t>Leased to North Fitzroy Childcare Cooperative</w:t>
            </w:r>
          </w:p>
        </w:tc>
      </w:tr>
      <w:tr w:rsidR="00226205" w:rsidRPr="00226205" w:rsidTr="00B77D83">
        <w:trPr>
          <w:cantSplit/>
          <w:trHeight w:val="2433"/>
        </w:trPr>
        <w:tc>
          <w:tcPr>
            <w:tcW w:w="998" w:type="dxa"/>
            <w:shd w:val="clear" w:color="auto" w:fill="auto"/>
            <w:hideMark/>
          </w:tcPr>
          <w:p w:rsidR="00226205" w:rsidRPr="00226205" w:rsidRDefault="00226205" w:rsidP="006918D2">
            <w:pPr>
              <w:jc w:val="center"/>
              <w:rPr>
                <w:rFonts w:ascii="Calibri" w:hAnsi="Calibri" w:cs="Calibri"/>
                <w:color w:val="000000"/>
                <w:sz w:val="18"/>
                <w:szCs w:val="18"/>
              </w:rPr>
            </w:pPr>
            <w:r w:rsidRPr="00226205">
              <w:rPr>
                <w:rFonts w:ascii="Calibri" w:hAnsi="Calibri" w:cs="Calibri"/>
                <w:color w:val="000000"/>
                <w:sz w:val="18"/>
                <w:szCs w:val="18"/>
              </w:rPr>
              <w:t>B000184</w:t>
            </w:r>
          </w:p>
        </w:tc>
        <w:tc>
          <w:tcPr>
            <w:tcW w:w="2693" w:type="dxa"/>
            <w:shd w:val="clear" w:color="auto" w:fill="auto"/>
            <w:hideMark/>
          </w:tcPr>
          <w:p w:rsidR="00226205" w:rsidRPr="00226205" w:rsidRDefault="00226205" w:rsidP="00226205">
            <w:pPr>
              <w:rPr>
                <w:rFonts w:ascii="Calibri" w:hAnsi="Calibri" w:cs="Calibri"/>
                <w:color w:val="000000"/>
                <w:sz w:val="18"/>
                <w:szCs w:val="18"/>
              </w:rPr>
            </w:pPr>
            <w:r w:rsidRPr="00226205">
              <w:rPr>
                <w:rFonts w:ascii="Calibri" w:hAnsi="Calibri" w:cs="Calibri"/>
                <w:noProof/>
                <w:color w:val="000000"/>
                <w:sz w:val="18"/>
                <w:szCs w:val="18"/>
              </w:rPr>
              <w:drawing>
                <wp:anchor distT="0" distB="0" distL="114300" distR="114300" simplePos="0" relativeHeight="251722240" behindDoc="0" locked="0" layoutInCell="1" allowOverlap="1" wp14:anchorId="3AB57517" wp14:editId="5E59C507">
                  <wp:simplePos x="0" y="0"/>
                  <wp:positionH relativeFrom="column">
                    <wp:posOffset>-20955</wp:posOffset>
                  </wp:positionH>
                  <wp:positionV relativeFrom="paragraph">
                    <wp:posOffset>53145</wp:posOffset>
                  </wp:positionV>
                  <wp:extent cx="1630800" cy="1335600"/>
                  <wp:effectExtent l="0" t="0" r="0" b="0"/>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5"/>
                          <pic:cNvPicPr>
                            <a:picLocks noChangeAspect="1"/>
                          </pic:cNvPicPr>
                        </pic:nvPicPr>
                        <pic:blipFill>
                          <a:blip r:embed="rId198">
                            <a:extLst>
                              <a:ext uri="{28A0092B-C50C-407E-A947-70E740481C1C}">
                                <a14:useLocalDpi xmlns:a14="http://schemas.microsoft.com/office/drawing/2010/main" val="0"/>
                              </a:ext>
                            </a:extLst>
                          </a:blip>
                          <a:stretch>
                            <a:fillRect/>
                          </a:stretch>
                        </pic:blipFill>
                        <pic:spPr>
                          <a:xfrm>
                            <a:off x="0" y="0"/>
                            <a:ext cx="1630800" cy="1335600"/>
                          </a:xfrm>
                          <a:prstGeom prst="rect">
                            <a:avLst/>
                          </a:prstGeom>
                        </pic:spPr>
                      </pic:pic>
                    </a:graphicData>
                  </a:graphic>
                  <wp14:sizeRelH relativeFrom="page">
                    <wp14:pctWidth>0</wp14:pctWidth>
                  </wp14:sizeRelH>
                  <wp14:sizeRelV relativeFrom="page">
                    <wp14:pctHeight>0</wp14:pctHeight>
                  </wp14:sizeRelV>
                </wp:anchor>
              </w:drawing>
            </w:r>
          </w:p>
        </w:tc>
        <w:tc>
          <w:tcPr>
            <w:tcW w:w="2268" w:type="dxa"/>
            <w:shd w:val="clear" w:color="auto" w:fill="auto"/>
            <w:hideMark/>
          </w:tcPr>
          <w:p w:rsidR="00226205" w:rsidRPr="00226205" w:rsidRDefault="00226205" w:rsidP="00A54993">
            <w:pPr>
              <w:jc w:val="left"/>
              <w:rPr>
                <w:rFonts w:ascii="Calibri" w:hAnsi="Calibri" w:cs="Calibri"/>
                <w:color w:val="000000"/>
                <w:sz w:val="18"/>
                <w:szCs w:val="18"/>
              </w:rPr>
            </w:pPr>
            <w:r w:rsidRPr="00226205">
              <w:rPr>
                <w:rFonts w:ascii="Calibri" w:hAnsi="Calibri" w:cs="Calibri"/>
                <w:color w:val="000000"/>
                <w:sz w:val="18"/>
                <w:szCs w:val="18"/>
              </w:rPr>
              <w:t xml:space="preserve">North Fitzroy Neighbourhood House- 128 Holden St, Fitzroy North </w:t>
            </w:r>
          </w:p>
        </w:tc>
        <w:tc>
          <w:tcPr>
            <w:tcW w:w="1276" w:type="dxa"/>
            <w:shd w:val="clear" w:color="auto" w:fill="auto"/>
            <w:hideMark/>
          </w:tcPr>
          <w:p w:rsidR="00226205" w:rsidRPr="00226205" w:rsidRDefault="009965C5" w:rsidP="009965C5">
            <w:pPr>
              <w:tabs>
                <w:tab w:val="decimal" w:pos="884"/>
              </w:tabs>
              <w:jc w:val="left"/>
              <w:rPr>
                <w:rFonts w:ascii="Calibri" w:hAnsi="Calibri" w:cs="Calibri"/>
                <w:color w:val="000000"/>
                <w:sz w:val="18"/>
                <w:szCs w:val="18"/>
              </w:rPr>
            </w:pPr>
            <w:r>
              <w:rPr>
                <w:rFonts w:ascii="Calibri" w:hAnsi="Calibri" w:cs="Calibri"/>
                <w:color w:val="000000"/>
                <w:sz w:val="18"/>
                <w:szCs w:val="18"/>
              </w:rPr>
              <w:t>$</w:t>
            </w:r>
            <w:r w:rsidR="00226205" w:rsidRPr="00226205">
              <w:rPr>
                <w:rFonts w:ascii="Calibri" w:hAnsi="Calibri" w:cs="Calibri"/>
                <w:color w:val="000000"/>
                <w:sz w:val="18"/>
                <w:szCs w:val="18"/>
              </w:rPr>
              <w:t>248,625</w:t>
            </w:r>
          </w:p>
        </w:tc>
        <w:tc>
          <w:tcPr>
            <w:tcW w:w="1134" w:type="dxa"/>
            <w:shd w:val="clear" w:color="auto" w:fill="auto"/>
            <w:hideMark/>
          </w:tcPr>
          <w:p w:rsidR="00226205" w:rsidRPr="00226205" w:rsidRDefault="00226205" w:rsidP="00226205">
            <w:pPr>
              <w:jc w:val="center"/>
              <w:rPr>
                <w:rFonts w:ascii="Calibri" w:hAnsi="Calibri" w:cs="Calibri"/>
                <w:color w:val="000000"/>
                <w:sz w:val="18"/>
                <w:szCs w:val="18"/>
              </w:rPr>
            </w:pPr>
            <w:r w:rsidRPr="00226205">
              <w:rPr>
                <w:rFonts w:ascii="Calibri" w:hAnsi="Calibri" w:cs="Calibri"/>
                <w:color w:val="000000"/>
                <w:sz w:val="18"/>
                <w:szCs w:val="18"/>
              </w:rPr>
              <w:t>Community Services</w:t>
            </w:r>
          </w:p>
        </w:tc>
        <w:tc>
          <w:tcPr>
            <w:tcW w:w="1417" w:type="dxa"/>
            <w:shd w:val="clear" w:color="auto" w:fill="auto"/>
            <w:hideMark/>
          </w:tcPr>
          <w:p w:rsidR="00226205" w:rsidRPr="00226205" w:rsidRDefault="00226205" w:rsidP="00226205">
            <w:pPr>
              <w:jc w:val="center"/>
              <w:rPr>
                <w:rFonts w:ascii="Calibri" w:hAnsi="Calibri" w:cs="Calibri"/>
                <w:color w:val="000000"/>
                <w:sz w:val="18"/>
                <w:szCs w:val="18"/>
              </w:rPr>
            </w:pPr>
            <w:r w:rsidRPr="00226205">
              <w:rPr>
                <w:rFonts w:ascii="Calibri" w:hAnsi="Calibri" w:cs="Calibri"/>
                <w:color w:val="000000"/>
                <w:sz w:val="18"/>
                <w:szCs w:val="18"/>
              </w:rPr>
              <w:t>Neighbourhood Houses</w:t>
            </w:r>
          </w:p>
        </w:tc>
        <w:tc>
          <w:tcPr>
            <w:tcW w:w="2410" w:type="dxa"/>
            <w:shd w:val="clear" w:color="auto" w:fill="auto"/>
            <w:hideMark/>
          </w:tcPr>
          <w:p w:rsidR="00226205" w:rsidRPr="00226205" w:rsidRDefault="00226205" w:rsidP="00226205">
            <w:pPr>
              <w:jc w:val="left"/>
              <w:rPr>
                <w:rFonts w:ascii="Calibri" w:hAnsi="Calibri" w:cs="Calibri"/>
                <w:color w:val="000000"/>
                <w:sz w:val="18"/>
                <w:szCs w:val="18"/>
              </w:rPr>
            </w:pPr>
            <w:r w:rsidRPr="00226205">
              <w:rPr>
                <w:rFonts w:ascii="Calibri" w:hAnsi="Calibri" w:cs="Calibri"/>
                <w:color w:val="000000"/>
                <w:sz w:val="18"/>
                <w:szCs w:val="18"/>
              </w:rPr>
              <w:t>The building is in a good condition.</w:t>
            </w:r>
          </w:p>
        </w:tc>
        <w:tc>
          <w:tcPr>
            <w:tcW w:w="3118" w:type="dxa"/>
            <w:shd w:val="clear" w:color="auto" w:fill="auto"/>
            <w:hideMark/>
          </w:tcPr>
          <w:p w:rsidR="00226205" w:rsidRPr="00226205" w:rsidRDefault="00226205" w:rsidP="00226205">
            <w:pPr>
              <w:jc w:val="left"/>
              <w:rPr>
                <w:rFonts w:ascii="Calibri" w:hAnsi="Calibri" w:cs="Calibri"/>
                <w:color w:val="000000"/>
                <w:sz w:val="18"/>
                <w:szCs w:val="18"/>
              </w:rPr>
            </w:pPr>
            <w:r w:rsidRPr="00226205">
              <w:rPr>
                <w:rFonts w:ascii="Calibri" w:hAnsi="Calibri" w:cs="Calibri"/>
                <w:color w:val="000000"/>
                <w:sz w:val="18"/>
                <w:szCs w:val="18"/>
              </w:rPr>
              <w:t>Parking available on road only. Close to trams along St Georges Rd. Lack of internal space limits physical activities, there is also a need for more staff administration and storage space. Layout hinders good visibility throughout the building.  Soundproofing would improve ability to run multiple activities. There are no shower facilities or stroller storage.  Leased to the North Fitzroy Neighbourhood House</w:t>
            </w:r>
          </w:p>
        </w:tc>
      </w:tr>
      <w:tr w:rsidR="00226205" w:rsidRPr="00226205" w:rsidTr="00B77D83">
        <w:trPr>
          <w:cantSplit/>
          <w:trHeight w:val="2067"/>
        </w:trPr>
        <w:tc>
          <w:tcPr>
            <w:tcW w:w="998" w:type="dxa"/>
            <w:shd w:val="clear" w:color="auto" w:fill="auto"/>
            <w:hideMark/>
          </w:tcPr>
          <w:p w:rsidR="00226205" w:rsidRPr="00226205" w:rsidRDefault="00226205" w:rsidP="006918D2">
            <w:pPr>
              <w:jc w:val="center"/>
              <w:rPr>
                <w:rFonts w:ascii="Calibri" w:hAnsi="Calibri" w:cs="Calibri"/>
                <w:color w:val="000000"/>
                <w:sz w:val="18"/>
                <w:szCs w:val="18"/>
              </w:rPr>
            </w:pPr>
            <w:r w:rsidRPr="00226205">
              <w:rPr>
                <w:rFonts w:ascii="Calibri" w:hAnsi="Calibri" w:cs="Calibri"/>
                <w:color w:val="000000"/>
                <w:sz w:val="18"/>
                <w:szCs w:val="18"/>
              </w:rPr>
              <w:t>B000186</w:t>
            </w:r>
          </w:p>
        </w:tc>
        <w:tc>
          <w:tcPr>
            <w:tcW w:w="2693" w:type="dxa"/>
            <w:shd w:val="clear" w:color="auto" w:fill="auto"/>
            <w:hideMark/>
          </w:tcPr>
          <w:p w:rsidR="00226205" w:rsidRPr="00226205" w:rsidRDefault="00226205" w:rsidP="00226205">
            <w:pPr>
              <w:rPr>
                <w:rFonts w:ascii="Calibri" w:hAnsi="Calibri" w:cs="Calibri"/>
                <w:color w:val="000000"/>
                <w:sz w:val="18"/>
                <w:szCs w:val="18"/>
              </w:rPr>
            </w:pPr>
            <w:r w:rsidRPr="00226205">
              <w:rPr>
                <w:rFonts w:ascii="Calibri" w:hAnsi="Calibri" w:cs="Calibri"/>
                <w:noProof/>
                <w:color w:val="000000"/>
                <w:sz w:val="18"/>
                <w:szCs w:val="18"/>
              </w:rPr>
              <w:drawing>
                <wp:anchor distT="0" distB="0" distL="114300" distR="114300" simplePos="0" relativeHeight="251785728" behindDoc="0" locked="0" layoutInCell="1" allowOverlap="1" wp14:anchorId="34E876EF" wp14:editId="55277D0C">
                  <wp:simplePos x="0" y="0"/>
                  <wp:positionH relativeFrom="column">
                    <wp:posOffset>-20955</wp:posOffset>
                  </wp:positionH>
                  <wp:positionV relativeFrom="paragraph">
                    <wp:posOffset>61155</wp:posOffset>
                  </wp:positionV>
                  <wp:extent cx="1630800" cy="1188000"/>
                  <wp:effectExtent l="0" t="0" r="0" b="0"/>
                  <wp:wrapNone/>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Picture 131"/>
                          <pic:cNvPicPr>
                            <a:picLocks noChangeAspect="1"/>
                          </pic:cNvPicPr>
                        </pic:nvPicPr>
                        <pic:blipFill>
                          <a:blip r:embed="rId199">
                            <a:extLst>
                              <a:ext uri="{28A0092B-C50C-407E-A947-70E740481C1C}">
                                <a14:useLocalDpi xmlns:a14="http://schemas.microsoft.com/office/drawing/2010/main" val="0"/>
                              </a:ext>
                            </a:extLst>
                          </a:blip>
                          <a:stretch>
                            <a:fillRect/>
                          </a:stretch>
                        </pic:blipFill>
                        <pic:spPr>
                          <a:xfrm>
                            <a:off x="0" y="0"/>
                            <a:ext cx="1630800" cy="1188000"/>
                          </a:xfrm>
                          <a:prstGeom prst="rect">
                            <a:avLst/>
                          </a:prstGeom>
                        </pic:spPr>
                      </pic:pic>
                    </a:graphicData>
                  </a:graphic>
                  <wp14:sizeRelH relativeFrom="page">
                    <wp14:pctWidth>0</wp14:pctWidth>
                  </wp14:sizeRelH>
                  <wp14:sizeRelV relativeFrom="page">
                    <wp14:pctHeight>0</wp14:pctHeight>
                  </wp14:sizeRelV>
                </wp:anchor>
              </w:drawing>
            </w:r>
          </w:p>
        </w:tc>
        <w:tc>
          <w:tcPr>
            <w:tcW w:w="2268" w:type="dxa"/>
            <w:shd w:val="clear" w:color="auto" w:fill="auto"/>
            <w:hideMark/>
          </w:tcPr>
          <w:p w:rsidR="00226205" w:rsidRPr="00226205" w:rsidRDefault="00226205" w:rsidP="00A54993">
            <w:pPr>
              <w:jc w:val="left"/>
              <w:rPr>
                <w:rFonts w:ascii="Calibri" w:hAnsi="Calibri" w:cs="Calibri"/>
                <w:color w:val="000000"/>
                <w:sz w:val="18"/>
                <w:szCs w:val="18"/>
              </w:rPr>
            </w:pPr>
            <w:r w:rsidRPr="00226205">
              <w:rPr>
                <w:rFonts w:ascii="Calibri" w:hAnsi="Calibri" w:cs="Calibri"/>
                <w:color w:val="000000"/>
                <w:sz w:val="18"/>
                <w:szCs w:val="18"/>
              </w:rPr>
              <w:t>Bocce Rink Club House, Gallagher Reserve -Solly Avenue, Princes Hill</w:t>
            </w:r>
          </w:p>
        </w:tc>
        <w:tc>
          <w:tcPr>
            <w:tcW w:w="1276" w:type="dxa"/>
            <w:shd w:val="clear" w:color="auto" w:fill="auto"/>
            <w:hideMark/>
          </w:tcPr>
          <w:p w:rsidR="00226205" w:rsidRPr="00226205" w:rsidRDefault="009965C5" w:rsidP="009965C5">
            <w:pPr>
              <w:tabs>
                <w:tab w:val="decimal" w:pos="884"/>
              </w:tabs>
              <w:jc w:val="left"/>
              <w:rPr>
                <w:rFonts w:ascii="Calibri" w:hAnsi="Calibri" w:cs="Calibri"/>
                <w:color w:val="000000"/>
                <w:sz w:val="18"/>
                <w:szCs w:val="18"/>
              </w:rPr>
            </w:pPr>
            <w:r>
              <w:rPr>
                <w:rFonts w:ascii="Calibri" w:hAnsi="Calibri" w:cs="Calibri"/>
                <w:color w:val="000000"/>
                <w:sz w:val="18"/>
                <w:szCs w:val="18"/>
              </w:rPr>
              <w:t>$</w:t>
            </w:r>
            <w:r w:rsidR="00226205" w:rsidRPr="00226205">
              <w:rPr>
                <w:rFonts w:ascii="Calibri" w:hAnsi="Calibri" w:cs="Calibri"/>
                <w:color w:val="000000"/>
                <w:sz w:val="18"/>
                <w:szCs w:val="18"/>
              </w:rPr>
              <w:t>250,000</w:t>
            </w:r>
          </w:p>
        </w:tc>
        <w:tc>
          <w:tcPr>
            <w:tcW w:w="1134" w:type="dxa"/>
            <w:shd w:val="clear" w:color="auto" w:fill="auto"/>
            <w:hideMark/>
          </w:tcPr>
          <w:p w:rsidR="00226205" w:rsidRPr="00226205" w:rsidRDefault="00226205" w:rsidP="00226205">
            <w:pPr>
              <w:jc w:val="center"/>
              <w:rPr>
                <w:rFonts w:ascii="Calibri" w:hAnsi="Calibri" w:cs="Calibri"/>
                <w:color w:val="000000"/>
                <w:sz w:val="18"/>
                <w:szCs w:val="18"/>
              </w:rPr>
            </w:pPr>
            <w:r w:rsidRPr="00226205">
              <w:rPr>
                <w:rFonts w:ascii="Calibri" w:hAnsi="Calibri" w:cs="Calibri"/>
                <w:color w:val="000000"/>
                <w:sz w:val="18"/>
                <w:szCs w:val="18"/>
              </w:rPr>
              <w:t xml:space="preserve">Recreation </w:t>
            </w:r>
            <w:r w:rsidR="00B77D83">
              <w:rPr>
                <w:rFonts w:ascii="Calibri" w:hAnsi="Calibri" w:cs="Calibri"/>
                <w:color w:val="000000"/>
                <w:sz w:val="18"/>
                <w:szCs w:val="18"/>
              </w:rPr>
              <w:t>and</w:t>
            </w:r>
            <w:r w:rsidRPr="00226205">
              <w:rPr>
                <w:rFonts w:ascii="Calibri" w:hAnsi="Calibri" w:cs="Calibri"/>
                <w:color w:val="000000"/>
                <w:sz w:val="18"/>
                <w:szCs w:val="18"/>
              </w:rPr>
              <w:t xml:space="preserve"> Open Space</w:t>
            </w:r>
          </w:p>
        </w:tc>
        <w:tc>
          <w:tcPr>
            <w:tcW w:w="1417" w:type="dxa"/>
            <w:shd w:val="clear" w:color="auto" w:fill="auto"/>
            <w:hideMark/>
          </w:tcPr>
          <w:p w:rsidR="00226205" w:rsidRPr="00226205" w:rsidRDefault="00226205" w:rsidP="00226205">
            <w:pPr>
              <w:jc w:val="center"/>
              <w:rPr>
                <w:rFonts w:ascii="Calibri" w:hAnsi="Calibri" w:cs="Calibri"/>
                <w:color w:val="000000"/>
                <w:sz w:val="18"/>
                <w:szCs w:val="18"/>
              </w:rPr>
            </w:pPr>
            <w:r w:rsidRPr="00226205">
              <w:rPr>
                <w:rFonts w:ascii="Calibri" w:hAnsi="Calibri" w:cs="Calibri"/>
                <w:color w:val="000000"/>
                <w:sz w:val="18"/>
                <w:szCs w:val="18"/>
              </w:rPr>
              <w:t>Pavilions / Clubrooms / Change rooms</w:t>
            </w:r>
          </w:p>
        </w:tc>
        <w:tc>
          <w:tcPr>
            <w:tcW w:w="2410" w:type="dxa"/>
            <w:shd w:val="clear" w:color="auto" w:fill="auto"/>
            <w:hideMark/>
          </w:tcPr>
          <w:p w:rsidR="00226205" w:rsidRPr="00226205" w:rsidRDefault="00226205" w:rsidP="00226205">
            <w:pPr>
              <w:jc w:val="left"/>
              <w:rPr>
                <w:rFonts w:ascii="Calibri" w:hAnsi="Calibri" w:cs="Calibri"/>
                <w:color w:val="000000"/>
                <w:sz w:val="18"/>
                <w:szCs w:val="18"/>
              </w:rPr>
            </w:pPr>
            <w:r w:rsidRPr="00226205">
              <w:rPr>
                <w:rFonts w:ascii="Calibri" w:hAnsi="Calibri" w:cs="Calibri"/>
                <w:color w:val="000000"/>
                <w:sz w:val="18"/>
                <w:szCs w:val="18"/>
              </w:rPr>
              <w:t>The building is in a good condition.</w:t>
            </w:r>
          </w:p>
        </w:tc>
        <w:tc>
          <w:tcPr>
            <w:tcW w:w="3118" w:type="dxa"/>
            <w:shd w:val="clear" w:color="auto" w:fill="auto"/>
            <w:hideMark/>
          </w:tcPr>
          <w:p w:rsidR="00226205" w:rsidRPr="00226205" w:rsidRDefault="00226205" w:rsidP="00840CD9">
            <w:pPr>
              <w:jc w:val="left"/>
              <w:rPr>
                <w:rFonts w:ascii="Calibri" w:hAnsi="Calibri" w:cs="Calibri"/>
                <w:color w:val="000000"/>
                <w:sz w:val="18"/>
                <w:szCs w:val="18"/>
              </w:rPr>
            </w:pPr>
            <w:r w:rsidRPr="00226205">
              <w:rPr>
                <w:rFonts w:ascii="Calibri" w:hAnsi="Calibri" w:cs="Calibri"/>
                <w:color w:val="000000"/>
                <w:sz w:val="18"/>
                <w:szCs w:val="18"/>
              </w:rPr>
              <w:t>Parking is available on street only but building is located in quiet area. Participants use Neighbourhood House toilets. Building is generally ok with a minor crack in wall, slight odour. Leased to the North Carlton Railway Station Neighbourhood House.</w:t>
            </w:r>
          </w:p>
        </w:tc>
      </w:tr>
      <w:tr w:rsidR="00226205" w:rsidRPr="00226205" w:rsidTr="00B77D83">
        <w:trPr>
          <w:cantSplit/>
          <w:trHeight w:val="2916"/>
        </w:trPr>
        <w:tc>
          <w:tcPr>
            <w:tcW w:w="998" w:type="dxa"/>
            <w:shd w:val="clear" w:color="auto" w:fill="auto"/>
            <w:hideMark/>
          </w:tcPr>
          <w:p w:rsidR="00226205" w:rsidRPr="00226205" w:rsidRDefault="00226205" w:rsidP="006918D2">
            <w:pPr>
              <w:jc w:val="center"/>
              <w:rPr>
                <w:rFonts w:ascii="Calibri" w:hAnsi="Calibri" w:cs="Calibri"/>
                <w:color w:val="000000"/>
                <w:sz w:val="18"/>
                <w:szCs w:val="18"/>
              </w:rPr>
            </w:pPr>
            <w:r w:rsidRPr="00226205">
              <w:rPr>
                <w:rFonts w:ascii="Calibri" w:hAnsi="Calibri" w:cs="Calibri"/>
                <w:color w:val="000000"/>
                <w:sz w:val="18"/>
                <w:szCs w:val="18"/>
              </w:rPr>
              <w:t>B000187</w:t>
            </w:r>
          </w:p>
        </w:tc>
        <w:tc>
          <w:tcPr>
            <w:tcW w:w="2693" w:type="dxa"/>
            <w:shd w:val="clear" w:color="auto" w:fill="auto"/>
            <w:hideMark/>
          </w:tcPr>
          <w:p w:rsidR="00226205" w:rsidRPr="00226205" w:rsidRDefault="00226205" w:rsidP="00226205">
            <w:pPr>
              <w:rPr>
                <w:rFonts w:ascii="Calibri" w:hAnsi="Calibri" w:cs="Calibri"/>
                <w:color w:val="000000"/>
                <w:sz w:val="18"/>
                <w:szCs w:val="18"/>
              </w:rPr>
            </w:pPr>
            <w:r w:rsidRPr="00226205">
              <w:rPr>
                <w:rFonts w:ascii="Calibri" w:hAnsi="Calibri" w:cs="Calibri"/>
                <w:noProof/>
                <w:color w:val="000000"/>
                <w:sz w:val="18"/>
                <w:szCs w:val="18"/>
              </w:rPr>
              <w:drawing>
                <wp:anchor distT="0" distB="0" distL="114300" distR="114300" simplePos="0" relativeHeight="251723264" behindDoc="0" locked="0" layoutInCell="1" allowOverlap="1" wp14:anchorId="66F52779" wp14:editId="65F83F4C">
                  <wp:simplePos x="0" y="0"/>
                  <wp:positionH relativeFrom="column">
                    <wp:posOffset>-20955</wp:posOffset>
                  </wp:positionH>
                  <wp:positionV relativeFrom="paragraph">
                    <wp:posOffset>60960</wp:posOffset>
                  </wp:positionV>
                  <wp:extent cx="1630800" cy="1227600"/>
                  <wp:effectExtent l="0" t="0" r="0" b="0"/>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6"/>
                          <pic:cNvPicPr>
                            <a:picLocks noChangeAspect="1"/>
                          </pic:cNvPicPr>
                        </pic:nvPicPr>
                        <pic:blipFill>
                          <a:blip r:embed="rId200">
                            <a:extLst>
                              <a:ext uri="{28A0092B-C50C-407E-A947-70E740481C1C}">
                                <a14:useLocalDpi xmlns:a14="http://schemas.microsoft.com/office/drawing/2010/main" val="0"/>
                              </a:ext>
                            </a:extLst>
                          </a:blip>
                          <a:stretch>
                            <a:fillRect/>
                          </a:stretch>
                        </pic:blipFill>
                        <pic:spPr>
                          <a:xfrm>
                            <a:off x="0" y="0"/>
                            <a:ext cx="1630800" cy="1227600"/>
                          </a:xfrm>
                          <a:prstGeom prst="rect">
                            <a:avLst/>
                          </a:prstGeom>
                        </pic:spPr>
                      </pic:pic>
                    </a:graphicData>
                  </a:graphic>
                  <wp14:sizeRelH relativeFrom="page">
                    <wp14:pctWidth>0</wp14:pctWidth>
                  </wp14:sizeRelH>
                  <wp14:sizeRelV relativeFrom="page">
                    <wp14:pctHeight>0</wp14:pctHeight>
                  </wp14:sizeRelV>
                </wp:anchor>
              </w:drawing>
            </w:r>
          </w:p>
        </w:tc>
        <w:tc>
          <w:tcPr>
            <w:tcW w:w="2268" w:type="dxa"/>
            <w:shd w:val="clear" w:color="auto" w:fill="auto"/>
            <w:hideMark/>
          </w:tcPr>
          <w:p w:rsidR="00226205" w:rsidRPr="00226205" w:rsidRDefault="00226205" w:rsidP="00A54993">
            <w:pPr>
              <w:jc w:val="left"/>
              <w:rPr>
                <w:rFonts w:ascii="Calibri" w:hAnsi="Calibri" w:cs="Calibri"/>
                <w:color w:val="000000"/>
                <w:sz w:val="18"/>
                <w:szCs w:val="18"/>
              </w:rPr>
            </w:pPr>
            <w:r w:rsidRPr="00226205">
              <w:rPr>
                <w:rFonts w:ascii="Calibri" w:hAnsi="Calibri" w:cs="Calibri"/>
                <w:color w:val="000000"/>
                <w:sz w:val="18"/>
                <w:szCs w:val="18"/>
              </w:rPr>
              <w:t xml:space="preserve">North Carlton Railway Station Neighbourhood House - Gallagher Reserve- 20 Solly Ave, Carlton North </w:t>
            </w:r>
          </w:p>
        </w:tc>
        <w:tc>
          <w:tcPr>
            <w:tcW w:w="1276" w:type="dxa"/>
            <w:shd w:val="clear" w:color="auto" w:fill="auto"/>
            <w:hideMark/>
          </w:tcPr>
          <w:p w:rsidR="00226205" w:rsidRPr="00226205" w:rsidRDefault="009965C5" w:rsidP="009965C5">
            <w:pPr>
              <w:tabs>
                <w:tab w:val="decimal" w:pos="884"/>
              </w:tabs>
              <w:jc w:val="left"/>
              <w:rPr>
                <w:rFonts w:ascii="Calibri" w:hAnsi="Calibri" w:cs="Calibri"/>
                <w:color w:val="000000"/>
                <w:sz w:val="18"/>
                <w:szCs w:val="18"/>
              </w:rPr>
            </w:pPr>
            <w:r>
              <w:rPr>
                <w:rFonts w:ascii="Calibri" w:hAnsi="Calibri" w:cs="Calibri"/>
                <w:color w:val="000000"/>
                <w:sz w:val="18"/>
                <w:szCs w:val="18"/>
              </w:rPr>
              <w:t>$</w:t>
            </w:r>
            <w:r w:rsidR="00226205" w:rsidRPr="00226205">
              <w:rPr>
                <w:rFonts w:ascii="Calibri" w:hAnsi="Calibri" w:cs="Calibri"/>
                <w:color w:val="000000"/>
                <w:sz w:val="18"/>
                <w:szCs w:val="18"/>
              </w:rPr>
              <w:t>502,200</w:t>
            </w:r>
          </w:p>
        </w:tc>
        <w:tc>
          <w:tcPr>
            <w:tcW w:w="1134" w:type="dxa"/>
            <w:shd w:val="clear" w:color="auto" w:fill="auto"/>
            <w:hideMark/>
          </w:tcPr>
          <w:p w:rsidR="00226205" w:rsidRPr="00226205" w:rsidRDefault="00226205" w:rsidP="00226205">
            <w:pPr>
              <w:jc w:val="center"/>
              <w:rPr>
                <w:rFonts w:ascii="Calibri" w:hAnsi="Calibri" w:cs="Calibri"/>
                <w:color w:val="000000"/>
                <w:sz w:val="18"/>
                <w:szCs w:val="18"/>
              </w:rPr>
            </w:pPr>
            <w:r w:rsidRPr="00226205">
              <w:rPr>
                <w:rFonts w:ascii="Calibri" w:hAnsi="Calibri" w:cs="Calibri"/>
                <w:color w:val="000000"/>
                <w:sz w:val="18"/>
                <w:szCs w:val="18"/>
              </w:rPr>
              <w:t>Community Services</w:t>
            </w:r>
          </w:p>
        </w:tc>
        <w:tc>
          <w:tcPr>
            <w:tcW w:w="1417" w:type="dxa"/>
            <w:shd w:val="clear" w:color="auto" w:fill="auto"/>
            <w:hideMark/>
          </w:tcPr>
          <w:p w:rsidR="00226205" w:rsidRPr="00226205" w:rsidRDefault="00226205" w:rsidP="00226205">
            <w:pPr>
              <w:jc w:val="center"/>
              <w:rPr>
                <w:rFonts w:ascii="Calibri" w:hAnsi="Calibri" w:cs="Calibri"/>
                <w:color w:val="000000"/>
                <w:sz w:val="18"/>
                <w:szCs w:val="18"/>
              </w:rPr>
            </w:pPr>
            <w:r w:rsidRPr="00226205">
              <w:rPr>
                <w:rFonts w:ascii="Calibri" w:hAnsi="Calibri" w:cs="Calibri"/>
                <w:color w:val="000000"/>
                <w:sz w:val="18"/>
                <w:szCs w:val="18"/>
              </w:rPr>
              <w:t>Neighbourhood Houses</w:t>
            </w:r>
          </w:p>
        </w:tc>
        <w:tc>
          <w:tcPr>
            <w:tcW w:w="2410" w:type="dxa"/>
            <w:shd w:val="clear" w:color="auto" w:fill="auto"/>
            <w:hideMark/>
          </w:tcPr>
          <w:p w:rsidR="00226205" w:rsidRPr="00226205" w:rsidRDefault="00226205" w:rsidP="00226205">
            <w:pPr>
              <w:jc w:val="left"/>
              <w:rPr>
                <w:rFonts w:ascii="Calibri" w:hAnsi="Calibri" w:cs="Calibri"/>
                <w:color w:val="000000"/>
                <w:sz w:val="18"/>
                <w:szCs w:val="18"/>
              </w:rPr>
            </w:pPr>
            <w:r w:rsidRPr="00226205">
              <w:rPr>
                <w:rFonts w:ascii="Calibri" w:hAnsi="Calibri" w:cs="Calibri"/>
                <w:color w:val="000000"/>
                <w:sz w:val="18"/>
                <w:szCs w:val="18"/>
              </w:rPr>
              <w:t>The building is in a good condition.</w:t>
            </w:r>
          </w:p>
        </w:tc>
        <w:tc>
          <w:tcPr>
            <w:tcW w:w="3118" w:type="dxa"/>
            <w:shd w:val="clear" w:color="auto" w:fill="auto"/>
            <w:hideMark/>
          </w:tcPr>
          <w:p w:rsidR="00226205" w:rsidRPr="00226205" w:rsidRDefault="00226205" w:rsidP="00840CD9">
            <w:pPr>
              <w:jc w:val="left"/>
              <w:rPr>
                <w:rFonts w:ascii="Calibri" w:hAnsi="Calibri" w:cs="Calibri"/>
                <w:color w:val="000000"/>
                <w:sz w:val="18"/>
                <w:szCs w:val="18"/>
              </w:rPr>
            </w:pPr>
            <w:r w:rsidRPr="00226205">
              <w:rPr>
                <w:rFonts w:ascii="Calibri" w:hAnsi="Calibri" w:cs="Calibri"/>
                <w:color w:val="000000"/>
                <w:sz w:val="18"/>
                <w:szCs w:val="18"/>
              </w:rPr>
              <w:t>Lack of indoor space is primary limitation to delivering programs. Storage is at capacity. Main entrance leads into main room. Access to computer room is through staff office. Office is too small. There is no front desk area and needs more storage. Toilets need upgrading. A larger, ideally commercial kitchen is required to meet demand for cooking classes. Gutters overflow during heavy rain. There is heating only no air conditioning or ceiling fans. Heritage listing likely to preclude major extension of main room.  Leased to the North Carlton Railway Station Neighbourhood House</w:t>
            </w:r>
          </w:p>
        </w:tc>
      </w:tr>
      <w:tr w:rsidR="00226205" w:rsidRPr="00226205" w:rsidTr="00B77D83">
        <w:trPr>
          <w:cantSplit/>
          <w:trHeight w:val="1923"/>
        </w:trPr>
        <w:tc>
          <w:tcPr>
            <w:tcW w:w="998" w:type="dxa"/>
            <w:shd w:val="clear" w:color="auto" w:fill="auto"/>
            <w:hideMark/>
          </w:tcPr>
          <w:p w:rsidR="00226205" w:rsidRPr="00226205" w:rsidRDefault="00226205" w:rsidP="006918D2">
            <w:pPr>
              <w:jc w:val="center"/>
              <w:rPr>
                <w:rFonts w:ascii="Calibri" w:hAnsi="Calibri" w:cs="Calibri"/>
                <w:color w:val="000000"/>
                <w:sz w:val="18"/>
                <w:szCs w:val="18"/>
              </w:rPr>
            </w:pPr>
            <w:r w:rsidRPr="00226205">
              <w:rPr>
                <w:rFonts w:ascii="Calibri" w:hAnsi="Calibri" w:cs="Calibri"/>
                <w:color w:val="000000"/>
                <w:sz w:val="18"/>
                <w:szCs w:val="18"/>
              </w:rPr>
              <w:t>B000191</w:t>
            </w:r>
          </w:p>
        </w:tc>
        <w:tc>
          <w:tcPr>
            <w:tcW w:w="2693" w:type="dxa"/>
            <w:shd w:val="clear" w:color="auto" w:fill="auto"/>
            <w:hideMark/>
          </w:tcPr>
          <w:p w:rsidR="00226205" w:rsidRPr="00226205" w:rsidRDefault="00226205" w:rsidP="00226205">
            <w:pPr>
              <w:rPr>
                <w:rFonts w:ascii="Calibri" w:hAnsi="Calibri" w:cs="Calibri"/>
                <w:color w:val="000000"/>
                <w:sz w:val="18"/>
                <w:szCs w:val="18"/>
              </w:rPr>
            </w:pPr>
            <w:r w:rsidRPr="00226205">
              <w:rPr>
                <w:rFonts w:ascii="Calibri" w:hAnsi="Calibri" w:cs="Calibri"/>
                <w:noProof/>
                <w:color w:val="000000"/>
                <w:sz w:val="18"/>
                <w:szCs w:val="18"/>
              </w:rPr>
              <w:drawing>
                <wp:anchor distT="0" distB="0" distL="114300" distR="114300" simplePos="0" relativeHeight="251786752" behindDoc="0" locked="0" layoutInCell="1" allowOverlap="1" wp14:anchorId="7FA1277D" wp14:editId="6474E14A">
                  <wp:simplePos x="0" y="0"/>
                  <wp:positionH relativeFrom="column">
                    <wp:posOffset>-20955</wp:posOffset>
                  </wp:positionH>
                  <wp:positionV relativeFrom="paragraph">
                    <wp:posOffset>66870</wp:posOffset>
                  </wp:positionV>
                  <wp:extent cx="1630800" cy="1098000"/>
                  <wp:effectExtent l="0" t="0" r="0" b="0"/>
                  <wp:wrapNone/>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Picture 132"/>
                          <pic:cNvPicPr>
                            <a:picLocks noChangeAspect="1"/>
                          </pic:cNvPicPr>
                        </pic:nvPicPr>
                        <pic:blipFill>
                          <a:blip r:embed="rId201">
                            <a:extLst>
                              <a:ext uri="{28A0092B-C50C-407E-A947-70E740481C1C}">
                                <a14:useLocalDpi xmlns:a14="http://schemas.microsoft.com/office/drawing/2010/main" val="0"/>
                              </a:ext>
                            </a:extLst>
                          </a:blip>
                          <a:stretch>
                            <a:fillRect/>
                          </a:stretch>
                        </pic:blipFill>
                        <pic:spPr>
                          <a:xfrm>
                            <a:off x="0" y="0"/>
                            <a:ext cx="1630800" cy="1098000"/>
                          </a:xfrm>
                          <a:prstGeom prst="rect">
                            <a:avLst/>
                          </a:prstGeom>
                        </pic:spPr>
                      </pic:pic>
                    </a:graphicData>
                  </a:graphic>
                  <wp14:sizeRelH relativeFrom="page">
                    <wp14:pctWidth>0</wp14:pctWidth>
                  </wp14:sizeRelH>
                  <wp14:sizeRelV relativeFrom="page">
                    <wp14:pctHeight>0</wp14:pctHeight>
                  </wp14:sizeRelV>
                </wp:anchor>
              </w:drawing>
            </w:r>
          </w:p>
        </w:tc>
        <w:tc>
          <w:tcPr>
            <w:tcW w:w="2268" w:type="dxa"/>
            <w:shd w:val="clear" w:color="auto" w:fill="auto"/>
            <w:hideMark/>
          </w:tcPr>
          <w:p w:rsidR="00226205" w:rsidRPr="00226205" w:rsidRDefault="00226205" w:rsidP="00A54993">
            <w:pPr>
              <w:jc w:val="left"/>
              <w:rPr>
                <w:rFonts w:ascii="Calibri" w:hAnsi="Calibri" w:cs="Calibri"/>
                <w:color w:val="000000"/>
                <w:sz w:val="18"/>
                <w:szCs w:val="18"/>
              </w:rPr>
            </w:pPr>
            <w:r w:rsidRPr="00226205">
              <w:rPr>
                <w:rFonts w:ascii="Calibri" w:hAnsi="Calibri" w:cs="Calibri"/>
                <w:color w:val="000000"/>
                <w:sz w:val="18"/>
                <w:szCs w:val="18"/>
              </w:rPr>
              <w:t xml:space="preserve">Toilet </w:t>
            </w:r>
            <w:r w:rsidR="00B77D83">
              <w:rPr>
                <w:rFonts w:ascii="Calibri" w:hAnsi="Calibri" w:cs="Calibri"/>
                <w:color w:val="000000"/>
                <w:sz w:val="18"/>
                <w:szCs w:val="18"/>
              </w:rPr>
              <w:t>and</w:t>
            </w:r>
            <w:r w:rsidRPr="00226205">
              <w:rPr>
                <w:rFonts w:ascii="Calibri" w:hAnsi="Calibri" w:cs="Calibri"/>
                <w:color w:val="000000"/>
                <w:sz w:val="18"/>
                <w:szCs w:val="18"/>
              </w:rPr>
              <w:t xml:space="preserve"> Pavilion, Barkly Gardens- Mary Street, Burnley</w:t>
            </w:r>
          </w:p>
        </w:tc>
        <w:tc>
          <w:tcPr>
            <w:tcW w:w="1276" w:type="dxa"/>
            <w:shd w:val="clear" w:color="auto" w:fill="auto"/>
            <w:hideMark/>
          </w:tcPr>
          <w:p w:rsidR="00226205" w:rsidRPr="00226205" w:rsidRDefault="009965C5" w:rsidP="009965C5">
            <w:pPr>
              <w:tabs>
                <w:tab w:val="decimal" w:pos="884"/>
              </w:tabs>
              <w:jc w:val="left"/>
              <w:rPr>
                <w:rFonts w:ascii="Calibri" w:hAnsi="Calibri" w:cs="Calibri"/>
                <w:color w:val="000000"/>
                <w:sz w:val="18"/>
                <w:szCs w:val="18"/>
              </w:rPr>
            </w:pPr>
            <w:r>
              <w:rPr>
                <w:rFonts w:ascii="Calibri" w:hAnsi="Calibri" w:cs="Calibri"/>
                <w:color w:val="000000"/>
                <w:sz w:val="18"/>
                <w:szCs w:val="18"/>
              </w:rPr>
              <w:t>$</w:t>
            </w:r>
            <w:r w:rsidR="00226205" w:rsidRPr="00226205">
              <w:rPr>
                <w:rFonts w:ascii="Calibri" w:hAnsi="Calibri" w:cs="Calibri"/>
                <w:color w:val="000000"/>
                <w:sz w:val="18"/>
                <w:szCs w:val="18"/>
              </w:rPr>
              <w:t>335,400</w:t>
            </w:r>
          </w:p>
        </w:tc>
        <w:tc>
          <w:tcPr>
            <w:tcW w:w="1134" w:type="dxa"/>
            <w:shd w:val="clear" w:color="auto" w:fill="auto"/>
            <w:hideMark/>
          </w:tcPr>
          <w:p w:rsidR="00226205" w:rsidRPr="00226205" w:rsidRDefault="00226205" w:rsidP="00226205">
            <w:pPr>
              <w:jc w:val="center"/>
              <w:rPr>
                <w:rFonts w:ascii="Calibri" w:hAnsi="Calibri" w:cs="Calibri"/>
                <w:color w:val="000000"/>
                <w:sz w:val="18"/>
                <w:szCs w:val="18"/>
              </w:rPr>
            </w:pPr>
            <w:r w:rsidRPr="00226205">
              <w:rPr>
                <w:rFonts w:ascii="Calibri" w:hAnsi="Calibri" w:cs="Calibri"/>
                <w:color w:val="000000"/>
                <w:sz w:val="18"/>
                <w:szCs w:val="18"/>
              </w:rPr>
              <w:t xml:space="preserve">Recreation </w:t>
            </w:r>
            <w:r w:rsidR="00B77D83">
              <w:rPr>
                <w:rFonts w:ascii="Calibri" w:hAnsi="Calibri" w:cs="Calibri"/>
                <w:color w:val="000000"/>
                <w:sz w:val="18"/>
                <w:szCs w:val="18"/>
              </w:rPr>
              <w:t>and</w:t>
            </w:r>
            <w:r w:rsidRPr="00226205">
              <w:rPr>
                <w:rFonts w:ascii="Calibri" w:hAnsi="Calibri" w:cs="Calibri"/>
                <w:color w:val="000000"/>
                <w:sz w:val="18"/>
                <w:szCs w:val="18"/>
              </w:rPr>
              <w:t xml:space="preserve"> Open Space</w:t>
            </w:r>
          </w:p>
        </w:tc>
        <w:tc>
          <w:tcPr>
            <w:tcW w:w="1417" w:type="dxa"/>
            <w:shd w:val="clear" w:color="auto" w:fill="auto"/>
            <w:hideMark/>
          </w:tcPr>
          <w:p w:rsidR="00226205" w:rsidRPr="00226205" w:rsidRDefault="00226205" w:rsidP="00226205">
            <w:pPr>
              <w:jc w:val="center"/>
              <w:rPr>
                <w:rFonts w:ascii="Calibri" w:hAnsi="Calibri" w:cs="Calibri"/>
                <w:color w:val="000000"/>
                <w:sz w:val="18"/>
                <w:szCs w:val="18"/>
              </w:rPr>
            </w:pPr>
            <w:r w:rsidRPr="00226205">
              <w:rPr>
                <w:rFonts w:ascii="Calibri" w:hAnsi="Calibri" w:cs="Calibri"/>
                <w:color w:val="000000"/>
                <w:sz w:val="18"/>
                <w:szCs w:val="18"/>
              </w:rPr>
              <w:t>Pavilions / Clubrooms / Change rooms</w:t>
            </w:r>
          </w:p>
        </w:tc>
        <w:tc>
          <w:tcPr>
            <w:tcW w:w="2410" w:type="dxa"/>
            <w:shd w:val="clear" w:color="auto" w:fill="auto"/>
            <w:hideMark/>
          </w:tcPr>
          <w:p w:rsidR="00226205" w:rsidRPr="00226205" w:rsidRDefault="00226205" w:rsidP="00226205">
            <w:pPr>
              <w:jc w:val="left"/>
              <w:rPr>
                <w:rFonts w:ascii="Calibri" w:hAnsi="Calibri" w:cs="Calibri"/>
                <w:color w:val="000000"/>
                <w:sz w:val="18"/>
                <w:szCs w:val="18"/>
              </w:rPr>
            </w:pPr>
            <w:r w:rsidRPr="00226205">
              <w:rPr>
                <w:rFonts w:ascii="Calibri" w:hAnsi="Calibri" w:cs="Calibri"/>
                <w:color w:val="000000"/>
                <w:sz w:val="18"/>
                <w:szCs w:val="18"/>
              </w:rPr>
              <w:t>The building is in a good condition.</w:t>
            </w:r>
          </w:p>
        </w:tc>
        <w:tc>
          <w:tcPr>
            <w:tcW w:w="3118" w:type="dxa"/>
            <w:shd w:val="clear" w:color="auto" w:fill="auto"/>
            <w:hideMark/>
          </w:tcPr>
          <w:p w:rsidR="00226205" w:rsidRPr="00226205" w:rsidRDefault="00226205" w:rsidP="00226205">
            <w:pPr>
              <w:jc w:val="left"/>
              <w:rPr>
                <w:rFonts w:ascii="Calibri" w:hAnsi="Calibri" w:cs="Calibri"/>
                <w:color w:val="000000"/>
                <w:sz w:val="18"/>
                <w:szCs w:val="18"/>
              </w:rPr>
            </w:pPr>
            <w:r w:rsidRPr="00226205">
              <w:rPr>
                <w:rFonts w:ascii="Calibri" w:hAnsi="Calibri" w:cs="Calibri"/>
                <w:color w:val="000000"/>
                <w:sz w:val="18"/>
                <w:szCs w:val="18"/>
              </w:rPr>
              <w:t>Building needs additional change room, first aid room and storage required. Upgrade required.</w:t>
            </w:r>
          </w:p>
        </w:tc>
      </w:tr>
      <w:tr w:rsidR="00226205" w:rsidRPr="00226205" w:rsidTr="00B77D83">
        <w:trPr>
          <w:cantSplit/>
          <w:trHeight w:val="2070"/>
        </w:trPr>
        <w:tc>
          <w:tcPr>
            <w:tcW w:w="998" w:type="dxa"/>
            <w:shd w:val="clear" w:color="auto" w:fill="auto"/>
            <w:hideMark/>
          </w:tcPr>
          <w:p w:rsidR="00226205" w:rsidRPr="00226205" w:rsidRDefault="00226205" w:rsidP="006918D2">
            <w:pPr>
              <w:jc w:val="center"/>
              <w:rPr>
                <w:rFonts w:ascii="Calibri" w:hAnsi="Calibri" w:cs="Calibri"/>
                <w:color w:val="000000"/>
                <w:sz w:val="18"/>
                <w:szCs w:val="18"/>
              </w:rPr>
            </w:pPr>
            <w:r w:rsidRPr="00226205">
              <w:rPr>
                <w:rFonts w:ascii="Calibri" w:hAnsi="Calibri" w:cs="Calibri"/>
                <w:color w:val="000000"/>
                <w:sz w:val="18"/>
                <w:szCs w:val="18"/>
              </w:rPr>
              <w:t>B000192</w:t>
            </w:r>
          </w:p>
        </w:tc>
        <w:tc>
          <w:tcPr>
            <w:tcW w:w="2693" w:type="dxa"/>
            <w:shd w:val="clear" w:color="auto" w:fill="auto"/>
            <w:hideMark/>
          </w:tcPr>
          <w:p w:rsidR="00226205" w:rsidRPr="00226205" w:rsidRDefault="00226205" w:rsidP="00226205">
            <w:pPr>
              <w:rPr>
                <w:rFonts w:ascii="Calibri" w:hAnsi="Calibri" w:cs="Calibri"/>
                <w:color w:val="000000"/>
                <w:sz w:val="18"/>
                <w:szCs w:val="18"/>
              </w:rPr>
            </w:pPr>
            <w:r w:rsidRPr="00226205">
              <w:rPr>
                <w:rFonts w:ascii="Calibri" w:hAnsi="Calibri" w:cs="Calibri"/>
                <w:noProof/>
                <w:color w:val="000000"/>
                <w:sz w:val="18"/>
                <w:szCs w:val="18"/>
              </w:rPr>
              <w:drawing>
                <wp:anchor distT="0" distB="0" distL="114300" distR="114300" simplePos="0" relativeHeight="251801088" behindDoc="0" locked="0" layoutInCell="1" allowOverlap="1" wp14:anchorId="72F3CFE3" wp14:editId="0E7B28E9">
                  <wp:simplePos x="0" y="0"/>
                  <wp:positionH relativeFrom="column">
                    <wp:posOffset>-20955</wp:posOffset>
                  </wp:positionH>
                  <wp:positionV relativeFrom="paragraph">
                    <wp:posOffset>36635</wp:posOffset>
                  </wp:positionV>
                  <wp:extent cx="1630800" cy="1238400"/>
                  <wp:effectExtent l="0" t="0" r="0" b="0"/>
                  <wp:wrapNone/>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Picture 144"/>
                          <pic:cNvPicPr>
                            <a:picLocks noChangeAspect="1"/>
                          </pic:cNvPicPr>
                        </pic:nvPicPr>
                        <pic:blipFill>
                          <a:blip r:embed="rId202">
                            <a:extLst>
                              <a:ext uri="{28A0092B-C50C-407E-A947-70E740481C1C}">
                                <a14:useLocalDpi xmlns:a14="http://schemas.microsoft.com/office/drawing/2010/main" val="0"/>
                              </a:ext>
                            </a:extLst>
                          </a:blip>
                          <a:stretch>
                            <a:fillRect/>
                          </a:stretch>
                        </pic:blipFill>
                        <pic:spPr>
                          <a:xfrm>
                            <a:off x="0" y="0"/>
                            <a:ext cx="1630800" cy="1238400"/>
                          </a:xfrm>
                          <a:prstGeom prst="rect">
                            <a:avLst/>
                          </a:prstGeom>
                        </pic:spPr>
                      </pic:pic>
                    </a:graphicData>
                  </a:graphic>
                  <wp14:sizeRelH relativeFrom="page">
                    <wp14:pctWidth>0</wp14:pctWidth>
                  </wp14:sizeRelH>
                  <wp14:sizeRelV relativeFrom="page">
                    <wp14:pctHeight>0</wp14:pctHeight>
                  </wp14:sizeRelV>
                </wp:anchor>
              </w:drawing>
            </w:r>
          </w:p>
        </w:tc>
        <w:tc>
          <w:tcPr>
            <w:tcW w:w="2268" w:type="dxa"/>
            <w:shd w:val="clear" w:color="auto" w:fill="auto"/>
            <w:hideMark/>
          </w:tcPr>
          <w:p w:rsidR="00226205" w:rsidRPr="00226205" w:rsidRDefault="00226205" w:rsidP="00A54993">
            <w:pPr>
              <w:jc w:val="left"/>
              <w:rPr>
                <w:rFonts w:ascii="Calibri" w:hAnsi="Calibri" w:cs="Calibri"/>
                <w:color w:val="000000"/>
                <w:sz w:val="18"/>
                <w:szCs w:val="18"/>
              </w:rPr>
            </w:pPr>
            <w:r w:rsidRPr="00226205">
              <w:rPr>
                <w:rFonts w:ascii="Calibri" w:hAnsi="Calibri" w:cs="Calibri"/>
                <w:color w:val="000000"/>
                <w:sz w:val="18"/>
                <w:szCs w:val="18"/>
              </w:rPr>
              <w:t xml:space="preserve">Middle Building, Burnley Street Depot- 440 Burnley Street, Richmond </w:t>
            </w:r>
          </w:p>
        </w:tc>
        <w:tc>
          <w:tcPr>
            <w:tcW w:w="1276" w:type="dxa"/>
            <w:shd w:val="clear" w:color="auto" w:fill="auto"/>
            <w:hideMark/>
          </w:tcPr>
          <w:p w:rsidR="00226205" w:rsidRPr="00226205" w:rsidRDefault="00226205" w:rsidP="009965C5">
            <w:pPr>
              <w:tabs>
                <w:tab w:val="decimal" w:pos="884"/>
              </w:tabs>
              <w:jc w:val="left"/>
              <w:rPr>
                <w:rFonts w:ascii="Calibri" w:hAnsi="Calibri" w:cs="Calibri"/>
                <w:color w:val="000000"/>
                <w:sz w:val="18"/>
                <w:szCs w:val="18"/>
              </w:rPr>
            </w:pPr>
            <w:r w:rsidRPr="00226205">
              <w:rPr>
                <w:rFonts w:ascii="Calibri" w:hAnsi="Calibri" w:cs="Calibri"/>
                <w:color w:val="000000"/>
                <w:sz w:val="18"/>
                <w:szCs w:val="18"/>
              </w:rPr>
              <w:t>$876,015</w:t>
            </w:r>
          </w:p>
        </w:tc>
        <w:tc>
          <w:tcPr>
            <w:tcW w:w="1134" w:type="dxa"/>
            <w:shd w:val="clear" w:color="auto" w:fill="auto"/>
            <w:hideMark/>
          </w:tcPr>
          <w:p w:rsidR="00226205" w:rsidRPr="00226205" w:rsidRDefault="00226205" w:rsidP="00226205">
            <w:pPr>
              <w:jc w:val="center"/>
              <w:rPr>
                <w:rFonts w:ascii="Calibri" w:hAnsi="Calibri" w:cs="Calibri"/>
                <w:color w:val="000000"/>
                <w:sz w:val="18"/>
                <w:szCs w:val="18"/>
              </w:rPr>
            </w:pPr>
            <w:r w:rsidRPr="00226205">
              <w:rPr>
                <w:rFonts w:ascii="Calibri" w:hAnsi="Calibri" w:cs="Calibri"/>
                <w:color w:val="000000"/>
                <w:sz w:val="18"/>
                <w:szCs w:val="18"/>
              </w:rPr>
              <w:t>Council Operations</w:t>
            </w:r>
          </w:p>
        </w:tc>
        <w:tc>
          <w:tcPr>
            <w:tcW w:w="1417" w:type="dxa"/>
            <w:shd w:val="clear" w:color="auto" w:fill="auto"/>
            <w:hideMark/>
          </w:tcPr>
          <w:p w:rsidR="00226205" w:rsidRPr="00226205" w:rsidRDefault="00226205" w:rsidP="00226205">
            <w:pPr>
              <w:jc w:val="center"/>
              <w:rPr>
                <w:rFonts w:ascii="Calibri" w:hAnsi="Calibri" w:cs="Calibri"/>
                <w:color w:val="000000"/>
                <w:sz w:val="18"/>
                <w:szCs w:val="18"/>
              </w:rPr>
            </w:pPr>
            <w:r w:rsidRPr="00226205">
              <w:rPr>
                <w:rFonts w:ascii="Calibri" w:hAnsi="Calibri" w:cs="Calibri"/>
                <w:color w:val="000000"/>
                <w:sz w:val="18"/>
                <w:szCs w:val="18"/>
              </w:rPr>
              <w:t>Depot</w:t>
            </w:r>
          </w:p>
        </w:tc>
        <w:tc>
          <w:tcPr>
            <w:tcW w:w="2410" w:type="dxa"/>
            <w:shd w:val="clear" w:color="auto" w:fill="auto"/>
            <w:hideMark/>
          </w:tcPr>
          <w:p w:rsidR="00226205" w:rsidRPr="00226205" w:rsidRDefault="00226205" w:rsidP="00226205">
            <w:pPr>
              <w:jc w:val="left"/>
              <w:rPr>
                <w:rFonts w:ascii="Calibri" w:hAnsi="Calibri" w:cs="Calibri"/>
                <w:color w:val="000000"/>
                <w:sz w:val="18"/>
                <w:szCs w:val="18"/>
              </w:rPr>
            </w:pPr>
            <w:r w:rsidRPr="00226205">
              <w:rPr>
                <w:rFonts w:ascii="Calibri" w:hAnsi="Calibri" w:cs="Calibri"/>
                <w:color w:val="000000"/>
                <w:sz w:val="18"/>
                <w:szCs w:val="18"/>
              </w:rPr>
              <w:t xml:space="preserve">The building is generally in a poor condition. </w:t>
            </w:r>
          </w:p>
        </w:tc>
        <w:tc>
          <w:tcPr>
            <w:tcW w:w="3118" w:type="dxa"/>
            <w:shd w:val="clear" w:color="auto" w:fill="auto"/>
            <w:hideMark/>
          </w:tcPr>
          <w:p w:rsidR="00226205" w:rsidRPr="00226205" w:rsidRDefault="00226205" w:rsidP="00226205">
            <w:pPr>
              <w:jc w:val="left"/>
              <w:rPr>
                <w:rFonts w:ascii="Calibri" w:hAnsi="Calibri" w:cs="Calibri"/>
                <w:color w:val="000000"/>
                <w:sz w:val="18"/>
                <w:szCs w:val="18"/>
              </w:rPr>
            </w:pPr>
            <w:r w:rsidRPr="00226205">
              <w:rPr>
                <w:rFonts w:ascii="Calibri" w:hAnsi="Calibri" w:cs="Calibri"/>
                <w:color w:val="000000"/>
                <w:sz w:val="18"/>
                <w:szCs w:val="18"/>
              </w:rPr>
              <w:t>Poor location for the recycling drop off service.  Future needs report on depots should form basis of future improvements.</w:t>
            </w:r>
          </w:p>
        </w:tc>
      </w:tr>
      <w:tr w:rsidR="00226205" w:rsidRPr="00226205" w:rsidTr="00B77D83">
        <w:trPr>
          <w:cantSplit/>
          <w:trHeight w:val="2269"/>
        </w:trPr>
        <w:tc>
          <w:tcPr>
            <w:tcW w:w="998" w:type="dxa"/>
            <w:shd w:val="clear" w:color="auto" w:fill="auto"/>
            <w:hideMark/>
          </w:tcPr>
          <w:p w:rsidR="00226205" w:rsidRPr="00226205" w:rsidRDefault="00226205" w:rsidP="006918D2">
            <w:pPr>
              <w:jc w:val="center"/>
              <w:rPr>
                <w:rFonts w:ascii="Calibri" w:hAnsi="Calibri" w:cs="Calibri"/>
                <w:color w:val="000000"/>
                <w:sz w:val="18"/>
                <w:szCs w:val="18"/>
              </w:rPr>
            </w:pPr>
            <w:r w:rsidRPr="00226205">
              <w:rPr>
                <w:rFonts w:ascii="Calibri" w:hAnsi="Calibri" w:cs="Calibri"/>
                <w:color w:val="000000"/>
                <w:sz w:val="18"/>
                <w:szCs w:val="18"/>
              </w:rPr>
              <w:t>B000195</w:t>
            </w:r>
          </w:p>
        </w:tc>
        <w:tc>
          <w:tcPr>
            <w:tcW w:w="2693" w:type="dxa"/>
            <w:shd w:val="clear" w:color="auto" w:fill="auto"/>
            <w:hideMark/>
          </w:tcPr>
          <w:p w:rsidR="00226205" w:rsidRPr="00226205" w:rsidRDefault="00226205" w:rsidP="00226205">
            <w:pPr>
              <w:rPr>
                <w:rFonts w:ascii="Calibri" w:hAnsi="Calibri" w:cs="Calibri"/>
                <w:color w:val="000000"/>
                <w:sz w:val="18"/>
                <w:szCs w:val="18"/>
              </w:rPr>
            </w:pPr>
            <w:r w:rsidRPr="00226205">
              <w:rPr>
                <w:rFonts w:ascii="Calibri" w:hAnsi="Calibri" w:cs="Calibri"/>
                <w:noProof/>
                <w:color w:val="000000"/>
                <w:sz w:val="18"/>
                <w:szCs w:val="18"/>
              </w:rPr>
              <w:drawing>
                <wp:anchor distT="0" distB="0" distL="114300" distR="114300" simplePos="0" relativeHeight="251799040" behindDoc="0" locked="0" layoutInCell="1" allowOverlap="1" wp14:anchorId="25DD2646" wp14:editId="301204AD">
                  <wp:simplePos x="0" y="0"/>
                  <wp:positionH relativeFrom="column">
                    <wp:posOffset>-20955</wp:posOffset>
                  </wp:positionH>
                  <wp:positionV relativeFrom="paragraph">
                    <wp:posOffset>53535</wp:posOffset>
                  </wp:positionV>
                  <wp:extent cx="1630800" cy="1303200"/>
                  <wp:effectExtent l="0" t="0" r="0" b="0"/>
                  <wp:wrapNone/>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Picture 142"/>
                          <pic:cNvPicPr>
                            <a:picLocks noChangeAspect="1"/>
                          </pic:cNvPicPr>
                        </pic:nvPicPr>
                        <pic:blipFill>
                          <a:blip r:embed="rId203">
                            <a:extLst>
                              <a:ext uri="{28A0092B-C50C-407E-A947-70E740481C1C}">
                                <a14:useLocalDpi xmlns:a14="http://schemas.microsoft.com/office/drawing/2010/main" val="0"/>
                              </a:ext>
                            </a:extLst>
                          </a:blip>
                          <a:stretch>
                            <a:fillRect/>
                          </a:stretch>
                        </pic:blipFill>
                        <pic:spPr>
                          <a:xfrm>
                            <a:off x="0" y="0"/>
                            <a:ext cx="1630800" cy="1303200"/>
                          </a:xfrm>
                          <a:prstGeom prst="rect">
                            <a:avLst/>
                          </a:prstGeom>
                        </pic:spPr>
                      </pic:pic>
                    </a:graphicData>
                  </a:graphic>
                  <wp14:sizeRelH relativeFrom="page">
                    <wp14:pctWidth>0</wp14:pctWidth>
                  </wp14:sizeRelH>
                  <wp14:sizeRelV relativeFrom="page">
                    <wp14:pctHeight>0</wp14:pctHeight>
                  </wp14:sizeRelV>
                </wp:anchor>
              </w:drawing>
            </w:r>
          </w:p>
        </w:tc>
        <w:tc>
          <w:tcPr>
            <w:tcW w:w="2268" w:type="dxa"/>
            <w:shd w:val="clear" w:color="auto" w:fill="auto"/>
            <w:hideMark/>
          </w:tcPr>
          <w:p w:rsidR="00226205" w:rsidRPr="00226205" w:rsidRDefault="00226205" w:rsidP="00A54993">
            <w:pPr>
              <w:jc w:val="left"/>
              <w:rPr>
                <w:rFonts w:ascii="Calibri" w:hAnsi="Calibri" w:cs="Calibri"/>
                <w:color w:val="000000"/>
                <w:sz w:val="18"/>
                <w:szCs w:val="18"/>
              </w:rPr>
            </w:pPr>
            <w:r w:rsidRPr="00226205">
              <w:rPr>
                <w:rFonts w:ascii="Calibri" w:hAnsi="Calibri" w:cs="Calibri"/>
                <w:color w:val="000000"/>
                <w:sz w:val="18"/>
                <w:szCs w:val="18"/>
              </w:rPr>
              <w:t xml:space="preserve">Administration Building, Burnley Street Depot- 440 Burnley Street, Richmond   </w:t>
            </w:r>
          </w:p>
        </w:tc>
        <w:tc>
          <w:tcPr>
            <w:tcW w:w="1276" w:type="dxa"/>
            <w:shd w:val="clear" w:color="auto" w:fill="auto"/>
            <w:hideMark/>
          </w:tcPr>
          <w:p w:rsidR="00226205" w:rsidRPr="00226205" w:rsidRDefault="009965C5" w:rsidP="009965C5">
            <w:pPr>
              <w:tabs>
                <w:tab w:val="decimal" w:pos="884"/>
              </w:tabs>
              <w:jc w:val="left"/>
              <w:rPr>
                <w:rFonts w:ascii="Calibri" w:hAnsi="Calibri" w:cs="Calibri"/>
                <w:color w:val="000000"/>
                <w:sz w:val="18"/>
                <w:szCs w:val="18"/>
              </w:rPr>
            </w:pPr>
            <w:r>
              <w:rPr>
                <w:rFonts w:ascii="Calibri" w:hAnsi="Calibri" w:cs="Calibri"/>
                <w:color w:val="000000"/>
                <w:sz w:val="18"/>
                <w:szCs w:val="18"/>
              </w:rPr>
              <w:t>$</w:t>
            </w:r>
            <w:r w:rsidR="00226205" w:rsidRPr="00226205">
              <w:rPr>
                <w:rFonts w:ascii="Calibri" w:hAnsi="Calibri" w:cs="Calibri"/>
                <w:color w:val="000000"/>
                <w:sz w:val="18"/>
                <w:szCs w:val="18"/>
              </w:rPr>
              <w:t>300,000</w:t>
            </w:r>
          </w:p>
        </w:tc>
        <w:tc>
          <w:tcPr>
            <w:tcW w:w="1134" w:type="dxa"/>
            <w:shd w:val="clear" w:color="auto" w:fill="auto"/>
            <w:hideMark/>
          </w:tcPr>
          <w:p w:rsidR="00226205" w:rsidRPr="00226205" w:rsidRDefault="00226205" w:rsidP="00226205">
            <w:pPr>
              <w:jc w:val="center"/>
              <w:rPr>
                <w:rFonts w:ascii="Calibri" w:hAnsi="Calibri" w:cs="Calibri"/>
                <w:color w:val="000000"/>
                <w:sz w:val="18"/>
                <w:szCs w:val="18"/>
              </w:rPr>
            </w:pPr>
            <w:r w:rsidRPr="00226205">
              <w:rPr>
                <w:rFonts w:ascii="Calibri" w:hAnsi="Calibri" w:cs="Calibri"/>
                <w:color w:val="000000"/>
                <w:sz w:val="18"/>
                <w:szCs w:val="18"/>
              </w:rPr>
              <w:t>Council Operations</w:t>
            </w:r>
          </w:p>
        </w:tc>
        <w:tc>
          <w:tcPr>
            <w:tcW w:w="1417" w:type="dxa"/>
            <w:shd w:val="clear" w:color="auto" w:fill="auto"/>
            <w:hideMark/>
          </w:tcPr>
          <w:p w:rsidR="00226205" w:rsidRPr="00226205" w:rsidRDefault="00226205" w:rsidP="00226205">
            <w:pPr>
              <w:jc w:val="center"/>
              <w:rPr>
                <w:rFonts w:ascii="Calibri" w:hAnsi="Calibri" w:cs="Calibri"/>
                <w:color w:val="000000"/>
                <w:sz w:val="18"/>
                <w:szCs w:val="18"/>
              </w:rPr>
            </w:pPr>
            <w:r w:rsidRPr="00226205">
              <w:rPr>
                <w:rFonts w:ascii="Calibri" w:hAnsi="Calibri" w:cs="Calibri"/>
                <w:color w:val="000000"/>
                <w:sz w:val="18"/>
                <w:szCs w:val="18"/>
              </w:rPr>
              <w:t>Depot</w:t>
            </w:r>
          </w:p>
        </w:tc>
        <w:tc>
          <w:tcPr>
            <w:tcW w:w="2410" w:type="dxa"/>
            <w:shd w:val="clear" w:color="auto" w:fill="auto"/>
            <w:hideMark/>
          </w:tcPr>
          <w:p w:rsidR="00226205" w:rsidRPr="00226205" w:rsidRDefault="00226205" w:rsidP="00226205">
            <w:pPr>
              <w:jc w:val="left"/>
              <w:rPr>
                <w:rFonts w:ascii="Calibri" w:hAnsi="Calibri" w:cs="Calibri"/>
                <w:color w:val="000000"/>
                <w:sz w:val="18"/>
                <w:szCs w:val="18"/>
              </w:rPr>
            </w:pPr>
            <w:r w:rsidRPr="00226205">
              <w:rPr>
                <w:rFonts w:ascii="Calibri" w:hAnsi="Calibri" w:cs="Calibri"/>
                <w:color w:val="000000"/>
                <w:sz w:val="18"/>
                <w:szCs w:val="18"/>
              </w:rPr>
              <w:t xml:space="preserve">The building is generally in a poor condition. </w:t>
            </w:r>
          </w:p>
        </w:tc>
        <w:tc>
          <w:tcPr>
            <w:tcW w:w="3118" w:type="dxa"/>
            <w:shd w:val="clear" w:color="auto" w:fill="auto"/>
            <w:hideMark/>
          </w:tcPr>
          <w:p w:rsidR="00226205" w:rsidRPr="00226205" w:rsidRDefault="00226205" w:rsidP="00226205">
            <w:pPr>
              <w:jc w:val="left"/>
              <w:rPr>
                <w:rFonts w:ascii="Calibri" w:hAnsi="Calibri" w:cs="Calibri"/>
                <w:color w:val="000000"/>
                <w:sz w:val="18"/>
                <w:szCs w:val="18"/>
              </w:rPr>
            </w:pPr>
            <w:r w:rsidRPr="00226205">
              <w:rPr>
                <w:rFonts w:ascii="Calibri" w:hAnsi="Calibri" w:cs="Calibri"/>
                <w:color w:val="000000"/>
                <w:sz w:val="18"/>
                <w:szCs w:val="18"/>
              </w:rPr>
              <w:t>Poorly located for customers.  Future needs report on depots should form basis of future improvements.  Currently leased to Visy Industries.</w:t>
            </w:r>
          </w:p>
        </w:tc>
      </w:tr>
      <w:tr w:rsidR="00226205" w:rsidRPr="00226205" w:rsidTr="00B77D83">
        <w:trPr>
          <w:cantSplit/>
          <w:trHeight w:val="1923"/>
        </w:trPr>
        <w:tc>
          <w:tcPr>
            <w:tcW w:w="998" w:type="dxa"/>
            <w:shd w:val="clear" w:color="auto" w:fill="auto"/>
            <w:hideMark/>
          </w:tcPr>
          <w:p w:rsidR="00226205" w:rsidRPr="00226205" w:rsidRDefault="00226205" w:rsidP="006918D2">
            <w:pPr>
              <w:jc w:val="center"/>
              <w:rPr>
                <w:rFonts w:ascii="Calibri" w:hAnsi="Calibri" w:cs="Calibri"/>
                <w:color w:val="000000"/>
                <w:sz w:val="18"/>
                <w:szCs w:val="18"/>
              </w:rPr>
            </w:pPr>
            <w:r w:rsidRPr="00226205">
              <w:rPr>
                <w:rFonts w:ascii="Calibri" w:hAnsi="Calibri" w:cs="Calibri"/>
                <w:color w:val="000000"/>
                <w:sz w:val="18"/>
                <w:szCs w:val="18"/>
              </w:rPr>
              <w:t>B000196</w:t>
            </w:r>
          </w:p>
        </w:tc>
        <w:tc>
          <w:tcPr>
            <w:tcW w:w="2693" w:type="dxa"/>
            <w:shd w:val="clear" w:color="auto" w:fill="auto"/>
            <w:hideMark/>
          </w:tcPr>
          <w:p w:rsidR="00226205" w:rsidRPr="00226205" w:rsidRDefault="00226205" w:rsidP="00226205">
            <w:pPr>
              <w:rPr>
                <w:rFonts w:ascii="Calibri" w:hAnsi="Calibri" w:cs="Calibri"/>
                <w:color w:val="000000"/>
                <w:sz w:val="18"/>
                <w:szCs w:val="18"/>
              </w:rPr>
            </w:pPr>
            <w:r w:rsidRPr="00226205">
              <w:rPr>
                <w:rFonts w:ascii="Calibri" w:hAnsi="Calibri" w:cs="Calibri"/>
                <w:noProof/>
                <w:color w:val="000000"/>
                <w:sz w:val="18"/>
                <w:szCs w:val="18"/>
              </w:rPr>
              <w:drawing>
                <wp:anchor distT="0" distB="0" distL="114300" distR="114300" simplePos="0" relativeHeight="251800064" behindDoc="0" locked="0" layoutInCell="1" allowOverlap="1" wp14:anchorId="3E4A31FF" wp14:editId="3F6CD29D">
                  <wp:simplePos x="0" y="0"/>
                  <wp:positionH relativeFrom="column">
                    <wp:posOffset>-20955</wp:posOffset>
                  </wp:positionH>
                  <wp:positionV relativeFrom="paragraph">
                    <wp:posOffset>45720</wp:posOffset>
                  </wp:positionV>
                  <wp:extent cx="1630800" cy="1144800"/>
                  <wp:effectExtent l="0" t="0" r="0" b="0"/>
                  <wp:wrapNone/>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Picture 143"/>
                          <pic:cNvPicPr>
                            <a:picLocks noChangeAspect="1"/>
                          </pic:cNvPicPr>
                        </pic:nvPicPr>
                        <pic:blipFill>
                          <a:blip r:embed="rId204">
                            <a:extLst>
                              <a:ext uri="{28A0092B-C50C-407E-A947-70E740481C1C}">
                                <a14:useLocalDpi xmlns:a14="http://schemas.microsoft.com/office/drawing/2010/main" val="0"/>
                              </a:ext>
                            </a:extLst>
                          </a:blip>
                          <a:stretch>
                            <a:fillRect/>
                          </a:stretch>
                        </pic:blipFill>
                        <pic:spPr>
                          <a:xfrm>
                            <a:off x="0" y="0"/>
                            <a:ext cx="1630800" cy="1144800"/>
                          </a:xfrm>
                          <a:prstGeom prst="rect">
                            <a:avLst/>
                          </a:prstGeom>
                        </pic:spPr>
                      </pic:pic>
                    </a:graphicData>
                  </a:graphic>
                  <wp14:sizeRelH relativeFrom="page">
                    <wp14:pctWidth>0</wp14:pctWidth>
                  </wp14:sizeRelH>
                  <wp14:sizeRelV relativeFrom="page">
                    <wp14:pctHeight>0</wp14:pctHeight>
                  </wp14:sizeRelV>
                </wp:anchor>
              </w:drawing>
            </w:r>
          </w:p>
        </w:tc>
        <w:tc>
          <w:tcPr>
            <w:tcW w:w="2268" w:type="dxa"/>
            <w:shd w:val="clear" w:color="auto" w:fill="auto"/>
            <w:hideMark/>
          </w:tcPr>
          <w:p w:rsidR="00226205" w:rsidRPr="00226205" w:rsidRDefault="00226205" w:rsidP="00A54993">
            <w:pPr>
              <w:jc w:val="left"/>
              <w:rPr>
                <w:rFonts w:ascii="Calibri" w:hAnsi="Calibri" w:cs="Calibri"/>
                <w:color w:val="000000"/>
                <w:sz w:val="18"/>
                <w:szCs w:val="18"/>
              </w:rPr>
            </w:pPr>
            <w:r w:rsidRPr="00226205">
              <w:rPr>
                <w:rFonts w:ascii="Calibri" w:hAnsi="Calibri" w:cs="Calibri"/>
                <w:color w:val="000000"/>
                <w:sz w:val="18"/>
                <w:szCs w:val="18"/>
              </w:rPr>
              <w:t xml:space="preserve">West Building, Burnley Street Depot (Store and Loading Bay)  440 Burnley Street, Richmond </w:t>
            </w:r>
          </w:p>
        </w:tc>
        <w:tc>
          <w:tcPr>
            <w:tcW w:w="1276" w:type="dxa"/>
            <w:shd w:val="clear" w:color="auto" w:fill="auto"/>
            <w:hideMark/>
          </w:tcPr>
          <w:p w:rsidR="00226205" w:rsidRPr="00226205" w:rsidRDefault="009965C5" w:rsidP="009965C5">
            <w:pPr>
              <w:tabs>
                <w:tab w:val="decimal" w:pos="884"/>
              </w:tabs>
              <w:jc w:val="left"/>
              <w:rPr>
                <w:rFonts w:ascii="Calibri" w:hAnsi="Calibri" w:cs="Calibri"/>
                <w:color w:val="000000"/>
                <w:sz w:val="18"/>
                <w:szCs w:val="18"/>
              </w:rPr>
            </w:pPr>
            <w:r>
              <w:rPr>
                <w:rFonts w:ascii="Calibri" w:hAnsi="Calibri" w:cs="Calibri"/>
                <w:color w:val="000000"/>
                <w:sz w:val="18"/>
                <w:szCs w:val="18"/>
              </w:rPr>
              <w:t>$</w:t>
            </w:r>
            <w:r w:rsidR="00226205" w:rsidRPr="00226205">
              <w:rPr>
                <w:rFonts w:ascii="Calibri" w:hAnsi="Calibri" w:cs="Calibri"/>
                <w:color w:val="000000"/>
                <w:sz w:val="18"/>
                <w:szCs w:val="18"/>
              </w:rPr>
              <w:t>50,000</w:t>
            </w:r>
          </w:p>
        </w:tc>
        <w:tc>
          <w:tcPr>
            <w:tcW w:w="1134" w:type="dxa"/>
            <w:shd w:val="clear" w:color="auto" w:fill="auto"/>
            <w:hideMark/>
          </w:tcPr>
          <w:p w:rsidR="00226205" w:rsidRPr="00226205" w:rsidRDefault="00226205" w:rsidP="00226205">
            <w:pPr>
              <w:jc w:val="center"/>
              <w:rPr>
                <w:rFonts w:ascii="Calibri" w:hAnsi="Calibri" w:cs="Calibri"/>
                <w:color w:val="000000"/>
                <w:sz w:val="18"/>
                <w:szCs w:val="18"/>
              </w:rPr>
            </w:pPr>
            <w:r w:rsidRPr="00226205">
              <w:rPr>
                <w:rFonts w:ascii="Calibri" w:hAnsi="Calibri" w:cs="Calibri"/>
                <w:color w:val="000000"/>
                <w:sz w:val="18"/>
                <w:szCs w:val="18"/>
              </w:rPr>
              <w:t>Council Operations</w:t>
            </w:r>
          </w:p>
        </w:tc>
        <w:tc>
          <w:tcPr>
            <w:tcW w:w="1417" w:type="dxa"/>
            <w:shd w:val="clear" w:color="auto" w:fill="auto"/>
            <w:hideMark/>
          </w:tcPr>
          <w:p w:rsidR="00226205" w:rsidRPr="00226205" w:rsidRDefault="00226205" w:rsidP="00226205">
            <w:pPr>
              <w:jc w:val="center"/>
              <w:rPr>
                <w:rFonts w:ascii="Calibri" w:hAnsi="Calibri" w:cs="Calibri"/>
                <w:color w:val="000000"/>
                <w:sz w:val="18"/>
                <w:szCs w:val="18"/>
              </w:rPr>
            </w:pPr>
            <w:r w:rsidRPr="00226205">
              <w:rPr>
                <w:rFonts w:ascii="Calibri" w:hAnsi="Calibri" w:cs="Calibri"/>
                <w:color w:val="000000"/>
                <w:sz w:val="18"/>
                <w:szCs w:val="18"/>
              </w:rPr>
              <w:t>Depot</w:t>
            </w:r>
          </w:p>
        </w:tc>
        <w:tc>
          <w:tcPr>
            <w:tcW w:w="2410" w:type="dxa"/>
            <w:shd w:val="clear" w:color="auto" w:fill="auto"/>
            <w:hideMark/>
          </w:tcPr>
          <w:p w:rsidR="00226205" w:rsidRPr="00226205" w:rsidRDefault="00226205" w:rsidP="00226205">
            <w:pPr>
              <w:jc w:val="left"/>
              <w:rPr>
                <w:rFonts w:ascii="Calibri" w:hAnsi="Calibri" w:cs="Calibri"/>
                <w:color w:val="000000"/>
                <w:sz w:val="18"/>
                <w:szCs w:val="18"/>
              </w:rPr>
            </w:pPr>
            <w:r w:rsidRPr="00226205">
              <w:rPr>
                <w:rFonts w:ascii="Calibri" w:hAnsi="Calibri" w:cs="Calibri"/>
                <w:color w:val="000000"/>
                <w:sz w:val="18"/>
                <w:szCs w:val="18"/>
              </w:rPr>
              <w:t xml:space="preserve">The building is generally in a poor condition. </w:t>
            </w:r>
          </w:p>
        </w:tc>
        <w:tc>
          <w:tcPr>
            <w:tcW w:w="3118" w:type="dxa"/>
            <w:shd w:val="clear" w:color="auto" w:fill="auto"/>
            <w:hideMark/>
          </w:tcPr>
          <w:p w:rsidR="00226205" w:rsidRPr="00226205" w:rsidRDefault="00226205" w:rsidP="00226205">
            <w:pPr>
              <w:jc w:val="left"/>
              <w:rPr>
                <w:rFonts w:ascii="Calibri" w:hAnsi="Calibri" w:cs="Calibri"/>
                <w:color w:val="000000"/>
                <w:sz w:val="18"/>
                <w:szCs w:val="18"/>
              </w:rPr>
            </w:pPr>
            <w:r w:rsidRPr="00226205">
              <w:rPr>
                <w:rFonts w:ascii="Calibri" w:hAnsi="Calibri" w:cs="Calibri"/>
                <w:color w:val="000000"/>
                <w:sz w:val="18"/>
                <w:szCs w:val="18"/>
              </w:rPr>
              <w:t>No service currently delivered through building.  Future needs report on depots should form basis of future improvements.</w:t>
            </w:r>
          </w:p>
        </w:tc>
      </w:tr>
      <w:tr w:rsidR="00226205" w:rsidRPr="00226205" w:rsidTr="00B77D83">
        <w:trPr>
          <w:cantSplit/>
          <w:trHeight w:val="2373"/>
        </w:trPr>
        <w:tc>
          <w:tcPr>
            <w:tcW w:w="998" w:type="dxa"/>
            <w:shd w:val="clear" w:color="auto" w:fill="auto"/>
            <w:hideMark/>
          </w:tcPr>
          <w:p w:rsidR="00226205" w:rsidRPr="00226205" w:rsidRDefault="00226205" w:rsidP="006918D2">
            <w:pPr>
              <w:jc w:val="center"/>
              <w:rPr>
                <w:rFonts w:ascii="Calibri" w:hAnsi="Calibri" w:cs="Calibri"/>
                <w:color w:val="000000"/>
                <w:sz w:val="18"/>
                <w:szCs w:val="18"/>
              </w:rPr>
            </w:pPr>
            <w:r w:rsidRPr="00226205">
              <w:rPr>
                <w:rFonts w:ascii="Calibri" w:hAnsi="Calibri" w:cs="Calibri"/>
                <w:color w:val="000000"/>
                <w:sz w:val="18"/>
                <w:szCs w:val="18"/>
              </w:rPr>
              <w:t>B000197</w:t>
            </w:r>
          </w:p>
        </w:tc>
        <w:tc>
          <w:tcPr>
            <w:tcW w:w="2693" w:type="dxa"/>
            <w:shd w:val="clear" w:color="auto" w:fill="auto"/>
            <w:hideMark/>
          </w:tcPr>
          <w:p w:rsidR="00226205" w:rsidRPr="00226205" w:rsidRDefault="00226205" w:rsidP="00226205">
            <w:pPr>
              <w:rPr>
                <w:rFonts w:ascii="Calibri" w:hAnsi="Calibri" w:cs="Calibri"/>
                <w:color w:val="000000"/>
                <w:sz w:val="18"/>
                <w:szCs w:val="18"/>
              </w:rPr>
            </w:pPr>
            <w:r w:rsidRPr="00226205">
              <w:rPr>
                <w:rFonts w:ascii="Calibri" w:hAnsi="Calibri" w:cs="Calibri"/>
                <w:noProof/>
                <w:color w:val="000000"/>
                <w:sz w:val="18"/>
                <w:szCs w:val="18"/>
              </w:rPr>
              <w:drawing>
                <wp:anchor distT="0" distB="0" distL="114300" distR="114300" simplePos="0" relativeHeight="251811328" behindDoc="0" locked="0" layoutInCell="1" allowOverlap="1" wp14:anchorId="4CD895BE" wp14:editId="2BF58985">
                  <wp:simplePos x="0" y="0"/>
                  <wp:positionH relativeFrom="column">
                    <wp:posOffset>-20955</wp:posOffset>
                  </wp:positionH>
                  <wp:positionV relativeFrom="paragraph">
                    <wp:posOffset>53340</wp:posOffset>
                  </wp:positionV>
                  <wp:extent cx="1630800" cy="1321200"/>
                  <wp:effectExtent l="0" t="0" r="0" b="0"/>
                  <wp:wrapNone/>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Picture 157"/>
                          <pic:cNvPicPr>
                            <a:picLocks noChangeAspect="1"/>
                          </pic:cNvPicPr>
                        </pic:nvPicPr>
                        <pic:blipFill>
                          <a:blip r:embed="rId205" cstate="print">
                            <a:extLst>
                              <a:ext uri="{28A0092B-C50C-407E-A947-70E740481C1C}">
                                <a14:useLocalDpi xmlns:a14="http://schemas.microsoft.com/office/drawing/2010/main" val="0"/>
                              </a:ext>
                            </a:extLst>
                          </a:blip>
                          <a:stretch>
                            <a:fillRect/>
                          </a:stretch>
                        </pic:blipFill>
                        <pic:spPr>
                          <a:xfrm>
                            <a:off x="0" y="0"/>
                            <a:ext cx="1630800" cy="1321200"/>
                          </a:xfrm>
                          <a:prstGeom prst="rect">
                            <a:avLst/>
                          </a:prstGeom>
                        </pic:spPr>
                      </pic:pic>
                    </a:graphicData>
                  </a:graphic>
                  <wp14:sizeRelH relativeFrom="page">
                    <wp14:pctWidth>0</wp14:pctWidth>
                  </wp14:sizeRelH>
                  <wp14:sizeRelV relativeFrom="page">
                    <wp14:pctHeight>0</wp14:pctHeight>
                  </wp14:sizeRelV>
                </wp:anchor>
              </w:drawing>
            </w:r>
          </w:p>
        </w:tc>
        <w:tc>
          <w:tcPr>
            <w:tcW w:w="2268" w:type="dxa"/>
            <w:shd w:val="clear" w:color="auto" w:fill="auto"/>
            <w:hideMark/>
          </w:tcPr>
          <w:p w:rsidR="00226205" w:rsidRPr="00226205" w:rsidRDefault="00226205" w:rsidP="00A54993">
            <w:pPr>
              <w:jc w:val="left"/>
              <w:rPr>
                <w:rFonts w:ascii="Calibri" w:hAnsi="Calibri" w:cs="Calibri"/>
                <w:color w:val="000000"/>
                <w:sz w:val="18"/>
                <w:szCs w:val="18"/>
              </w:rPr>
            </w:pPr>
            <w:r w:rsidRPr="00226205">
              <w:rPr>
                <w:rFonts w:ascii="Calibri" w:hAnsi="Calibri" w:cs="Calibri"/>
                <w:color w:val="000000"/>
                <w:sz w:val="18"/>
                <w:szCs w:val="18"/>
              </w:rPr>
              <w:t>Richmond Community Learning Centre (Burnley Neighbourhood House)- 92 – 104 Lord St Richmond</w:t>
            </w:r>
          </w:p>
        </w:tc>
        <w:tc>
          <w:tcPr>
            <w:tcW w:w="1276" w:type="dxa"/>
            <w:shd w:val="clear" w:color="auto" w:fill="auto"/>
            <w:hideMark/>
          </w:tcPr>
          <w:p w:rsidR="00226205" w:rsidRPr="00226205" w:rsidRDefault="00226205" w:rsidP="009965C5">
            <w:pPr>
              <w:tabs>
                <w:tab w:val="decimal" w:pos="884"/>
              </w:tabs>
              <w:jc w:val="left"/>
              <w:rPr>
                <w:rFonts w:ascii="Calibri" w:hAnsi="Calibri" w:cs="Calibri"/>
                <w:color w:val="000000"/>
                <w:sz w:val="18"/>
                <w:szCs w:val="18"/>
              </w:rPr>
            </w:pPr>
            <w:r w:rsidRPr="00226205">
              <w:rPr>
                <w:rFonts w:ascii="Calibri" w:hAnsi="Calibri" w:cs="Calibri"/>
                <w:color w:val="000000"/>
                <w:sz w:val="18"/>
                <w:szCs w:val="18"/>
              </w:rPr>
              <w:t>$493,347</w:t>
            </w:r>
          </w:p>
        </w:tc>
        <w:tc>
          <w:tcPr>
            <w:tcW w:w="1134" w:type="dxa"/>
            <w:shd w:val="clear" w:color="auto" w:fill="auto"/>
            <w:hideMark/>
          </w:tcPr>
          <w:p w:rsidR="00226205" w:rsidRPr="00226205" w:rsidRDefault="00226205" w:rsidP="00226205">
            <w:pPr>
              <w:jc w:val="center"/>
              <w:rPr>
                <w:rFonts w:ascii="Calibri" w:hAnsi="Calibri" w:cs="Calibri"/>
                <w:color w:val="000000"/>
                <w:sz w:val="18"/>
                <w:szCs w:val="18"/>
              </w:rPr>
            </w:pPr>
            <w:r w:rsidRPr="00226205">
              <w:rPr>
                <w:rFonts w:ascii="Calibri" w:hAnsi="Calibri" w:cs="Calibri"/>
                <w:color w:val="000000"/>
                <w:sz w:val="18"/>
                <w:szCs w:val="18"/>
              </w:rPr>
              <w:t>Community Services</w:t>
            </w:r>
          </w:p>
        </w:tc>
        <w:tc>
          <w:tcPr>
            <w:tcW w:w="1417" w:type="dxa"/>
            <w:shd w:val="clear" w:color="auto" w:fill="auto"/>
            <w:hideMark/>
          </w:tcPr>
          <w:p w:rsidR="00226205" w:rsidRPr="001D3C6D" w:rsidRDefault="00226205" w:rsidP="00226205">
            <w:pPr>
              <w:jc w:val="center"/>
              <w:rPr>
                <w:rFonts w:ascii="Calibri" w:hAnsi="Calibri" w:cs="Calibri"/>
                <w:color w:val="000000"/>
                <w:sz w:val="17"/>
                <w:szCs w:val="17"/>
              </w:rPr>
            </w:pPr>
            <w:r w:rsidRPr="001D3C6D">
              <w:rPr>
                <w:rFonts w:ascii="Calibri" w:hAnsi="Calibri" w:cs="Calibri"/>
                <w:color w:val="000000"/>
                <w:sz w:val="17"/>
                <w:szCs w:val="17"/>
              </w:rPr>
              <w:t>Neighbourhood Houses</w:t>
            </w:r>
          </w:p>
        </w:tc>
        <w:tc>
          <w:tcPr>
            <w:tcW w:w="2410" w:type="dxa"/>
            <w:shd w:val="clear" w:color="auto" w:fill="auto"/>
            <w:hideMark/>
          </w:tcPr>
          <w:p w:rsidR="00226205" w:rsidRPr="00226205" w:rsidRDefault="00226205" w:rsidP="00226205">
            <w:pPr>
              <w:jc w:val="left"/>
              <w:rPr>
                <w:rFonts w:ascii="Calibri" w:hAnsi="Calibri" w:cs="Calibri"/>
                <w:color w:val="000000"/>
                <w:sz w:val="18"/>
                <w:szCs w:val="18"/>
              </w:rPr>
            </w:pPr>
            <w:r w:rsidRPr="00226205">
              <w:rPr>
                <w:rFonts w:ascii="Calibri" w:hAnsi="Calibri" w:cs="Calibri"/>
                <w:color w:val="000000"/>
                <w:sz w:val="18"/>
                <w:szCs w:val="18"/>
              </w:rPr>
              <w:t>The building is generally in good condition roof and floor renewal work will be required.</w:t>
            </w:r>
          </w:p>
        </w:tc>
        <w:tc>
          <w:tcPr>
            <w:tcW w:w="3118" w:type="dxa"/>
            <w:shd w:val="clear" w:color="auto" w:fill="auto"/>
            <w:hideMark/>
          </w:tcPr>
          <w:p w:rsidR="00226205" w:rsidRPr="00226205" w:rsidRDefault="00226205" w:rsidP="00226205">
            <w:pPr>
              <w:jc w:val="left"/>
              <w:rPr>
                <w:rFonts w:ascii="Calibri" w:hAnsi="Calibri" w:cs="Calibri"/>
                <w:color w:val="000000"/>
                <w:sz w:val="18"/>
                <w:szCs w:val="18"/>
              </w:rPr>
            </w:pPr>
            <w:r w:rsidRPr="00226205">
              <w:rPr>
                <w:rFonts w:ascii="Calibri" w:hAnsi="Calibri" w:cs="Calibri"/>
                <w:color w:val="000000"/>
                <w:sz w:val="18"/>
                <w:szCs w:val="18"/>
              </w:rPr>
              <w:t>Parking limited on road only. Size of computer classes hindered by room size, most programs run at or near capacity. Simultaneous operation of child care and other programs difficult. Building is not fit for purpose. Reconfiguration could improve functionality and create more space.  Air conditioning needs servicing. Outdoor spaces flood during high rainfall.  Leased to the Richmond Community Learning Centre</w:t>
            </w:r>
          </w:p>
        </w:tc>
      </w:tr>
      <w:tr w:rsidR="00226205" w:rsidRPr="00226205" w:rsidTr="00B77D83">
        <w:trPr>
          <w:cantSplit/>
          <w:trHeight w:val="1874"/>
        </w:trPr>
        <w:tc>
          <w:tcPr>
            <w:tcW w:w="998" w:type="dxa"/>
            <w:shd w:val="clear" w:color="auto" w:fill="auto"/>
            <w:hideMark/>
          </w:tcPr>
          <w:p w:rsidR="00226205" w:rsidRPr="00226205" w:rsidRDefault="00226205" w:rsidP="006918D2">
            <w:pPr>
              <w:jc w:val="center"/>
              <w:rPr>
                <w:rFonts w:ascii="Calibri" w:hAnsi="Calibri" w:cs="Calibri"/>
                <w:color w:val="000000"/>
                <w:sz w:val="18"/>
                <w:szCs w:val="18"/>
              </w:rPr>
            </w:pPr>
            <w:r w:rsidRPr="00226205">
              <w:rPr>
                <w:rFonts w:ascii="Calibri" w:hAnsi="Calibri" w:cs="Calibri"/>
                <w:color w:val="000000"/>
                <w:sz w:val="18"/>
                <w:szCs w:val="18"/>
              </w:rPr>
              <w:t>B000199</w:t>
            </w:r>
          </w:p>
        </w:tc>
        <w:tc>
          <w:tcPr>
            <w:tcW w:w="2693" w:type="dxa"/>
            <w:shd w:val="clear" w:color="auto" w:fill="auto"/>
            <w:hideMark/>
          </w:tcPr>
          <w:p w:rsidR="00226205" w:rsidRPr="00226205" w:rsidRDefault="00226205" w:rsidP="00226205">
            <w:pPr>
              <w:rPr>
                <w:rFonts w:ascii="Calibri" w:hAnsi="Calibri" w:cs="Calibri"/>
                <w:color w:val="000000"/>
                <w:sz w:val="18"/>
                <w:szCs w:val="18"/>
              </w:rPr>
            </w:pPr>
            <w:r w:rsidRPr="00226205">
              <w:rPr>
                <w:rFonts w:ascii="Calibri" w:hAnsi="Calibri" w:cs="Calibri"/>
                <w:noProof/>
                <w:color w:val="000000"/>
                <w:sz w:val="18"/>
                <w:szCs w:val="18"/>
              </w:rPr>
              <w:drawing>
                <wp:anchor distT="0" distB="0" distL="114300" distR="114300" simplePos="0" relativeHeight="251787776" behindDoc="0" locked="0" layoutInCell="1" allowOverlap="1" wp14:anchorId="05A97196" wp14:editId="507738CB">
                  <wp:simplePos x="0" y="0"/>
                  <wp:positionH relativeFrom="column">
                    <wp:posOffset>-20955</wp:posOffset>
                  </wp:positionH>
                  <wp:positionV relativeFrom="paragraph">
                    <wp:posOffset>44010</wp:posOffset>
                  </wp:positionV>
                  <wp:extent cx="1630800" cy="1094400"/>
                  <wp:effectExtent l="0" t="0" r="0" b="0"/>
                  <wp:wrapNone/>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Picture 133"/>
                          <pic:cNvPicPr>
                            <a:picLocks noChangeAspect="1"/>
                          </pic:cNvPicPr>
                        </pic:nvPicPr>
                        <pic:blipFill>
                          <a:blip r:embed="rId206">
                            <a:extLst>
                              <a:ext uri="{28A0092B-C50C-407E-A947-70E740481C1C}">
                                <a14:useLocalDpi xmlns:a14="http://schemas.microsoft.com/office/drawing/2010/main" val="0"/>
                              </a:ext>
                            </a:extLst>
                          </a:blip>
                          <a:stretch>
                            <a:fillRect/>
                          </a:stretch>
                        </pic:blipFill>
                        <pic:spPr>
                          <a:xfrm>
                            <a:off x="0" y="0"/>
                            <a:ext cx="1630800" cy="1094400"/>
                          </a:xfrm>
                          <a:prstGeom prst="rect">
                            <a:avLst/>
                          </a:prstGeom>
                        </pic:spPr>
                      </pic:pic>
                    </a:graphicData>
                  </a:graphic>
                  <wp14:sizeRelH relativeFrom="page">
                    <wp14:pctWidth>0</wp14:pctWidth>
                  </wp14:sizeRelH>
                  <wp14:sizeRelV relativeFrom="page">
                    <wp14:pctHeight>0</wp14:pctHeight>
                  </wp14:sizeRelV>
                </wp:anchor>
              </w:drawing>
            </w:r>
          </w:p>
        </w:tc>
        <w:tc>
          <w:tcPr>
            <w:tcW w:w="2268" w:type="dxa"/>
            <w:shd w:val="clear" w:color="auto" w:fill="auto"/>
            <w:hideMark/>
          </w:tcPr>
          <w:p w:rsidR="00226205" w:rsidRPr="00226205" w:rsidRDefault="00226205" w:rsidP="00A54993">
            <w:pPr>
              <w:jc w:val="left"/>
              <w:rPr>
                <w:rFonts w:ascii="Calibri" w:hAnsi="Calibri" w:cs="Calibri"/>
                <w:color w:val="000000"/>
                <w:sz w:val="18"/>
                <w:szCs w:val="18"/>
              </w:rPr>
            </w:pPr>
            <w:r w:rsidRPr="00226205">
              <w:rPr>
                <w:rFonts w:ascii="Calibri" w:hAnsi="Calibri" w:cs="Calibri"/>
                <w:color w:val="000000"/>
                <w:sz w:val="18"/>
                <w:szCs w:val="18"/>
              </w:rPr>
              <w:t xml:space="preserve">Air Raid Pavilion / Jack Dyer Pavilion, Citizens Park- </w:t>
            </w:r>
            <w:r w:rsidRPr="00226205">
              <w:rPr>
                <w:rFonts w:ascii="Calibri" w:hAnsi="Calibri" w:cs="Calibri"/>
                <w:color w:val="000000"/>
                <w:sz w:val="18"/>
                <w:szCs w:val="18"/>
              </w:rPr>
              <w:br/>
              <w:t>Highett Street, Richmond</w:t>
            </w:r>
          </w:p>
        </w:tc>
        <w:tc>
          <w:tcPr>
            <w:tcW w:w="1276" w:type="dxa"/>
            <w:shd w:val="clear" w:color="auto" w:fill="auto"/>
            <w:hideMark/>
          </w:tcPr>
          <w:p w:rsidR="00226205" w:rsidRPr="00226205" w:rsidRDefault="00226205" w:rsidP="009965C5">
            <w:pPr>
              <w:tabs>
                <w:tab w:val="decimal" w:pos="884"/>
              </w:tabs>
              <w:jc w:val="left"/>
              <w:rPr>
                <w:rFonts w:ascii="Calibri" w:hAnsi="Calibri" w:cs="Calibri"/>
                <w:color w:val="000000"/>
                <w:sz w:val="18"/>
                <w:szCs w:val="18"/>
              </w:rPr>
            </w:pPr>
            <w:r w:rsidRPr="00226205">
              <w:rPr>
                <w:rFonts w:ascii="Calibri" w:hAnsi="Calibri" w:cs="Calibri"/>
                <w:color w:val="000000"/>
                <w:sz w:val="18"/>
                <w:szCs w:val="18"/>
              </w:rPr>
              <w:t>$915,900</w:t>
            </w:r>
          </w:p>
        </w:tc>
        <w:tc>
          <w:tcPr>
            <w:tcW w:w="1134" w:type="dxa"/>
            <w:shd w:val="clear" w:color="auto" w:fill="auto"/>
            <w:hideMark/>
          </w:tcPr>
          <w:p w:rsidR="00226205" w:rsidRPr="00226205" w:rsidRDefault="001D3C6D" w:rsidP="00226205">
            <w:pPr>
              <w:jc w:val="center"/>
              <w:rPr>
                <w:rFonts w:ascii="Calibri" w:hAnsi="Calibri" w:cs="Calibri"/>
                <w:color w:val="000000"/>
                <w:sz w:val="18"/>
                <w:szCs w:val="18"/>
              </w:rPr>
            </w:pPr>
            <w:r>
              <w:rPr>
                <w:rFonts w:ascii="Calibri" w:hAnsi="Calibri" w:cs="Calibri"/>
                <w:color w:val="000000"/>
                <w:sz w:val="18"/>
                <w:szCs w:val="18"/>
              </w:rPr>
              <w:t>Recreation and</w:t>
            </w:r>
            <w:r w:rsidR="00226205" w:rsidRPr="00226205">
              <w:rPr>
                <w:rFonts w:ascii="Calibri" w:hAnsi="Calibri" w:cs="Calibri"/>
                <w:color w:val="000000"/>
                <w:sz w:val="18"/>
                <w:szCs w:val="18"/>
              </w:rPr>
              <w:t xml:space="preserve"> Open Space</w:t>
            </w:r>
          </w:p>
        </w:tc>
        <w:tc>
          <w:tcPr>
            <w:tcW w:w="1417" w:type="dxa"/>
            <w:shd w:val="clear" w:color="auto" w:fill="auto"/>
            <w:hideMark/>
          </w:tcPr>
          <w:p w:rsidR="00226205" w:rsidRPr="00226205" w:rsidRDefault="00226205" w:rsidP="00226205">
            <w:pPr>
              <w:jc w:val="center"/>
              <w:rPr>
                <w:rFonts w:ascii="Calibri" w:hAnsi="Calibri" w:cs="Calibri"/>
                <w:color w:val="000000"/>
                <w:sz w:val="18"/>
                <w:szCs w:val="18"/>
              </w:rPr>
            </w:pPr>
            <w:r w:rsidRPr="00226205">
              <w:rPr>
                <w:rFonts w:ascii="Calibri" w:hAnsi="Calibri" w:cs="Calibri"/>
                <w:color w:val="000000"/>
                <w:sz w:val="18"/>
                <w:szCs w:val="18"/>
              </w:rPr>
              <w:t>Pavilions / Clubrooms / Change rooms</w:t>
            </w:r>
          </w:p>
        </w:tc>
        <w:tc>
          <w:tcPr>
            <w:tcW w:w="2410" w:type="dxa"/>
            <w:shd w:val="clear" w:color="auto" w:fill="auto"/>
            <w:hideMark/>
          </w:tcPr>
          <w:p w:rsidR="00226205" w:rsidRPr="00226205" w:rsidRDefault="00226205" w:rsidP="00226205">
            <w:pPr>
              <w:jc w:val="left"/>
              <w:rPr>
                <w:rFonts w:ascii="Calibri" w:hAnsi="Calibri" w:cs="Calibri"/>
                <w:color w:val="000000"/>
                <w:sz w:val="18"/>
                <w:szCs w:val="18"/>
              </w:rPr>
            </w:pPr>
            <w:r w:rsidRPr="00226205">
              <w:rPr>
                <w:rFonts w:ascii="Calibri" w:hAnsi="Calibri" w:cs="Calibri"/>
                <w:color w:val="000000"/>
                <w:sz w:val="18"/>
                <w:szCs w:val="18"/>
              </w:rPr>
              <w:t>The building is in a good condition.</w:t>
            </w:r>
          </w:p>
        </w:tc>
        <w:tc>
          <w:tcPr>
            <w:tcW w:w="3118" w:type="dxa"/>
            <w:shd w:val="clear" w:color="auto" w:fill="auto"/>
            <w:hideMark/>
          </w:tcPr>
          <w:p w:rsidR="00226205" w:rsidRPr="00226205" w:rsidRDefault="00226205" w:rsidP="00226205">
            <w:pPr>
              <w:jc w:val="left"/>
              <w:rPr>
                <w:rFonts w:ascii="Calibri" w:hAnsi="Calibri" w:cs="Calibri"/>
                <w:color w:val="000000"/>
                <w:sz w:val="18"/>
                <w:szCs w:val="18"/>
              </w:rPr>
            </w:pPr>
            <w:r w:rsidRPr="00226205">
              <w:rPr>
                <w:rFonts w:ascii="Calibri" w:hAnsi="Calibri" w:cs="Calibri"/>
                <w:color w:val="000000"/>
                <w:sz w:val="18"/>
                <w:szCs w:val="18"/>
              </w:rPr>
              <w:t>Requires 2 additional change rooms, disability change room and first aid room. Kitchen is too small, needs upgrading to stainless steel. Requires a lift access to 2nd floor currently use external stairs.  Various user groups, including St John Ambulance.</w:t>
            </w:r>
          </w:p>
        </w:tc>
      </w:tr>
      <w:tr w:rsidR="00226205" w:rsidRPr="00226205" w:rsidTr="00B77D83">
        <w:trPr>
          <w:cantSplit/>
          <w:trHeight w:val="2340"/>
        </w:trPr>
        <w:tc>
          <w:tcPr>
            <w:tcW w:w="998" w:type="dxa"/>
            <w:shd w:val="clear" w:color="auto" w:fill="auto"/>
            <w:hideMark/>
          </w:tcPr>
          <w:p w:rsidR="00226205" w:rsidRPr="00226205" w:rsidRDefault="00226205" w:rsidP="006918D2">
            <w:pPr>
              <w:jc w:val="center"/>
              <w:rPr>
                <w:rFonts w:ascii="Calibri" w:hAnsi="Calibri" w:cs="Calibri"/>
                <w:color w:val="000000"/>
                <w:sz w:val="18"/>
                <w:szCs w:val="18"/>
              </w:rPr>
            </w:pPr>
            <w:r w:rsidRPr="00226205">
              <w:rPr>
                <w:rFonts w:ascii="Calibri" w:hAnsi="Calibri" w:cs="Calibri"/>
                <w:color w:val="000000"/>
                <w:sz w:val="18"/>
                <w:szCs w:val="18"/>
              </w:rPr>
              <w:t>B000200</w:t>
            </w:r>
          </w:p>
        </w:tc>
        <w:tc>
          <w:tcPr>
            <w:tcW w:w="2693" w:type="dxa"/>
            <w:shd w:val="clear" w:color="auto" w:fill="auto"/>
            <w:hideMark/>
          </w:tcPr>
          <w:p w:rsidR="00226205" w:rsidRPr="00226205" w:rsidRDefault="00226205" w:rsidP="00226205">
            <w:pPr>
              <w:rPr>
                <w:rFonts w:ascii="Calibri" w:hAnsi="Calibri" w:cs="Calibri"/>
                <w:color w:val="000000"/>
                <w:sz w:val="18"/>
                <w:szCs w:val="18"/>
              </w:rPr>
            </w:pPr>
            <w:r w:rsidRPr="00226205">
              <w:rPr>
                <w:rFonts w:ascii="Calibri" w:hAnsi="Calibri" w:cs="Calibri"/>
                <w:noProof/>
                <w:color w:val="000000"/>
                <w:sz w:val="18"/>
                <w:szCs w:val="18"/>
              </w:rPr>
              <w:drawing>
                <wp:anchor distT="0" distB="0" distL="114300" distR="114300" simplePos="0" relativeHeight="251724288" behindDoc="0" locked="0" layoutInCell="1" allowOverlap="1" wp14:anchorId="08CAB185" wp14:editId="6308F2C3">
                  <wp:simplePos x="0" y="0"/>
                  <wp:positionH relativeFrom="column">
                    <wp:posOffset>-20955</wp:posOffset>
                  </wp:positionH>
                  <wp:positionV relativeFrom="paragraph">
                    <wp:posOffset>59250</wp:posOffset>
                  </wp:positionV>
                  <wp:extent cx="1630800" cy="1314000"/>
                  <wp:effectExtent l="0" t="0" r="0" b="0"/>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8"/>
                          <pic:cNvPicPr>
                            <a:picLocks noChangeAspect="1"/>
                          </pic:cNvPicPr>
                        </pic:nvPicPr>
                        <pic:blipFill>
                          <a:blip r:embed="rId207">
                            <a:extLst>
                              <a:ext uri="{28A0092B-C50C-407E-A947-70E740481C1C}">
                                <a14:useLocalDpi xmlns:a14="http://schemas.microsoft.com/office/drawing/2010/main" val="0"/>
                              </a:ext>
                            </a:extLst>
                          </a:blip>
                          <a:stretch>
                            <a:fillRect/>
                          </a:stretch>
                        </pic:blipFill>
                        <pic:spPr>
                          <a:xfrm>
                            <a:off x="0" y="0"/>
                            <a:ext cx="1630800" cy="1314000"/>
                          </a:xfrm>
                          <a:prstGeom prst="rect">
                            <a:avLst/>
                          </a:prstGeom>
                        </pic:spPr>
                      </pic:pic>
                    </a:graphicData>
                  </a:graphic>
                  <wp14:sizeRelH relativeFrom="page">
                    <wp14:pctWidth>0</wp14:pctWidth>
                  </wp14:sizeRelH>
                  <wp14:sizeRelV relativeFrom="page">
                    <wp14:pctHeight>0</wp14:pctHeight>
                  </wp14:sizeRelV>
                </wp:anchor>
              </w:drawing>
            </w:r>
          </w:p>
        </w:tc>
        <w:tc>
          <w:tcPr>
            <w:tcW w:w="2268" w:type="dxa"/>
            <w:shd w:val="clear" w:color="auto" w:fill="auto"/>
            <w:hideMark/>
          </w:tcPr>
          <w:p w:rsidR="00226205" w:rsidRPr="00226205" w:rsidRDefault="00226205" w:rsidP="00A54993">
            <w:pPr>
              <w:jc w:val="left"/>
              <w:rPr>
                <w:rFonts w:ascii="Calibri" w:hAnsi="Calibri" w:cs="Calibri"/>
                <w:color w:val="000000"/>
                <w:sz w:val="18"/>
                <w:szCs w:val="18"/>
              </w:rPr>
            </w:pPr>
            <w:r w:rsidRPr="00226205">
              <w:rPr>
                <w:rFonts w:ascii="Calibri" w:hAnsi="Calibri" w:cs="Calibri"/>
                <w:color w:val="000000"/>
                <w:sz w:val="18"/>
                <w:szCs w:val="18"/>
              </w:rPr>
              <w:t xml:space="preserve"> ex North Richmond Maternal Child and Health Centre, Citizens Park- Church Street, Richmond </w:t>
            </w:r>
          </w:p>
        </w:tc>
        <w:tc>
          <w:tcPr>
            <w:tcW w:w="1276" w:type="dxa"/>
            <w:shd w:val="clear" w:color="auto" w:fill="auto"/>
            <w:hideMark/>
          </w:tcPr>
          <w:p w:rsidR="00226205" w:rsidRPr="00226205" w:rsidRDefault="00226205" w:rsidP="009965C5">
            <w:pPr>
              <w:tabs>
                <w:tab w:val="decimal" w:pos="884"/>
              </w:tabs>
              <w:jc w:val="left"/>
              <w:rPr>
                <w:rFonts w:ascii="Calibri" w:hAnsi="Calibri" w:cs="Calibri"/>
                <w:color w:val="000000"/>
                <w:sz w:val="18"/>
                <w:szCs w:val="18"/>
              </w:rPr>
            </w:pPr>
            <w:r w:rsidRPr="00226205">
              <w:rPr>
                <w:rFonts w:ascii="Calibri" w:hAnsi="Calibri" w:cs="Calibri"/>
                <w:color w:val="000000"/>
                <w:sz w:val="18"/>
                <w:szCs w:val="18"/>
              </w:rPr>
              <w:t>$504,432</w:t>
            </w:r>
          </w:p>
        </w:tc>
        <w:tc>
          <w:tcPr>
            <w:tcW w:w="1134" w:type="dxa"/>
            <w:shd w:val="clear" w:color="auto" w:fill="auto"/>
            <w:hideMark/>
          </w:tcPr>
          <w:p w:rsidR="00226205" w:rsidRPr="00226205" w:rsidRDefault="00226205" w:rsidP="00226205">
            <w:pPr>
              <w:jc w:val="center"/>
              <w:rPr>
                <w:rFonts w:ascii="Calibri" w:hAnsi="Calibri" w:cs="Calibri"/>
                <w:color w:val="000000"/>
                <w:sz w:val="18"/>
                <w:szCs w:val="18"/>
              </w:rPr>
            </w:pPr>
            <w:r w:rsidRPr="00226205">
              <w:rPr>
                <w:rFonts w:ascii="Calibri" w:hAnsi="Calibri" w:cs="Calibri"/>
                <w:color w:val="000000"/>
                <w:sz w:val="18"/>
                <w:szCs w:val="18"/>
              </w:rPr>
              <w:t>Community Services</w:t>
            </w:r>
          </w:p>
        </w:tc>
        <w:tc>
          <w:tcPr>
            <w:tcW w:w="1417" w:type="dxa"/>
            <w:shd w:val="clear" w:color="auto" w:fill="auto"/>
            <w:hideMark/>
          </w:tcPr>
          <w:p w:rsidR="00226205" w:rsidRPr="00226205" w:rsidRDefault="001D3C6D" w:rsidP="00226205">
            <w:pPr>
              <w:jc w:val="center"/>
              <w:rPr>
                <w:rFonts w:ascii="Calibri" w:hAnsi="Calibri" w:cs="Calibri"/>
                <w:color w:val="000000"/>
                <w:sz w:val="18"/>
                <w:szCs w:val="18"/>
              </w:rPr>
            </w:pPr>
            <w:r>
              <w:rPr>
                <w:rFonts w:ascii="Calibri" w:hAnsi="Calibri" w:cs="Calibri"/>
                <w:color w:val="000000"/>
                <w:sz w:val="18"/>
                <w:szCs w:val="18"/>
              </w:rPr>
              <w:t>Maternal and</w:t>
            </w:r>
            <w:r w:rsidR="00226205" w:rsidRPr="00226205">
              <w:rPr>
                <w:rFonts w:ascii="Calibri" w:hAnsi="Calibri" w:cs="Calibri"/>
                <w:color w:val="000000"/>
                <w:sz w:val="18"/>
                <w:szCs w:val="18"/>
              </w:rPr>
              <w:t xml:space="preserve"> Child Health Centres</w:t>
            </w:r>
          </w:p>
        </w:tc>
        <w:tc>
          <w:tcPr>
            <w:tcW w:w="2410" w:type="dxa"/>
            <w:shd w:val="clear" w:color="auto" w:fill="auto"/>
            <w:hideMark/>
          </w:tcPr>
          <w:p w:rsidR="00226205" w:rsidRPr="00226205" w:rsidRDefault="00226205" w:rsidP="00226205">
            <w:pPr>
              <w:jc w:val="left"/>
              <w:rPr>
                <w:rFonts w:ascii="Calibri" w:hAnsi="Calibri" w:cs="Calibri"/>
                <w:color w:val="000000"/>
                <w:sz w:val="18"/>
                <w:szCs w:val="18"/>
              </w:rPr>
            </w:pPr>
            <w:r w:rsidRPr="00226205">
              <w:rPr>
                <w:rFonts w:ascii="Calibri" w:hAnsi="Calibri" w:cs="Calibri"/>
                <w:color w:val="000000"/>
                <w:sz w:val="18"/>
                <w:szCs w:val="18"/>
              </w:rPr>
              <w:t>The building is in a good condition.</w:t>
            </w:r>
          </w:p>
        </w:tc>
        <w:tc>
          <w:tcPr>
            <w:tcW w:w="3118" w:type="dxa"/>
            <w:shd w:val="clear" w:color="auto" w:fill="auto"/>
            <w:hideMark/>
          </w:tcPr>
          <w:p w:rsidR="00226205" w:rsidRPr="00226205" w:rsidRDefault="00226205" w:rsidP="00840CD9">
            <w:pPr>
              <w:jc w:val="left"/>
              <w:rPr>
                <w:rFonts w:ascii="Calibri" w:hAnsi="Calibri" w:cs="Calibri"/>
                <w:color w:val="000000"/>
                <w:sz w:val="18"/>
                <w:szCs w:val="18"/>
              </w:rPr>
            </w:pPr>
            <w:r w:rsidRPr="00226205">
              <w:rPr>
                <w:rFonts w:ascii="Calibri" w:hAnsi="Calibri" w:cs="Calibri"/>
                <w:color w:val="000000"/>
                <w:sz w:val="18"/>
                <w:szCs w:val="18"/>
              </w:rPr>
              <w:t>Parking at rear of MCH Centre. Requires provision for parking for MCH nurses. Building will be included in precinct planning for Richmond North which will determine future use of the facility . This will depend on future needs of organisations utilizing the building. No service currently delivered through building. MCH service has moved to 23 Lennox Street, as part of Council's broader vision of co</w:t>
            </w:r>
            <w:r w:rsidR="00840CD9">
              <w:rPr>
                <w:rFonts w:ascii="Calibri" w:hAnsi="Calibri" w:cs="Calibri"/>
                <w:color w:val="000000"/>
                <w:sz w:val="18"/>
                <w:szCs w:val="18"/>
              </w:rPr>
              <w:t>-</w:t>
            </w:r>
            <w:r w:rsidRPr="00226205">
              <w:rPr>
                <w:rFonts w:ascii="Calibri" w:hAnsi="Calibri" w:cs="Calibri"/>
                <w:color w:val="000000"/>
                <w:sz w:val="18"/>
                <w:szCs w:val="18"/>
              </w:rPr>
              <w:t>location of services.</w:t>
            </w:r>
          </w:p>
        </w:tc>
      </w:tr>
      <w:tr w:rsidR="00226205" w:rsidRPr="00226205" w:rsidTr="00B77D83">
        <w:trPr>
          <w:cantSplit/>
          <w:trHeight w:val="2257"/>
        </w:trPr>
        <w:tc>
          <w:tcPr>
            <w:tcW w:w="998" w:type="dxa"/>
            <w:shd w:val="clear" w:color="auto" w:fill="auto"/>
            <w:hideMark/>
          </w:tcPr>
          <w:p w:rsidR="00226205" w:rsidRPr="00226205" w:rsidRDefault="00226205" w:rsidP="006918D2">
            <w:pPr>
              <w:jc w:val="center"/>
              <w:rPr>
                <w:rFonts w:ascii="Calibri" w:hAnsi="Calibri" w:cs="Calibri"/>
                <w:color w:val="000000"/>
                <w:sz w:val="18"/>
                <w:szCs w:val="18"/>
              </w:rPr>
            </w:pPr>
            <w:r w:rsidRPr="00226205">
              <w:rPr>
                <w:rFonts w:ascii="Calibri" w:hAnsi="Calibri" w:cs="Calibri"/>
                <w:color w:val="000000"/>
                <w:sz w:val="18"/>
                <w:szCs w:val="18"/>
              </w:rPr>
              <w:t>B000201</w:t>
            </w:r>
          </w:p>
        </w:tc>
        <w:tc>
          <w:tcPr>
            <w:tcW w:w="2693" w:type="dxa"/>
            <w:shd w:val="clear" w:color="auto" w:fill="auto"/>
            <w:hideMark/>
          </w:tcPr>
          <w:p w:rsidR="00226205" w:rsidRPr="00226205" w:rsidRDefault="00226205" w:rsidP="00226205">
            <w:pPr>
              <w:rPr>
                <w:rFonts w:ascii="Calibri" w:hAnsi="Calibri" w:cs="Calibri"/>
                <w:color w:val="000000"/>
                <w:sz w:val="18"/>
                <w:szCs w:val="18"/>
              </w:rPr>
            </w:pPr>
            <w:r w:rsidRPr="00226205">
              <w:rPr>
                <w:rFonts w:ascii="Calibri" w:hAnsi="Calibri" w:cs="Calibri"/>
                <w:noProof/>
                <w:color w:val="000000"/>
                <w:sz w:val="18"/>
                <w:szCs w:val="18"/>
              </w:rPr>
              <w:drawing>
                <wp:anchor distT="0" distB="0" distL="114300" distR="114300" simplePos="0" relativeHeight="251725312" behindDoc="0" locked="0" layoutInCell="1" allowOverlap="1" wp14:anchorId="69560C90" wp14:editId="252CD578">
                  <wp:simplePos x="0" y="0"/>
                  <wp:positionH relativeFrom="column">
                    <wp:posOffset>-20955</wp:posOffset>
                  </wp:positionH>
                  <wp:positionV relativeFrom="paragraph">
                    <wp:posOffset>44890</wp:posOffset>
                  </wp:positionV>
                  <wp:extent cx="1630800" cy="1335600"/>
                  <wp:effectExtent l="0" t="0" r="0" b="0"/>
                  <wp:wrapNone/>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59"/>
                          <pic:cNvPicPr>
                            <a:picLocks noChangeAspect="1"/>
                          </pic:cNvPicPr>
                        </pic:nvPicPr>
                        <pic:blipFill>
                          <a:blip r:embed="rId208">
                            <a:extLst>
                              <a:ext uri="{28A0092B-C50C-407E-A947-70E740481C1C}">
                                <a14:useLocalDpi xmlns:a14="http://schemas.microsoft.com/office/drawing/2010/main" val="0"/>
                              </a:ext>
                            </a:extLst>
                          </a:blip>
                          <a:stretch>
                            <a:fillRect/>
                          </a:stretch>
                        </pic:blipFill>
                        <pic:spPr>
                          <a:xfrm>
                            <a:off x="0" y="0"/>
                            <a:ext cx="1630800" cy="1335600"/>
                          </a:xfrm>
                          <a:prstGeom prst="rect">
                            <a:avLst/>
                          </a:prstGeom>
                        </pic:spPr>
                      </pic:pic>
                    </a:graphicData>
                  </a:graphic>
                  <wp14:sizeRelH relativeFrom="page">
                    <wp14:pctWidth>0</wp14:pctWidth>
                  </wp14:sizeRelH>
                  <wp14:sizeRelV relativeFrom="page">
                    <wp14:pctHeight>0</wp14:pctHeight>
                  </wp14:sizeRelV>
                </wp:anchor>
              </w:drawing>
            </w:r>
          </w:p>
        </w:tc>
        <w:tc>
          <w:tcPr>
            <w:tcW w:w="2268" w:type="dxa"/>
            <w:shd w:val="clear" w:color="auto" w:fill="auto"/>
            <w:hideMark/>
          </w:tcPr>
          <w:p w:rsidR="00226205" w:rsidRPr="00226205" w:rsidRDefault="00226205" w:rsidP="00A54993">
            <w:pPr>
              <w:jc w:val="left"/>
              <w:rPr>
                <w:rFonts w:ascii="Calibri" w:hAnsi="Calibri" w:cs="Calibri"/>
                <w:color w:val="000000"/>
                <w:sz w:val="18"/>
                <w:szCs w:val="18"/>
              </w:rPr>
            </w:pPr>
            <w:r w:rsidRPr="00226205">
              <w:rPr>
                <w:rFonts w:ascii="Calibri" w:hAnsi="Calibri" w:cs="Calibri"/>
                <w:color w:val="000000"/>
                <w:sz w:val="18"/>
                <w:szCs w:val="18"/>
              </w:rPr>
              <w:t xml:space="preserve">Richmond Multicultural Children's Centre, Citizens Park- 16 Gleadell Street, Richmond </w:t>
            </w:r>
          </w:p>
        </w:tc>
        <w:tc>
          <w:tcPr>
            <w:tcW w:w="1276" w:type="dxa"/>
            <w:shd w:val="clear" w:color="auto" w:fill="auto"/>
            <w:hideMark/>
          </w:tcPr>
          <w:p w:rsidR="00226205" w:rsidRPr="00226205" w:rsidRDefault="00226205" w:rsidP="009965C5">
            <w:pPr>
              <w:tabs>
                <w:tab w:val="decimal" w:pos="884"/>
              </w:tabs>
              <w:jc w:val="left"/>
              <w:rPr>
                <w:rFonts w:ascii="Calibri" w:hAnsi="Calibri" w:cs="Calibri"/>
                <w:color w:val="000000"/>
                <w:sz w:val="18"/>
                <w:szCs w:val="18"/>
              </w:rPr>
            </w:pPr>
            <w:r w:rsidRPr="00226205">
              <w:rPr>
                <w:rFonts w:ascii="Calibri" w:hAnsi="Calibri" w:cs="Calibri"/>
                <w:color w:val="000000"/>
                <w:sz w:val="18"/>
                <w:szCs w:val="18"/>
              </w:rPr>
              <w:t>$760,716</w:t>
            </w:r>
          </w:p>
        </w:tc>
        <w:tc>
          <w:tcPr>
            <w:tcW w:w="1134" w:type="dxa"/>
            <w:shd w:val="clear" w:color="auto" w:fill="auto"/>
            <w:hideMark/>
          </w:tcPr>
          <w:p w:rsidR="00226205" w:rsidRPr="00226205" w:rsidRDefault="00226205" w:rsidP="00226205">
            <w:pPr>
              <w:jc w:val="center"/>
              <w:rPr>
                <w:rFonts w:ascii="Calibri" w:hAnsi="Calibri" w:cs="Calibri"/>
                <w:color w:val="000000"/>
                <w:sz w:val="18"/>
                <w:szCs w:val="18"/>
              </w:rPr>
            </w:pPr>
            <w:r w:rsidRPr="00226205">
              <w:rPr>
                <w:rFonts w:ascii="Calibri" w:hAnsi="Calibri" w:cs="Calibri"/>
                <w:color w:val="000000"/>
                <w:sz w:val="18"/>
                <w:szCs w:val="18"/>
              </w:rPr>
              <w:t>Community Services</w:t>
            </w:r>
          </w:p>
        </w:tc>
        <w:tc>
          <w:tcPr>
            <w:tcW w:w="1417" w:type="dxa"/>
            <w:shd w:val="clear" w:color="auto" w:fill="auto"/>
            <w:hideMark/>
          </w:tcPr>
          <w:p w:rsidR="00226205" w:rsidRPr="00226205" w:rsidRDefault="00226205" w:rsidP="00226205">
            <w:pPr>
              <w:jc w:val="center"/>
              <w:rPr>
                <w:rFonts w:ascii="Calibri" w:hAnsi="Calibri" w:cs="Calibri"/>
                <w:color w:val="000000"/>
                <w:sz w:val="18"/>
                <w:szCs w:val="18"/>
              </w:rPr>
            </w:pPr>
            <w:r w:rsidRPr="00226205">
              <w:rPr>
                <w:rFonts w:ascii="Calibri" w:hAnsi="Calibri" w:cs="Calibri"/>
                <w:color w:val="000000"/>
                <w:sz w:val="18"/>
                <w:szCs w:val="18"/>
              </w:rPr>
              <w:t>Child Care Centres</w:t>
            </w:r>
          </w:p>
        </w:tc>
        <w:tc>
          <w:tcPr>
            <w:tcW w:w="2410" w:type="dxa"/>
            <w:shd w:val="clear" w:color="auto" w:fill="auto"/>
            <w:hideMark/>
          </w:tcPr>
          <w:p w:rsidR="00226205" w:rsidRPr="00226205" w:rsidRDefault="00226205" w:rsidP="00226205">
            <w:pPr>
              <w:jc w:val="left"/>
              <w:rPr>
                <w:rFonts w:ascii="Calibri" w:hAnsi="Calibri" w:cs="Calibri"/>
                <w:color w:val="000000"/>
                <w:sz w:val="18"/>
                <w:szCs w:val="18"/>
              </w:rPr>
            </w:pPr>
            <w:r w:rsidRPr="00226205">
              <w:rPr>
                <w:rFonts w:ascii="Calibri" w:hAnsi="Calibri" w:cs="Calibri"/>
                <w:color w:val="000000"/>
                <w:sz w:val="18"/>
                <w:szCs w:val="18"/>
              </w:rPr>
              <w:t>The building is in a good condition.</w:t>
            </w:r>
          </w:p>
        </w:tc>
        <w:tc>
          <w:tcPr>
            <w:tcW w:w="3118" w:type="dxa"/>
            <w:shd w:val="clear" w:color="auto" w:fill="auto"/>
            <w:hideMark/>
          </w:tcPr>
          <w:p w:rsidR="00226205" w:rsidRPr="00226205" w:rsidRDefault="00226205" w:rsidP="00226205">
            <w:pPr>
              <w:jc w:val="left"/>
              <w:rPr>
                <w:rFonts w:ascii="Calibri" w:hAnsi="Calibri" w:cs="Calibri"/>
                <w:color w:val="000000"/>
                <w:sz w:val="18"/>
                <w:szCs w:val="18"/>
              </w:rPr>
            </w:pPr>
            <w:r w:rsidRPr="00226205">
              <w:rPr>
                <w:rFonts w:ascii="Calibri" w:hAnsi="Calibri" w:cs="Calibri"/>
                <w:color w:val="000000"/>
                <w:sz w:val="18"/>
                <w:szCs w:val="18"/>
              </w:rPr>
              <w:t>Full assessment not yet carried out.</w:t>
            </w:r>
            <w:r w:rsidRPr="00226205">
              <w:rPr>
                <w:rFonts w:ascii="Calibri" w:hAnsi="Calibri" w:cs="Calibri"/>
                <w:color w:val="000000"/>
                <w:sz w:val="18"/>
                <w:szCs w:val="18"/>
              </w:rPr>
              <w:br/>
              <w:t xml:space="preserve">Leased to Richmond Multicultural Children's Centre. </w:t>
            </w:r>
          </w:p>
        </w:tc>
      </w:tr>
      <w:tr w:rsidR="00226205" w:rsidRPr="00226205" w:rsidTr="00B77D83">
        <w:trPr>
          <w:cantSplit/>
          <w:trHeight w:val="2073"/>
        </w:trPr>
        <w:tc>
          <w:tcPr>
            <w:tcW w:w="998" w:type="dxa"/>
            <w:shd w:val="clear" w:color="auto" w:fill="auto"/>
            <w:hideMark/>
          </w:tcPr>
          <w:p w:rsidR="00226205" w:rsidRPr="00226205" w:rsidRDefault="00226205" w:rsidP="006918D2">
            <w:pPr>
              <w:jc w:val="center"/>
              <w:rPr>
                <w:rFonts w:ascii="Calibri" w:hAnsi="Calibri" w:cs="Calibri"/>
                <w:color w:val="000000"/>
                <w:sz w:val="18"/>
                <w:szCs w:val="18"/>
              </w:rPr>
            </w:pPr>
            <w:r w:rsidRPr="00226205">
              <w:rPr>
                <w:rFonts w:ascii="Calibri" w:hAnsi="Calibri" w:cs="Calibri"/>
                <w:color w:val="000000"/>
                <w:sz w:val="18"/>
                <w:szCs w:val="18"/>
              </w:rPr>
              <w:t>B000202</w:t>
            </w:r>
          </w:p>
        </w:tc>
        <w:tc>
          <w:tcPr>
            <w:tcW w:w="2693" w:type="dxa"/>
            <w:shd w:val="clear" w:color="auto" w:fill="auto"/>
            <w:hideMark/>
          </w:tcPr>
          <w:p w:rsidR="00226205" w:rsidRPr="00226205" w:rsidRDefault="00226205" w:rsidP="00226205">
            <w:pPr>
              <w:rPr>
                <w:rFonts w:ascii="Calibri" w:hAnsi="Calibri" w:cs="Calibri"/>
                <w:color w:val="000000"/>
                <w:sz w:val="18"/>
                <w:szCs w:val="18"/>
              </w:rPr>
            </w:pPr>
            <w:r w:rsidRPr="00226205">
              <w:rPr>
                <w:rFonts w:ascii="Calibri" w:hAnsi="Calibri" w:cs="Calibri"/>
                <w:noProof/>
                <w:color w:val="000000"/>
                <w:sz w:val="18"/>
                <w:szCs w:val="18"/>
              </w:rPr>
              <w:drawing>
                <wp:anchor distT="0" distB="0" distL="114300" distR="114300" simplePos="0" relativeHeight="251788800" behindDoc="0" locked="0" layoutInCell="1" allowOverlap="1" wp14:anchorId="44061850" wp14:editId="38DF85FC">
                  <wp:simplePos x="0" y="0"/>
                  <wp:positionH relativeFrom="column">
                    <wp:posOffset>-12700</wp:posOffset>
                  </wp:positionH>
                  <wp:positionV relativeFrom="paragraph">
                    <wp:posOffset>53535</wp:posOffset>
                  </wp:positionV>
                  <wp:extent cx="1630800" cy="1180800"/>
                  <wp:effectExtent l="0" t="0" r="0" b="0"/>
                  <wp:wrapNone/>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Picture 134"/>
                          <pic:cNvPicPr>
                            <a:picLocks noChangeAspect="1"/>
                          </pic:cNvPicPr>
                        </pic:nvPicPr>
                        <pic:blipFill>
                          <a:blip r:embed="rId209">
                            <a:extLst>
                              <a:ext uri="{28A0092B-C50C-407E-A947-70E740481C1C}">
                                <a14:useLocalDpi xmlns:a14="http://schemas.microsoft.com/office/drawing/2010/main" val="0"/>
                              </a:ext>
                            </a:extLst>
                          </a:blip>
                          <a:stretch>
                            <a:fillRect/>
                          </a:stretch>
                        </pic:blipFill>
                        <pic:spPr>
                          <a:xfrm>
                            <a:off x="0" y="0"/>
                            <a:ext cx="1630800" cy="1180800"/>
                          </a:xfrm>
                          <a:prstGeom prst="rect">
                            <a:avLst/>
                          </a:prstGeom>
                        </pic:spPr>
                      </pic:pic>
                    </a:graphicData>
                  </a:graphic>
                  <wp14:sizeRelH relativeFrom="page">
                    <wp14:pctWidth>0</wp14:pctWidth>
                  </wp14:sizeRelH>
                  <wp14:sizeRelV relativeFrom="page">
                    <wp14:pctHeight>0</wp14:pctHeight>
                  </wp14:sizeRelV>
                </wp:anchor>
              </w:drawing>
            </w:r>
          </w:p>
        </w:tc>
        <w:tc>
          <w:tcPr>
            <w:tcW w:w="2268" w:type="dxa"/>
            <w:shd w:val="clear" w:color="auto" w:fill="auto"/>
            <w:hideMark/>
          </w:tcPr>
          <w:p w:rsidR="00226205" w:rsidRPr="00226205" w:rsidRDefault="00226205" w:rsidP="00A54993">
            <w:pPr>
              <w:jc w:val="left"/>
              <w:rPr>
                <w:rFonts w:ascii="Calibri" w:hAnsi="Calibri" w:cs="Calibri"/>
                <w:color w:val="000000"/>
                <w:sz w:val="18"/>
                <w:szCs w:val="18"/>
              </w:rPr>
            </w:pPr>
            <w:r w:rsidRPr="00226205">
              <w:rPr>
                <w:rFonts w:ascii="Calibri" w:hAnsi="Calibri" w:cs="Calibri"/>
                <w:color w:val="000000"/>
                <w:sz w:val="18"/>
                <w:szCs w:val="18"/>
              </w:rPr>
              <w:t>Public Toilet, Citizens Park- Highett Street, Richmond</w:t>
            </w:r>
          </w:p>
        </w:tc>
        <w:tc>
          <w:tcPr>
            <w:tcW w:w="1276" w:type="dxa"/>
            <w:shd w:val="clear" w:color="auto" w:fill="auto"/>
            <w:hideMark/>
          </w:tcPr>
          <w:p w:rsidR="00226205" w:rsidRPr="00226205" w:rsidRDefault="00226205" w:rsidP="009965C5">
            <w:pPr>
              <w:tabs>
                <w:tab w:val="decimal" w:pos="884"/>
              </w:tabs>
              <w:jc w:val="left"/>
              <w:rPr>
                <w:rFonts w:ascii="Calibri" w:hAnsi="Calibri" w:cs="Calibri"/>
                <w:color w:val="000000"/>
                <w:sz w:val="18"/>
                <w:szCs w:val="18"/>
              </w:rPr>
            </w:pPr>
            <w:r w:rsidRPr="00226205">
              <w:rPr>
                <w:rFonts w:ascii="Calibri" w:hAnsi="Calibri" w:cs="Calibri"/>
                <w:color w:val="000000"/>
                <w:sz w:val="18"/>
                <w:szCs w:val="18"/>
              </w:rPr>
              <w:t>$135,025</w:t>
            </w:r>
          </w:p>
        </w:tc>
        <w:tc>
          <w:tcPr>
            <w:tcW w:w="1134" w:type="dxa"/>
            <w:shd w:val="clear" w:color="auto" w:fill="auto"/>
            <w:hideMark/>
          </w:tcPr>
          <w:p w:rsidR="00226205" w:rsidRPr="00226205" w:rsidRDefault="001D3C6D" w:rsidP="00226205">
            <w:pPr>
              <w:jc w:val="center"/>
              <w:rPr>
                <w:rFonts w:ascii="Calibri" w:hAnsi="Calibri" w:cs="Calibri"/>
                <w:color w:val="000000"/>
                <w:sz w:val="18"/>
                <w:szCs w:val="18"/>
              </w:rPr>
            </w:pPr>
            <w:r>
              <w:rPr>
                <w:rFonts w:ascii="Calibri" w:hAnsi="Calibri" w:cs="Calibri"/>
                <w:color w:val="000000"/>
                <w:sz w:val="18"/>
                <w:szCs w:val="18"/>
              </w:rPr>
              <w:t>Recreation and</w:t>
            </w:r>
            <w:r w:rsidR="00226205" w:rsidRPr="00226205">
              <w:rPr>
                <w:rFonts w:ascii="Calibri" w:hAnsi="Calibri" w:cs="Calibri"/>
                <w:color w:val="000000"/>
                <w:sz w:val="18"/>
                <w:szCs w:val="18"/>
              </w:rPr>
              <w:t xml:space="preserve"> Open Space</w:t>
            </w:r>
          </w:p>
        </w:tc>
        <w:tc>
          <w:tcPr>
            <w:tcW w:w="1417" w:type="dxa"/>
            <w:shd w:val="clear" w:color="auto" w:fill="auto"/>
            <w:hideMark/>
          </w:tcPr>
          <w:p w:rsidR="00226205" w:rsidRPr="00226205" w:rsidRDefault="00226205" w:rsidP="00226205">
            <w:pPr>
              <w:jc w:val="center"/>
              <w:rPr>
                <w:rFonts w:ascii="Calibri" w:hAnsi="Calibri" w:cs="Calibri"/>
                <w:color w:val="000000"/>
                <w:sz w:val="18"/>
                <w:szCs w:val="18"/>
              </w:rPr>
            </w:pPr>
            <w:r w:rsidRPr="00226205">
              <w:rPr>
                <w:rFonts w:ascii="Calibri" w:hAnsi="Calibri" w:cs="Calibri"/>
                <w:color w:val="000000"/>
                <w:sz w:val="18"/>
                <w:szCs w:val="18"/>
              </w:rPr>
              <w:t>Public Toilets</w:t>
            </w:r>
          </w:p>
        </w:tc>
        <w:tc>
          <w:tcPr>
            <w:tcW w:w="2410" w:type="dxa"/>
            <w:shd w:val="clear" w:color="auto" w:fill="auto"/>
            <w:hideMark/>
          </w:tcPr>
          <w:p w:rsidR="00226205" w:rsidRPr="00226205" w:rsidRDefault="00226205" w:rsidP="00226205">
            <w:pPr>
              <w:jc w:val="left"/>
              <w:rPr>
                <w:rFonts w:ascii="Calibri" w:hAnsi="Calibri" w:cs="Calibri"/>
                <w:color w:val="000000"/>
                <w:sz w:val="18"/>
                <w:szCs w:val="18"/>
              </w:rPr>
            </w:pPr>
            <w:r w:rsidRPr="00226205">
              <w:rPr>
                <w:rFonts w:ascii="Calibri" w:hAnsi="Calibri" w:cs="Calibri"/>
                <w:color w:val="000000"/>
                <w:sz w:val="18"/>
                <w:szCs w:val="18"/>
              </w:rPr>
              <w:t>The building is in a good condition.</w:t>
            </w:r>
          </w:p>
        </w:tc>
        <w:tc>
          <w:tcPr>
            <w:tcW w:w="3118" w:type="dxa"/>
            <w:shd w:val="clear" w:color="auto" w:fill="auto"/>
            <w:hideMark/>
          </w:tcPr>
          <w:p w:rsidR="00226205" w:rsidRPr="00226205" w:rsidRDefault="00226205" w:rsidP="00226205">
            <w:pPr>
              <w:jc w:val="left"/>
              <w:rPr>
                <w:rFonts w:ascii="Calibri" w:hAnsi="Calibri" w:cs="Calibri"/>
                <w:color w:val="000000"/>
                <w:sz w:val="18"/>
                <w:szCs w:val="18"/>
              </w:rPr>
            </w:pPr>
            <w:r w:rsidRPr="00226205">
              <w:rPr>
                <w:rFonts w:ascii="Calibri" w:hAnsi="Calibri" w:cs="Calibri"/>
                <w:color w:val="000000"/>
                <w:sz w:val="18"/>
                <w:szCs w:val="18"/>
              </w:rPr>
              <w:t xml:space="preserve">Poor surveillance, dark and prone to drug use. Unnecessary cavities that collect syringes and offer no light. Artificial light is not good and poor natural light. Long term plan is to replace building in 2016/17. </w:t>
            </w:r>
          </w:p>
        </w:tc>
      </w:tr>
      <w:tr w:rsidR="00226205" w:rsidRPr="00226205" w:rsidTr="00B77D83">
        <w:trPr>
          <w:cantSplit/>
          <w:trHeight w:val="2112"/>
        </w:trPr>
        <w:tc>
          <w:tcPr>
            <w:tcW w:w="998" w:type="dxa"/>
            <w:shd w:val="clear" w:color="auto" w:fill="auto"/>
            <w:hideMark/>
          </w:tcPr>
          <w:p w:rsidR="00226205" w:rsidRPr="00226205" w:rsidRDefault="00226205" w:rsidP="006918D2">
            <w:pPr>
              <w:jc w:val="center"/>
              <w:rPr>
                <w:rFonts w:ascii="Calibri" w:hAnsi="Calibri" w:cs="Calibri"/>
                <w:color w:val="000000"/>
                <w:sz w:val="18"/>
                <w:szCs w:val="18"/>
              </w:rPr>
            </w:pPr>
            <w:r w:rsidRPr="00226205">
              <w:rPr>
                <w:rFonts w:ascii="Calibri" w:hAnsi="Calibri" w:cs="Calibri"/>
                <w:color w:val="000000"/>
                <w:sz w:val="18"/>
                <w:szCs w:val="18"/>
              </w:rPr>
              <w:t>B000203</w:t>
            </w:r>
          </w:p>
        </w:tc>
        <w:tc>
          <w:tcPr>
            <w:tcW w:w="2693" w:type="dxa"/>
            <w:shd w:val="clear" w:color="auto" w:fill="auto"/>
            <w:hideMark/>
          </w:tcPr>
          <w:p w:rsidR="00226205" w:rsidRPr="00226205" w:rsidRDefault="00226205" w:rsidP="00226205">
            <w:pPr>
              <w:rPr>
                <w:rFonts w:ascii="Calibri" w:hAnsi="Calibri" w:cs="Calibri"/>
                <w:color w:val="000000"/>
                <w:sz w:val="18"/>
                <w:szCs w:val="18"/>
              </w:rPr>
            </w:pPr>
            <w:r w:rsidRPr="00226205">
              <w:rPr>
                <w:rFonts w:ascii="Calibri" w:hAnsi="Calibri" w:cs="Calibri"/>
                <w:noProof/>
                <w:color w:val="000000"/>
                <w:sz w:val="18"/>
                <w:szCs w:val="18"/>
              </w:rPr>
              <w:drawing>
                <wp:anchor distT="0" distB="0" distL="114300" distR="114300" simplePos="0" relativeHeight="251726336" behindDoc="0" locked="0" layoutInCell="1" allowOverlap="1" wp14:anchorId="7223F4FA" wp14:editId="687A1241">
                  <wp:simplePos x="0" y="0"/>
                  <wp:positionH relativeFrom="column">
                    <wp:posOffset>-20955</wp:posOffset>
                  </wp:positionH>
                  <wp:positionV relativeFrom="paragraph">
                    <wp:posOffset>42985</wp:posOffset>
                  </wp:positionV>
                  <wp:extent cx="1630800" cy="1242000"/>
                  <wp:effectExtent l="0" t="0" r="0" b="0"/>
                  <wp:wrapNone/>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0"/>
                          <pic:cNvPicPr>
                            <a:picLocks noChangeAspect="1"/>
                          </pic:cNvPicPr>
                        </pic:nvPicPr>
                        <pic:blipFill>
                          <a:blip r:embed="rId210">
                            <a:extLst>
                              <a:ext uri="{28A0092B-C50C-407E-A947-70E740481C1C}">
                                <a14:useLocalDpi xmlns:a14="http://schemas.microsoft.com/office/drawing/2010/main" val="0"/>
                              </a:ext>
                            </a:extLst>
                          </a:blip>
                          <a:stretch>
                            <a:fillRect/>
                          </a:stretch>
                        </pic:blipFill>
                        <pic:spPr>
                          <a:xfrm>
                            <a:off x="0" y="0"/>
                            <a:ext cx="1630800" cy="1242000"/>
                          </a:xfrm>
                          <a:prstGeom prst="rect">
                            <a:avLst/>
                          </a:prstGeom>
                        </pic:spPr>
                      </pic:pic>
                    </a:graphicData>
                  </a:graphic>
                  <wp14:sizeRelH relativeFrom="page">
                    <wp14:pctWidth>0</wp14:pctWidth>
                  </wp14:sizeRelH>
                  <wp14:sizeRelV relativeFrom="page">
                    <wp14:pctHeight>0</wp14:pctHeight>
                  </wp14:sizeRelV>
                </wp:anchor>
              </w:drawing>
            </w:r>
          </w:p>
        </w:tc>
        <w:tc>
          <w:tcPr>
            <w:tcW w:w="2268" w:type="dxa"/>
            <w:shd w:val="clear" w:color="auto" w:fill="auto"/>
            <w:hideMark/>
          </w:tcPr>
          <w:p w:rsidR="00226205" w:rsidRPr="00226205" w:rsidRDefault="00226205" w:rsidP="00A54993">
            <w:pPr>
              <w:jc w:val="left"/>
              <w:rPr>
                <w:rFonts w:ascii="Calibri" w:hAnsi="Calibri" w:cs="Calibri"/>
                <w:color w:val="000000"/>
                <w:sz w:val="18"/>
                <w:szCs w:val="18"/>
              </w:rPr>
            </w:pPr>
            <w:r w:rsidRPr="00226205">
              <w:rPr>
                <w:rFonts w:ascii="Calibri" w:hAnsi="Calibri" w:cs="Calibri"/>
                <w:color w:val="000000"/>
                <w:sz w:val="18"/>
                <w:szCs w:val="18"/>
              </w:rPr>
              <w:t xml:space="preserve">Jim Loughnan Memorial Hall- 65-67 Coppin Street, Richmond </w:t>
            </w:r>
          </w:p>
        </w:tc>
        <w:tc>
          <w:tcPr>
            <w:tcW w:w="1276" w:type="dxa"/>
            <w:shd w:val="clear" w:color="auto" w:fill="auto"/>
            <w:hideMark/>
          </w:tcPr>
          <w:p w:rsidR="00226205" w:rsidRPr="00226205" w:rsidRDefault="009965C5" w:rsidP="009965C5">
            <w:pPr>
              <w:tabs>
                <w:tab w:val="decimal" w:pos="884"/>
              </w:tabs>
              <w:jc w:val="left"/>
              <w:rPr>
                <w:rFonts w:ascii="Calibri" w:hAnsi="Calibri" w:cs="Calibri"/>
                <w:color w:val="000000"/>
                <w:sz w:val="18"/>
                <w:szCs w:val="18"/>
              </w:rPr>
            </w:pPr>
            <w:r>
              <w:rPr>
                <w:rFonts w:ascii="Calibri" w:hAnsi="Calibri" w:cs="Calibri"/>
                <w:color w:val="000000"/>
                <w:sz w:val="18"/>
                <w:szCs w:val="18"/>
              </w:rPr>
              <w:t>$</w:t>
            </w:r>
            <w:r w:rsidR="00226205" w:rsidRPr="00226205">
              <w:rPr>
                <w:rFonts w:ascii="Calibri" w:hAnsi="Calibri" w:cs="Calibri"/>
                <w:color w:val="000000"/>
                <w:sz w:val="18"/>
                <w:szCs w:val="18"/>
              </w:rPr>
              <w:t>379,750</w:t>
            </w:r>
          </w:p>
        </w:tc>
        <w:tc>
          <w:tcPr>
            <w:tcW w:w="1134" w:type="dxa"/>
            <w:shd w:val="clear" w:color="auto" w:fill="auto"/>
            <w:hideMark/>
          </w:tcPr>
          <w:p w:rsidR="00226205" w:rsidRPr="00226205" w:rsidRDefault="00226205" w:rsidP="00226205">
            <w:pPr>
              <w:jc w:val="center"/>
              <w:rPr>
                <w:rFonts w:ascii="Calibri" w:hAnsi="Calibri" w:cs="Calibri"/>
                <w:color w:val="000000"/>
                <w:sz w:val="18"/>
                <w:szCs w:val="18"/>
              </w:rPr>
            </w:pPr>
            <w:r w:rsidRPr="00226205">
              <w:rPr>
                <w:rFonts w:ascii="Calibri" w:hAnsi="Calibri" w:cs="Calibri"/>
                <w:color w:val="000000"/>
                <w:sz w:val="18"/>
                <w:szCs w:val="18"/>
              </w:rPr>
              <w:t>Community Services</w:t>
            </w:r>
          </w:p>
        </w:tc>
        <w:tc>
          <w:tcPr>
            <w:tcW w:w="1417" w:type="dxa"/>
            <w:shd w:val="clear" w:color="auto" w:fill="auto"/>
            <w:hideMark/>
          </w:tcPr>
          <w:p w:rsidR="00226205" w:rsidRPr="00226205" w:rsidRDefault="00226205" w:rsidP="00226205">
            <w:pPr>
              <w:jc w:val="center"/>
              <w:rPr>
                <w:rFonts w:ascii="Calibri" w:hAnsi="Calibri" w:cs="Calibri"/>
                <w:color w:val="000000"/>
                <w:sz w:val="18"/>
                <w:szCs w:val="18"/>
              </w:rPr>
            </w:pPr>
            <w:r w:rsidRPr="00226205">
              <w:rPr>
                <w:rFonts w:ascii="Calibri" w:hAnsi="Calibri" w:cs="Calibri"/>
                <w:color w:val="000000"/>
                <w:sz w:val="18"/>
                <w:szCs w:val="18"/>
              </w:rPr>
              <w:t>Community Halls</w:t>
            </w:r>
          </w:p>
        </w:tc>
        <w:tc>
          <w:tcPr>
            <w:tcW w:w="2410" w:type="dxa"/>
            <w:shd w:val="clear" w:color="auto" w:fill="auto"/>
            <w:hideMark/>
          </w:tcPr>
          <w:p w:rsidR="00226205" w:rsidRPr="00226205" w:rsidRDefault="00226205" w:rsidP="00226205">
            <w:pPr>
              <w:jc w:val="left"/>
              <w:rPr>
                <w:rFonts w:ascii="Calibri" w:hAnsi="Calibri" w:cs="Calibri"/>
                <w:color w:val="000000"/>
                <w:sz w:val="18"/>
                <w:szCs w:val="18"/>
              </w:rPr>
            </w:pPr>
            <w:r w:rsidRPr="00226205">
              <w:rPr>
                <w:rFonts w:ascii="Calibri" w:hAnsi="Calibri" w:cs="Calibri"/>
                <w:color w:val="000000"/>
                <w:sz w:val="18"/>
                <w:szCs w:val="18"/>
              </w:rPr>
              <w:t>The building is in a fair condition structure, roof  and fitout renewal work is required .</w:t>
            </w:r>
          </w:p>
        </w:tc>
        <w:tc>
          <w:tcPr>
            <w:tcW w:w="3118" w:type="dxa"/>
            <w:shd w:val="clear" w:color="auto" w:fill="auto"/>
            <w:hideMark/>
          </w:tcPr>
          <w:p w:rsidR="00226205" w:rsidRPr="00226205" w:rsidRDefault="00226205" w:rsidP="00840CD9">
            <w:pPr>
              <w:jc w:val="left"/>
              <w:rPr>
                <w:rFonts w:ascii="Calibri" w:hAnsi="Calibri" w:cs="Calibri"/>
                <w:color w:val="000000"/>
                <w:sz w:val="18"/>
                <w:szCs w:val="18"/>
              </w:rPr>
            </w:pPr>
            <w:r w:rsidRPr="00226205">
              <w:rPr>
                <w:rFonts w:ascii="Calibri" w:hAnsi="Calibri" w:cs="Calibri"/>
                <w:color w:val="000000"/>
                <w:sz w:val="18"/>
                <w:szCs w:val="18"/>
              </w:rPr>
              <w:t>Large hall which cannot be divided, inflexible space and does not allow staff in the kitchen to engage in activities that are occurring in the dining space. There is lack of suitable toilets and storage.  There are DDA compliance issues.  Building needs significant work or needs to be demolished.  Various User Groups.</w:t>
            </w:r>
          </w:p>
        </w:tc>
      </w:tr>
      <w:tr w:rsidR="00226205" w:rsidRPr="00226205" w:rsidTr="00B77D83">
        <w:trPr>
          <w:cantSplit/>
          <w:trHeight w:val="3624"/>
        </w:trPr>
        <w:tc>
          <w:tcPr>
            <w:tcW w:w="998" w:type="dxa"/>
            <w:shd w:val="clear" w:color="auto" w:fill="auto"/>
            <w:hideMark/>
          </w:tcPr>
          <w:p w:rsidR="00226205" w:rsidRPr="00226205" w:rsidRDefault="00226205" w:rsidP="006918D2">
            <w:pPr>
              <w:jc w:val="center"/>
              <w:rPr>
                <w:rFonts w:ascii="Calibri" w:hAnsi="Calibri" w:cs="Calibri"/>
                <w:color w:val="000000"/>
                <w:sz w:val="18"/>
                <w:szCs w:val="18"/>
              </w:rPr>
            </w:pPr>
            <w:r w:rsidRPr="00226205">
              <w:rPr>
                <w:rFonts w:ascii="Calibri" w:hAnsi="Calibri" w:cs="Calibri"/>
                <w:color w:val="000000"/>
                <w:sz w:val="18"/>
                <w:szCs w:val="18"/>
              </w:rPr>
              <w:t>B000207</w:t>
            </w:r>
          </w:p>
        </w:tc>
        <w:tc>
          <w:tcPr>
            <w:tcW w:w="2693" w:type="dxa"/>
            <w:shd w:val="clear" w:color="auto" w:fill="auto"/>
            <w:hideMark/>
          </w:tcPr>
          <w:p w:rsidR="00226205" w:rsidRPr="00226205" w:rsidRDefault="00226205" w:rsidP="00226205">
            <w:pPr>
              <w:rPr>
                <w:rFonts w:ascii="Calibri" w:hAnsi="Calibri" w:cs="Calibri"/>
                <w:color w:val="000000"/>
                <w:sz w:val="18"/>
                <w:szCs w:val="18"/>
              </w:rPr>
            </w:pPr>
            <w:r w:rsidRPr="00226205">
              <w:rPr>
                <w:rFonts w:ascii="Calibri" w:hAnsi="Calibri" w:cs="Calibri"/>
                <w:noProof/>
                <w:color w:val="000000"/>
                <w:sz w:val="18"/>
                <w:szCs w:val="18"/>
              </w:rPr>
              <w:drawing>
                <wp:anchor distT="0" distB="0" distL="114300" distR="114300" simplePos="0" relativeHeight="251727360" behindDoc="0" locked="0" layoutInCell="1" allowOverlap="1" wp14:anchorId="2E1B35FC" wp14:editId="64F2CD60">
                  <wp:simplePos x="0" y="0"/>
                  <wp:positionH relativeFrom="column">
                    <wp:posOffset>-20955</wp:posOffset>
                  </wp:positionH>
                  <wp:positionV relativeFrom="paragraph">
                    <wp:posOffset>59250</wp:posOffset>
                  </wp:positionV>
                  <wp:extent cx="1630800" cy="1386000"/>
                  <wp:effectExtent l="0" t="0" r="0" b="0"/>
                  <wp:wrapNone/>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1"/>
                          <pic:cNvPicPr>
                            <a:picLocks noChangeAspect="1"/>
                          </pic:cNvPicPr>
                        </pic:nvPicPr>
                        <pic:blipFill>
                          <a:blip r:embed="rId211">
                            <a:extLst>
                              <a:ext uri="{28A0092B-C50C-407E-A947-70E740481C1C}">
                                <a14:useLocalDpi xmlns:a14="http://schemas.microsoft.com/office/drawing/2010/main" val="0"/>
                              </a:ext>
                            </a:extLst>
                          </a:blip>
                          <a:stretch>
                            <a:fillRect/>
                          </a:stretch>
                        </pic:blipFill>
                        <pic:spPr>
                          <a:xfrm>
                            <a:off x="0" y="0"/>
                            <a:ext cx="1630800" cy="1386000"/>
                          </a:xfrm>
                          <a:prstGeom prst="rect">
                            <a:avLst/>
                          </a:prstGeom>
                        </pic:spPr>
                      </pic:pic>
                    </a:graphicData>
                  </a:graphic>
                  <wp14:sizeRelH relativeFrom="page">
                    <wp14:pctWidth>0</wp14:pctWidth>
                  </wp14:sizeRelH>
                  <wp14:sizeRelV relativeFrom="page">
                    <wp14:pctHeight>0</wp14:pctHeight>
                  </wp14:sizeRelV>
                </wp:anchor>
              </w:drawing>
            </w:r>
          </w:p>
        </w:tc>
        <w:tc>
          <w:tcPr>
            <w:tcW w:w="2268" w:type="dxa"/>
            <w:shd w:val="clear" w:color="auto" w:fill="auto"/>
            <w:hideMark/>
          </w:tcPr>
          <w:p w:rsidR="00226205" w:rsidRPr="00226205" w:rsidRDefault="00226205" w:rsidP="00A54993">
            <w:pPr>
              <w:jc w:val="left"/>
              <w:rPr>
                <w:rFonts w:ascii="Calibri" w:hAnsi="Calibri" w:cs="Calibri"/>
                <w:color w:val="000000"/>
                <w:sz w:val="18"/>
                <w:szCs w:val="18"/>
              </w:rPr>
            </w:pPr>
            <w:r w:rsidRPr="00226205">
              <w:rPr>
                <w:rFonts w:ascii="Calibri" w:hAnsi="Calibri" w:cs="Calibri"/>
                <w:color w:val="000000"/>
                <w:sz w:val="18"/>
                <w:szCs w:val="18"/>
              </w:rPr>
              <w:t>Richmond Library (incl Maternal Child and Health Centre and Historical Society)- 415 – 417 Church St, Richmond</w:t>
            </w:r>
          </w:p>
        </w:tc>
        <w:tc>
          <w:tcPr>
            <w:tcW w:w="1276" w:type="dxa"/>
            <w:shd w:val="clear" w:color="auto" w:fill="auto"/>
            <w:hideMark/>
          </w:tcPr>
          <w:p w:rsidR="00226205" w:rsidRPr="00226205" w:rsidRDefault="009965C5" w:rsidP="009965C5">
            <w:pPr>
              <w:tabs>
                <w:tab w:val="decimal" w:pos="884"/>
              </w:tabs>
              <w:jc w:val="left"/>
              <w:rPr>
                <w:rFonts w:ascii="Calibri" w:hAnsi="Calibri" w:cs="Calibri"/>
                <w:color w:val="000000"/>
                <w:sz w:val="18"/>
                <w:szCs w:val="18"/>
              </w:rPr>
            </w:pPr>
            <w:r>
              <w:rPr>
                <w:rFonts w:ascii="Calibri" w:hAnsi="Calibri" w:cs="Calibri"/>
                <w:color w:val="000000"/>
                <w:sz w:val="18"/>
                <w:szCs w:val="18"/>
              </w:rPr>
              <w:t>$</w:t>
            </w:r>
            <w:r w:rsidR="00226205" w:rsidRPr="00226205">
              <w:rPr>
                <w:rFonts w:ascii="Calibri" w:hAnsi="Calibri" w:cs="Calibri"/>
                <w:color w:val="000000"/>
                <w:sz w:val="18"/>
                <w:szCs w:val="18"/>
              </w:rPr>
              <w:t>9,528,785</w:t>
            </w:r>
          </w:p>
        </w:tc>
        <w:tc>
          <w:tcPr>
            <w:tcW w:w="1134" w:type="dxa"/>
            <w:shd w:val="clear" w:color="auto" w:fill="auto"/>
            <w:hideMark/>
          </w:tcPr>
          <w:p w:rsidR="00226205" w:rsidRPr="00226205" w:rsidRDefault="00226205" w:rsidP="00226205">
            <w:pPr>
              <w:jc w:val="center"/>
              <w:rPr>
                <w:rFonts w:ascii="Calibri" w:hAnsi="Calibri" w:cs="Calibri"/>
                <w:color w:val="000000"/>
                <w:sz w:val="18"/>
                <w:szCs w:val="18"/>
              </w:rPr>
            </w:pPr>
            <w:r w:rsidRPr="00226205">
              <w:rPr>
                <w:rFonts w:ascii="Calibri" w:hAnsi="Calibri" w:cs="Calibri"/>
                <w:color w:val="000000"/>
                <w:sz w:val="18"/>
                <w:szCs w:val="18"/>
              </w:rPr>
              <w:t>Community Services</w:t>
            </w:r>
          </w:p>
        </w:tc>
        <w:tc>
          <w:tcPr>
            <w:tcW w:w="1417" w:type="dxa"/>
            <w:shd w:val="clear" w:color="auto" w:fill="auto"/>
            <w:hideMark/>
          </w:tcPr>
          <w:p w:rsidR="00226205" w:rsidRPr="00226205" w:rsidRDefault="00226205" w:rsidP="00226205">
            <w:pPr>
              <w:jc w:val="center"/>
              <w:rPr>
                <w:rFonts w:ascii="Calibri" w:hAnsi="Calibri" w:cs="Calibri"/>
                <w:color w:val="000000"/>
                <w:sz w:val="18"/>
                <w:szCs w:val="18"/>
              </w:rPr>
            </w:pPr>
            <w:r w:rsidRPr="00226205">
              <w:rPr>
                <w:rFonts w:ascii="Calibri" w:hAnsi="Calibri" w:cs="Calibri"/>
                <w:color w:val="000000"/>
                <w:sz w:val="18"/>
                <w:szCs w:val="18"/>
              </w:rPr>
              <w:t>Libraries</w:t>
            </w:r>
          </w:p>
        </w:tc>
        <w:tc>
          <w:tcPr>
            <w:tcW w:w="2410" w:type="dxa"/>
            <w:shd w:val="clear" w:color="auto" w:fill="auto"/>
            <w:hideMark/>
          </w:tcPr>
          <w:p w:rsidR="00226205" w:rsidRPr="00226205" w:rsidRDefault="00226205" w:rsidP="00226205">
            <w:pPr>
              <w:jc w:val="left"/>
              <w:rPr>
                <w:rFonts w:ascii="Calibri" w:hAnsi="Calibri" w:cs="Calibri"/>
                <w:color w:val="000000"/>
                <w:sz w:val="18"/>
                <w:szCs w:val="18"/>
              </w:rPr>
            </w:pPr>
            <w:r w:rsidRPr="00226205">
              <w:rPr>
                <w:rFonts w:ascii="Calibri" w:hAnsi="Calibri" w:cs="Calibri"/>
                <w:color w:val="000000"/>
                <w:sz w:val="18"/>
                <w:szCs w:val="18"/>
              </w:rPr>
              <w:t>The building is in a good condition.</w:t>
            </w:r>
          </w:p>
        </w:tc>
        <w:tc>
          <w:tcPr>
            <w:tcW w:w="3118" w:type="dxa"/>
            <w:shd w:val="clear" w:color="auto" w:fill="auto"/>
            <w:hideMark/>
          </w:tcPr>
          <w:p w:rsidR="00226205" w:rsidRPr="00226205" w:rsidRDefault="00226205" w:rsidP="00840CD9">
            <w:pPr>
              <w:jc w:val="left"/>
              <w:rPr>
                <w:rFonts w:ascii="Calibri" w:hAnsi="Calibri" w:cs="Calibri"/>
                <w:color w:val="000000"/>
                <w:sz w:val="18"/>
                <w:szCs w:val="18"/>
              </w:rPr>
            </w:pPr>
            <w:r w:rsidRPr="00226205">
              <w:rPr>
                <w:rFonts w:ascii="Calibri" w:hAnsi="Calibri" w:cs="Calibri"/>
                <w:color w:val="000000"/>
                <w:sz w:val="18"/>
                <w:szCs w:val="18"/>
              </w:rPr>
              <w:t>Existing parking is beyond capacity</w:t>
            </w:r>
            <w:r w:rsidRPr="00226205">
              <w:rPr>
                <w:rFonts w:ascii="Calibri" w:hAnsi="Calibri" w:cs="Calibri"/>
                <w:color w:val="000000"/>
                <w:sz w:val="18"/>
                <w:szCs w:val="18"/>
              </w:rPr>
              <w:br/>
              <w:t xml:space="preserve"> there is a need short term parking to allow drop off etc. Serves Richmond but growth in Cremorne will create demand further afield. MCH offices are isolated from other facilities in building.  Civic facilities desire control of whole 1st floor. Waiting area too small for large New Parent groups. No external play space for playgroups for community playgroups.  Needs internal reconfiguration. Lack of lunch room space in adult education areas especially in Feb-Nov for classes, conflict with library use. Lacking quiet study areas and separate areas for computers.  There is only 1 female toilet.  Drab entrance a minor refurbishment would improve the entrance.  Various user groups in addition to Yarra services.</w:t>
            </w:r>
          </w:p>
        </w:tc>
      </w:tr>
      <w:tr w:rsidR="00226205" w:rsidRPr="00226205" w:rsidTr="00B77D83">
        <w:trPr>
          <w:cantSplit/>
          <w:trHeight w:val="3720"/>
        </w:trPr>
        <w:tc>
          <w:tcPr>
            <w:tcW w:w="998" w:type="dxa"/>
            <w:shd w:val="clear" w:color="auto" w:fill="auto"/>
            <w:hideMark/>
          </w:tcPr>
          <w:p w:rsidR="00226205" w:rsidRPr="00226205" w:rsidRDefault="00226205" w:rsidP="006918D2">
            <w:pPr>
              <w:jc w:val="center"/>
              <w:rPr>
                <w:rFonts w:ascii="Calibri" w:hAnsi="Calibri" w:cs="Calibri"/>
                <w:color w:val="000000"/>
                <w:sz w:val="18"/>
                <w:szCs w:val="18"/>
              </w:rPr>
            </w:pPr>
            <w:r w:rsidRPr="00226205">
              <w:rPr>
                <w:rFonts w:ascii="Calibri" w:hAnsi="Calibri" w:cs="Calibri"/>
                <w:color w:val="000000"/>
                <w:sz w:val="18"/>
                <w:szCs w:val="18"/>
              </w:rPr>
              <w:t>B000209</w:t>
            </w:r>
          </w:p>
        </w:tc>
        <w:tc>
          <w:tcPr>
            <w:tcW w:w="2693" w:type="dxa"/>
            <w:shd w:val="clear" w:color="auto" w:fill="auto"/>
            <w:hideMark/>
          </w:tcPr>
          <w:p w:rsidR="00226205" w:rsidRPr="00226205" w:rsidRDefault="00226205" w:rsidP="00226205">
            <w:pPr>
              <w:rPr>
                <w:rFonts w:ascii="Calibri" w:hAnsi="Calibri" w:cs="Calibri"/>
                <w:color w:val="000000"/>
                <w:sz w:val="18"/>
                <w:szCs w:val="18"/>
              </w:rPr>
            </w:pPr>
            <w:r w:rsidRPr="00226205">
              <w:rPr>
                <w:rFonts w:ascii="Calibri" w:hAnsi="Calibri" w:cs="Calibri"/>
                <w:noProof/>
                <w:color w:val="000000"/>
                <w:sz w:val="18"/>
                <w:szCs w:val="18"/>
              </w:rPr>
              <w:drawing>
                <wp:anchor distT="0" distB="0" distL="114300" distR="114300" simplePos="0" relativeHeight="251755008" behindDoc="0" locked="0" layoutInCell="1" allowOverlap="1" wp14:anchorId="51BDCAFE" wp14:editId="79215A6C">
                  <wp:simplePos x="0" y="0"/>
                  <wp:positionH relativeFrom="column">
                    <wp:posOffset>-20955</wp:posOffset>
                  </wp:positionH>
                  <wp:positionV relativeFrom="paragraph">
                    <wp:posOffset>53535</wp:posOffset>
                  </wp:positionV>
                  <wp:extent cx="1630800" cy="1180800"/>
                  <wp:effectExtent l="0" t="0" r="0" b="0"/>
                  <wp:wrapNone/>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89"/>
                          <pic:cNvPicPr>
                            <a:picLocks noChangeAspect="1"/>
                          </pic:cNvPicPr>
                        </pic:nvPicPr>
                        <pic:blipFill>
                          <a:blip r:embed="rId212">
                            <a:extLst>
                              <a:ext uri="{28A0092B-C50C-407E-A947-70E740481C1C}">
                                <a14:useLocalDpi xmlns:a14="http://schemas.microsoft.com/office/drawing/2010/main" val="0"/>
                              </a:ext>
                            </a:extLst>
                          </a:blip>
                          <a:stretch>
                            <a:fillRect/>
                          </a:stretch>
                        </pic:blipFill>
                        <pic:spPr>
                          <a:xfrm>
                            <a:off x="0" y="0"/>
                            <a:ext cx="1630800" cy="1180800"/>
                          </a:xfrm>
                          <a:prstGeom prst="rect">
                            <a:avLst/>
                          </a:prstGeom>
                        </pic:spPr>
                      </pic:pic>
                    </a:graphicData>
                  </a:graphic>
                  <wp14:sizeRelH relativeFrom="page">
                    <wp14:pctWidth>0</wp14:pctWidth>
                  </wp14:sizeRelH>
                  <wp14:sizeRelV relativeFrom="page">
                    <wp14:pctHeight>0</wp14:pctHeight>
                  </wp14:sizeRelV>
                </wp:anchor>
              </w:drawing>
            </w:r>
          </w:p>
        </w:tc>
        <w:tc>
          <w:tcPr>
            <w:tcW w:w="2268" w:type="dxa"/>
            <w:shd w:val="clear" w:color="auto" w:fill="auto"/>
            <w:hideMark/>
          </w:tcPr>
          <w:p w:rsidR="00226205" w:rsidRPr="00226205" w:rsidRDefault="00226205" w:rsidP="00A54993">
            <w:pPr>
              <w:jc w:val="left"/>
              <w:rPr>
                <w:rFonts w:ascii="Calibri" w:hAnsi="Calibri" w:cs="Calibri"/>
                <w:color w:val="000000"/>
                <w:sz w:val="18"/>
                <w:szCs w:val="18"/>
              </w:rPr>
            </w:pPr>
            <w:r w:rsidRPr="00226205">
              <w:rPr>
                <w:rFonts w:ascii="Calibri" w:hAnsi="Calibri" w:cs="Calibri"/>
                <w:color w:val="000000"/>
                <w:sz w:val="18"/>
                <w:szCs w:val="18"/>
              </w:rPr>
              <w:t>Richmond Recreation Centre- 11 – 15 Gleadell St, Richmond</w:t>
            </w:r>
          </w:p>
        </w:tc>
        <w:tc>
          <w:tcPr>
            <w:tcW w:w="1276" w:type="dxa"/>
            <w:shd w:val="clear" w:color="auto" w:fill="auto"/>
            <w:hideMark/>
          </w:tcPr>
          <w:p w:rsidR="00226205" w:rsidRPr="00226205" w:rsidRDefault="009965C5" w:rsidP="009965C5">
            <w:pPr>
              <w:tabs>
                <w:tab w:val="decimal" w:pos="884"/>
              </w:tabs>
              <w:jc w:val="left"/>
              <w:rPr>
                <w:rFonts w:ascii="Calibri" w:hAnsi="Calibri" w:cs="Calibri"/>
                <w:color w:val="000000"/>
                <w:sz w:val="18"/>
                <w:szCs w:val="18"/>
              </w:rPr>
            </w:pPr>
            <w:r>
              <w:rPr>
                <w:rFonts w:ascii="Calibri" w:hAnsi="Calibri" w:cs="Calibri"/>
                <w:color w:val="000000"/>
                <w:sz w:val="18"/>
                <w:szCs w:val="18"/>
              </w:rPr>
              <w:t>$</w:t>
            </w:r>
            <w:r w:rsidR="00226205" w:rsidRPr="00226205">
              <w:rPr>
                <w:rFonts w:ascii="Calibri" w:hAnsi="Calibri" w:cs="Calibri"/>
                <w:color w:val="000000"/>
                <w:sz w:val="18"/>
                <w:szCs w:val="18"/>
              </w:rPr>
              <w:t>20,418,300</w:t>
            </w:r>
          </w:p>
        </w:tc>
        <w:tc>
          <w:tcPr>
            <w:tcW w:w="1134" w:type="dxa"/>
            <w:shd w:val="clear" w:color="auto" w:fill="auto"/>
            <w:hideMark/>
          </w:tcPr>
          <w:p w:rsidR="00226205" w:rsidRPr="00226205" w:rsidRDefault="00226205" w:rsidP="00226205">
            <w:pPr>
              <w:jc w:val="center"/>
              <w:rPr>
                <w:rFonts w:ascii="Calibri" w:hAnsi="Calibri" w:cs="Calibri"/>
                <w:color w:val="000000"/>
                <w:sz w:val="18"/>
                <w:szCs w:val="18"/>
              </w:rPr>
            </w:pPr>
            <w:r w:rsidRPr="00226205">
              <w:rPr>
                <w:rFonts w:ascii="Calibri" w:hAnsi="Calibri" w:cs="Calibri"/>
                <w:color w:val="000000"/>
                <w:sz w:val="18"/>
                <w:szCs w:val="18"/>
              </w:rPr>
              <w:t>Leisure Services</w:t>
            </w:r>
          </w:p>
        </w:tc>
        <w:tc>
          <w:tcPr>
            <w:tcW w:w="1417" w:type="dxa"/>
            <w:shd w:val="clear" w:color="auto" w:fill="auto"/>
            <w:hideMark/>
          </w:tcPr>
          <w:p w:rsidR="00226205" w:rsidRPr="00226205" w:rsidRDefault="00226205" w:rsidP="00226205">
            <w:pPr>
              <w:jc w:val="center"/>
              <w:rPr>
                <w:rFonts w:ascii="Calibri" w:hAnsi="Calibri" w:cs="Calibri"/>
                <w:color w:val="000000"/>
                <w:sz w:val="18"/>
                <w:szCs w:val="18"/>
              </w:rPr>
            </w:pPr>
            <w:r w:rsidRPr="00226205">
              <w:rPr>
                <w:rFonts w:ascii="Calibri" w:hAnsi="Calibri" w:cs="Calibri"/>
                <w:color w:val="000000"/>
                <w:sz w:val="18"/>
                <w:szCs w:val="18"/>
              </w:rPr>
              <w:t>Leisure Centres</w:t>
            </w:r>
          </w:p>
        </w:tc>
        <w:tc>
          <w:tcPr>
            <w:tcW w:w="2410" w:type="dxa"/>
            <w:shd w:val="clear" w:color="auto" w:fill="auto"/>
            <w:hideMark/>
          </w:tcPr>
          <w:p w:rsidR="00226205" w:rsidRPr="00226205" w:rsidRDefault="00226205" w:rsidP="00226205">
            <w:pPr>
              <w:jc w:val="left"/>
              <w:rPr>
                <w:rFonts w:ascii="Calibri" w:hAnsi="Calibri" w:cs="Calibri"/>
                <w:color w:val="000000"/>
                <w:sz w:val="18"/>
                <w:szCs w:val="18"/>
              </w:rPr>
            </w:pPr>
            <w:r w:rsidRPr="00226205">
              <w:rPr>
                <w:rFonts w:ascii="Calibri" w:hAnsi="Calibri" w:cs="Calibri"/>
                <w:color w:val="000000"/>
                <w:sz w:val="18"/>
                <w:szCs w:val="18"/>
              </w:rPr>
              <w:t>The building is in a good condition.</w:t>
            </w:r>
          </w:p>
        </w:tc>
        <w:tc>
          <w:tcPr>
            <w:tcW w:w="3118" w:type="dxa"/>
            <w:shd w:val="clear" w:color="auto" w:fill="auto"/>
            <w:hideMark/>
          </w:tcPr>
          <w:p w:rsidR="00226205" w:rsidRPr="00226205" w:rsidRDefault="00226205" w:rsidP="00840CD9">
            <w:pPr>
              <w:jc w:val="left"/>
              <w:rPr>
                <w:rFonts w:ascii="Calibri" w:hAnsi="Calibri" w:cs="Calibri"/>
                <w:color w:val="000000"/>
                <w:sz w:val="18"/>
                <w:szCs w:val="18"/>
              </w:rPr>
            </w:pPr>
            <w:r w:rsidRPr="00226205">
              <w:rPr>
                <w:rFonts w:ascii="Calibri" w:hAnsi="Calibri" w:cs="Calibri"/>
                <w:color w:val="000000"/>
                <w:sz w:val="18"/>
                <w:szCs w:val="18"/>
              </w:rPr>
              <w:t>Insufficient parking especially during peak times. Building is too small to meet current demand for dry side activities. Pool is at capacity during peak times. Unable to split programs as required (but primarily a capacity issue). There is an impact on staff working in office next to Occasional Care Room when children cry or are distressed. There is insufficient storage and the Toddler pool is inadequate. Change rooms need an overhaul there are problems with hot water supply to wet side change rooms and cooling issues in main pool hall. .Review of occasional care services will be undertaken in March-May 2013. Review will consider facilities and physical space requirements in conjunction with service requirements to meet community needs.</w:t>
            </w:r>
          </w:p>
        </w:tc>
      </w:tr>
      <w:tr w:rsidR="00226205" w:rsidRPr="00226205" w:rsidTr="00B77D83">
        <w:trPr>
          <w:cantSplit/>
          <w:trHeight w:val="2247"/>
        </w:trPr>
        <w:tc>
          <w:tcPr>
            <w:tcW w:w="998" w:type="dxa"/>
            <w:shd w:val="clear" w:color="auto" w:fill="auto"/>
            <w:hideMark/>
          </w:tcPr>
          <w:p w:rsidR="00226205" w:rsidRPr="00226205" w:rsidRDefault="00226205" w:rsidP="006918D2">
            <w:pPr>
              <w:jc w:val="center"/>
              <w:rPr>
                <w:rFonts w:ascii="Calibri" w:hAnsi="Calibri" w:cs="Calibri"/>
                <w:color w:val="000000"/>
                <w:sz w:val="18"/>
                <w:szCs w:val="18"/>
              </w:rPr>
            </w:pPr>
            <w:r w:rsidRPr="00226205">
              <w:rPr>
                <w:rFonts w:ascii="Calibri" w:hAnsi="Calibri" w:cs="Calibri"/>
                <w:color w:val="000000"/>
                <w:sz w:val="18"/>
                <w:szCs w:val="18"/>
              </w:rPr>
              <w:t>B000211</w:t>
            </w:r>
          </w:p>
        </w:tc>
        <w:tc>
          <w:tcPr>
            <w:tcW w:w="2693" w:type="dxa"/>
            <w:shd w:val="clear" w:color="auto" w:fill="auto"/>
            <w:hideMark/>
          </w:tcPr>
          <w:p w:rsidR="00226205" w:rsidRPr="00226205" w:rsidRDefault="00226205" w:rsidP="00226205">
            <w:pPr>
              <w:rPr>
                <w:rFonts w:ascii="Calibri" w:hAnsi="Calibri" w:cs="Calibri"/>
                <w:color w:val="000000"/>
                <w:sz w:val="18"/>
                <w:szCs w:val="18"/>
              </w:rPr>
            </w:pPr>
            <w:r w:rsidRPr="00226205">
              <w:rPr>
                <w:rFonts w:ascii="Calibri" w:hAnsi="Calibri" w:cs="Calibri"/>
                <w:noProof/>
                <w:color w:val="000000"/>
                <w:sz w:val="18"/>
                <w:szCs w:val="18"/>
              </w:rPr>
              <w:drawing>
                <wp:anchor distT="0" distB="0" distL="114300" distR="114300" simplePos="0" relativeHeight="251803136" behindDoc="0" locked="0" layoutInCell="1" allowOverlap="1" wp14:anchorId="0F96CD82" wp14:editId="2756B9D6">
                  <wp:simplePos x="0" y="0"/>
                  <wp:positionH relativeFrom="column">
                    <wp:posOffset>-20955</wp:posOffset>
                  </wp:positionH>
                  <wp:positionV relativeFrom="paragraph">
                    <wp:posOffset>53535</wp:posOffset>
                  </wp:positionV>
                  <wp:extent cx="1630800" cy="1393200"/>
                  <wp:effectExtent l="0" t="0" r="0" b="0"/>
                  <wp:wrapNone/>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Picture 146"/>
                          <pic:cNvPicPr>
                            <a:picLocks noChangeAspect="1"/>
                          </pic:cNvPicPr>
                        </pic:nvPicPr>
                        <pic:blipFill>
                          <a:blip r:embed="rId213">
                            <a:extLst>
                              <a:ext uri="{28A0092B-C50C-407E-A947-70E740481C1C}">
                                <a14:useLocalDpi xmlns:a14="http://schemas.microsoft.com/office/drawing/2010/main" val="0"/>
                              </a:ext>
                            </a:extLst>
                          </a:blip>
                          <a:stretch>
                            <a:fillRect/>
                          </a:stretch>
                        </pic:blipFill>
                        <pic:spPr>
                          <a:xfrm>
                            <a:off x="0" y="0"/>
                            <a:ext cx="1630800" cy="1393200"/>
                          </a:xfrm>
                          <a:prstGeom prst="rect">
                            <a:avLst/>
                          </a:prstGeom>
                        </pic:spPr>
                      </pic:pic>
                    </a:graphicData>
                  </a:graphic>
                  <wp14:sizeRelH relativeFrom="page">
                    <wp14:pctWidth>0</wp14:pctWidth>
                  </wp14:sizeRelH>
                  <wp14:sizeRelV relativeFrom="page">
                    <wp14:pctHeight>0</wp14:pctHeight>
                  </wp14:sizeRelV>
                </wp:anchor>
              </w:drawing>
            </w:r>
          </w:p>
        </w:tc>
        <w:tc>
          <w:tcPr>
            <w:tcW w:w="2268" w:type="dxa"/>
            <w:shd w:val="clear" w:color="auto" w:fill="auto"/>
            <w:hideMark/>
          </w:tcPr>
          <w:p w:rsidR="00226205" w:rsidRPr="00226205" w:rsidRDefault="00226205" w:rsidP="00A54993">
            <w:pPr>
              <w:jc w:val="left"/>
              <w:rPr>
                <w:rFonts w:ascii="Calibri" w:hAnsi="Calibri" w:cs="Calibri"/>
                <w:color w:val="000000"/>
                <w:sz w:val="18"/>
                <w:szCs w:val="18"/>
              </w:rPr>
            </w:pPr>
            <w:r w:rsidRPr="00226205">
              <w:rPr>
                <w:rFonts w:ascii="Calibri" w:hAnsi="Calibri" w:cs="Calibri"/>
                <w:color w:val="000000"/>
                <w:sz w:val="18"/>
                <w:szCs w:val="18"/>
              </w:rPr>
              <w:t>Richmond Senior Citizens Centre- 3 Hosie Street, Richmond</w:t>
            </w:r>
          </w:p>
        </w:tc>
        <w:tc>
          <w:tcPr>
            <w:tcW w:w="1276" w:type="dxa"/>
            <w:shd w:val="clear" w:color="auto" w:fill="auto"/>
            <w:hideMark/>
          </w:tcPr>
          <w:p w:rsidR="00226205" w:rsidRPr="00226205" w:rsidRDefault="00226205" w:rsidP="009965C5">
            <w:pPr>
              <w:tabs>
                <w:tab w:val="decimal" w:pos="884"/>
              </w:tabs>
              <w:jc w:val="left"/>
              <w:rPr>
                <w:rFonts w:ascii="Calibri" w:hAnsi="Calibri" w:cs="Calibri"/>
                <w:color w:val="000000"/>
                <w:sz w:val="18"/>
                <w:szCs w:val="18"/>
              </w:rPr>
            </w:pPr>
            <w:r w:rsidRPr="00226205">
              <w:rPr>
                <w:rFonts w:ascii="Calibri" w:hAnsi="Calibri" w:cs="Calibri"/>
                <w:color w:val="000000"/>
                <w:sz w:val="18"/>
                <w:szCs w:val="18"/>
              </w:rPr>
              <w:t>$444,528</w:t>
            </w:r>
          </w:p>
        </w:tc>
        <w:tc>
          <w:tcPr>
            <w:tcW w:w="1134" w:type="dxa"/>
            <w:shd w:val="clear" w:color="auto" w:fill="auto"/>
            <w:hideMark/>
          </w:tcPr>
          <w:p w:rsidR="00226205" w:rsidRPr="00226205" w:rsidRDefault="00226205" w:rsidP="00226205">
            <w:pPr>
              <w:jc w:val="center"/>
              <w:rPr>
                <w:rFonts w:ascii="Calibri" w:hAnsi="Calibri" w:cs="Calibri"/>
                <w:color w:val="000000"/>
                <w:sz w:val="18"/>
                <w:szCs w:val="18"/>
              </w:rPr>
            </w:pPr>
            <w:r w:rsidRPr="00226205">
              <w:rPr>
                <w:rFonts w:ascii="Calibri" w:hAnsi="Calibri" w:cs="Calibri"/>
                <w:color w:val="000000"/>
                <w:sz w:val="18"/>
                <w:szCs w:val="18"/>
              </w:rPr>
              <w:t>Community Services</w:t>
            </w:r>
          </w:p>
        </w:tc>
        <w:tc>
          <w:tcPr>
            <w:tcW w:w="1417" w:type="dxa"/>
            <w:shd w:val="clear" w:color="auto" w:fill="auto"/>
            <w:hideMark/>
          </w:tcPr>
          <w:p w:rsidR="00226205" w:rsidRPr="00226205" w:rsidRDefault="00226205" w:rsidP="00226205">
            <w:pPr>
              <w:jc w:val="center"/>
              <w:rPr>
                <w:rFonts w:ascii="Calibri" w:hAnsi="Calibri" w:cs="Calibri"/>
                <w:color w:val="000000"/>
                <w:sz w:val="18"/>
                <w:szCs w:val="18"/>
              </w:rPr>
            </w:pPr>
            <w:r w:rsidRPr="00226205">
              <w:rPr>
                <w:rFonts w:ascii="Calibri" w:hAnsi="Calibri" w:cs="Calibri"/>
                <w:color w:val="000000"/>
                <w:sz w:val="18"/>
                <w:szCs w:val="18"/>
              </w:rPr>
              <w:t>Seniors Centre</w:t>
            </w:r>
          </w:p>
        </w:tc>
        <w:tc>
          <w:tcPr>
            <w:tcW w:w="2410" w:type="dxa"/>
            <w:shd w:val="clear" w:color="auto" w:fill="auto"/>
            <w:hideMark/>
          </w:tcPr>
          <w:p w:rsidR="00226205" w:rsidRPr="00226205" w:rsidRDefault="00226205" w:rsidP="00226205">
            <w:pPr>
              <w:jc w:val="left"/>
              <w:rPr>
                <w:rFonts w:ascii="Calibri" w:hAnsi="Calibri" w:cs="Calibri"/>
                <w:color w:val="000000"/>
                <w:sz w:val="18"/>
                <w:szCs w:val="18"/>
              </w:rPr>
            </w:pPr>
            <w:r w:rsidRPr="00226205">
              <w:rPr>
                <w:rFonts w:ascii="Calibri" w:hAnsi="Calibri" w:cs="Calibri"/>
                <w:color w:val="000000"/>
                <w:sz w:val="18"/>
                <w:szCs w:val="18"/>
              </w:rPr>
              <w:t>The building is in a good condition.</w:t>
            </w:r>
          </w:p>
        </w:tc>
        <w:tc>
          <w:tcPr>
            <w:tcW w:w="3118" w:type="dxa"/>
            <w:shd w:val="clear" w:color="auto" w:fill="auto"/>
            <w:hideMark/>
          </w:tcPr>
          <w:p w:rsidR="00226205" w:rsidRPr="00226205" w:rsidRDefault="00226205" w:rsidP="00840CD9">
            <w:pPr>
              <w:jc w:val="left"/>
              <w:rPr>
                <w:rFonts w:ascii="Calibri" w:hAnsi="Calibri" w:cs="Calibri"/>
                <w:color w:val="000000"/>
                <w:sz w:val="18"/>
                <w:szCs w:val="18"/>
              </w:rPr>
            </w:pPr>
            <w:r w:rsidRPr="00226205">
              <w:rPr>
                <w:rFonts w:ascii="Calibri" w:hAnsi="Calibri" w:cs="Calibri"/>
                <w:color w:val="000000"/>
                <w:sz w:val="18"/>
                <w:szCs w:val="18"/>
              </w:rPr>
              <w:t>There is generally a lack parking space for delivery/community transport vehicles. Also lacking are flexible small spaces, storage the building has a poor layout and the entran</w:t>
            </w:r>
            <w:r w:rsidR="00840CD9">
              <w:rPr>
                <w:rFonts w:ascii="Calibri" w:hAnsi="Calibri" w:cs="Calibri"/>
                <w:color w:val="000000"/>
                <w:sz w:val="18"/>
                <w:szCs w:val="18"/>
              </w:rPr>
              <w:t>ce is inadequate. Office spaces are</w:t>
            </w:r>
            <w:r w:rsidRPr="00226205">
              <w:rPr>
                <w:rFonts w:ascii="Calibri" w:hAnsi="Calibri" w:cs="Calibri"/>
                <w:color w:val="000000"/>
                <w:sz w:val="18"/>
                <w:szCs w:val="18"/>
              </w:rPr>
              <w:t xml:space="preserve"> small with </w:t>
            </w:r>
            <w:r w:rsidR="00840CD9">
              <w:rPr>
                <w:rFonts w:ascii="Calibri" w:hAnsi="Calibri" w:cs="Calibri"/>
                <w:color w:val="000000"/>
                <w:sz w:val="18"/>
                <w:szCs w:val="18"/>
              </w:rPr>
              <w:t>n</w:t>
            </w:r>
            <w:r w:rsidRPr="00226205">
              <w:rPr>
                <w:rFonts w:ascii="Calibri" w:hAnsi="Calibri" w:cs="Calibri"/>
                <w:color w:val="000000"/>
                <w:sz w:val="18"/>
                <w:szCs w:val="18"/>
              </w:rPr>
              <w:t>o air</w:t>
            </w:r>
            <w:r w:rsidR="00840CD9">
              <w:rPr>
                <w:rFonts w:ascii="Calibri" w:hAnsi="Calibri" w:cs="Calibri"/>
                <w:color w:val="000000"/>
                <w:sz w:val="18"/>
                <w:szCs w:val="18"/>
              </w:rPr>
              <w:t>c</w:t>
            </w:r>
            <w:r w:rsidRPr="00226205">
              <w:rPr>
                <w:rFonts w:ascii="Calibri" w:hAnsi="Calibri" w:cs="Calibri"/>
                <w:color w:val="000000"/>
                <w:sz w:val="18"/>
                <w:szCs w:val="18"/>
              </w:rPr>
              <w:t>onditioning. Storage areas need to be carefully configured.  The kitchen too large for current needs. The building looks tired</w:t>
            </w:r>
            <w:r w:rsidR="00840CD9">
              <w:rPr>
                <w:rFonts w:ascii="Calibri" w:hAnsi="Calibri" w:cs="Calibri"/>
                <w:color w:val="000000"/>
                <w:sz w:val="18"/>
                <w:szCs w:val="18"/>
              </w:rPr>
              <w:t>,</w:t>
            </w:r>
            <w:r w:rsidRPr="00226205">
              <w:rPr>
                <w:rFonts w:ascii="Calibri" w:hAnsi="Calibri" w:cs="Calibri"/>
                <w:color w:val="000000"/>
                <w:sz w:val="18"/>
                <w:szCs w:val="18"/>
              </w:rPr>
              <w:t xml:space="preserve"> particularly entrance and bin area and overgrown gar</w:t>
            </w:r>
            <w:r w:rsidR="00840CD9">
              <w:rPr>
                <w:rFonts w:ascii="Calibri" w:hAnsi="Calibri" w:cs="Calibri"/>
                <w:color w:val="000000"/>
                <w:sz w:val="18"/>
                <w:szCs w:val="18"/>
              </w:rPr>
              <w:t>den</w:t>
            </w:r>
            <w:r w:rsidRPr="00226205">
              <w:rPr>
                <w:rFonts w:ascii="Calibri" w:hAnsi="Calibri" w:cs="Calibri"/>
                <w:color w:val="000000"/>
                <w:sz w:val="18"/>
                <w:szCs w:val="18"/>
              </w:rPr>
              <w:t>.</w:t>
            </w:r>
          </w:p>
        </w:tc>
      </w:tr>
      <w:tr w:rsidR="00226205" w:rsidRPr="00226205" w:rsidTr="00B77D83">
        <w:trPr>
          <w:cantSplit/>
          <w:trHeight w:val="2206"/>
        </w:trPr>
        <w:tc>
          <w:tcPr>
            <w:tcW w:w="998" w:type="dxa"/>
            <w:shd w:val="clear" w:color="auto" w:fill="auto"/>
            <w:hideMark/>
          </w:tcPr>
          <w:p w:rsidR="00226205" w:rsidRPr="00226205" w:rsidRDefault="00226205" w:rsidP="006918D2">
            <w:pPr>
              <w:jc w:val="center"/>
              <w:rPr>
                <w:rFonts w:ascii="Calibri" w:hAnsi="Calibri" w:cs="Calibri"/>
                <w:color w:val="000000"/>
                <w:sz w:val="18"/>
                <w:szCs w:val="18"/>
              </w:rPr>
            </w:pPr>
            <w:r w:rsidRPr="00226205">
              <w:rPr>
                <w:rFonts w:ascii="Calibri" w:hAnsi="Calibri" w:cs="Calibri"/>
                <w:color w:val="000000"/>
                <w:sz w:val="18"/>
                <w:szCs w:val="18"/>
              </w:rPr>
              <w:t>B000215</w:t>
            </w:r>
          </w:p>
        </w:tc>
        <w:tc>
          <w:tcPr>
            <w:tcW w:w="2693" w:type="dxa"/>
            <w:shd w:val="clear" w:color="auto" w:fill="auto"/>
            <w:hideMark/>
          </w:tcPr>
          <w:p w:rsidR="00226205" w:rsidRPr="00226205" w:rsidRDefault="00226205" w:rsidP="00226205">
            <w:pPr>
              <w:rPr>
                <w:rFonts w:ascii="Calibri" w:hAnsi="Calibri" w:cs="Calibri"/>
                <w:color w:val="000000"/>
                <w:sz w:val="18"/>
                <w:szCs w:val="18"/>
              </w:rPr>
            </w:pPr>
            <w:r w:rsidRPr="00226205">
              <w:rPr>
                <w:rFonts w:ascii="Calibri" w:hAnsi="Calibri" w:cs="Calibri"/>
                <w:noProof/>
                <w:color w:val="000000"/>
                <w:sz w:val="18"/>
                <w:szCs w:val="18"/>
              </w:rPr>
              <w:drawing>
                <wp:anchor distT="0" distB="0" distL="114300" distR="114300" simplePos="0" relativeHeight="251728384" behindDoc="0" locked="0" layoutInCell="1" allowOverlap="1" wp14:anchorId="452416C4" wp14:editId="148A36BF">
                  <wp:simplePos x="0" y="0"/>
                  <wp:positionH relativeFrom="column">
                    <wp:posOffset>-20955</wp:posOffset>
                  </wp:positionH>
                  <wp:positionV relativeFrom="paragraph">
                    <wp:posOffset>44010</wp:posOffset>
                  </wp:positionV>
                  <wp:extent cx="1630800" cy="1324800"/>
                  <wp:effectExtent l="0" t="0" r="0" b="0"/>
                  <wp:wrapNone/>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2"/>
                          <pic:cNvPicPr>
                            <a:picLocks noChangeAspect="1"/>
                          </pic:cNvPicPr>
                        </pic:nvPicPr>
                        <pic:blipFill>
                          <a:blip r:embed="rId214">
                            <a:extLst>
                              <a:ext uri="{28A0092B-C50C-407E-A947-70E740481C1C}">
                                <a14:useLocalDpi xmlns:a14="http://schemas.microsoft.com/office/drawing/2010/main" val="0"/>
                              </a:ext>
                            </a:extLst>
                          </a:blip>
                          <a:stretch>
                            <a:fillRect/>
                          </a:stretch>
                        </pic:blipFill>
                        <pic:spPr>
                          <a:xfrm>
                            <a:off x="0" y="0"/>
                            <a:ext cx="1630800" cy="1324800"/>
                          </a:xfrm>
                          <a:prstGeom prst="rect">
                            <a:avLst/>
                          </a:prstGeom>
                        </pic:spPr>
                      </pic:pic>
                    </a:graphicData>
                  </a:graphic>
                  <wp14:sizeRelH relativeFrom="page">
                    <wp14:pctWidth>0</wp14:pctWidth>
                  </wp14:sizeRelH>
                  <wp14:sizeRelV relativeFrom="page">
                    <wp14:pctHeight>0</wp14:pctHeight>
                  </wp14:sizeRelV>
                </wp:anchor>
              </w:drawing>
            </w:r>
          </w:p>
        </w:tc>
        <w:tc>
          <w:tcPr>
            <w:tcW w:w="2268" w:type="dxa"/>
            <w:shd w:val="clear" w:color="auto" w:fill="auto"/>
            <w:hideMark/>
          </w:tcPr>
          <w:p w:rsidR="00226205" w:rsidRPr="00226205" w:rsidRDefault="00226205" w:rsidP="00A54993">
            <w:pPr>
              <w:jc w:val="left"/>
              <w:rPr>
                <w:rFonts w:ascii="Calibri" w:hAnsi="Calibri" w:cs="Calibri"/>
                <w:color w:val="000000"/>
                <w:sz w:val="18"/>
                <w:szCs w:val="18"/>
              </w:rPr>
            </w:pPr>
            <w:r w:rsidRPr="00226205">
              <w:rPr>
                <w:rFonts w:ascii="Calibri" w:hAnsi="Calibri" w:cs="Calibri"/>
                <w:color w:val="000000"/>
                <w:sz w:val="18"/>
                <w:szCs w:val="18"/>
              </w:rPr>
              <w:t xml:space="preserve">Richmond Kindergarten- 27 Duke Street, Richmond </w:t>
            </w:r>
          </w:p>
        </w:tc>
        <w:tc>
          <w:tcPr>
            <w:tcW w:w="1276" w:type="dxa"/>
            <w:shd w:val="clear" w:color="auto" w:fill="auto"/>
            <w:hideMark/>
          </w:tcPr>
          <w:p w:rsidR="00226205" w:rsidRPr="00226205" w:rsidRDefault="009965C5" w:rsidP="009965C5">
            <w:pPr>
              <w:tabs>
                <w:tab w:val="decimal" w:pos="884"/>
              </w:tabs>
              <w:jc w:val="left"/>
              <w:rPr>
                <w:rFonts w:ascii="Calibri" w:hAnsi="Calibri" w:cs="Calibri"/>
                <w:color w:val="000000"/>
                <w:sz w:val="18"/>
                <w:szCs w:val="18"/>
              </w:rPr>
            </w:pPr>
            <w:r>
              <w:rPr>
                <w:rFonts w:ascii="Calibri" w:hAnsi="Calibri" w:cs="Calibri"/>
                <w:color w:val="000000"/>
                <w:sz w:val="18"/>
                <w:szCs w:val="18"/>
              </w:rPr>
              <w:t>$</w:t>
            </w:r>
            <w:r w:rsidR="00226205" w:rsidRPr="00226205">
              <w:rPr>
                <w:rFonts w:ascii="Calibri" w:hAnsi="Calibri" w:cs="Calibri"/>
                <w:color w:val="000000"/>
                <w:sz w:val="18"/>
                <w:szCs w:val="18"/>
              </w:rPr>
              <w:t>496,296</w:t>
            </w:r>
          </w:p>
        </w:tc>
        <w:tc>
          <w:tcPr>
            <w:tcW w:w="1134" w:type="dxa"/>
            <w:shd w:val="clear" w:color="auto" w:fill="auto"/>
            <w:hideMark/>
          </w:tcPr>
          <w:p w:rsidR="00226205" w:rsidRPr="00226205" w:rsidRDefault="00226205" w:rsidP="00226205">
            <w:pPr>
              <w:jc w:val="center"/>
              <w:rPr>
                <w:rFonts w:ascii="Calibri" w:hAnsi="Calibri" w:cs="Calibri"/>
                <w:color w:val="000000"/>
                <w:sz w:val="18"/>
                <w:szCs w:val="18"/>
              </w:rPr>
            </w:pPr>
            <w:r w:rsidRPr="00226205">
              <w:rPr>
                <w:rFonts w:ascii="Calibri" w:hAnsi="Calibri" w:cs="Calibri"/>
                <w:color w:val="000000"/>
                <w:sz w:val="18"/>
                <w:szCs w:val="18"/>
              </w:rPr>
              <w:t>Community Services</w:t>
            </w:r>
          </w:p>
        </w:tc>
        <w:tc>
          <w:tcPr>
            <w:tcW w:w="1417" w:type="dxa"/>
            <w:shd w:val="clear" w:color="auto" w:fill="auto"/>
            <w:hideMark/>
          </w:tcPr>
          <w:p w:rsidR="00226205" w:rsidRPr="00226205" w:rsidRDefault="00226205" w:rsidP="00226205">
            <w:pPr>
              <w:jc w:val="center"/>
              <w:rPr>
                <w:rFonts w:ascii="Calibri" w:hAnsi="Calibri" w:cs="Calibri"/>
                <w:color w:val="000000"/>
                <w:sz w:val="18"/>
                <w:szCs w:val="18"/>
              </w:rPr>
            </w:pPr>
            <w:r w:rsidRPr="00226205">
              <w:rPr>
                <w:rFonts w:ascii="Calibri" w:hAnsi="Calibri" w:cs="Calibri"/>
                <w:color w:val="000000"/>
                <w:sz w:val="18"/>
                <w:szCs w:val="18"/>
              </w:rPr>
              <w:t>Kindergartens</w:t>
            </w:r>
          </w:p>
        </w:tc>
        <w:tc>
          <w:tcPr>
            <w:tcW w:w="2410" w:type="dxa"/>
            <w:shd w:val="clear" w:color="auto" w:fill="auto"/>
            <w:hideMark/>
          </w:tcPr>
          <w:p w:rsidR="00226205" w:rsidRPr="00226205" w:rsidRDefault="00226205" w:rsidP="00226205">
            <w:pPr>
              <w:jc w:val="left"/>
              <w:rPr>
                <w:rFonts w:ascii="Calibri" w:hAnsi="Calibri" w:cs="Calibri"/>
                <w:color w:val="000000"/>
                <w:sz w:val="18"/>
                <w:szCs w:val="18"/>
              </w:rPr>
            </w:pPr>
            <w:r w:rsidRPr="00226205">
              <w:rPr>
                <w:rFonts w:ascii="Calibri" w:hAnsi="Calibri" w:cs="Calibri"/>
                <w:color w:val="000000"/>
                <w:sz w:val="18"/>
                <w:szCs w:val="18"/>
              </w:rPr>
              <w:t>The building is in a good condition.</w:t>
            </w:r>
          </w:p>
        </w:tc>
        <w:tc>
          <w:tcPr>
            <w:tcW w:w="3118" w:type="dxa"/>
            <w:shd w:val="clear" w:color="auto" w:fill="auto"/>
            <w:hideMark/>
          </w:tcPr>
          <w:p w:rsidR="00226205" w:rsidRPr="00226205" w:rsidRDefault="00226205" w:rsidP="00226205">
            <w:pPr>
              <w:jc w:val="left"/>
              <w:rPr>
                <w:rFonts w:ascii="Calibri" w:hAnsi="Calibri" w:cs="Calibri"/>
                <w:color w:val="000000"/>
                <w:sz w:val="18"/>
                <w:szCs w:val="18"/>
              </w:rPr>
            </w:pPr>
            <w:r w:rsidRPr="00226205">
              <w:rPr>
                <w:rFonts w:ascii="Calibri" w:hAnsi="Calibri" w:cs="Calibri"/>
                <w:color w:val="000000"/>
                <w:sz w:val="18"/>
                <w:szCs w:val="18"/>
              </w:rPr>
              <w:t>Street parking is limited and there are currently no bike facilities. Some upgrades may be required there is no pram storage or bike/scooter storage, no changing table for children.   Services subject to external audit; building space and features will impact on audit outcome. Maintenance, cleaning and monitoring of processes could be strengthened.</w:t>
            </w:r>
          </w:p>
        </w:tc>
      </w:tr>
      <w:tr w:rsidR="00226205" w:rsidRPr="00226205" w:rsidTr="00B77D83">
        <w:trPr>
          <w:cantSplit/>
          <w:trHeight w:val="2124"/>
        </w:trPr>
        <w:tc>
          <w:tcPr>
            <w:tcW w:w="998" w:type="dxa"/>
            <w:shd w:val="clear" w:color="auto" w:fill="auto"/>
            <w:hideMark/>
          </w:tcPr>
          <w:p w:rsidR="00226205" w:rsidRPr="00226205" w:rsidRDefault="00226205" w:rsidP="006918D2">
            <w:pPr>
              <w:jc w:val="center"/>
              <w:rPr>
                <w:rFonts w:ascii="Calibri" w:hAnsi="Calibri" w:cs="Calibri"/>
                <w:color w:val="000000"/>
                <w:sz w:val="18"/>
                <w:szCs w:val="18"/>
              </w:rPr>
            </w:pPr>
            <w:r w:rsidRPr="00226205">
              <w:rPr>
                <w:rFonts w:ascii="Calibri" w:hAnsi="Calibri" w:cs="Calibri"/>
                <w:color w:val="000000"/>
                <w:sz w:val="18"/>
                <w:szCs w:val="18"/>
              </w:rPr>
              <w:t>B000217</w:t>
            </w:r>
          </w:p>
        </w:tc>
        <w:tc>
          <w:tcPr>
            <w:tcW w:w="2693" w:type="dxa"/>
            <w:shd w:val="clear" w:color="auto" w:fill="auto"/>
            <w:hideMark/>
          </w:tcPr>
          <w:p w:rsidR="00226205" w:rsidRPr="00226205" w:rsidRDefault="00226205" w:rsidP="00226205">
            <w:pPr>
              <w:rPr>
                <w:rFonts w:ascii="Calibri" w:hAnsi="Calibri" w:cs="Calibri"/>
                <w:color w:val="000000"/>
                <w:sz w:val="18"/>
                <w:szCs w:val="18"/>
              </w:rPr>
            </w:pPr>
            <w:r w:rsidRPr="00226205">
              <w:rPr>
                <w:rFonts w:ascii="Calibri" w:hAnsi="Calibri" w:cs="Calibri"/>
                <w:noProof/>
                <w:color w:val="000000"/>
                <w:sz w:val="18"/>
                <w:szCs w:val="18"/>
              </w:rPr>
              <w:drawing>
                <wp:anchor distT="0" distB="0" distL="114300" distR="114300" simplePos="0" relativeHeight="251802112" behindDoc="0" locked="0" layoutInCell="1" allowOverlap="1" wp14:anchorId="1562F330" wp14:editId="10183BF3">
                  <wp:simplePos x="0" y="0"/>
                  <wp:positionH relativeFrom="column">
                    <wp:posOffset>-20955</wp:posOffset>
                  </wp:positionH>
                  <wp:positionV relativeFrom="paragraph">
                    <wp:posOffset>38100</wp:posOffset>
                  </wp:positionV>
                  <wp:extent cx="1630800" cy="1260000"/>
                  <wp:effectExtent l="0" t="0" r="0" b="0"/>
                  <wp:wrapNone/>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Picture 145"/>
                          <pic:cNvPicPr>
                            <a:picLocks noChangeAspect="1"/>
                          </pic:cNvPicPr>
                        </pic:nvPicPr>
                        <pic:blipFill>
                          <a:blip r:embed="rId215">
                            <a:extLst>
                              <a:ext uri="{28A0092B-C50C-407E-A947-70E740481C1C}">
                                <a14:useLocalDpi xmlns:a14="http://schemas.microsoft.com/office/drawing/2010/main" val="0"/>
                              </a:ext>
                            </a:extLst>
                          </a:blip>
                          <a:stretch>
                            <a:fillRect/>
                          </a:stretch>
                        </pic:blipFill>
                        <pic:spPr>
                          <a:xfrm>
                            <a:off x="0" y="0"/>
                            <a:ext cx="1630800" cy="1260000"/>
                          </a:xfrm>
                          <a:prstGeom prst="rect">
                            <a:avLst/>
                          </a:prstGeom>
                        </pic:spPr>
                      </pic:pic>
                    </a:graphicData>
                  </a:graphic>
                  <wp14:sizeRelH relativeFrom="page">
                    <wp14:pctWidth>0</wp14:pctWidth>
                  </wp14:sizeRelH>
                  <wp14:sizeRelV relativeFrom="page">
                    <wp14:pctHeight>0</wp14:pctHeight>
                  </wp14:sizeRelV>
                </wp:anchor>
              </w:drawing>
            </w:r>
          </w:p>
        </w:tc>
        <w:tc>
          <w:tcPr>
            <w:tcW w:w="2268" w:type="dxa"/>
            <w:shd w:val="clear" w:color="auto" w:fill="auto"/>
            <w:hideMark/>
          </w:tcPr>
          <w:p w:rsidR="00226205" w:rsidRPr="00226205" w:rsidRDefault="00226205" w:rsidP="00A54993">
            <w:pPr>
              <w:jc w:val="left"/>
              <w:rPr>
                <w:rFonts w:ascii="Calibri" w:hAnsi="Calibri" w:cs="Calibri"/>
                <w:color w:val="000000"/>
                <w:sz w:val="18"/>
                <w:szCs w:val="18"/>
              </w:rPr>
            </w:pPr>
            <w:r w:rsidRPr="00226205">
              <w:rPr>
                <w:rFonts w:ascii="Calibri" w:hAnsi="Calibri" w:cs="Calibri"/>
                <w:color w:val="000000"/>
                <w:sz w:val="18"/>
                <w:szCs w:val="18"/>
              </w:rPr>
              <w:t>Timber Shed (ex Burnley Neighbourhood House)- 92 – 104 Lord Street, Richmond</w:t>
            </w:r>
          </w:p>
        </w:tc>
        <w:tc>
          <w:tcPr>
            <w:tcW w:w="1276" w:type="dxa"/>
            <w:shd w:val="clear" w:color="auto" w:fill="auto"/>
            <w:hideMark/>
          </w:tcPr>
          <w:p w:rsidR="00226205" w:rsidRPr="00226205" w:rsidRDefault="009965C5" w:rsidP="009965C5">
            <w:pPr>
              <w:tabs>
                <w:tab w:val="decimal" w:pos="884"/>
              </w:tabs>
              <w:jc w:val="left"/>
              <w:rPr>
                <w:rFonts w:ascii="Calibri" w:hAnsi="Calibri" w:cs="Calibri"/>
                <w:color w:val="000000"/>
                <w:sz w:val="18"/>
                <w:szCs w:val="18"/>
              </w:rPr>
            </w:pPr>
            <w:r>
              <w:rPr>
                <w:rFonts w:ascii="Calibri" w:hAnsi="Calibri" w:cs="Calibri"/>
                <w:color w:val="000000"/>
                <w:sz w:val="18"/>
                <w:szCs w:val="18"/>
              </w:rPr>
              <w:t>$</w:t>
            </w:r>
            <w:r w:rsidR="00226205" w:rsidRPr="00226205">
              <w:rPr>
                <w:rFonts w:ascii="Calibri" w:hAnsi="Calibri" w:cs="Calibri"/>
                <w:color w:val="000000"/>
                <w:sz w:val="18"/>
                <w:szCs w:val="18"/>
              </w:rPr>
              <w:t>9,030</w:t>
            </w:r>
          </w:p>
        </w:tc>
        <w:tc>
          <w:tcPr>
            <w:tcW w:w="1134" w:type="dxa"/>
            <w:shd w:val="clear" w:color="auto" w:fill="auto"/>
            <w:hideMark/>
          </w:tcPr>
          <w:p w:rsidR="00226205" w:rsidRPr="00226205" w:rsidRDefault="00226205" w:rsidP="00226205">
            <w:pPr>
              <w:jc w:val="center"/>
              <w:rPr>
                <w:rFonts w:ascii="Calibri" w:hAnsi="Calibri" w:cs="Calibri"/>
                <w:color w:val="000000"/>
                <w:sz w:val="18"/>
                <w:szCs w:val="18"/>
              </w:rPr>
            </w:pPr>
            <w:r w:rsidRPr="00226205">
              <w:rPr>
                <w:rFonts w:ascii="Calibri" w:hAnsi="Calibri" w:cs="Calibri"/>
                <w:color w:val="000000"/>
                <w:sz w:val="18"/>
                <w:szCs w:val="18"/>
              </w:rPr>
              <w:t>Community Services</w:t>
            </w:r>
          </w:p>
        </w:tc>
        <w:tc>
          <w:tcPr>
            <w:tcW w:w="1417" w:type="dxa"/>
            <w:shd w:val="clear" w:color="auto" w:fill="auto"/>
            <w:hideMark/>
          </w:tcPr>
          <w:p w:rsidR="00226205" w:rsidRPr="00226205" w:rsidRDefault="00226205" w:rsidP="00226205">
            <w:pPr>
              <w:jc w:val="center"/>
              <w:rPr>
                <w:rFonts w:ascii="Calibri" w:hAnsi="Calibri" w:cs="Calibri"/>
                <w:color w:val="000000"/>
                <w:sz w:val="18"/>
                <w:szCs w:val="18"/>
              </w:rPr>
            </w:pPr>
            <w:r w:rsidRPr="00226205">
              <w:rPr>
                <w:rFonts w:ascii="Calibri" w:hAnsi="Calibri" w:cs="Calibri"/>
                <w:color w:val="000000"/>
                <w:sz w:val="18"/>
                <w:szCs w:val="18"/>
              </w:rPr>
              <w:t>Stores / Sheds / Garages</w:t>
            </w:r>
          </w:p>
        </w:tc>
        <w:tc>
          <w:tcPr>
            <w:tcW w:w="2410" w:type="dxa"/>
            <w:shd w:val="clear" w:color="auto" w:fill="auto"/>
            <w:hideMark/>
          </w:tcPr>
          <w:p w:rsidR="00226205" w:rsidRPr="00226205" w:rsidRDefault="00226205" w:rsidP="00226205">
            <w:pPr>
              <w:jc w:val="left"/>
              <w:rPr>
                <w:rFonts w:ascii="Calibri" w:hAnsi="Calibri" w:cs="Calibri"/>
                <w:color w:val="000000"/>
                <w:sz w:val="18"/>
                <w:szCs w:val="18"/>
              </w:rPr>
            </w:pPr>
            <w:r w:rsidRPr="00226205">
              <w:rPr>
                <w:rFonts w:ascii="Calibri" w:hAnsi="Calibri" w:cs="Calibri"/>
                <w:color w:val="000000"/>
                <w:sz w:val="18"/>
                <w:szCs w:val="18"/>
              </w:rPr>
              <w:t>The building is in a good condition.</w:t>
            </w:r>
          </w:p>
        </w:tc>
        <w:tc>
          <w:tcPr>
            <w:tcW w:w="3118" w:type="dxa"/>
            <w:shd w:val="clear" w:color="auto" w:fill="auto"/>
            <w:hideMark/>
          </w:tcPr>
          <w:p w:rsidR="00226205" w:rsidRPr="00226205" w:rsidRDefault="00226205" w:rsidP="00226205">
            <w:pPr>
              <w:jc w:val="left"/>
              <w:rPr>
                <w:rFonts w:ascii="Calibri" w:hAnsi="Calibri" w:cs="Calibri"/>
                <w:color w:val="000000"/>
                <w:sz w:val="18"/>
                <w:szCs w:val="18"/>
              </w:rPr>
            </w:pPr>
            <w:r w:rsidRPr="00226205">
              <w:rPr>
                <w:rFonts w:ascii="Calibri" w:hAnsi="Calibri" w:cs="Calibri"/>
                <w:color w:val="000000"/>
                <w:sz w:val="18"/>
                <w:szCs w:val="18"/>
              </w:rPr>
              <w:t>Full assessment not yet carried out.</w:t>
            </w:r>
            <w:r w:rsidRPr="00226205">
              <w:rPr>
                <w:rFonts w:ascii="Calibri" w:hAnsi="Calibri" w:cs="Calibri"/>
                <w:color w:val="000000"/>
                <w:sz w:val="18"/>
                <w:szCs w:val="18"/>
              </w:rPr>
              <w:br/>
              <w:t xml:space="preserve">Leased to 3rd party. </w:t>
            </w:r>
          </w:p>
        </w:tc>
      </w:tr>
      <w:tr w:rsidR="00226205" w:rsidRPr="00226205" w:rsidTr="00B77D83">
        <w:trPr>
          <w:cantSplit/>
          <w:trHeight w:val="2367"/>
        </w:trPr>
        <w:tc>
          <w:tcPr>
            <w:tcW w:w="998" w:type="dxa"/>
            <w:shd w:val="clear" w:color="auto" w:fill="auto"/>
            <w:hideMark/>
          </w:tcPr>
          <w:p w:rsidR="00226205" w:rsidRPr="00226205" w:rsidRDefault="00226205" w:rsidP="006918D2">
            <w:pPr>
              <w:jc w:val="center"/>
              <w:rPr>
                <w:rFonts w:ascii="Calibri" w:hAnsi="Calibri" w:cs="Calibri"/>
                <w:color w:val="000000"/>
                <w:sz w:val="18"/>
                <w:szCs w:val="18"/>
              </w:rPr>
            </w:pPr>
            <w:r w:rsidRPr="00226205">
              <w:rPr>
                <w:rFonts w:ascii="Calibri" w:hAnsi="Calibri" w:cs="Calibri"/>
                <w:color w:val="000000"/>
                <w:sz w:val="18"/>
                <w:szCs w:val="18"/>
              </w:rPr>
              <w:t>B000218</w:t>
            </w:r>
          </w:p>
        </w:tc>
        <w:tc>
          <w:tcPr>
            <w:tcW w:w="2693" w:type="dxa"/>
            <w:shd w:val="clear" w:color="auto" w:fill="auto"/>
            <w:hideMark/>
          </w:tcPr>
          <w:p w:rsidR="00226205" w:rsidRPr="00226205" w:rsidRDefault="00226205" w:rsidP="00226205">
            <w:pPr>
              <w:rPr>
                <w:rFonts w:ascii="Calibri" w:hAnsi="Calibri" w:cs="Calibri"/>
                <w:color w:val="000000"/>
                <w:sz w:val="18"/>
                <w:szCs w:val="18"/>
              </w:rPr>
            </w:pPr>
            <w:r w:rsidRPr="00226205">
              <w:rPr>
                <w:rFonts w:ascii="Calibri" w:hAnsi="Calibri" w:cs="Calibri"/>
                <w:noProof/>
                <w:color w:val="000000"/>
                <w:sz w:val="18"/>
                <w:szCs w:val="18"/>
              </w:rPr>
              <w:drawing>
                <wp:anchor distT="0" distB="0" distL="114300" distR="114300" simplePos="0" relativeHeight="251816448" behindDoc="0" locked="0" layoutInCell="1" allowOverlap="1" wp14:anchorId="0CC0A602" wp14:editId="55AD4E34">
                  <wp:simplePos x="0" y="0"/>
                  <wp:positionH relativeFrom="column">
                    <wp:posOffset>-20955</wp:posOffset>
                  </wp:positionH>
                  <wp:positionV relativeFrom="paragraph">
                    <wp:posOffset>53340</wp:posOffset>
                  </wp:positionV>
                  <wp:extent cx="1630800" cy="1306800"/>
                  <wp:effectExtent l="0" t="0" r="0" b="0"/>
                  <wp:wrapNone/>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Picture 163"/>
                          <pic:cNvPicPr>
                            <a:picLocks noChangeAspect="1"/>
                          </pic:cNvPicPr>
                        </pic:nvPicPr>
                        <pic:blipFill>
                          <a:blip r:embed="rId216" cstate="print">
                            <a:extLst>
                              <a:ext uri="{28A0092B-C50C-407E-A947-70E740481C1C}">
                                <a14:useLocalDpi xmlns:a14="http://schemas.microsoft.com/office/drawing/2010/main" val="0"/>
                              </a:ext>
                            </a:extLst>
                          </a:blip>
                          <a:stretch>
                            <a:fillRect/>
                          </a:stretch>
                        </pic:blipFill>
                        <pic:spPr>
                          <a:xfrm>
                            <a:off x="0" y="0"/>
                            <a:ext cx="1630800" cy="1306800"/>
                          </a:xfrm>
                          <a:prstGeom prst="rect">
                            <a:avLst/>
                          </a:prstGeom>
                        </pic:spPr>
                      </pic:pic>
                    </a:graphicData>
                  </a:graphic>
                  <wp14:sizeRelH relativeFrom="page">
                    <wp14:pctWidth>0</wp14:pctWidth>
                  </wp14:sizeRelH>
                  <wp14:sizeRelV relativeFrom="page">
                    <wp14:pctHeight>0</wp14:pctHeight>
                  </wp14:sizeRelV>
                </wp:anchor>
              </w:drawing>
            </w:r>
          </w:p>
        </w:tc>
        <w:tc>
          <w:tcPr>
            <w:tcW w:w="2268" w:type="dxa"/>
            <w:shd w:val="clear" w:color="auto" w:fill="auto"/>
            <w:hideMark/>
          </w:tcPr>
          <w:p w:rsidR="00226205" w:rsidRPr="00226205" w:rsidRDefault="00226205" w:rsidP="00A54993">
            <w:pPr>
              <w:jc w:val="left"/>
              <w:rPr>
                <w:rFonts w:ascii="Calibri" w:hAnsi="Calibri" w:cs="Calibri"/>
                <w:color w:val="000000"/>
                <w:sz w:val="18"/>
                <w:szCs w:val="18"/>
              </w:rPr>
            </w:pPr>
            <w:r w:rsidRPr="00226205">
              <w:rPr>
                <w:rFonts w:ascii="Calibri" w:hAnsi="Calibri" w:cs="Calibri"/>
                <w:color w:val="000000"/>
                <w:sz w:val="18"/>
                <w:szCs w:val="18"/>
              </w:rPr>
              <w:t>Richmond Town Hall- 333 Bridge Rd, Richmond</w:t>
            </w:r>
          </w:p>
        </w:tc>
        <w:tc>
          <w:tcPr>
            <w:tcW w:w="1276" w:type="dxa"/>
            <w:shd w:val="clear" w:color="auto" w:fill="auto"/>
            <w:hideMark/>
          </w:tcPr>
          <w:p w:rsidR="00226205" w:rsidRPr="00226205" w:rsidRDefault="009965C5" w:rsidP="009965C5">
            <w:pPr>
              <w:tabs>
                <w:tab w:val="decimal" w:pos="884"/>
              </w:tabs>
              <w:jc w:val="left"/>
              <w:rPr>
                <w:rFonts w:ascii="Calibri" w:hAnsi="Calibri" w:cs="Calibri"/>
                <w:color w:val="000000"/>
                <w:sz w:val="18"/>
                <w:szCs w:val="18"/>
              </w:rPr>
            </w:pPr>
            <w:r>
              <w:rPr>
                <w:rFonts w:ascii="Calibri" w:hAnsi="Calibri" w:cs="Calibri"/>
                <w:color w:val="000000"/>
                <w:sz w:val="18"/>
                <w:szCs w:val="18"/>
              </w:rPr>
              <w:t>$</w:t>
            </w:r>
            <w:r w:rsidR="00226205" w:rsidRPr="00226205">
              <w:rPr>
                <w:rFonts w:ascii="Calibri" w:hAnsi="Calibri" w:cs="Calibri"/>
                <w:color w:val="000000"/>
                <w:sz w:val="18"/>
                <w:szCs w:val="18"/>
              </w:rPr>
              <w:t>25,846,380</w:t>
            </w:r>
          </w:p>
        </w:tc>
        <w:tc>
          <w:tcPr>
            <w:tcW w:w="1134" w:type="dxa"/>
            <w:shd w:val="clear" w:color="auto" w:fill="auto"/>
            <w:hideMark/>
          </w:tcPr>
          <w:p w:rsidR="00226205" w:rsidRPr="00226205" w:rsidRDefault="00226205" w:rsidP="00226205">
            <w:pPr>
              <w:jc w:val="center"/>
              <w:rPr>
                <w:rFonts w:ascii="Calibri" w:hAnsi="Calibri" w:cs="Calibri"/>
                <w:color w:val="000000"/>
                <w:sz w:val="18"/>
                <w:szCs w:val="18"/>
              </w:rPr>
            </w:pPr>
            <w:r w:rsidRPr="00226205">
              <w:rPr>
                <w:rFonts w:ascii="Calibri" w:hAnsi="Calibri" w:cs="Calibri"/>
                <w:color w:val="000000"/>
                <w:sz w:val="18"/>
                <w:szCs w:val="18"/>
              </w:rPr>
              <w:t>Council Operations</w:t>
            </w:r>
          </w:p>
        </w:tc>
        <w:tc>
          <w:tcPr>
            <w:tcW w:w="1417" w:type="dxa"/>
            <w:shd w:val="clear" w:color="auto" w:fill="auto"/>
            <w:hideMark/>
          </w:tcPr>
          <w:p w:rsidR="00226205" w:rsidRPr="00226205" w:rsidRDefault="00226205" w:rsidP="00226205">
            <w:pPr>
              <w:jc w:val="center"/>
              <w:rPr>
                <w:rFonts w:ascii="Calibri" w:hAnsi="Calibri" w:cs="Calibri"/>
                <w:color w:val="000000"/>
                <w:sz w:val="18"/>
                <w:szCs w:val="18"/>
              </w:rPr>
            </w:pPr>
            <w:r w:rsidRPr="00226205">
              <w:rPr>
                <w:rFonts w:ascii="Calibri" w:hAnsi="Calibri" w:cs="Calibri"/>
                <w:color w:val="000000"/>
                <w:sz w:val="18"/>
                <w:szCs w:val="18"/>
              </w:rPr>
              <w:t>Town hall</w:t>
            </w:r>
          </w:p>
        </w:tc>
        <w:tc>
          <w:tcPr>
            <w:tcW w:w="2410" w:type="dxa"/>
            <w:shd w:val="clear" w:color="auto" w:fill="auto"/>
            <w:hideMark/>
          </w:tcPr>
          <w:p w:rsidR="00226205" w:rsidRPr="00226205" w:rsidRDefault="00226205" w:rsidP="00226205">
            <w:pPr>
              <w:jc w:val="left"/>
              <w:rPr>
                <w:rFonts w:ascii="Calibri" w:hAnsi="Calibri" w:cs="Calibri"/>
                <w:color w:val="000000"/>
                <w:sz w:val="18"/>
                <w:szCs w:val="18"/>
              </w:rPr>
            </w:pPr>
            <w:r w:rsidRPr="00226205">
              <w:rPr>
                <w:rFonts w:ascii="Calibri" w:hAnsi="Calibri" w:cs="Calibri"/>
                <w:color w:val="000000"/>
                <w:sz w:val="18"/>
                <w:szCs w:val="18"/>
              </w:rPr>
              <w:t>The building is in a good condition.</w:t>
            </w:r>
          </w:p>
        </w:tc>
        <w:tc>
          <w:tcPr>
            <w:tcW w:w="3118" w:type="dxa"/>
            <w:shd w:val="clear" w:color="auto" w:fill="auto"/>
            <w:hideMark/>
          </w:tcPr>
          <w:p w:rsidR="00226205" w:rsidRPr="00226205" w:rsidRDefault="00226205" w:rsidP="00840CD9">
            <w:pPr>
              <w:jc w:val="left"/>
              <w:rPr>
                <w:rFonts w:ascii="Calibri" w:hAnsi="Calibri" w:cs="Calibri"/>
                <w:color w:val="000000"/>
                <w:sz w:val="18"/>
                <w:szCs w:val="18"/>
              </w:rPr>
            </w:pPr>
            <w:r w:rsidRPr="00226205">
              <w:rPr>
                <w:rFonts w:ascii="Calibri" w:hAnsi="Calibri" w:cs="Calibri"/>
                <w:color w:val="000000"/>
                <w:sz w:val="18"/>
                <w:szCs w:val="18"/>
              </w:rPr>
              <w:t>Community Programs space is tight and there is insufficient space for Compliance staff - (Staff need to use portable building). There is a need storage space for function tables and chairs. Existing building type reduces opportunity for redevelopment. Need to review storage, equipment etc. to achieve a better use of space. Not enough small meeting space. Toilets not enough to meet functions especially male - 2 urinals. Staff area inadequate, used to store civic function chairs etc.</w:t>
            </w:r>
          </w:p>
        </w:tc>
      </w:tr>
      <w:tr w:rsidR="00226205" w:rsidRPr="00226205" w:rsidTr="00B77D83">
        <w:trPr>
          <w:cantSplit/>
          <w:trHeight w:val="1923"/>
        </w:trPr>
        <w:tc>
          <w:tcPr>
            <w:tcW w:w="998" w:type="dxa"/>
            <w:shd w:val="clear" w:color="auto" w:fill="auto"/>
            <w:hideMark/>
          </w:tcPr>
          <w:p w:rsidR="00226205" w:rsidRPr="00226205" w:rsidRDefault="00226205" w:rsidP="006918D2">
            <w:pPr>
              <w:jc w:val="center"/>
              <w:rPr>
                <w:rFonts w:ascii="Calibri" w:hAnsi="Calibri" w:cs="Calibri"/>
                <w:color w:val="000000"/>
                <w:sz w:val="18"/>
                <w:szCs w:val="18"/>
              </w:rPr>
            </w:pPr>
            <w:r w:rsidRPr="00226205">
              <w:rPr>
                <w:rFonts w:ascii="Calibri" w:hAnsi="Calibri" w:cs="Calibri"/>
                <w:color w:val="000000"/>
                <w:sz w:val="18"/>
                <w:szCs w:val="18"/>
              </w:rPr>
              <w:t>B000220</w:t>
            </w:r>
          </w:p>
        </w:tc>
        <w:tc>
          <w:tcPr>
            <w:tcW w:w="2693" w:type="dxa"/>
            <w:shd w:val="clear" w:color="auto" w:fill="auto"/>
            <w:hideMark/>
          </w:tcPr>
          <w:p w:rsidR="00226205" w:rsidRPr="00226205" w:rsidRDefault="00226205" w:rsidP="00226205">
            <w:pPr>
              <w:rPr>
                <w:rFonts w:cs="Arial"/>
                <w:color w:val="000000"/>
                <w:sz w:val="18"/>
                <w:szCs w:val="18"/>
              </w:rPr>
            </w:pPr>
            <w:r w:rsidRPr="00226205">
              <w:rPr>
                <w:rFonts w:cs="Arial"/>
                <w:noProof/>
                <w:color w:val="000000"/>
                <w:sz w:val="18"/>
                <w:szCs w:val="18"/>
              </w:rPr>
              <w:drawing>
                <wp:anchor distT="0" distB="0" distL="114300" distR="114300" simplePos="0" relativeHeight="251750912" behindDoc="0" locked="0" layoutInCell="1" allowOverlap="1" wp14:anchorId="749DF28F" wp14:editId="6A6F57B3">
                  <wp:simplePos x="0" y="0"/>
                  <wp:positionH relativeFrom="column">
                    <wp:posOffset>-20955</wp:posOffset>
                  </wp:positionH>
                  <wp:positionV relativeFrom="paragraph">
                    <wp:posOffset>37270</wp:posOffset>
                  </wp:positionV>
                  <wp:extent cx="1630800" cy="1141200"/>
                  <wp:effectExtent l="0" t="0" r="0" b="0"/>
                  <wp:wrapNone/>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5"/>
                          <pic:cNvPicPr>
                            <a:picLocks noChangeAspect="1"/>
                          </pic:cNvPicPr>
                        </pic:nvPicPr>
                        <pic:blipFill>
                          <a:blip r:embed="rId217">
                            <a:extLst>
                              <a:ext uri="{28A0092B-C50C-407E-A947-70E740481C1C}">
                                <a14:useLocalDpi xmlns:a14="http://schemas.microsoft.com/office/drawing/2010/main" val="0"/>
                              </a:ext>
                            </a:extLst>
                          </a:blip>
                          <a:stretch>
                            <a:fillRect/>
                          </a:stretch>
                        </pic:blipFill>
                        <pic:spPr>
                          <a:xfrm>
                            <a:off x="0" y="0"/>
                            <a:ext cx="1630800" cy="1141200"/>
                          </a:xfrm>
                          <a:prstGeom prst="rect">
                            <a:avLst/>
                          </a:prstGeom>
                        </pic:spPr>
                      </pic:pic>
                    </a:graphicData>
                  </a:graphic>
                  <wp14:sizeRelH relativeFrom="page">
                    <wp14:pctWidth>0</wp14:pctWidth>
                  </wp14:sizeRelH>
                  <wp14:sizeRelV relativeFrom="page">
                    <wp14:pctHeight>0</wp14:pctHeight>
                  </wp14:sizeRelV>
                </wp:anchor>
              </w:drawing>
            </w:r>
          </w:p>
        </w:tc>
        <w:tc>
          <w:tcPr>
            <w:tcW w:w="2268" w:type="dxa"/>
            <w:shd w:val="clear" w:color="auto" w:fill="auto"/>
            <w:hideMark/>
          </w:tcPr>
          <w:p w:rsidR="00226205" w:rsidRPr="00226205" w:rsidRDefault="00226205" w:rsidP="00A54993">
            <w:pPr>
              <w:jc w:val="left"/>
              <w:rPr>
                <w:rFonts w:ascii="Calibri" w:hAnsi="Calibri" w:cs="Calibri"/>
                <w:color w:val="000000"/>
                <w:sz w:val="18"/>
                <w:szCs w:val="18"/>
              </w:rPr>
            </w:pPr>
            <w:r w:rsidRPr="00226205">
              <w:rPr>
                <w:rFonts w:ascii="Calibri" w:hAnsi="Calibri" w:cs="Calibri"/>
                <w:color w:val="000000"/>
                <w:sz w:val="18"/>
                <w:szCs w:val="18"/>
              </w:rPr>
              <w:t xml:space="preserve">ex Richmond Police Station  - Council Offices- 317 Bridge Road, Richmond </w:t>
            </w:r>
          </w:p>
        </w:tc>
        <w:tc>
          <w:tcPr>
            <w:tcW w:w="1276" w:type="dxa"/>
            <w:shd w:val="clear" w:color="auto" w:fill="auto"/>
            <w:hideMark/>
          </w:tcPr>
          <w:p w:rsidR="00226205" w:rsidRPr="00226205" w:rsidRDefault="00226205" w:rsidP="009965C5">
            <w:pPr>
              <w:tabs>
                <w:tab w:val="decimal" w:pos="884"/>
              </w:tabs>
              <w:jc w:val="left"/>
              <w:rPr>
                <w:rFonts w:ascii="Calibri" w:hAnsi="Calibri" w:cs="Calibri"/>
                <w:color w:val="000000"/>
                <w:sz w:val="18"/>
                <w:szCs w:val="18"/>
              </w:rPr>
            </w:pPr>
            <w:r w:rsidRPr="00226205">
              <w:rPr>
                <w:rFonts w:ascii="Calibri" w:hAnsi="Calibri" w:cs="Calibri"/>
                <w:color w:val="000000"/>
                <w:sz w:val="18"/>
                <w:szCs w:val="18"/>
              </w:rPr>
              <w:t>$750,000</w:t>
            </w:r>
          </w:p>
        </w:tc>
        <w:tc>
          <w:tcPr>
            <w:tcW w:w="1134" w:type="dxa"/>
            <w:shd w:val="clear" w:color="auto" w:fill="auto"/>
            <w:hideMark/>
          </w:tcPr>
          <w:p w:rsidR="00226205" w:rsidRPr="00226205" w:rsidRDefault="00226205" w:rsidP="00226205">
            <w:pPr>
              <w:jc w:val="center"/>
              <w:rPr>
                <w:rFonts w:ascii="Calibri" w:hAnsi="Calibri" w:cs="Calibri"/>
                <w:color w:val="000000"/>
                <w:sz w:val="18"/>
                <w:szCs w:val="18"/>
              </w:rPr>
            </w:pPr>
            <w:r w:rsidRPr="00226205">
              <w:rPr>
                <w:rFonts w:ascii="Calibri" w:hAnsi="Calibri" w:cs="Calibri"/>
                <w:color w:val="000000"/>
                <w:sz w:val="18"/>
                <w:szCs w:val="18"/>
              </w:rPr>
              <w:t>Council Operations</w:t>
            </w:r>
          </w:p>
        </w:tc>
        <w:tc>
          <w:tcPr>
            <w:tcW w:w="1417" w:type="dxa"/>
            <w:shd w:val="clear" w:color="auto" w:fill="auto"/>
            <w:hideMark/>
          </w:tcPr>
          <w:p w:rsidR="00226205" w:rsidRPr="00226205" w:rsidRDefault="00226205" w:rsidP="00226205">
            <w:pPr>
              <w:jc w:val="center"/>
              <w:rPr>
                <w:rFonts w:ascii="Calibri" w:hAnsi="Calibri" w:cs="Calibri"/>
                <w:color w:val="000000"/>
                <w:sz w:val="18"/>
                <w:szCs w:val="18"/>
              </w:rPr>
            </w:pPr>
            <w:r w:rsidRPr="00226205">
              <w:rPr>
                <w:rFonts w:ascii="Calibri" w:hAnsi="Calibri" w:cs="Calibri"/>
                <w:color w:val="000000"/>
                <w:sz w:val="18"/>
                <w:szCs w:val="18"/>
              </w:rPr>
              <w:t>Offices /Administration</w:t>
            </w:r>
          </w:p>
        </w:tc>
        <w:tc>
          <w:tcPr>
            <w:tcW w:w="2410" w:type="dxa"/>
            <w:shd w:val="clear" w:color="auto" w:fill="auto"/>
            <w:hideMark/>
          </w:tcPr>
          <w:p w:rsidR="00226205" w:rsidRPr="00226205" w:rsidRDefault="00226205" w:rsidP="00226205">
            <w:pPr>
              <w:jc w:val="left"/>
              <w:rPr>
                <w:rFonts w:ascii="Calibri" w:hAnsi="Calibri" w:cs="Calibri"/>
                <w:color w:val="000000"/>
                <w:sz w:val="18"/>
                <w:szCs w:val="18"/>
              </w:rPr>
            </w:pPr>
            <w:r w:rsidRPr="00226205">
              <w:rPr>
                <w:rFonts w:ascii="Calibri" w:hAnsi="Calibri" w:cs="Calibri"/>
                <w:color w:val="000000"/>
                <w:sz w:val="18"/>
                <w:szCs w:val="18"/>
              </w:rPr>
              <w:t>The building is in an average condition.</w:t>
            </w:r>
          </w:p>
        </w:tc>
        <w:tc>
          <w:tcPr>
            <w:tcW w:w="3118" w:type="dxa"/>
            <w:shd w:val="clear" w:color="auto" w:fill="auto"/>
            <w:hideMark/>
          </w:tcPr>
          <w:p w:rsidR="00226205" w:rsidRPr="00226205" w:rsidRDefault="00226205" w:rsidP="00226205">
            <w:pPr>
              <w:jc w:val="left"/>
              <w:rPr>
                <w:rFonts w:ascii="Calibri" w:hAnsi="Calibri" w:cs="Calibri"/>
                <w:color w:val="000000"/>
                <w:sz w:val="18"/>
                <w:szCs w:val="18"/>
              </w:rPr>
            </w:pPr>
            <w:r w:rsidRPr="00226205">
              <w:rPr>
                <w:rFonts w:ascii="Calibri" w:hAnsi="Calibri" w:cs="Calibri"/>
                <w:color w:val="000000"/>
                <w:sz w:val="18"/>
                <w:szCs w:val="18"/>
              </w:rPr>
              <w:t>Former Police Station needs to be updated. Unknown what the future needs for the building will be currently not fit for purpose as office space and not DDA compliant. Has aged heater and air conditioning upstairs.</w:t>
            </w:r>
          </w:p>
        </w:tc>
      </w:tr>
      <w:tr w:rsidR="00226205" w:rsidRPr="00226205" w:rsidTr="00B77D83">
        <w:trPr>
          <w:cantSplit/>
          <w:trHeight w:val="1978"/>
        </w:trPr>
        <w:tc>
          <w:tcPr>
            <w:tcW w:w="998" w:type="dxa"/>
            <w:shd w:val="clear" w:color="auto" w:fill="auto"/>
            <w:hideMark/>
          </w:tcPr>
          <w:p w:rsidR="00226205" w:rsidRPr="00226205" w:rsidRDefault="00226205" w:rsidP="006918D2">
            <w:pPr>
              <w:jc w:val="center"/>
              <w:rPr>
                <w:rFonts w:ascii="Calibri" w:hAnsi="Calibri" w:cs="Calibri"/>
                <w:color w:val="000000"/>
                <w:sz w:val="18"/>
                <w:szCs w:val="18"/>
              </w:rPr>
            </w:pPr>
            <w:r w:rsidRPr="00226205">
              <w:rPr>
                <w:rFonts w:ascii="Calibri" w:hAnsi="Calibri" w:cs="Calibri"/>
                <w:color w:val="000000"/>
                <w:sz w:val="18"/>
                <w:szCs w:val="18"/>
              </w:rPr>
              <w:t>B000222</w:t>
            </w:r>
          </w:p>
        </w:tc>
        <w:tc>
          <w:tcPr>
            <w:tcW w:w="2693" w:type="dxa"/>
            <w:shd w:val="clear" w:color="auto" w:fill="auto"/>
            <w:hideMark/>
          </w:tcPr>
          <w:p w:rsidR="00226205" w:rsidRPr="00226205" w:rsidRDefault="00226205" w:rsidP="00226205">
            <w:pPr>
              <w:rPr>
                <w:rFonts w:ascii="Calibri" w:hAnsi="Calibri" w:cs="Calibri"/>
                <w:color w:val="000000"/>
                <w:sz w:val="18"/>
                <w:szCs w:val="18"/>
              </w:rPr>
            </w:pPr>
            <w:r w:rsidRPr="00226205">
              <w:rPr>
                <w:rFonts w:ascii="Calibri" w:hAnsi="Calibri" w:cs="Calibri"/>
                <w:noProof/>
                <w:color w:val="000000"/>
                <w:sz w:val="18"/>
                <w:szCs w:val="18"/>
              </w:rPr>
              <w:drawing>
                <wp:anchor distT="0" distB="0" distL="114300" distR="114300" simplePos="0" relativeHeight="251729408" behindDoc="0" locked="0" layoutInCell="1" allowOverlap="1" wp14:anchorId="4C8462B1" wp14:editId="0DCAF306">
                  <wp:simplePos x="0" y="0"/>
                  <wp:positionH relativeFrom="column">
                    <wp:posOffset>-20955</wp:posOffset>
                  </wp:positionH>
                  <wp:positionV relativeFrom="paragraph">
                    <wp:posOffset>45915</wp:posOffset>
                  </wp:positionV>
                  <wp:extent cx="1630800" cy="1162800"/>
                  <wp:effectExtent l="0" t="0" r="0" b="0"/>
                  <wp:wrapNone/>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3"/>
                          <pic:cNvPicPr>
                            <a:picLocks noChangeAspect="1"/>
                          </pic:cNvPicPr>
                        </pic:nvPicPr>
                        <pic:blipFill>
                          <a:blip r:embed="rId218">
                            <a:extLst>
                              <a:ext uri="{28A0092B-C50C-407E-A947-70E740481C1C}">
                                <a14:useLocalDpi xmlns:a14="http://schemas.microsoft.com/office/drawing/2010/main" val="0"/>
                              </a:ext>
                            </a:extLst>
                          </a:blip>
                          <a:stretch>
                            <a:fillRect/>
                          </a:stretch>
                        </pic:blipFill>
                        <pic:spPr>
                          <a:xfrm>
                            <a:off x="0" y="0"/>
                            <a:ext cx="1630800" cy="1162800"/>
                          </a:xfrm>
                          <a:prstGeom prst="rect">
                            <a:avLst/>
                          </a:prstGeom>
                        </pic:spPr>
                      </pic:pic>
                    </a:graphicData>
                  </a:graphic>
                  <wp14:sizeRelH relativeFrom="page">
                    <wp14:pctWidth>0</wp14:pctWidth>
                  </wp14:sizeRelH>
                  <wp14:sizeRelV relativeFrom="page">
                    <wp14:pctHeight>0</wp14:pctHeight>
                  </wp14:sizeRelV>
                </wp:anchor>
              </w:drawing>
            </w:r>
          </w:p>
        </w:tc>
        <w:tc>
          <w:tcPr>
            <w:tcW w:w="2268" w:type="dxa"/>
            <w:shd w:val="clear" w:color="auto" w:fill="auto"/>
            <w:hideMark/>
          </w:tcPr>
          <w:p w:rsidR="00226205" w:rsidRPr="00226205" w:rsidRDefault="00226205" w:rsidP="00A54993">
            <w:pPr>
              <w:jc w:val="left"/>
              <w:rPr>
                <w:rFonts w:ascii="Calibri" w:hAnsi="Calibri" w:cs="Calibri"/>
                <w:color w:val="000000"/>
                <w:sz w:val="18"/>
                <w:szCs w:val="18"/>
              </w:rPr>
            </w:pPr>
            <w:r w:rsidRPr="00226205">
              <w:rPr>
                <w:rFonts w:ascii="Calibri" w:hAnsi="Calibri" w:cs="Calibri"/>
                <w:color w:val="000000"/>
                <w:sz w:val="18"/>
                <w:szCs w:val="18"/>
              </w:rPr>
              <w:t xml:space="preserve">The Stables (Chas Farquhar Complex)- 19-21 Duke Street, Richmond </w:t>
            </w:r>
          </w:p>
        </w:tc>
        <w:tc>
          <w:tcPr>
            <w:tcW w:w="1276" w:type="dxa"/>
            <w:shd w:val="clear" w:color="auto" w:fill="auto"/>
            <w:hideMark/>
          </w:tcPr>
          <w:p w:rsidR="00226205" w:rsidRPr="00226205" w:rsidRDefault="00226205" w:rsidP="009965C5">
            <w:pPr>
              <w:tabs>
                <w:tab w:val="decimal" w:pos="884"/>
              </w:tabs>
              <w:jc w:val="left"/>
              <w:rPr>
                <w:rFonts w:ascii="Calibri" w:hAnsi="Calibri" w:cs="Calibri"/>
                <w:color w:val="000000"/>
                <w:sz w:val="18"/>
                <w:szCs w:val="18"/>
              </w:rPr>
            </w:pPr>
            <w:r w:rsidRPr="00226205">
              <w:rPr>
                <w:rFonts w:ascii="Calibri" w:hAnsi="Calibri" w:cs="Calibri"/>
                <w:color w:val="000000"/>
                <w:sz w:val="18"/>
                <w:szCs w:val="18"/>
              </w:rPr>
              <w:t>$970,200</w:t>
            </w:r>
          </w:p>
        </w:tc>
        <w:tc>
          <w:tcPr>
            <w:tcW w:w="1134" w:type="dxa"/>
            <w:shd w:val="clear" w:color="auto" w:fill="auto"/>
            <w:hideMark/>
          </w:tcPr>
          <w:p w:rsidR="00226205" w:rsidRPr="00226205" w:rsidRDefault="00226205" w:rsidP="00226205">
            <w:pPr>
              <w:jc w:val="center"/>
              <w:rPr>
                <w:rFonts w:ascii="Calibri" w:hAnsi="Calibri" w:cs="Calibri"/>
                <w:color w:val="000000"/>
                <w:sz w:val="18"/>
                <w:szCs w:val="18"/>
              </w:rPr>
            </w:pPr>
            <w:r w:rsidRPr="00226205">
              <w:rPr>
                <w:rFonts w:ascii="Calibri" w:hAnsi="Calibri" w:cs="Calibri"/>
                <w:color w:val="000000"/>
                <w:sz w:val="18"/>
                <w:szCs w:val="18"/>
              </w:rPr>
              <w:t>Community Services</w:t>
            </w:r>
          </w:p>
        </w:tc>
        <w:tc>
          <w:tcPr>
            <w:tcW w:w="1417" w:type="dxa"/>
            <w:shd w:val="clear" w:color="auto" w:fill="auto"/>
            <w:hideMark/>
          </w:tcPr>
          <w:p w:rsidR="00226205" w:rsidRPr="00226205" w:rsidRDefault="00226205" w:rsidP="00226205">
            <w:pPr>
              <w:jc w:val="center"/>
              <w:rPr>
                <w:rFonts w:ascii="Calibri" w:hAnsi="Calibri" w:cs="Calibri"/>
                <w:color w:val="000000"/>
                <w:sz w:val="18"/>
                <w:szCs w:val="18"/>
              </w:rPr>
            </w:pPr>
            <w:r w:rsidRPr="00226205">
              <w:rPr>
                <w:rFonts w:ascii="Calibri" w:hAnsi="Calibri" w:cs="Calibri"/>
                <w:color w:val="000000"/>
                <w:sz w:val="18"/>
                <w:szCs w:val="18"/>
              </w:rPr>
              <w:t>Community Halls</w:t>
            </w:r>
          </w:p>
        </w:tc>
        <w:tc>
          <w:tcPr>
            <w:tcW w:w="2410" w:type="dxa"/>
            <w:shd w:val="clear" w:color="auto" w:fill="auto"/>
            <w:hideMark/>
          </w:tcPr>
          <w:p w:rsidR="00226205" w:rsidRPr="00226205" w:rsidRDefault="00226205" w:rsidP="00226205">
            <w:pPr>
              <w:jc w:val="left"/>
              <w:rPr>
                <w:rFonts w:ascii="Calibri" w:hAnsi="Calibri" w:cs="Calibri"/>
                <w:color w:val="000000"/>
                <w:sz w:val="18"/>
                <w:szCs w:val="18"/>
              </w:rPr>
            </w:pPr>
            <w:r w:rsidRPr="00226205">
              <w:rPr>
                <w:rFonts w:ascii="Calibri" w:hAnsi="Calibri" w:cs="Calibri"/>
                <w:color w:val="000000"/>
                <w:sz w:val="18"/>
                <w:szCs w:val="18"/>
              </w:rPr>
              <w:t>The building is in a good condition.</w:t>
            </w:r>
          </w:p>
        </w:tc>
        <w:tc>
          <w:tcPr>
            <w:tcW w:w="3118" w:type="dxa"/>
            <w:shd w:val="clear" w:color="auto" w:fill="auto"/>
            <w:hideMark/>
          </w:tcPr>
          <w:p w:rsidR="00226205" w:rsidRPr="00226205" w:rsidRDefault="00226205" w:rsidP="00840CD9">
            <w:pPr>
              <w:jc w:val="left"/>
              <w:rPr>
                <w:rFonts w:ascii="Calibri" w:hAnsi="Calibri" w:cs="Calibri"/>
                <w:color w:val="000000"/>
                <w:sz w:val="18"/>
                <w:szCs w:val="18"/>
              </w:rPr>
            </w:pPr>
            <w:r w:rsidRPr="00226205">
              <w:rPr>
                <w:rFonts w:ascii="Calibri" w:hAnsi="Calibri" w:cs="Calibri"/>
                <w:color w:val="000000"/>
                <w:sz w:val="18"/>
                <w:szCs w:val="18"/>
              </w:rPr>
              <w:t xml:space="preserve">Overall lack of flexible (smaller) meeting rooms - limited ability to divide existing in to smaller breakaway rooms. Future use is dependent upon other potential works at Richmond Library, Richmond Seniors Centre </w:t>
            </w:r>
            <w:r w:rsidR="00B77D83">
              <w:rPr>
                <w:rFonts w:ascii="Calibri" w:hAnsi="Calibri" w:cs="Calibri"/>
                <w:color w:val="000000"/>
                <w:sz w:val="18"/>
                <w:szCs w:val="18"/>
              </w:rPr>
              <w:t>and</w:t>
            </w:r>
            <w:r w:rsidRPr="00226205">
              <w:rPr>
                <w:rFonts w:ascii="Calibri" w:hAnsi="Calibri" w:cs="Calibri"/>
                <w:color w:val="000000"/>
                <w:sz w:val="18"/>
                <w:szCs w:val="18"/>
              </w:rPr>
              <w:t xml:space="preserve"> Bendi</w:t>
            </w:r>
            <w:r w:rsidR="00840CD9">
              <w:rPr>
                <w:rFonts w:ascii="Calibri" w:hAnsi="Calibri" w:cs="Calibri"/>
                <w:color w:val="000000"/>
                <w:sz w:val="18"/>
                <w:szCs w:val="18"/>
              </w:rPr>
              <w:t>go Street .</w:t>
            </w:r>
            <w:r w:rsidRPr="00226205">
              <w:rPr>
                <w:rFonts w:ascii="Calibri" w:hAnsi="Calibri" w:cs="Calibri"/>
                <w:color w:val="000000"/>
                <w:sz w:val="18"/>
                <w:szCs w:val="18"/>
              </w:rPr>
              <w:t>Various user groups.</w:t>
            </w:r>
          </w:p>
        </w:tc>
      </w:tr>
      <w:tr w:rsidR="00226205" w:rsidRPr="00226205" w:rsidTr="00B77D83">
        <w:trPr>
          <w:cantSplit/>
          <w:trHeight w:val="2247"/>
        </w:trPr>
        <w:tc>
          <w:tcPr>
            <w:tcW w:w="998" w:type="dxa"/>
            <w:shd w:val="clear" w:color="auto" w:fill="auto"/>
            <w:hideMark/>
          </w:tcPr>
          <w:p w:rsidR="00226205" w:rsidRPr="00226205" w:rsidRDefault="00226205" w:rsidP="006918D2">
            <w:pPr>
              <w:jc w:val="center"/>
              <w:rPr>
                <w:rFonts w:ascii="Calibri" w:hAnsi="Calibri" w:cs="Calibri"/>
                <w:color w:val="000000"/>
                <w:sz w:val="18"/>
                <w:szCs w:val="18"/>
              </w:rPr>
            </w:pPr>
            <w:r w:rsidRPr="00226205">
              <w:rPr>
                <w:rFonts w:ascii="Calibri" w:hAnsi="Calibri" w:cs="Calibri"/>
                <w:color w:val="000000"/>
                <w:sz w:val="18"/>
                <w:szCs w:val="18"/>
              </w:rPr>
              <w:t>B000223</w:t>
            </w:r>
          </w:p>
        </w:tc>
        <w:tc>
          <w:tcPr>
            <w:tcW w:w="2693" w:type="dxa"/>
            <w:shd w:val="clear" w:color="auto" w:fill="auto"/>
            <w:hideMark/>
          </w:tcPr>
          <w:p w:rsidR="00226205" w:rsidRPr="00226205" w:rsidRDefault="00226205" w:rsidP="00226205">
            <w:pPr>
              <w:rPr>
                <w:rFonts w:ascii="Calibri" w:hAnsi="Calibri" w:cs="Calibri"/>
                <w:color w:val="000000"/>
                <w:sz w:val="18"/>
                <w:szCs w:val="18"/>
              </w:rPr>
            </w:pPr>
            <w:r w:rsidRPr="00226205">
              <w:rPr>
                <w:rFonts w:ascii="Calibri" w:hAnsi="Calibri" w:cs="Calibri"/>
                <w:noProof/>
                <w:color w:val="000000"/>
                <w:sz w:val="18"/>
                <w:szCs w:val="18"/>
              </w:rPr>
              <w:drawing>
                <wp:anchor distT="0" distB="0" distL="114300" distR="114300" simplePos="0" relativeHeight="251679232" behindDoc="0" locked="0" layoutInCell="1" allowOverlap="1" wp14:anchorId="3DD9F509" wp14:editId="6D9A3B86">
                  <wp:simplePos x="0" y="0"/>
                  <wp:positionH relativeFrom="column">
                    <wp:posOffset>-20955</wp:posOffset>
                  </wp:positionH>
                  <wp:positionV relativeFrom="paragraph">
                    <wp:posOffset>75125</wp:posOffset>
                  </wp:positionV>
                  <wp:extent cx="1630800" cy="1285200"/>
                  <wp:effectExtent l="0" t="0" r="0" b="0"/>
                  <wp:wrapNone/>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a:blip r:embed="rId219" cstate="print">
                            <a:extLst>
                              <a:ext uri="{28A0092B-C50C-407E-A947-70E740481C1C}">
                                <a14:useLocalDpi xmlns:a14="http://schemas.microsoft.com/office/drawing/2010/main" val="0"/>
                              </a:ext>
                            </a:extLst>
                          </a:blip>
                          <a:stretch>
                            <a:fillRect/>
                          </a:stretch>
                        </pic:blipFill>
                        <pic:spPr>
                          <a:xfrm>
                            <a:off x="0" y="0"/>
                            <a:ext cx="1630800" cy="1285200"/>
                          </a:xfrm>
                          <a:prstGeom prst="rect">
                            <a:avLst/>
                          </a:prstGeom>
                        </pic:spPr>
                      </pic:pic>
                    </a:graphicData>
                  </a:graphic>
                  <wp14:sizeRelH relativeFrom="page">
                    <wp14:pctWidth>0</wp14:pctWidth>
                  </wp14:sizeRelH>
                  <wp14:sizeRelV relativeFrom="page">
                    <wp14:pctHeight>0</wp14:pctHeight>
                  </wp14:sizeRelV>
                </wp:anchor>
              </w:drawing>
            </w:r>
          </w:p>
        </w:tc>
        <w:tc>
          <w:tcPr>
            <w:tcW w:w="2268" w:type="dxa"/>
            <w:shd w:val="clear" w:color="auto" w:fill="auto"/>
            <w:hideMark/>
          </w:tcPr>
          <w:p w:rsidR="00226205" w:rsidRPr="00226205" w:rsidRDefault="00226205" w:rsidP="00A54993">
            <w:pPr>
              <w:jc w:val="left"/>
              <w:rPr>
                <w:rFonts w:ascii="Calibri" w:hAnsi="Calibri" w:cs="Calibri"/>
                <w:color w:val="000000"/>
                <w:sz w:val="18"/>
                <w:szCs w:val="18"/>
              </w:rPr>
            </w:pPr>
            <w:r w:rsidRPr="00226205">
              <w:rPr>
                <w:rFonts w:ascii="Calibri" w:hAnsi="Calibri" w:cs="Calibri"/>
                <w:color w:val="000000"/>
                <w:sz w:val="18"/>
                <w:szCs w:val="18"/>
              </w:rPr>
              <w:t>Public Toilets (exeloo)- Bridge Road/ Lennox Street, Richmond</w:t>
            </w:r>
          </w:p>
        </w:tc>
        <w:tc>
          <w:tcPr>
            <w:tcW w:w="1276" w:type="dxa"/>
            <w:shd w:val="clear" w:color="auto" w:fill="auto"/>
            <w:hideMark/>
          </w:tcPr>
          <w:p w:rsidR="00226205" w:rsidRPr="00226205" w:rsidRDefault="00226205" w:rsidP="009965C5">
            <w:pPr>
              <w:tabs>
                <w:tab w:val="decimal" w:pos="884"/>
              </w:tabs>
              <w:jc w:val="left"/>
              <w:rPr>
                <w:rFonts w:ascii="Calibri" w:hAnsi="Calibri" w:cs="Calibri"/>
                <w:color w:val="000000"/>
                <w:sz w:val="18"/>
                <w:szCs w:val="18"/>
              </w:rPr>
            </w:pPr>
            <w:r w:rsidRPr="00226205">
              <w:rPr>
                <w:rFonts w:ascii="Calibri" w:hAnsi="Calibri" w:cs="Calibri"/>
                <w:color w:val="000000"/>
                <w:sz w:val="18"/>
                <w:szCs w:val="18"/>
              </w:rPr>
              <w:t>$122,750</w:t>
            </w:r>
          </w:p>
        </w:tc>
        <w:tc>
          <w:tcPr>
            <w:tcW w:w="1134" w:type="dxa"/>
            <w:shd w:val="clear" w:color="auto" w:fill="auto"/>
            <w:hideMark/>
          </w:tcPr>
          <w:p w:rsidR="00226205" w:rsidRPr="00226205" w:rsidRDefault="00226205" w:rsidP="00226205">
            <w:pPr>
              <w:jc w:val="center"/>
              <w:rPr>
                <w:rFonts w:ascii="Calibri" w:hAnsi="Calibri" w:cs="Calibri"/>
                <w:color w:val="000000"/>
                <w:sz w:val="18"/>
                <w:szCs w:val="18"/>
              </w:rPr>
            </w:pPr>
            <w:r w:rsidRPr="00226205">
              <w:rPr>
                <w:rFonts w:ascii="Calibri" w:hAnsi="Calibri" w:cs="Calibri"/>
                <w:color w:val="000000"/>
                <w:sz w:val="18"/>
                <w:szCs w:val="18"/>
              </w:rPr>
              <w:t>Amenity</w:t>
            </w:r>
          </w:p>
        </w:tc>
        <w:tc>
          <w:tcPr>
            <w:tcW w:w="1417" w:type="dxa"/>
            <w:shd w:val="clear" w:color="auto" w:fill="auto"/>
            <w:hideMark/>
          </w:tcPr>
          <w:p w:rsidR="00226205" w:rsidRPr="00226205" w:rsidRDefault="00226205" w:rsidP="00226205">
            <w:pPr>
              <w:jc w:val="center"/>
              <w:rPr>
                <w:rFonts w:ascii="Calibri" w:hAnsi="Calibri" w:cs="Calibri"/>
                <w:color w:val="000000"/>
                <w:sz w:val="18"/>
                <w:szCs w:val="18"/>
              </w:rPr>
            </w:pPr>
            <w:r w:rsidRPr="00226205">
              <w:rPr>
                <w:rFonts w:ascii="Calibri" w:hAnsi="Calibri" w:cs="Calibri"/>
                <w:color w:val="000000"/>
                <w:sz w:val="18"/>
                <w:szCs w:val="18"/>
              </w:rPr>
              <w:t>Public Toilets</w:t>
            </w:r>
          </w:p>
        </w:tc>
        <w:tc>
          <w:tcPr>
            <w:tcW w:w="2410" w:type="dxa"/>
            <w:shd w:val="clear" w:color="auto" w:fill="auto"/>
            <w:hideMark/>
          </w:tcPr>
          <w:p w:rsidR="00226205" w:rsidRPr="00226205" w:rsidRDefault="00226205" w:rsidP="00226205">
            <w:pPr>
              <w:jc w:val="left"/>
              <w:rPr>
                <w:rFonts w:ascii="Calibri" w:hAnsi="Calibri" w:cs="Calibri"/>
                <w:color w:val="000000"/>
                <w:sz w:val="18"/>
                <w:szCs w:val="18"/>
              </w:rPr>
            </w:pPr>
            <w:r w:rsidRPr="00226205">
              <w:rPr>
                <w:rFonts w:ascii="Calibri" w:hAnsi="Calibri" w:cs="Calibri"/>
                <w:color w:val="000000"/>
                <w:sz w:val="18"/>
                <w:szCs w:val="18"/>
              </w:rPr>
              <w:t xml:space="preserve">The public toilet is in a good condition. </w:t>
            </w:r>
          </w:p>
        </w:tc>
        <w:tc>
          <w:tcPr>
            <w:tcW w:w="3118" w:type="dxa"/>
            <w:shd w:val="clear" w:color="auto" w:fill="auto"/>
            <w:hideMark/>
          </w:tcPr>
          <w:p w:rsidR="00226205" w:rsidRPr="00226205" w:rsidRDefault="00226205" w:rsidP="00226205">
            <w:pPr>
              <w:jc w:val="left"/>
              <w:rPr>
                <w:rFonts w:ascii="Calibri" w:hAnsi="Calibri" w:cs="Calibri"/>
                <w:color w:val="000000"/>
                <w:sz w:val="18"/>
                <w:szCs w:val="18"/>
              </w:rPr>
            </w:pPr>
            <w:r w:rsidRPr="00226205">
              <w:rPr>
                <w:rFonts w:ascii="Calibri" w:hAnsi="Calibri" w:cs="Calibri"/>
                <w:color w:val="000000"/>
                <w:sz w:val="18"/>
                <w:szCs w:val="18"/>
              </w:rPr>
              <w:t>Limited capacity.</w:t>
            </w:r>
          </w:p>
        </w:tc>
      </w:tr>
      <w:tr w:rsidR="00226205" w:rsidRPr="00226205" w:rsidTr="00B77D83">
        <w:trPr>
          <w:cantSplit/>
          <w:trHeight w:val="2206"/>
        </w:trPr>
        <w:tc>
          <w:tcPr>
            <w:tcW w:w="998" w:type="dxa"/>
            <w:shd w:val="clear" w:color="auto" w:fill="auto"/>
            <w:hideMark/>
          </w:tcPr>
          <w:p w:rsidR="00226205" w:rsidRPr="00226205" w:rsidRDefault="00226205" w:rsidP="006918D2">
            <w:pPr>
              <w:jc w:val="center"/>
              <w:rPr>
                <w:rFonts w:ascii="Calibri" w:hAnsi="Calibri" w:cs="Calibri"/>
                <w:color w:val="000000"/>
                <w:sz w:val="18"/>
                <w:szCs w:val="18"/>
              </w:rPr>
            </w:pPr>
            <w:r w:rsidRPr="00226205">
              <w:rPr>
                <w:rFonts w:ascii="Calibri" w:hAnsi="Calibri" w:cs="Calibri"/>
                <w:color w:val="000000"/>
                <w:sz w:val="18"/>
                <w:szCs w:val="18"/>
              </w:rPr>
              <w:t>B000224</w:t>
            </w:r>
          </w:p>
        </w:tc>
        <w:tc>
          <w:tcPr>
            <w:tcW w:w="2693" w:type="dxa"/>
            <w:shd w:val="clear" w:color="auto" w:fill="auto"/>
            <w:hideMark/>
          </w:tcPr>
          <w:p w:rsidR="00226205" w:rsidRPr="00226205" w:rsidRDefault="00226205" w:rsidP="00226205">
            <w:pPr>
              <w:rPr>
                <w:rFonts w:ascii="Calibri" w:hAnsi="Calibri" w:cs="Calibri"/>
                <w:color w:val="000000"/>
                <w:sz w:val="18"/>
                <w:szCs w:val="18"/>
              </w:rPr>
            </w:pPr>
            <w:r w:rsidRPr="00226205">
              <w:rPr>
                <w:rFonts w:ascii="Calibri" w:hAnsi="Calibri" w:cs="Calibri"/>
                <w:noProof/>
                <w:color w:val="000000"/>
                <w:sz w:val="18"/>
                <w:szCs w:val="18"/>
              </w:rPr>
              <w:drawing>
                <wp:anchor distT="0" distB="0" distL="114300" distR="114300" simplePos="0" relativeHeight="251681280" behindDoc="0" locked="0" layoutInCell="1" allowOverlap="1" wp14:anchorId="50EA7B0A" wp14:editId="4E7F161C">
                  <wp:simplePos x="0" y="0"/>
                  <wp:positionH relativeFrom="column">
                    <wp:posOffset>-20955</wp:posOffset>
                  </wp:positionH>
                  <wp:positionV relativeFrom="paragraph">
                    <wp:posOffset>50605</wp:posOffset>
                  </wp:positionV>
                  <wp:extent cx="1630800" cy="1310400"/>
                  <wp:effectExtent l="0" t="0" r="0" b="0"/>
                  <wp:wrapNone/>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220">
                            <a:extLst>
                              <a:ext uri="{28A0092B-C50C-407E-A947-70E740481C1C}">
                                <a14:useLocalDpi xmlns:a14="http://schemas.microsoft.com/office/drawing/2010/main" val="0"/>
                              </a:ext>
                            </a:extLst>
                          </a:blip>
                          <a:stretch>
                            <a:fillRect/>
                          </a:stretch>
                        </pic:blipFill>
                        <pic:spPr>
                          <a:xfrm>
                            <a:off x="0" y="0"/>
                            <a:ext cx="1630800" cy="1310400"/>
                          </a:xfrm>
                          <a:prstGeom prst="rect">
                            <a:avLst/>
                          </a:prstGeom>
                        </pic:spPr>
                      </pic:pic>
                    </a:graphicData>
                  </a:graphic>
                  <wp14:sizeRelH relativeFrom="page">
                    <wp14:pctWidth>0</wp14:pctWidth>
                  </wp14:sizeRelH>
                  <wp14:sizeRelV relativeFrom="page">
                    <wp14:pctHeight>0</wp14:pctHeight>
                  </wp14:sizeRelV>
                </wp:anchor>
              </w:drawing>
            </w:r>
          </w:p>
        </w:tc>
        <w:tc>
          <w:tcPr>
            <w:tcW w:w="2268" w:type="dxa"/>
            <w:shd w:val="clear" w:color="auto" w:fill="auto"/>
            <w:hideMark/>
          </w:tcPr>
          <w:p w:rsidR="00226205" w:rsidRPr="00226205" w:rsidRDefault="00226205" w:rsidP="00A54993">
            <w:pPr>
              <w:jc w:val="left"/>
              <w:rPr>
                <w:rFonts w:ascii="Calibri" w:hAnsi="Calibri" w:cs="Calibri"/>
                <w:color w:val="000000"/>
                <w:sz w:val="18"/>
                <w:szCs w:val="18"/>
              </w:rPr>
            </w:pPr>
            <w:r w:rsidRPr="00226205">
              <w:rPr>
                <w:rFonts w:ascii="Calibri" w:hAnsi="Calibri" w:cs="Calibri"/>
                <w:color w:val="000000"/>
                <w:sz w:val="18"/>
                <w:szCs w:val="18"/>
              </w:rPr>
              <w:t>Public Toilets - Docker Street, Richmond</w:t>
            </w:r>
          </w:p>
        </w:tc>
        <w:tc>
          <w:tcPr>
            <w:tcW w:w="1276" w:type="dxa"/>
            <w:shd w:val="clear" w:color="auto" w:fill="auto"/>
            <w:hideMark/>
          </w:tcPr>
          <w:p w:rsidR="00226205" w:rsidRPr="00226205" w:rsidRDefault="00226205" w:rsidP="009965C5">
            <w:pPr>
              <w:tabs>
                <w:tab w:val="decimal" w:pos="884"/>
              </w:tabs>
              <w:jc w:val="left"/>
              <w:rPr>
                <w:rFonts w:ascii="Calibri" w:hAnsi="Calibri" w:cs="Calibri"/>
                <w:color w:val="000000"/>
                <w:sz w:val="18"/>
                <w:szCs w:val="18"/>
              </w:rPr>
            </w:pPr>
            <w:r w:rsidRPr="00226205">
              <w:rPr>
                <w:rFonts w:ascii="Calibri" w:hAnsi="Calibri" w:cs="Calibri"/>
                <w:color w:val="000000"/>
                <w:sz w:val="18"/>
                <w:szCs w:val="18"/>
              </w:rPr>
              <w:t>$153,438</w:t>
            </w:r>
          </w:p>
        </w:tc>
        <w:tc>
          <w:tcPr>
            <w:tcW w:w="1134" w:type="dxa"/>
            <w:shd w:val="clear" w:color="auto" w:fill="auto"/>
            <w:hideMark/>
          </w:tcPr>
          <w:p w:rsidR="00226205" w:rsidRPr="00226205" w:rsidRDefault="00226205" w:rsidP="00226205">
            <w:pPr>
              <w:jc w:val="center"/>
              <w:rPr>
                <w:rFonts w:ascii="Calibri" w:hAnsi="Calibri" w:cs="Calibri"/>
                <w:color w:val="000000"/>
                <w:sz w:val="18"/>
                <w:szCs w:val="18"/>
              </w:rPr>
            </w:pPr>
            <w:r w:rsidRPr="00226205">
              <w:rPr>
                <w:rFonts w:ascii="Calibri" w:hAnsi="Calibri" w:cs="Calibri"/>
                <w:color w:val="000000"/>
                <w:sz w:val="18"/>
                <w:szCs w:val="18"/>
              </w:rPr>
              <w:t>Amenity</w:t>
            </w:r>
          </w:p>
        </w:tc>
        <w:tc>
          <w:tcPr>
            <w:tcW w:w="1417" w:type="dxa"/>
            <w:shd w:val="clear" w:color="auto" w:fill="auto"/>
            <w:hideMark/>
          </w:tcPr>
          <w:p w:rsidR="00226205" w:rsidRPr="00226205" w:rsidRDefault="00226205" w:rsidP="00226205">
            <w:pPr>
              <w:jc w:val="center"/>
              <w:rPr>
                <w:rFonts w:ascii="Calibri" w:hAnsi="Calibri" w:cs="Calibri"/>
                <w:color w:val="000000"/>
                <w:sz w:val="18"/>
                <w:szCs w:val="18"/>
              </w:rPr>
            </w:pPr>
            <w:r w:rsidRPr="00226205">
              <w:rPr>
                <w:rFonts w:ascii="Calibri" w:hAnsi="Calibri" w:cs="Calibri"/>
                <w:color w:val="000000"/>
                <w:sz w:val="18"/>
                <w:szCs w:val="18"/>
              </w:rPr>
              <w:t>Public Toilets</w:t>
            </w:r>
          </w:p>
        </w:tc>
        <w:tc>
          <w:tcPr>
            <w:tcW w:w="2410" w:type="dxa"/>
            <w:shd w:val="clear" w:color="auto" w:fill="auto"/>
            <w:hideMark/>
          </w:tcPr>
          <w:p w:rsidR="00226205" w:rsidRPr="00226205" w:rsidRDefault="00226205" w:rsidP="00226205">
            <w:pPr>
              <w:jc w:val="left"/>
              <w:rPr>
                <w:rFonts w:ascii="Calibri" w:hAnsi="Calibri" w:cs="Calibri"/>
                <w:color w:val="000000"/>
                <w:sz w:val="18"/>
                <w:szCs w:val="18"/>
              </w:rPr>
            </w:pPr>
            <w:r w:rsidRPr="00226205">
              <w:rPr>
                <w:rFonts w:ascii="Calibri" w:hAnsi="Calibri" w:cs="Calibri"/>
                <w:color w:val="000000"/>
                <w:sz w:val="18"/>
                <w:szCs w:val="18"/>
              </w:rPr>
              <w:t xml:space="preserve">The public toilet is in a good condition. </w:t>
            </w:r>
          </w:p>
        </w:tc>
        <w:tc>
          <w:tcPr>
            <w:tcW w:w="3118" w:type="dxa"/>
            <w:shd w:val="clear" w:color="auto" w:fill="auto"/>
            <w:hideMark/>
          </w:tcPr>
          <w:p w:rsidR="00226205" w:rsidRPr="00226205" w:rsidRDefault="00226205" w:rsidP="00226205">
            <w:pPr>
              <w:jc w:val="left"/>
              <w:rPr>
                <w:rFonts w:ascii="Calibri" w:hAnsi="Calibri" w:cs="Calibri"/>
                <w:color w:val="000000"/>
                <w:sz w:val="18"/>
                <w:szCs w:val="18"/>
              </w:rPr>
            </w:pPr>
            <w:r w:rsidRPr="00226205">
              <w:rPr>
                <w:rFonts w:ascii="Calibri" w:hAnsi="Calibri" w:cs="Calibri"/>
                <w:color w:val="000000"/>
                <w:sz w:val="18"/>
                <w:szCs w:val="18"/>
              </w:rPr>
              <w:t>Limited capacity.</w:t>
            </w:r>
          </w:p>
        </w:tc>
      </w:tr>
      <w:tr w:rsidR="00226205" w:rsidRPr="00226205" w:rsidTr="00B77D83">
        <w:trPr>
          <w:cantSplit/>
          <w:trHeight w:val="1982"/>
        </w:trPr>
        <w:tc>
          <w:tcPr>
            <w:tcW w:w="998" w:type="dxa"/>
            <w:shd w:val="clear" w:color="auto" w:fill="auto"/>
            <w:hideMark/>
          </w:tcPr>
          <w:p w:rsidR="00226205" w:rsidRPr="00226205" w:rsidRDefault="00226205" w:rsidP="006918D2">
            <w:pPr>
              <w:jc w:val="center"/>
              <w:rPr>
                <w:rFonts w:ascii="Calibri" w:hAnsi="Calibri" w:cs="Calibri"/>
                <w:color w:val="000000"/>
                <w:sz w:val="18"/>
                <w:szCs w:val="18"/>
              </w:rPr>
            </w:pPr>
            <w:r w:rsidRPr="00226205">
              <w:rPr>
                <w:rFonts w:ascii="Calibri" w:hAnsi="Calibri" w:cs="Calibri"/>
                <w:color w:val="000000"/>
                <w:sz w:val="18"/>
                <w:szCs w:val="18"/>
              </w:rPr>
              <w:t>B000226</w:t>
            </w:r>
          </w:p>
        </w:tc>
        <w:tc>
          <w:tcPr>
            <w:tcW w:w="2693" w:type="dxa"/>
            <w:shd w:val="clear" w:color="auto" w:fill="auto"/>
            <w:hideMark/>
          </w:tcPr>
          <w:p w:rsidR="00226205" w:rsidRPr="00226205" w:rsidRDefault="00226205" w:rsidP="00226205">
            <w:pPr>
              <w:rPr>
                <w:rFonts w:ascii="Calibri" w:hAnsi="Calibri" w:cs="Calibri"/>
                <w:color w:val="000000"/>
                <w:sz w:val="18"/>
                <w:szCs w:val="18"/>
              </w:rPr>
            </w:pPr>
            <w:r w:rsidRPr="00226205">
              <w:rPr>
                <w:rFonts w:ascii="Calibri" w:hAnsi="Calibri" w:cs="Calibri"/>
                <w:noProof/>
                <w:color w:val="000000"/>
                <w:sz w:val="18"/>
                <w:szCs w:val="18"/>
              </w:rPr>
              <w:drawing>
                <wp:anchor distT="0" distB="0" distL="114300" distR="114300" simplePos="0" relativeHeight="251730432" behindDoc="0" locked="0" layoutInCell="1" allowOverlap="1" wp14:anchorId="7C800417" wp14:editId="5629D0FA">
                  <wp:simplePos x="0" y="0"/>
                  <wp:positionH relativeFrom="column">
                    <wp:posOffset>-20955</wp:posOffset>
                  </wp:positionH>
                  <wp:positionV relativeFrom="paragraph">
                    <wp:posOffset>28575</wp:posOffset>
                  </wp:positionV>
                  <wp:extent cx="1630800" cy="1195200"/>
                  <wp:effectExtent l="0" t="0" r="0" b="0"/>
                  <wp:wrapNone/>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4"/>
                          <pic:cNvPicPr>
                            <a:picLocks noChangeAspect="1"/>
                          </pic:cNvPicPr>
                        </pic:nvPicPr>
                        <pic:blipFill>
                          <a:blip r:embed="rId221">
                            <a:extLst>
                              <a:ext uri="{28A0092B-C50C-407E-A947-70E740481C1C}">
                                <a14:useLocalDpi xmlns:a14="http://schemas.microsoft.com/office/drawing/2010/main" val="0"/>
                              </a:ext>
                            </a:extLst>
                          </a:blip>
                          <a:stretch>
                            <a:fillRect/>
                          </a:stretch>
                        </pic:blipFill>
                        <pic:spPr>
                          <a:xfrm>
                            <a:off x="0" y="0"/>
                            <a:ext cx="1630800" cy="1195200"/>
                          </a:xfrm>
                          <a:prstGeom prst="rect">
                            <a:avLst/>
                          </a:prstGeom>
                        </pic:spPr>
                      </pic:pic>
                    </a:graphicData>
                  </a:graphic>
                  <wp14:sizeRelH relativeFrom="page">
                    <wp14:pctWidth>0</wp14:pctWidth>
                  </wp14:sizeRelH>
                  <wp14:sizeRelV relativeFrom="page">
                    <wp14:pctHeight>0</wp14:pctHeight>
                  </wp14:sizeRelV>
                </wp:anchor>
              </w:drawing>
            </w:r>
          </w:p>
        </w:tc>
        <w:tc>
          <w:tcPr>
            <w:tcW w:w="2268" w:type="dxa"/>
            <w:shd w:val="clear" w:color="auto" w:fill="auto"/>
            <w:hideMark/>
          </w:tcPr>
          <w:p w:rsidR="00226205" w:rsidRPr="00226205" w:rsidRDefault="00226205" w:rsidP="00A54993">
            <w:pPr>
              <w:jc w:val="left"/>
              <w:rPr>
                <w:rFonts w:ascii="Calibri" w:hAnsi="Calibri" w:cs="Calibri"/>
                <w:color w:val="000000"/>
                <w:sz w:val="18"/>
                <w:szCs w:val="18"/>
              </w:rPr>
            </w:pPr>
            <w:r w:rsidRPr="00226205">
              <w:rPr>
                <w:rFonts w:ascii="Calibri" w:hAnsi="Calibri" w:cs="Calibri"/>
                <w:color w:val="000000"/>
                <w:sz w:val="18"/>
                <w:szCs w:val="18"/>
              </w:rPr>
              <w:t xml:space="preserve">Yarraberg Child Care Centre- 4 River Street, Richmond </w:t>
            </w:r>
          </w:p>
        </w:tc>
        <w:tc>
          <w:tcPr>
            <w:tcW w:w="1276" w:type="dxa"/>
            <w:shd w:val="clear" w:color="auto" w:fill="auto"/>
            <w:hideMark/>
          </w:tcPr>
          <w:p w:rsidR="00226205" w:rsidRPr="00226205" w:rsidRDefault="00226205" w:rsidP="009965C5">
            <w:pPr>
              <w:tabs>
                <w:tab w:val="decimal" w:pos="884"/>
              </w:tabs>
              <w:jc w:val="left"/>
              <w:rPr>
                <w:rFonts w:ascii="Calibri" w:hAnsi="Calibri" w:cs="Calibri"/>
                <w:color w:val="000000"/>
                <w:sz w:val="18"/>
                <w:szCs w:val="18"/>
              </w:rPr>
            </w:pPr>
            <w:r w:rsidRPr="00226205">
              <w:rPr>
                <w:rFonts w:ascii="Calibri" w:hAnsi="Calibri" w:cs="Calibri"/>
                <w:color w:val="000000"/>
                <w:sz w:val="18"/>
                <w:szCs w:val="18"/>
              </w:rPr>
              <w:t>$1,057,680</w:t>
            </w:r>
          </w:p>
        </w:tc>
        <w:tc>
          <w:tcPr>
            <w:tcW w:w="1134" w:type="dxa"/>
            <w:shd w:val="clear" w:color="auto" w:fill="auto"/>
            <w:hideMark/>
          </w:tcPr>
          <w:p w:rsidR="00226205" w:rsidRPr="00226205" w:rsidRDefault="00226205" w:rsidP="00226205">
            <w:pPr>
              <w:jc w:val="center"/>
              <w:rPr>
                <w:rFonts w:ascii="Calibri" w:hAnsi="Calibri" w:cs="Calibri"/>
                <w:color w:val="000000"/>
                <w:sz w:val="18"/>
                <w:szCs w:val="18"/>
              </w:rPr>
            </w:pPr>
            <w:r w:rsidRPr="00226205">
              <w:rPr>
                <w:rFonts w:ascii="Calibri" w:hAnsi="Calibri" w:cs="Calibri"/>
                <w:color w:val="000000"/>
                <w:sz w:val="18"/>
                <w:szCs w:val="18"/>
              </w:rPr>
              <w:t>Community Services</w:t>
            </w:r>
          </w:p>
        </w:tc>
        <w:tc>
          <w:tcPr>
            <w:tcW w:w="1417" w:type="dxa"/>
            <w:shd w:val="clear" w:color="auto" w:fill="auto"/>
            <w:hideMark/>
          </w:tcPr>
          <w:p w:rsidR="00226205" w:rsidRPr="00226205" w:rsidRDefault="00226205" w:rsidP="00226205">
            <w:pPr>
              <w:jc w:val="center"/>
              <w:rPr>
                <w:rFonts w:ascii="Calibri" w:hAnsi="Calibri" w:cs="Calibri"/>
                <w:color w:val="000000"/>
                <w:sz w:val="18"/>
                <w:szCs w:val="18"/>
              </w:rPr>
            </w:pPr>
            <w:r w:rsidRPr="00226205">
              <w:rPr>
                <w:rFonts w:ascii="Calibri" w:hAnsi="Calibri" w:cs="Calibri"/>
                <w:color w:val="000000"/>
                <w:sz w:val="18"/>
                <w:szCs w:val="18"/>
              </w:rPr>
              <w:t>Child Care Centres</w:t>
            </w:r>
          </w:p>
        </w:tc>
        <w:tc>
          <w:tcPr>
            <w:tcW w:w="2410" w:type="dxa"/>
            <w:shd w:val="clear" w:color="auto" w:fill="auto"/>
            <w:hideMark/>
          </w:tcPr>
          <w:p w:rsidR="00226205" w:rsidRPr="00226205" w:rsidRDefault="00226205" w:rsidP="00226205">
            <w:pPr>
              <w:jc w:val="left"/>
              <w:rPr>
                <w:rFonts w:ascii="Calibri" w:hAnsi="Calibri" w:cs="Calibri"/>
                <w:color w:val="000000"/>
                <w:sz w:val="18"/>
                <w:szCs w:val="18"/>
              </w:rPr>
            </w:pPr>
            <w:r w:rsidRPr="00226205">
              <w:rPr>
                <w:rFonts w:ascii="Calibri" w:hAnsi="Calibri" w:cs="Calibri"/>
                <w:color w:val="000000"/>
                <w:sz w:val="18"/>
                <w:szCs w:val="18"/>
              </w:rPr>
              <w:t>The building is in a good condition.</w:t>
            </w:r>
          </w:p>
        </w:tc>
        <w:tc>
          <w:tcPr>
            <w:tcW w:w="3118" w:type="dxa"/>
            <w:shd w:val="clear" w:color="auto" w:fill="auto"/>
            <w:hideMark/>
          </w:tcPr>
          <w:p w:rsidR="00226205" w:rsidRPr="00226205" w:rsidRDefault="00226205" w:rsidP="00840CD9">
            <w:pPr>
              <w:jc w:val="left"/>
              <w:rPr>
                <w:rFonts w:ascii="Calibri" w:hAnsi="Calibri" w:cs="Calibri"/>
                <w:color w:val="000000"/>
                <w:sz w:val="18"/>
                <w:szCs w:val="18"/>
              </w:rPr>
            </w:pPr>
            <w:r w:rsidRPr="00226205">
              <w:rPr>
                <w:rFonts w:ascii="Calibri" w:hAnsi="Calibri" w:cs="Calibri"/>
                <w:color w:val="000000"/>
                <w:sz w:val="18"/>
                <w:szCs w:val="18"/>
              </w:rPr>
              <w:t>Parking is busy at peak times. Dependant on regulatory requirements there is currently no bike storage or undercover pram storage. Minor improvements for food safety audit</w:t>
            </w:r>
            <w:r w:rsidR="00840CD9">
              <w:rPr>
                <w:rFonts w:ascii="Calibri" w:hAnsi="Calibri" w:cs="Calibri"/>
                <w:color w:val="000000"/>
                <w:sz w:val="18"/>
                <w:szCs w:val="18"/>
              </w:rPr>
              <w:t xml:space="preserve"> are</w:t>
            </w:r>
            <w:r w:rsidRPr="00226205">
              <w:rPr>
                <w:rFonts w:ascii="Calibri" w:hAnsi="Calibri" w:cs="Calibri"/>
                <w:color w:val="000000"/>
                <w:sz w:val="18"/>
                <w:szCs w:val="18"/>
              </w:rPr>
              <w:t xml:space="preserve"> required. </w:t>
            </w:r>
          </w:p>
        </w:tc>
      </w:tr>
      <w:tr w:rsidR="00226205" w:rsidRPr="00226205" w:rsidTr="00B77D83">
        <w:trPr>
          <w:cantSplit/>
          <w:trHeight w:val="1968"/>
        </w:trPr>
        <w:tc>
          <w:tcPr>
            <w:tcW w:w="998" w:type="dxa"/>
            <w:shd w:val="clear" w:color="auto" w:fill="auto"/>
            <w:hideMark/>
          </w:tcPr>
          <w:p w:rsidR="00226205" w:rsidRPr="00226205" w:rsidRDefault="00226205" w:rsidP="006918D2">
            <w:pPr>
              <w:jc w:val="center"/>
              <w:rPr>
                <w:rFonts w:ascii="Calibri" w:hAnsi="Calibri" w:cs="Calibri"/>
                <w:color w:val="000000"/>
                <w:sz w:val="18"/>
                <w:szCs w:val="18"/>
              </w:rPr>
            </w:pPr>
            <w:r w:rsidRPr="00226205">
              <w:rPr>
                <w:rFonts w:ascii="Calibri" w:hAnsi="Calibri" w:cs="Calibri"/>
                <w:color w:val="000000"/>
                <w:sz w:val="18"/>
                <w:szCs w:val="18"/>
              </w:rPr>
              <w:t>B004873</w:t>
            </w:r>
          </w:p>
        </w:tc>
        <w:tc>
          <w:tcPr>
            <w:tcW w:w="2693" w:type="dxa"/>
            <w:shd w:val="clear" w:color="auto" w:fill="auto"/>
            <w:hideMark/>
          </w:tcPr>
          <w:p w:rsidR="00226205" w:rsidRPr="00226205" w:rsidRDefault="00226205" w:rsidP="00226205">
            <w:pPr>
              <w:rPr>
                <w:rFonts w:ascii="Calibri" w:hAnsi="Calibri" w:cs="Calibri"/>
                <w:color w:val="000000"/>
                <w:sz w:val="18"/>
                <w:szCs w:val="18"/>
              </w:rPr>
            </w:pPr>
            <w:r w:rsidRPr="00226205">
              <w:rPr>
                <w:rFonts w:ascii="Calibri" w:hAnsi="Calibri" w:cs="Calibri"/>
                <w:noProof/>
                <w:color w:val="000000"/>
                <w:sz w:val="18"/>
                <w:szCs w:val="18"/>
              </w:rPr>
              <w:drawing>
                <wp:anchor distT="0" distB="0" distL="114300" distR="114300" simplePos="0" relativeHeight="251731456" behindDoc="0" locked="0" layoutInCell="1" allowOverlap="1" wp14:anchorId="1D42F2F2" wp14:editId="2C6EE583">
                  <wp:simplePos x="0" y="0"/>
                  <wp:positionH relativeFrom="column">
                    <wp:posOffset>-20955</wp:posOffset>
                  </wp:positionH>
                  <wp:positionV relativeFrom="paragraph">
                    <wp:posOffset>29650</wp:posOffset>
                  </wp:positionV>
                  <wp:extent cx="1630800" cy="1173600"/>
                  <wp:effectExtent l="0" t="0" r="0" b="0"/>
                  <wp:wrapNone/>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5"/>
                          <pic:cNvPicPr>
                            <a:picLocks noChangeAspect="1"/>
                          </pic:cNvPicPr>
                        </pic:nvPicPr>
                        <pic:blipFill>
                          <a:blip r:embed="rId222">
                            <a:extLst>
                              <a:ext uri="{28A0092B-C50C-407E-A947-70E740481C1C}">
                                <a14:useLocalDpi xmlns:a14="http://schemas.microsoft.com/office/drawing/2010/main" val="0"/>
                              </a:ext>
                            </a:extLst>
                          </a:blip>
                          <a:stretch>
                            <a:fillRect/>
                          </a:stretch>
                        </pic:blipFill>
                        <pic:spPr>
                          <a:xfrm>
                            <a:off x="0" y="0"/>
                            <a:ext cx="1630800" cy="1173600"/>
                          </a:xfrm>
                          <a:prstGeom prst="rect">
                            <a:avLst/>
                          </a:prstGeom>
                        </pic:spPr>
                      </pic:pic>
                    </a:graphicData>
                  </a:graphic>
                  <wp14:sizeRelH relativeFrom="page">
                    <wp14:pctWidth>0</wp14:pctWidth>
                  </wp14:sizeRelH>
                  <wp14:sizeRelV relativeFrom="page">
                    <wp14:pctHeight>0</wp14:pctHeight>
                  </wp14:sizeRelV>
                </wp:anchor>
              </w:drawing>
            </w:r>
          </w:p>
        </w:tc>
        <w:tc>
          <w:tcPr>
            <w:tcW w:w="2268" w:type="dxa"/>
            <w:shd w:val="clear" w:color="auto" w:fill="auto"/>
            <w:hideMark/>
          </w:tcPr>
          <w:p w:rsidR="00226205" w:rsidRPr="00226205" w:rsidRDefault="00226205" w:rsidP="00A54993">
            <w:pPr>
              <w:jc w:val="left"/>
              <w:rPr>
                <w:rFonts w:ascii="Calibri" w:hAnsi="Calibri" w:cs="Calibri"/>
                <w:color w:val="000000"/>
                <w:sz w:val="18"/>
                <w:szCs w:val="18"/>
              </w:rPr>
            </w:pPr>
            <w:r w:rsidRPr="00226205">
              <w:rPr>
                <w:rFonts w:ascii="Calibri" w:hAnsi="Calibri" w:cs="Calibri"/>
                <w:color w:val="000000"/>
                <w:sz w:val="18"/>
                <w:szCs w:val="18"/>
              </w:rPr>
              <w:t>Walker Street Community Kindergarten- 89 Walker Street Clifton Hill</w:t>
            </w:r>
          </w:p>
        </w:tc>
        <w:tc>
          <w:tcPr>
            <w:tcW w:w="1276" w:type="dxa"/>
            <w:shd w:val="clear" w:color="auto" w:fill="auto"/>
            <w:hideMark/>
          </w:tcPr>
          <w:p w:rsidR="00226205" w:rsidRPr="00226205" w:rsidRDefault="00226205" w:rsidP="009965C5">
            <w:pPr>
              <w:tabs>
                <w:tab w:val="decimal" w:pos="884"/>
              </w:tabs>
              <w:jc w:val="left"/>
              <w:rPr>
                <w:rFonts w:ascii="Calibri" w:hAnsi="Calibri" w:cs="Calibri"/>
                <w:color w:val="000000"/>
                <w:sz w:val="18"/>
                <w:szCs w:val="18"/>
              </w:rPr>
            </w:pPr>
            <w:r w:rsidRPr="00226205">
              <w:rPr>
                <w:rFonts w:ascii="Calibri" w:hAnsi="Calibri" w:cs="Calibri"/>
                <w:color w:val="000000"/>
                <w:sz w:val="18"/>
                <w:szCs w:val="18"/>
              </w:rPr>
              <w:t>$427,140</w:t>
            </w:r>
          </w:p>
        </w:tc>
        <w:tc>
          <w:tcPr>
            <w:tcW w:w="1134" w:type="dxa"/>
            <w:shd w:val="clear" w:color="auto" w:fill="auto"/>
            <w:hideMark/>
          </w:tcPr>
          <w:p w:rsidR="00226205" w:rsidRPr="00226205" w:rsidRDefault="00226205" w:rsidP="00226205">
            <w:pPr>
              <w:jc w:val="center"/>
              <w:rPr>
                <w:rFonts w:ascii="Calibri" w:hAnsi="Calibri" w:cs="Calibri"/>
                <w:color w:val="000000"/>
                <w:sz w:val="18"/>
                <w:szCs w:val="18"/>
              </w:rPr>
            </w:pPr>
            <w:r w:rsidRPr="00226205">
              <w:rPr>
                <w:rFonts w:ascii="Calibri" w:hAnsi="Calibri" w:cs="Calibri"/>
                <w:color w:val="000000"/>
                <w:sz w:val="18"/>
                <w:szCs w:val="18"/>
              </w:rPr>
              <w:t>Community Services</w:t>
            </w:r>
          </w:p>
        </w:tc>
        <w:tc>
          <w:tcPr>
            <w:tcW w:w="1417" w:type="dxa"/>
            <w:shd w:val="clear" w:color="auto" w:fill="auto"/>
            <w:hideMark/>
          </w:tcPr>
          <w:p w:rsidR="00226205" w:rsidRPr="00226205" w:rsidRDefault="00226205" w:rsidP="00226205">
            <w:pPr>
              <w:jc w:val="center"/>
              <w:rPr>
                <w:rFonts w:ascii="Calibri" w:hAnsi="Calibri" w:cs="Calibri"/>
                <w:color w:val="000000"/>
                <w:sz w:val="18"/>
                <w:szCs w:val="18"/>
              </w:rPr>
            </w:pPr>
            <w:r w:rsidRPr="00226205">
              <w:rPr>
                <w:rFonts w:ascii="Calibri" w:hAnsi="Calibri" w:cs="Calibri"/>
                <w:color w:val="000000"/>
                <w:sz w:val="18"/>
                <w:szCs w:val="18"/>
              </w:rPr>
              <w:t>Kindergartens</w:t>
            </w:r>
          </w:p>
        </w:tc>
        <w:tc>
          <w:tcPr>
            <w:tcW w:w="2410" w:type="dxa"/>
            <w:shd w:val="clear" w:color="auto" w:fill="auto"/>
            <w:hideMark/>
          </w:tcPr>
          <w:p w:rsidR="00226205" w:rsidRPr="00226205" w:rsidRDefault="00226205" w:rsidP="00226205">
            <w:pPr>
              <w:jc w:val="left"/>
              <w:rPr>
                <w:rFonts w:ascii="Calibri" w:hAnsi="Calibri" w:cs="Calibri"/>
                <w:color w:val="000000"/>
                <w:sz w:val="18"/>
                <w:szCs w:val="18"/>
              </w:rPr>
            </w:pPr>
            <w:r w:rsidRPr="00226205">
              <w:rPr>
                <w:rFonts w:ascii="Calibri" w:hAnsi="Calibri" w:cs="Calibri"/>
                <w:color w:val="000000"/>
                <w:sz w:val="18"/>
                <w:szCs w:val="18"/>
              </w:rPr>
              <w:t>The building is in an excellent condition.</w:t>
            </w:r>
          </w:p>
        </w:tc>
        <w:tc>
          <w:tcPr>
            <w:tcW w:w="3118" w:type="dxa"/>
            <w:shd w:val="clear" w:color="auto" w:fill="auto"/>
            <w:hideMark/>
          </w:tcPr>
          <w:p w:rsidR="00226205" w:rsidRPr="00226205" w:rsidRDefault="00226205" w:rsidP="00226205">
            <w:pPr>
              <w:jc w:val="left"/>
              <w:rPr>
                <w:rFonts w:ascii="Calibri" w:hAnsi="Calibri" w:cs="Calibri"/>
                <w:color w:val="000000"/>
                <w:sz w:val="18"/>
                <w:szCs w:val="18"/>
              </w:rPr>
            </w:pPr>
            <w:r w:rsidRPr="00226205">
              <w:rPr>
                <w:rFonts w:ascii="Calibri" w:hAnsi="Calibri" w:cs="Calibri"/>
                <w:color w:val="000000"/>
                <w:sz w:val="18"/>
                <w:szCs w:val="18"/>
              </w:rPr>
              <w:t>Full a</w:t>
            </w:r>
            <w:r w:rsidR="00840CD9">
              <w:rPr>
                <w:rFonts w:ascii="Calibri" w:hAnsi="Calibri" w:cs="Calibri"/>
                <w:color w:val="000000"/>
                <w:sz w:val="18"/>
                <w:szCs w:val="18"/>
              </w:rPr>
              <w:t>ssessment not yet carried out.</w:t>
            </w:r>
            <w:r w:rsidR="00840CD9">
              <w:rPr>
                <w:rFonts w:ascii="Calibri" w:hAnsi="Calibri" w:cs="Calibri"/>
                <w:color w:val="000000"/>
                <w:sz w:val="18"/>
                <w:szCs w:val="18"/>
              </w:rPr>
              <w:br/>
            </w:r>
            <w:r w:rsidRPr="00226205">
              <w:rPr>
                <w:rFonts w:ascii="Calibri" w:hAnsi="Calibri" w:cs="Calibri"/>
                <w:color w:val="000000"/>
                <w:sz w:val="18"/>
                <w:szCs w:val="18"/>
              </w:rPr>
              <w:t>Leased to Walker St Community Kindergarten</w:t>
            </w:r>
            <w:r w:rsidR="00840CD9">
              <w:rPr>
                <w:rFonts w:ascii="Calibri" w:hAnsi="Calibri" w:cs="Calibri"/>
                <w:color w:val="000000"/>
                <w:sz w:val="18"/>
                <w:szCs w:val="18"/>
              </w:rPr>
              <w:t>.</w:t>
            </w:r>
          </w:p>
        </w:tc>
      </w:tr>
      <w:tr w:rsidR="00226205" w:rsidRPr="00226205" w:rsidTr="00B77D83">
        <w:trPr>
          <w:cantSplit/>
          <w:trHeight w:val="1968"/>
        </w:trPr>
        <w:tc>
          <w:tcPr>
            <w:tcW w:w="998" w:type="dxa"/>
            <w:shd w:val="clear" w:color="auto" w:fill="auto"/>
            <w:hideMark/>
          </w:tcPr>
          <w:p w:rsidR="00226205" w:rsidRPr="00226205" w:rsidRDefault="00226205" w:rsidP="006918D2">
            <w:pPr>
              <w:jc w:val="center"/>
              <w:rPr>
                <w:rFonts w:ascii="Calibri" w:hAnsi="Calibri" w:cs="Calibri"/>
                <w:color w:val="000000"/>
                <w:sz w:val="18"/>
                <w:szCs w:val="18"/>
              </w:rPr>
            </w:pPr>
            <w:r w:rsidRPr="00226205">
              <w:rPr>
                <w:rFonts w:ascii="Calibri" w:hAnsi="Calibri" w:cs="Calibri"/>
                <w:color w:val="000000"/>
                <w:sz w:val="18"/>
                <w:szCs w:val="18"/>
              </w:rPr>
              <w:t>B004889</w:t>
            </w:r>
          </w:p>
        </w:tc>
        <w:tc>
          <w:tcPr>
            <w:tcW w:w="2693" w:type="dxa"/>
            <w:shd w:val="clear" w:color="auto" w:fill="auto"/>
            <w:hideMark/>
          </w:tcPr>
          <w:p w:rsidR="00226205" w:rsidRPr="00226205" w:rsidRDefault="00226205" w:rsidP="00226205">
            <w:pPr>
              <w:rPr>
                <w:rFonts w:ascii="Calibri" w:hAnsi="Calibri" w:cs="Calibri"/>
                <w:color w:val="000000"/>
                <w:sz w:val="18"/>
                <w:szCs w:val="18"/>
              </w:rPr>
            </w:pPr>
            <w:r w:rsidRPr="00226205">
              <w:rPr>
                <w:rFonts w:ascii="Calibri" w:hAnsi="Calibri" w:cs="Calibri"/>
                <w:noProof/>
                <w:color w:val="000000"/>
                <w:sz w:val="18"/>
                <w:szCs w:val="18"/>
              </w:rPr>
              <w:drawing>
                <wp:anchor distT="0" distB="0" distL="114300" distR="114300" simplePos="0" relativeHeight="251732480" behindDoc="0" locked="0" layoutInCell="1" allowOverlap="1" wp14:anchorId="3567A3E3" wp14:editId="64071860">
                  <wp:simplePos x="0" y="0"/>
                  <wp:positionH relativeFrom="column">
                    <wp:posOffset>-20955</wp:posOffset>
                  </wp:positionH>
                  <wp:positionV relativeFrom="paragraph">
                    <wp:posOffset>38100</wp:posOffset>
                  </wp:positionV>
                  <wp:extent cx="1630800" cy="1162800"/>
                  <wp:effectExtent l="0" t="0" r="0" b="0"/>
                  <wp:wrapNone/>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6"/>
                          <pic:cNvPicPr>
                            <a:picLocks noChangeAspect="1"/>
                          </pic:cNvPicPr>
                        </pic:nvPicPr>
                        <pic:blipFill>
                          <a:blip r:embed="rId223">
                            <a:extLst>
                              <a:ext uri="{28A0092B-C50C-407E-A947-70E740481C1C}">
                                <a14:useLocalDpi xmlns:a14="http://schemas.microsoft.com/office/drawing/2010/main" val="0"/>
                              </a:ext>
                            </a:extLst>
                          </a:blip>
                          <a:stretch>
                            <a:fillRect/>
                          </a:stretch>
                        </pic:blipFill>
                        <pic:spPr>
                          <a:xfrm>
                            <a:off x="0" y="0"/>
                            <a:ext cx="1630800" cy="1162800"/>
                          </a:xfrm>
                          <a:prstGeom prst="rect">
                            <a:avLst/>
                          </a:prstGeom>
                        </pic:spPr>
                      </pic:pic>
                    </a:graphicData>
                  </a:graphic>
                  <wp14:sizeRelH relativeFrom="page">
                    <wp14:pctWidth>0</wp14:pctWidth>
                  </wp14:sizeRelH>
                  <wp14:sizeRelV relativeFrom="page">
                    <wp14:pctHeight>0</wp14:pctHeight>
                  </wp14:sizeRelV>
                </wp:anchor>
              </w:drawing>
            </w:r>
          </w:p>
        </w:tc>
        <w:tc>
          <w:tcPr>
            <w:tcW w:w="2268" w:type="dxa"/>
            <w:shd w:val="clear" w:color="auto" w:fill="auto"/>
            <w:hideMark/>
          </w:tcPr>
          <w:p w:rsidR="00226205" w:rsidRPr="00226205" w:rsidRDefault="00226205" w:rsidP="00A54993">
            <w:pPr>
              <w:jc w:val="left"/>
              <w:rPr>
                <w:rFonts w:ascii="Calibri" w:hAnsi="Calibri" w:cs="Calibri"/>
                <w:color w:val="000000"/>
                <w:sz w:val="18"/>
                <w:szCs w:val="18"/>
              </w:rPr>
            </w:pPr>
            <w:r w:rsidRPr="00226205">
              <w:rPr>
                <w:rFonts w:ascii="Calibri" w:hAnsi="Calibri" w:cs="Calibri"/>
                <w:color w:val="000000"/>
                <w:sz w:val="18"/>
                <w:szCs w:val="18"/>
              </w:rPr>
              <w:t>Clifton Hill Scout Hall- 95 Walker Street Clifton Hill</w:t>
            </w:r>
          </w:p>
        </w:tc>
        <w:tc>
          <w:tcPr>
            <w:tcW w:w="1276" w:type="dxa"/>
            <w:shd w:val="clear" w:color="auto" w:fill="auto"/>
            <w:hideMark/>
          </w:tcPr>
          <w:p w:rsidR="00226205" w:rsidRPr="00226205" w:rsidRDefault="00226205" w:rsidP="009965C5">
            <w:pPr>
              <w:tabs>
                <w:tab w:val="decimal" w:pos="884"/>
              </w:tabs>
              <w:jc w:val="left"/>
              <w:rPr>
                <w:rFonts w:ascii="Calibri" w:hAnsi="Calibri" w:cs="Calibri"/>
                <w:color w:val="000000"/>
                <w:sz w:val="18"/>
                <w:szCs w:val="18"/>
              </w:rPr>
            </w:pPr>
            <w:r w:rsidRPr="00226205">
              <w:rPr>
                <w:rFonts w:ascii="Calibri" w:hAnsi="Calibri" w:cs="Calibri"/>
                <w:color w:val="000000"/>
                <w:sz w:val="18"/>
                <w:szCs w:val="18"/>
              </w:rPr>
              <w:t>$232,750</w:t>
            </w:r>
          </w:p>
        </w:tc>
        <w:tc>
          <w:tcPr>
            <w:tcW w:w="1134" w:type="dxa"/>
            <w:shd w:val="clear" w:color="auto" w:fill="auto"/>
            <w:hideMark/>
          </w:tcPr>
          <w:p w:rsidR="00226205" w:rsidRPr="00226205" w:rsidRDefault="00226205" w:rsidP="00226205">
            <w:pPr>
              <w:jc w:val="center"/>
              <w:rPr>
                <w:rFonts w:ascii="Calibri" w:hAnsi="Calibri" w:cs="Calibri"/>
                <w:color w:val="000000"/>
                <w:sz w:val="18"/>
                <w:szCs w:val="18"/>
              </w:rPr>
            </w:pPr>
            <w:r w:rsidRPr="00226205">
              <w:rPr>
                <w:rFonts w:ascii="Calibri" w:hAnsi="Calibri" w:cs="Calibri"/>
                <w:color w:val="000000"/>
                <w:sz w:val="18"/>
                <w:szCs w:val="18"/>
              </w:rPr>
              <w:t>Community Services</w:t>
            </w:r>
          </w:p>
        </w:tc>
        <w:tc>
          <w:tcPr>
            <w:tcW w:w="1417" w:type="dxa"/>
            <w:shd w:val="clear" w:color="auto" w:fill="auto"/>
            <w:hideMark/>
          </w:tcPr>
          <w:p w:rsidR="00226205" w:rsidRPr="00226205" w:rsidRDefault="00226205" w:rsidP="00226205">
            <w:pPr>
              <w:jc w:val="center"/>
              <w:rPr>
                <w:rFonts w:ascii="Calibri" w:hAnsi="Calibri" w:cs="Calibri"/>
                <w:color w:val="000000"/>
                <w:sz w:val="18"/>
                <w:szCs w:val="18"/>
              </w:rPr>
            </w:pPr>
            <w:r w:rsidRPr="00226205">
              <w:rPr>
                <w:rFonts w:ascii="Calibri" w:hAnsi="Calibri" w:cs="Calibri"/>
                <w:color w:val="000000"/>
                <w:sz w:val="18"/>
                <w:szCs w:val="18"/>
              </w:rPr>
              <w:t>Community Halls</w:t>
            </w:r>
          </w:p>
        </w:tc>
        <w:tc>
          <w:tcPr>
            <w:tcW w:w="2410" w:type="dxa"/>
            <w:shd w:val="clear" w:color="auto" w:fill="auto"/>
            <w:hideMark/>
          </w:tcPr>
          <w:p w:rsidR="00226205" w:rsidRPr="00226205" w:rsidRDefault="00226205" w:rsidP="00226205">
            <w:pPr>
              <w:jc w:val="left"/>
              <w:rPr>
                <w:rFonts w:ascii="Calibri" w:hAnsi="Calibri" w:cs="Calibri"/>
                <w:color w:val="000000"/>
                <w:sz w:val="18"/>
                <w:szCs w:val="18"/>
              </w:rPr>
            </w:pPr>
            <w:r w:rsidRPr="00226205">
              <w:rPr>
                <w:rFonts w:ascii="Calibri" w:hAnsi="Calibri" w:cs="Calibri"/>
                <w:color w:val="000000"/>
                <w:sz w:val="18"/>
                <w:szCs w:val="18"/>
              </w:rPr>
              <w:t>The building is in a poor condition. Floor requires replacing.</w:t>
            </w:r>
          </w:p>
        </w:tc>
        <w:tc>
          <w:tcPr>
            <w:tcW w:w="3118" w:type="dxa"/>
            <w:shd w:val="clear" w:color="auto" w:fill="auto"/>
            <w:hideMark/>
          </w:tcPr>
          <w:p w:rsidR="00226205" w:rsidRPr="00226205" w:rsidRDefault="00226205" w:rsidP="00226205">
            <w:pPr>
              <w:jc w:val="left"/>
              <w:rPr>
                <w:rFonts w:ascii="Calibri" w:hAnsi="Calibri" w:cs="Calibri"/>
                <w:color w:val="000000"/>
                <w:sz w:val="18"/>
                <w:szCs w:val="18"/>
              </w:rPr>
            </w:pPr>
            <w:r w:rsidRPr="00226205">
              <w:rPr>
                <w:rFonts w:ascii="Calibri" w:hAnsi="Calibri" w:cs="Calibri"/>
                <w:color w:val="000000"/>
                <w:sz w:val="18"/>
                <w:szCs w:val="18"/>
              </w:rPr>
              <w:t>Needs major refurbishment (incl new floor).  Currently used by the Clifton Hill Scouts</w:t>
            </w:r>
            <w:r w:rsidR="00840CD9">
              <w:rPr>
                <w:rFonts w:ascii="Calibri" w:hAnsi="Calibri" w:cs="Calibri"/>
                <w:color w:val="000000"/>
                <w:sz w:val="18"/>
                <w:szCs w:val="18"/>
              </w:rPr>
              <w:t>.</w:t>
            </w:r>
          </w:p>
        </w:tc>
      </w:tr>
      <w:tr w:rsidR="00226205" w:rsidRPr="00226205" w:rsidTr="00B77D83">
        <w:trPr>
          <w:cantSplit/>
          <w:trHeight w:val="1923"/>
        </w:trPr>
        <w:tc>
          <w:tcPr>
            <w:tcW w:w="998" w:type="dxa"/>
            <w:shd w:val="clear" w:color="auto" w:fill="auto"/>
            <w:hideMark/>
          </w:tcPr>
          <w:p w:rsidR="00226205" w:rsidRPr="00226205" w:rsidRDefault="00226205" w:rsidP="006918D2">
            <w:pPr>
              <w:jc w:val="center"/>
              <w:rPr>
                <w:rFonts w:ascii="Calibri" w:hAnsi="Calibri" w:cs="Calibri"/>
                <w:color w:val="000000"/>
                <w:sz w:val="18"/>
                <w:szCs w:val="18"/>
              </w:rPr>
            </w:pPr>
            <w:r w:rsidRPr="00226205">
              <w:rPr>
                <w:rFonts w:ascii="Calibri" w:hAnsi="Calibri" w:cs="Calibri"/>
                <w:color w:val="000000"/>
                <w:sz w:val="18"/>
                <w:szCs w:val="18"/>
              </w:rPr>
              <w:t>B005001</w:t>
            </w:r>
          </w:p>
        </w:tc>
        <w:tc>
          <w:tcPr>
            <w:tcW w:w="2693" w:type="dxa"/>
            <w:shd w:val="clear" w:color="auto" w:fill="auto"/>
            <w:hideMark/>
          </w:tcPr>
          <w:p w:rsidR="00226205" w:rsidRPr="00226205" w:rsidRDefault="00226205" w:rsidP="00226205">
            <w:pPr>
              <w:rPr>
                <w:rFonts w:ascii="Calibri" w:hAnsi="Calibri" w:cs="Calibri"/>
                <w:color w:val="000000"/>
                <w:sz w:val="18"/>
                <w:szCs w:val="18"/>
              </w:rPr>
            </w:pPr>
            <w:r w:rsidRPr="00226205">
              <w:rPr>
                <w:rFonts w:ascii="Calibri" w:hAnsi="Calibri" w:cs="Calibri"/>
                <w:noProof/>
                <w:color w:val="000000"/>
                <w:sz w:val="18"/>
                <w:szCs w:val="18"/>
              </w:rPr>
              <w:drawing>
                <wp:anchor distT="0" distB="0" distL="114300" distR="114300" simplePos="0" relativeHeight="251789824" behindDoc="0" locked="0" layoutInCell="1" allowOverlap="1" wp14:anchorId="7F3EFDB4" wp14:editId="2E97D2A2">
                  <wp:simplePos x="0" y="0"/>
                  <wp:positionH relativeFrom="column">
                    <wp:posOffset>-20955</wp:posOffset>
                  </wp:positionH>
                  <wp:positionV relativeFrom="paragraph">
                    <wp:posOffset>37905</wp:posOffset>
                  </wp:positionV>
                  <wp:extent cx="1630800" cy="1155600"/>
                  <wp:effectExtent l="0" t="0" r="0" b="0"/>
                  <wp:wrapNone/>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Picture 135"/>
                          <pic:cNvPicPr>
                            <a:picLocks noChangeAspect="1"/>
                          </pic:cNvPicPr>
                        </pic:nvPicPr>
                        <pic:blipFill>
                          <a:blip r:embed="rId224">
                            <a:extLst>
                              <a:ext uri="{28A0092B-C50C-407E-A947-70E740481C1C}">
                                <a14:useLocalDpi xmlns:a14="http://schemas.microsoft.com/office/drawing/2010/main" val="0"/>
                              </a:ext>
                            </a:extLst>
                          </a:blip>
                          <a:stretch>
                            <a:fillRect/>
                          </a:stretch>
                        </pic:blipFill>
                        <pic:spPr>
                          <a:xfrm>
                            <a:off x="0" y="0"/>
                            <a:ext cx="1630800" cy="1155600"/>
                          </a:xfrm>
                          <a:prstGeom prst="rect">
                            <a:avLst/>
                          </a:prstGeom>
                        </pic:spPr>
                      </pic:pic>
                    </a:graphicData>
                  </a:graphic>
                  <wp14:sizeRelH relativeFrom="page">
                    <wp14:pctWidth>0</wp14:pctWidth>
                  </wp14:sizeRelH>
                  <wp14:sizeRelV relativeFrom="page">
                    <wp14:pctHeight>0</wp14:pctHeight>
                  </wp14:sizeRelV>
                </wp:anchor>
              </w:drawing>
            </w:r>
          </w:p>
        </w:tc>
        <w:tc>
          <w:tcPr>
            <w:tcW w:w="2268" w:type="dxa"/>
            <w:shd w:val="clear" w:color="auto" w:fill="auto"/>
            <w:hideMark/>
          </w:tcPr>
          <w:p w:rsidR="00226205" w:rsidRPr="00226205" w:rsidRDefault="00226205" w:rsidP="00A54993">
            <w:pPr>
              <w:jc w:val="left"/>
              <w:rPr>
                <w:rFonts w:ascii="Calibri" w:hAnsi="Calibri" w:cs="Calibri"/>
                <w:color w:val="000000"/>
                <w:sz w:val="18"/>
                <w:szCs w:val="18"/>
              </w:rPr>
            </w:pPr>
            <w:r w:rsidRPr="00226205">
              <w:rPr>
                <w:rFonts w:ascii="Calibri" w:hAnsi="Calibri" w:cs="Calibri"/>
                <w:color w:val="000000"/>
                <w:sz w:val="18"/>
                <w:szCs w:val="18"/>
              </w:rPr>
              <w:t xml:space="preserve">Victoria Park,  Toilet 2- Abbot Street, Abbotsford </w:t>
            </w:r>
          </w:p>
        </w:tc>
        <w:tc>
          <w:tcPr>
            <w:tcW w:w="1276" w:type="dxa"/>
            <w:shd w:val="clear" w:color="auto" w:fill="auto"/>
            <w:hideMark/>
          </w:tcPr>
          <w:p w:rsidR="00226205" w:rsidRPr="00226205" w:rsidRDefault="009965C5" w:rsidP="009965C5">
            <w:pPr>
              <w:tabs>
                <w:tab w:val="decimal" w:pos="884"/>
              </w:tabs>
              <w:jc w:val="left"/>
              <w:rPr>
                <w:rFonts w:ascii="Calibri" w:hAnsi="Calibri" w:cs="Calibri"/>
                <w:color w:val="000000"/>
                <w:sz w:val="18"/>
                <w:szCs w:val="18"/>
              </w:rPr>
            </w:pPr>
            <w:r>
              <w:rPr>
                <w:rFonts w:ascii="Calibri" w:hAnsi="Calibri" w:cs="Calibri"/>
                <w:color w:val="000000"/>
                <w:sz w:val="18"/>
                <w:szCs w:val="18"/>
              </w:rPr>
              <w:t>$</w:t>
            </w:r>
            <w:r w:rsidR="00226205" w:rsidRPr="00226205">
              <w:rPr>
                <w:rFonts w:ascii="Calibri" w:hAnsi="Calibri" w:cs="Calibri"/>
                <w:color w:val="000000"/>
                <w:sz w:val="18"/>
                <w:szCs w:val="18"/>
              </w:rPr>
              <w:t>132,750</w:t>
            </w:r>
          </w:p>
        </w:tc>
        <w:tc>
          <w:tcPr>
            <w:tcW w:w="1134" w:type="dxa"/>
            <w:shd w:val="clear" w:color="auto" w:fill="auto"/>
            <w:hideMark/>
          </w:tcPr>
          <w:p w:rsidR="00226205" w:rsidRPr="00226205" w:rsidRDefault="00226205" w:rsidP="00226205">
            <w:pPr>
              <w:jc w:val="center"/>
              <w:rPr>
                <w:rFonts w:ascii="Calibri" w:hAnsi="Calibri" w:cs="Calibri"/>
                <w:color w:val="000000"/>
                <w:sz w:val="18"/>
                <w:szCs w:val="18"/>
              </w:rPr>
            </w:pPr>
            <w:r w:rsidRPr="00226205">
              <w:rPr>
                <w:rFonts w:ascii="Calibri" w:hAnsi="Calibri" w:cs="Calibri"/>
                <w:color w:val="000000"/>
                <w:sz w:val="18"/>
                <w:szCs w:val="18"/>
              </w:rPr>
              <w:t xml:space="preserve">Recreation </w:t>
            </w:r>
            <w:r w:rsidR="00B77D83">
              <w:rPr>
                <w:rFonts w:ascii="Calibri" w:hAnsi="Calibri" w:cs="Calibri"/>
                <w:color w:val="000000"/>
                <w:sz w:val="18"/>
                <w:szCs w:val="18"/>
              </w:rPr>
              <w:t>and</w:t>
            </w:r>
            <w:r w:rsidRPr="00226205">
              <w:rPr>
                <w:rFonts w:ascii="Calibri" w:hAnsi="Calibri" w:cs="Calibri"/>
                <w:color w:val="000000"/>
                <w:sz w:val="18"/>
                <w:szCs w:val="18"/>
              </w:rPr>
              <w:t xml:space="preserve"> Open Space</w:t>
            </w:r>
          </w:p>
        </w:tc>
        <w:tc>
          <w:tcPr>
            <w:tcW w:w="1417" w:type="dxa"/>
            <w:shd w:val="clear" w:color="auto" w:fill="auto"/>
            <w:hideMark/>
          </w:tcPr>
          <w:p w:rsidR="00226205" w:rsidRPr="00226205" w:rsidRDefault="00226205" w:rsidP="00226205">
            <w:pPr>
              <w:jc w:val="center"/>
              <w:rPr>
                <w:rFonts w:ascii="Calibri" w:hAnsi="Calibri" w:cs="Calibri"/>
                <w:color w:val="000000"/>
                <w:sz w:val="18"/>
                <w:szCs w:val="18"/>
              </w:rPr>
            </w:pPr>
            <w:r w:rsidRPr="00226205">
              <w:rPr>
                <w:rFonts w:ascii="Calibri" w:hAnsi="Calibri" w:cs="Calibri"/>
                <w:color w:val="000000"/>
                <w:sz w:val="18"/>
                <w:szCs w:val="18"/>
              </w:rPr>
              <w:t>Public Toilets</w:t>
            </w:r>
          </w:p>
        </w:tc>
        <w:tc>
          <w:tcPr>
            <w:tcW w:w="2410" w:type="dxa"/>
            <w:shd w:val="clear" w:color="auto" w:fill="auto"/>
            <w:hideMark/>
          </w:tcPr>
          <w:p w:rsidR="00226205" w:rsidRPr="00226205" w:rsidRDefault="00226205" w:rsidP="00226205">
            <w:pPr>
              <w:jc w:val="left"/>
              <w:rPr>
                <w:rFonts w:ascii="Calibri" w:hAnsi="Calibri" w:cs="Calibri"/>
                <w:color w:val="000000"/>
                <w:sz w:val="18"/>
                <w:szCs w:val="18"/>
              </w:rPr>
            </w:pPr>
            <w:r w:rsidRPr="00226205">
              <w:rPr>
                <w:rFonts w:ascii="Calibri" w:hAnsi="Calibri" w:cs="Calibri"/>
                <w:color w:val="000000"/>
                <w:sz w:val="18"/>
                <w:szCs w:val="18"/>
              </w:rPr>
              <w:t>The building is in a good condition.</w:t>
            </w:r>
          </w:p>
        </w:tc>
        <w:tc>
          <w:tcPr>
            <w:tcW w:w="3118" w:type="dxa"/>
            <w:shd w:val="clear" w:color="auto" w:fill="auto"/>
            <w:hideMark/>
          </w:tcPr>
          <w:p w:rsidR="00226205" w:rsidRPr="00226205" w:rsidRDefault="00226205" w:rsidP="00226205">
            <w:pPr>
              <w:jc w:val="left"/>
              <w:rPr>
                <w:rFonts w:ascii="Calibri" w:hAnsi="Calibri" w:cs="Calibri"/>
                <w:color w:val="000000"/>
                <w:sz w:val="18"/>
                <w:szCs w:val="18"/>
              </w:rPr>
            </w:pPr>
            <w:r w:rsidRPr="00226205">
              <w:rPr>
                <w:rFonts w:ascii="Calibri" w:hAnsi="Calibri" w:cs="Calibri"/>
                <w:color w:val="000000"/>
                <w:sz w:val="18"/>
                <w:szCs w:val="18"/>
              </w:rPr>
              <w:t>Recently refurbished.</w:t>
            </w:r>
          </w:p>
        </w:tc>
      </w:tr>
      <w:tr w:rsidR="00226205" w:rsidRPr="00226205" w:rsidTr="00B77D83">
        <w:trPr>
          <w:cantSplit/>
          <w:trHeight w:val="2120"/>
        </w:trPr>
        <w:tc>
          <w:tcPr>
            <w:tcW w:w="998" w:type="dxa"/>
            <w:shd w:val="clear" w:color="auto" w:fill="auto"/>
            <w:hideMark/>
          </w:tcPr>
          <w:p w:rsidR="00226205" w:rsidRPr="00226205" w:rsidRDefault="00226205" w:rsidP="006918D2">
            <w:pPr>
              <w:jc w:val="center"/>
              <w:rPr>
                <w:rFonts w:ascii="Calibri" w:hAnsi="Calibri" w:cs="Calibri"/>
                <w:color w:val="000000"/>
                <w:sz w:val="18"/>
                <w:szCs w:val="18"/>
              </w:rPr>
            </w:pPr>
            <w:r w:rsidRPr="00226205">
              <w:rPr>
                <w:rFonts w:ascii="Calibri" w:hAnsi="Calibri" w:cs="Calibri"/>
                <w:color w:val="000000"/>
                <w:sz w:val="18"/>
                <w:szCs w:val="18"/>
              </w:rPr>
              <w:t>B005002</w:t>
            </w:r>
          </w:p>
        </w:tc>
        <w:tc>
          <w:tcPr>
            <w:tcW w:w="2693" w:type="dxa"/>
            <w:shd w:val="clear" w:color="auto" w:fill="auto"/>
            <w:hideMark/>
          </w:tcPr>
          <w:p w:rsidR="00226205" w:rsidRPr="00226205" w:rsidRDefault="00226205" w:rsidP="00226205">
            <w:pPr>
              <w:rPr>
                <w:rFonts w:ascii="Calibri" w:hAnsi="Calibri" w:cs="Calibri"/>
                <w:color w:val="000000"/>
                <w:sz w:val="18"/>
                <w:szCs w:val="18"/>
              </w:rPr>
            </w:pPr>
            <w:r w:rsidRPr="00226205">
              <w:rPr>
                <w:rFonts w:ascii="Calibri" w:hAnsi="Calibri" w:cs="Calibri"/>
                <w:noProof/>
                <w:color w:val="000000"/>
                <w:sz w:val="18"/>
                <w:szCs w:val="18"/>
              </w:rPr>
              <w:drawing>
                <wp:anchor distT="0" distB="0" distL="114300" distR="114300" simplePos="0" relativeHeight="251682304" behindDoc="0" locked="0" layoutInCell="1" allowOverlap="1" wp14:anchorId="11786E71" wp14:editId="54319381">
                  <wp:simplePos x="0" y="0"/>
                  <wp:positionH relativeFrom="column">
                    <wp:posOffset>-20955</wp:posOffset>
                  </wp:positionH>
                  <wp:positionV relativeFrom="paragraph">
                    <wp:posOffset>35365</wp:posOffset>
                  </wp:positionV>
                  <wp:extent cx="1630800" cy="1285200"/>
                  <wp:effectExtent l="0" t="0" r="0" b="0"/>
                  <wp:wrapNone/>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pic:cNvPicPr>
                            <a:picLocks noChangeAspect="1"/>
                          </pic:cNvPicPr>
                        </pic:nvPicPr>
                        <pic:blipFill>
                          <a:blip r:embed="rId225">
                            <a:extLst>
                              <a:ext uri="{28A0092B-C50C-407E-A947-70E740481C1C}">
                                <a14:useLocalDpi xmlns:a14="http://schemas.microsoft.com/office/drawing/2010/main" val="0"/>
                              </a:ext>
                            </a:extLst>
                          </a:blip>
                          <a:stretch>
                            <a:fillRect/>
                          </a:stretch>
                        </pic:blipFill>
                        <pic:spPr>
                          <a:xfrm>
                            <a:off x="0" y="0"/>
                            <a:ext cx="1630800" cy="1285200"/>
                          </a:xfrm>
                          <a:prstGeom prst="rect">
                            <a:avLst/>
                          </a:prstGeom>
                        </pic:spPr>
                      </pic:pic>
                    </a:graphicData>
                  </a:graphic>
                  <wp14:sizeRelH relativeFrom="page">
                    <wp14:pctWidth>0</wp14:pctWidth>
                  </wp14:sizeRelH>
                  <wp14:sizeRelV relativeFrom="page">
                    <wp14:pctHeight>0</wp14:pctHeight>
                  </wp14:sizeRelV>
                </wp:anchor>
              </w:drawing>
            </w:r>
          </w:p>
        </w:tc>
        <w:tc>
          <w:tcPr>
            <w:tcW w:w="2268" w:type="dxa"/>
            <w:shd w:val="clear" w:color="auto" w:fill="auto"/>
            <w:hideMark/>
          </w:tcPr>
          <w:p w:rsidR="00226205" w:rsidRPr="00226205" w:rsidRDefault="00226205" w:rsidP="00A54993">
            <w:pPr>
              <w:jc w:val="left"/>
              <w:rPr>
                <w:rFonts w:ascii="Calibri" w:hAnsi="Calibri" w:cs="Calibri"/>
                <w:color w:val="000000"/>
                <w:sz w:val="18"/>
                <w:szCs w:val="18"/>
              </w:rPr>
            </w:pPr>
            <w:r w:rsidRPr="00226205">
              <w:rPr>
                <w:rFonts w:ascii="Calibri" w:hAnsi="Calibri" w:cs="Calibri"/>
                <w:color w:val="000000"/>
                <w:sz w:val="18"/>
                <w:szCs w:val="18"/>
              </w:rPr>
              <w:t xml:space="preserve">Public Toilet-  Brunswick Street/Victoria Street, Fitzroy </w:t>
            </w:r>
          </w:p>
        </w:tc>
        <w:tc>
          <w:tcPr>
            <w:tcW w:w="1276" w:type="dxa"/>
            <w:shd w:val="clear" w:color="auto" w:fill="auto"/>
            <w:hideMark/>
          </w:tcPr>
          <w:p w:rsidR="00226205" w:rsidRPr="00226205" w:rsidRDefault="009965C5" w:rsidP="009965C5">
            <w:pPr>
              <w:tabs>
                <w:tab w:val="decimal" w:pos="884"/>
              </w:tabs>
              <w:jc w:val="left"/>
              <w:rPr>
                <w:rFonts w:ascii="Calibri" w:hAnsi="Calibri" w:cs="Calibri"/>
                <w:color w:val="000000"/>
                <w:sz w:val="18"/>
                <w:szCs w:val="18"/>
              </w:rPr>
            </w:pPr>
            <w:r>
              <w:rPr>
                <w:rFonts w:ascii="Calibri" w:hAnsi="Calibri" w:cs="Calibri"/>
                <w:color w:val="000000"/>
                <w:sz w:val="18"/>
                <w:szCs w:val="18"/>
              </w:rPr>
              <w:t>$</w:t>
            </w:r>
            <w:r w:rsidR="00226205" w:rsidRPr="00226205">
              <w:rPr>
                <w:rFonts w:ascii="Calibri" w:hAnsi="Calibri" w:cs="Calibri"/>
                <w:color w:val="000000"/>
                <w:sz w:val="18"/>
                <w:szCs w:val="18"/>
              </w:rPr>
              <w:t>132,750</w:t>
            </w:r>
          </w:p>
        </w:tc>
        <w:tc>
          <w:tcPr>
            <w:tcW w:w="1134" w:type="dxa"/>
            <w:shd w:val="clear" w:color="auto" w:fill="auto"/>
            <w:hideMark/>
          </w:tcPr>
          <w:p w:rsidR="00226205" w:rsidRPr="00226205" w:rsidRDefault="00226205" w:rsidP="00226205">
            <w:pPr>
              <w:jc w:val="center"/>
              <w:rPr>
                <w:rFonts w:ascii="Calibri" w:hAnsi="Calibri" w:cs="Calibri"/>
                <w:color w:val="000000"/>
                <w:sz w:val="18"/>
                <w:szCs w:val="18"/>
              </w:rPr>
            </w:pPr>
            <w:r w:rsidRPr="00226205">
              <w:rPr>
                <w:rFonts w:ascii="Calibri" w:hAnsi="Calibri" w:cs="Calibri"/>
                <w:color w:val="000000"/>
                <w:sz w:val="18"/>
                <w:szCs w:val="18"/>
              </w:rPr>
              <w:t>Amenity</w:t>
            </w:r>
          </w:p>
        </w:tc>
        <w:tc>
          <w:tcPr>
            <w:tcW w:w="1417" w:type="dxa"/>
            <w:shd w:val="clear" w:color="auto" w:fill="auto"/>
            <w:hideMark/>
          </w:tcPr>
          <w:p w:rsidR="00226205" w:rsidRPr="00226205" w:rsidRDefault="00226205" w:rsidP="00226205">
            <w:pPr>
              <w:jc w:val="center"/>
              <w:rPr>
                <w:rFonts w:ascii="Calibri" w:hAnsi="Calibri" w:cs="Calibri"/>
                <w:color w:val="000000"/>
                <w:sz w:val="18"/>
                <w:szCs w:val="18"/>
              </w:rPr>
            </w:pPr>
            <w:r w:rsidRPr="00226205">
              <w:rPr>
                <w:rFonts w:ascii="Calibri" w:hAnsi="Calibri" w:cs="Calibri"/>
                <w:color w:val="000000"/>
                <w:sz w:val="18"/>
                <w:szCs w:val="18"/>
              </w:rPr>
              <w:t>Public Toilets</w:t>
            </w:r>
          </w:p>
        </w:tc>
        <w:tc>
          <w:tcPr>
            <w:tcW w:w="2410" w:type="dxa"/>
            <w:shd w:val="clear" w:color="auto" w:fill="auto"/>
            <w:hideMark/>
          </w:tcPr>
          <w:p w:rsidR="00226205" w:rsidRPr="00226205" w:rsidRDefault="00226205" w:rsidP="00226205">
            <w:pPr>
              <w:jc w:val="left"/>
              <w:rPr>
                <w:rFonts w:ascii="Calibri" w:hAnsi="Calibri" w:cs="Calibri"/>
                <w:color w:val="000000"/>
                <w:sz w:val="18"/>
                <w:szCs w:val="18"/>
              </w:rPr>
            </w:pPr>
            <w:r w:rsidRPr="00226205">
              <w:rPr>
                <w:rFonts w:ascii="Calibri" w:hAnsi="Calibri" w:cs="Calibri"/>
                <w:color w:val="000000"/>
                <w:sz w:val="18"/>
                <w:szCs w:val="18"/>
              </w:rPr>
              <w:t>This public toilet is in excellent condition.</w:t>
            </w:r>
          </w:p>
        </w:tc>
        <w:tc>
          <w:tcPr>
            <w:tcW w:w="3118" w:type="dxa"/>
            <w:shd w:val="clear" w:color="auto" w:fill="auto"/>
            <w:hideMark/>
          </w:tcPr>
          <w:p w:rsidR="00226205" w:rsidRPr="00226205" w:rsidRDefault="00226205" w:rsidP="00226205">
            <w:pPr>
              <w:jc w:val="left"/>
              <w:rPr>
                <w:rFonts w:ascii="Calibri" w:hAnsi="Calibri" w:cs="Calibri"/>
                <w:color w:val="000000"/>
                <w:sz w:val="18"/>
                <w:szCs w:val="18"/>
              </w:rPr>
            </w:pPr>
            <w:r w:rsidRPr="00226205">
              <w:rPr>
                <w:rFonts w:ascii="Calibri" w:hAnsi="Calibri" w:cs="Calibri"/>
                <w:color w:val="000000"/>
                <w:sz w:val="18"/>
                <w:szCs w:val="18"/>
              </w:rPr>
              <w:t>Limited capacity.</w:t>
            </w:r>
          </w:p>
        </w:tc>
      </w:tr>
    </w:tbl>
    <w:p w:rsidR="00226205" w:rsidRDefault="00226205" w:rsidP="00643860">
      <w:pPr>
        <w:rPr>
          <w:rStyle w:val="IntenseEmphasis"/>
          <w:i w:val="0"/>
          <w:color w:val="000000" w:themeColor="text1"/>
          <w:sz w:val="28"/>
        </w:rPr>
      </w:pPr>
    </w:p>
    <w:p w:rsidR="00B3591D" w:rsidRDefault="00B3591D" w:rsidP="00643860">
      <w:pPr>
        <w:rPr>
          <w:rStyle w:val="IntenseEmphasis"/>
          <w:i w:val="0"/>
          <w:color w:val="000000" w:themeColor="text1"/>
          <w:sz w:val="28"/>
        </w:rPr>
        <w:sectPr w:rsidR="00B3591D" w:rsidSect="00226205">
          <w:headerReference w:type="default" r:id="rId226"/>
          <w:footerReference w:type="default" r:id="rId227"/>
          <w:type w:val="oddPage"/>
          <w:pgSz w:w="16838" w:h="11906" w:orient="landscape" w:code="9"/>
          <w:pgMar w:top="1418" w:right="851" w:bottom="1418" w:left="851" w:header="284" w:footer="312" w:gutter="0"/>
          <w:cols w:space="720"/>
          <w:docGrid w:linePitch="360"/>
        </w:sectPr>
      </w:pPr>
    </w:p>
    <w:p w:rsidR="003D20CD" w:rsidRDefault="003D20CD" w:rsidP="00643860">
      <w:pPr>
        <w:rPr>
          <w:rStyle w:val="IntenseEmphasis"/>
          <w:i w:val="0"/>
          <w:color w:val="000000" w:themeColor="text1"/>
          <w:sz w:val="28"/>
        </w:rPr>
      </w:pPr>
    </w:p>
    <w:p w:rsidR="00643860" w:rsidRPr="00327C54" w:rsidRDefault="003A45AA" w:rsidP="00B64C8D">
      <w:pPr>
        <w:pStyle w:val="Heading4"/>
      </w:pPr>
      <w:bookmarkStart w:id="839" w:name="_Attachment_B:_"/>
      <w:bookmarkStart w:id="840" w:name="_Attachment_C_:"/>
      <w:bookmarkStart w:id="841" w:name="_Ref361081623"/>
      <w:bookmarkEnd w:id="839"/>
      <w:bookmarkEnd w:id="840"/>
      <w:r>
        <w:t xml:space="preserve">Attachment </w:t>
      </w:r>
      <w:r w:rsidR="00897C2D">
        <w:t>B</w:t>
      </w:r>
      <w:r w:rsidR="00327C54">
        <w:t xml:space="preserve">:  </w:t>
      </w:r>
      <w:r w:rsidR="00643860" w:rsidRPr="00327C54">
        <w:t>Asset Management Practice Review (Detailed Gap Analysis)</w:t>
      </w:r>
      <w:bookmarkEnd w:id="841"/>
    </w:p>
    <w:p w:rsidR="00643860" w:rsidRPr="00CD7D4F" w:rsidRDefault="00643860" w:rsidP="00643860"/>
    <w:p w:rsidR="00FA4217" w:rsidRDefault="00643860" w:rsidP="00FA4217">
      <w:pPr>
        <w:jc w:val="center"/>
      </w:pPr>
      <w:r w:rsidRPr="002E4175">
        <w:rPr>
          <w:noProof/>
        </w:rPr>
        <w:drawing>
          <wp:inline distT="0" distB="0" distL="0" distR="0" wp14:anchorId="0CF4AD62" wp14:editId="21AC4333">
            <wp:extent cx="8921314" cy="519112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28" cstate="print">
                      <a:extLst>
                        <a:ext uri="{28A0092B-C50C-407E-A947-70E740481C1C}">
                          <a14:useLocalDpi xmlns:a14="http://schemas.microsoft.com/office/drawing/2010/main" val="0"/>
                        </a:ext>
                      </a:extLst>
                    </a:blip>
                    <a:srcRect/>
                    <a:stretch>
                      <a:fillRect/>
                    </a:stretch>
                  </pic:blipFill>
                  <pic:spPr bwMode="auto">
                    <a:xfrm>
                      <a:off x="0" y="0"/>
                      <a:ext cx="8940258" cy="5202148"/>
                    </a:xfrm>
                    <a:prstGeom prst="rect">
                      <a:avLst/>
                    </a:prstGeom>
                    <a:noFill/>
                    <a:ln>
                      <a:noFill/>
                    </a:ln>
                  </pic:spPr>
                </pic:pic>
              </a:graphicData>
            </a:graphic>
          </wp:inline>
        </w:drawing>
      </w:r>
    </w:p>
    <w:p w:rsidR="00EB65F3" w:rsidRDefault="00EB65F3" w:rsidP="00FA4217">
      <w:pPr>
        <w:jc w:val="center"/>
      </w:pPr>
    </w:p>
    <w:p w:rsidR="00EB65F3" w:rsidRDefault="00EB65F3" w:rsidP="00FA4217">
      <w:pPr>
        <w:jc w:val="center"/>
        <w:sectPr w:rsidR="00EB65F3" w:rsidSect="00EB65F3">
          <w:headerReference w:type="default" r:id="rId229"/>
          <w:footerReference w:type="default" r:id="rId230"/>
          <w:type w:val="oddPage"/>
          <w:pgSz w:w="16838" w:h="11906" w:orient="landscape" w:code="9"/>
          <w:pgMar w:top="1418" w:right="1418" w:bottom="851" w:left="851" w:header="284" w:footer="312" w:gutter="0"/>
          <w:cols w:space="720"/>
          <w:docGrid w:linePitch="360"/>
        </w:sectPr>
      </w:pPr>
    </w:p>
    <w:p w:rsidR="00643860" w:rsidRDefault="00643860" w:rsidP="00643860"/>
    <w:p w:rsidR="00FA4217" w:rsidRDefault="00FA4217" w:rsidP="00643860"/>
    <w:p w:rsidR="00FA4217" w:rsidRDefault="00FA4217" w:rsidP="00643860"/>
    <w:p w:rsidR="00FA4217" w:rsidRDefault="00FA4217" w:rsidP="00643860"/>
    <w:p w:rsidR="00643860" w:rsidRDefault="00643860" w:rsidP="00643860">
      <w:r w:rsidRPr="005D4002">
        <w:rPr>
          <w:noProof/>
        </w:rPr>
        <w:drawing>
          <wp:inline distT="0" distB="0" distL="0" distR="0" wp14:anchorId="689AB0A6" wp14:editId="1177C831">
            <wp:extent cx="5848350" cy="3752301"/>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31" cstate="print">
                      <a:extLst>
                        <a:ext uri="{28A0092B-C50C-407E-A947-70E740481C1C}">
                          <a14:useLocalDpi xmlns:a14="http://schemas.microsoft.com/office/drawing/2010/main" val="0"/>
                        </a:ext>
                      </a:extLst>
                    </a:blip>
                    <a:srcRect/>
                    <a:stretch>
                      <a:fillRect/>
                    </a:stretch>
                  </pic:blipFill>
                  <pic:spPr bwMode="auto">
                    <a:xfrm>
                      <a:off x="0" y="0"/>
                      <a:ext cx="5859377" cy="3759376"/>
                    </a:xfrm>
                    <a:prstGeom prst="rect">
                      <a:avLst/>
                    </a:prstGeom>
                    <a:noFill/>
                    <a:ln>
                      <a:noFill/>
                    </a:ln>
                  </pic:spPr>
                </pic:pic>
              </a:graphicData>
            </a:graphic>
          </wp:inline>
        </w:drawing>
      </w:r>
    </w:p>
    <w:p w:rsidR="00FA4217" w:rsidRDefault="00FA4217" w:rsidP="00643860"/>
    <w:p w:rsidR="00643860" w:rsidRDefault="00643860" w:rsidP="00643860"/>
    <w:p w:rsidR="00FA4217" w:rsidRDefault="00FA4217" w:rsidP="00643860"/>
    <w:p w:rsidR="00FA4217" w:rsidRDefault="00FA4217" w:rsidP="00643860"/>
    <w:p w:rsidR="00643860" w:rsidRDefault="00643860" w:rsidP="00643860">
      <w:r w:rsidRPr="005D4002">
        <w:rPr>
          <w:noProof/>
        </w:rPr>
        <w:drawing>
          <wp:inline distT="0" distB="0" distL="0" distR="0" wp14:anchorId="3B47CB41" wp14:editId="4C4D5315">
            <wp:extent cx="5846400" cy="375120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32" cstate="print">
                      <a:extLst>
                        <a:ext uri="{28A0092B-C50C-407E-A947-70E740481C1C}">
                          <a14:useLocalDpi xmlns:a14="http://schemas.microsoft.com/office/drawing/2010/main" val="0"/>
                        </a:ext>
                      </a:extLst>
                    </a:blip>
                    <a:srcRect/>
                    <a:stretch>
                      <a:fillRect/>
                    </a:stretch>
                  </pic:blipFill>
                  <pic:spPr bwMode="auto">
                    <a:xfrm>
                      <a:off x="0" y="0"/>
                      <a:ext cx="5846400" cy="3751200"/>
                    </a:xfrm>
                    <a:prstGeom prst="rect">
                      <a:avLst/>
                    </a:prstGeom>
                    <a:noFill/>
                    <a:ln>
                      <a:noFill/>
                    </a:ln>
                  </pic:spPr>
                </pic:pic>
              </a:graphicData>
            </a:graphic>
          </wp:inline>
        </w:drawing>
      </w:r>
    </w:p>
    <w:p w:rsidR="00FA4217" w:rsidRDefault="00FA4217">
      <w:pPr>
        <w:jc w:val="left"/>
        <w:rPr>
          <w:noProof/>
        </w:rPr>
      </w:pPr>
      <w:r>
        <w:rPr>
          <w:noProof/>
        </w:rPr>
        <w:br w:type="page"/>
      </w:r>
    </w:p>
    <w:p w:rsidR="00643860" w:rsidRDefault="00643860" w:rsidP="00643860">
      <w:pPr>
        <w:rPr>
          <w:noProof/>
        </w:rPr>
      </w:pPr>
    </w:p>
    <w:p w:rsidR="00FA4217" w:rsidRDefault="00FA4217" w:rsidP="00643860">
      <w:pPr>
        <w:rPr>
          <w:noProof/>
        </w:rPr>
      </w:pPr>
    </w:p>
    <w:p w:rsidR="00FA4217" w:rsidRDefault="00FA4217" w:rsidP="00643860">
      <w:pPr>
        <w:rPr>
          <w:noProof/>
        </w:rPr>
      </w:pPr>
    </w:p>
    <w:p w:rsidR="00FA4217" w:rsidRDefault="00FA4217" w:rsidP="00643860">
      <w:pPr>
        <w:rPr>
          <w:noProof/>
        </w:rPr>
      </w:pPr>
    </w:p>
    <w:p w:rsidR="00FA4217" w:rsidRDefault="00FA4217" w:rsidP="00643860">
      <w:r w:rsidRPr="005D4002">
        <w:rPr>
          <w:noProof/>
        </w:rPr>
        <w:drawing>
          <wp:inline distT="0" distB="0" distL="0" distR="0" wp14:anchorId="4D7917A2" wp14:editId="398C74DF">
            <wp:extent cx="5759450" cy="3695532"/>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33" cstate="print">
                      <a:extLst>
                        <a:ext uri="{28A0092B-C50C-407E-A947-70E740481C1C}">
                          <a14:useLocalDpi xmlns:a14="http://schemas.microsoft.com/office/drawing/2010/main" val="0"/>
                        </a:ext>
                      </a:extLst>
                    </a:blip>
                    <a:srcRect/>
                    <a:stretch>
                      <a:fillRect/>
                    </a:stretch>
                  </pic:blipFill>
                  <pic:spPr bwMode="auto">
                    <a:xfrm>
                      <a:off x="0" y="0"/>
                      <a:ext cx="5759450" cy="3695532"/>
                    </a:xfrm>
                    <a:prstGeom prst="rect">
                      <a:avLst/>
                    </a:prstGeom>
                    <a:noFill/>
                    <a:ln>
                      <a:noFill/>
                    </a:ln>
                  </pic:spPr>
                </pic:pic>
              </a:graphicData>
            </a:graphic>
          </wp:inline>
        </w:drawing>
      </w:r>
    </w:p>
    <w:p w:rsidR="00FA4217" w:rsidRDefault="00FA4217" w:rsidP="00643860"/>
    <w:p w:rsidR="00FA4217" w:rsidRDefault="00FA4217" w:rsidP="00643860"/>
    <w:p w:rsidR="00FA4217" w:rsidRDefault="00FA4217" w:rsidP="00643860"/>
    <w:p w:rsidR="00FA4217" w:rsidRDefault="00FA4217" w:rsidP="00643860"/>
    <w:p w:rsidR="00643860" w:rsidRPr="006C70AC" w:rsidRDefault="00643860" w:rsidP="00643860">
      <w:r w:rsidRPr="005D4002">
        <w:rPr>
          <w:noProof/>
        </w:rPr>
        <w:drawing>
          <wp:inline distT="0" distB="0" distL="0" distR="0" wp14:anchorId="5C6C72BD" wp14:editId="477AB3CC">
            <wp:extent cx="5846633" cy="375120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34" cstate="print">
                      <a:extLst>
                        <a:ext uri="{28A0092B-C50C-407E-A947-70E740481C1C}">
                          <a14:useLocalDpi xmlns:a14="http://schemas.microsoft.com/office/drawing/2010/main" val="0"/>
                        </a:ext>
                      </a:extLst>
                    </a:blip>
                    <a:srcRect/>
                    <a:stretch>
                      <a:fillRect/>
                    </a:stretch>
                  </pic:blipFill>
                  <pic:spPr bwMode="auto">
                    <a:xfrm>
                      <a:off x="0" y="0"/>
                      <a:ext cx="5846633" cy="3751200"/>
                    </a:xfrm>
                    <a:prstGeom prst="rect">
                      <a:avLst/>
                    </a:prstGeom>
                    <a:noFill/>
                    <a:ln>
                      <a:noFill/>
                    </a:ln>
                  </pic:spPr>
                </pic:pic>
              </a:graphicData>
            </a:graphic>
          </wp:inline>
        </w:drawing>
      </w:r>
    </w:p>
    <w:bookmarkEnd w:id="811"/>
    <w:bookmarkEnd w:id="812"/>
    <w:p w:rsidR="00CC75F2" w:rsidRDefault="00CC75F2" w:rsidP="00185B47">
      <w:pPr>
        <w:sectPr w:rsidR="00CC75F2" w:rsidSect="00FA4217">
          <w:headerReference w:type="default" r:id="rId235"/>
          <w:footerReference w:type="default" r:id="rId236"/>
          <w:pgSz w:w="11906" w:h="16838" w:code="9"/>
          <w:pgMar w:top="1418" w:right="1418" w:bottom="851" w:left="1418" w:header="284" w:footer="312" w:gutter="0"/>
          <w:cols w:space="720"/>
          <w:docGrid w:linePitch="360"/>
        </w:sectPr>
      </w:pPr>
    </w:p>
    <w:p w:rsidR="00CC75F2" w:rsidRPr="00327C54" w:rsidRDefault="00CC75F2" w:rsidP="00CC75F2">
      <w:pPr>
        <w:pStyle w:val="Heading4"/>
      </w:pPr>
      <w:bookmarkStart w:id="842" w:name="_Ref364943402"/>
      <w:r>
        <w:t>Attachment C:  Heritage Controls on Yarra City Council-Owne</w:t>
      </w:r>
      <w:r w:rsidR="00554054">
        <w:t>d</w:t>
      </w:r>
      <w:r>
        <w:t xml:space="preserve"> Properties</w:t>
      </w:r>
      <w:bookmarkEnd w:id="842"/>
    </w:p>
    <w:p w:rsidR="00A340BD" w:rsidRDefault="00A340BD" w:rsidP="00185B47"/>
    <w:tbl>
      <w:tblPr>
        <w:tblW w:w="15324" w:type="dxa"/>
        <w:tblInd w:w="93" w:type="dxa"/>
        <w:tblLayout w:type="fixed"/>
        <w:tblLook w:val="04A0" w:firstRow="1" w:lastRow="0" w:firstColumn="1" w:lastColumn="0" w:noHBand="0" w:noVBand="1"/>
      </w:tblPr>
      <w:tblGrid>
        <w:gridCol w:w="1433"/>
        <w:gridCol w:w="1134"/>
        <w:gridCol w:w="1417"/>
        <w:gridCol w:w="1276"/>
        <w:gridCol w:w="1134"/>
        <w:gridCol w:w="992"/>
        <w:gridCol w:w="1134"/>
        <w:gridCol w:w="1276"/>
        <w:gridCol w:w="2835"/>
        <w:gridCol w:w="2693"/>
      </w:tblGrid>
      <w:tr w:rsidR="008B0CE7" w:rsidRPr="00CC75F2" w:rsidTr="00EA18F9">
        <w:trPr>
          <w:cantSplit/>
          <w:trHeight w:val="480"/>
          <w:tblHeader/>
        </w:trPr>
        <w:tc>
          <w:tcPr>
            <w:tcW w:w="1433" w:type="dxa"/>
            <w:tcBorders>
              <w:top w:val="single" w:sz="4" w:space="0" w:color="auto"/>
              <w:left w:val="single" w:sz="4" w:space="0" w:color="auto"/>
              <w:bottom w:val="single" w:sz="4" w:space="0" w:color="auto"/>
              <w:right w:val="single" w:sz="4" w:space="0" w:color="auto"/>
            </w:tcBorders>
            <w:shd w:val="clear" w:color="000000" w:fill="D9D9D9"/>
            <w:hideMark/>
          </w:tcPr>
          <w:p w:rsidR="00CC75F2" w:rsidRPr="00CC75F2" w:rsidRDefault="00CC75F2" w:rsidP="00CC75F2">
            <w:pPr>
              <w:jc w:val="left"/>
              <w:rPr>
                <w:rFonts w:cs="Arial"/>
                <w:b/>
                <w:bCs/>
                <w:sz w:val="16"/>
                <w:szCs w:val="16"/>
              </w:rPr>
            </w:pPr>
            <w:bookmarkStart w:id="843" w:name="RANGE!A1:J78"/>
            <w:r w:rsidRPr="00CC75F2">
              <w:rPr>
                <w:rFonts w:cs="Arial"/>
                <w:b/>
                <w:bCs/>
                <w:sz w:val="16"/>
                <w:szCs w:val="16"/>
              </w:rPr>
              <w:t>Address</w:t>
            </w:r>
            <w:bookmarkEnd w:id="843"/>
            <w:r w:rsidR="005E5635">
              <w:rPr>
                <w:rFonts w:cs="Arial"/>
                <w:b/>
                <w:bCs/>
                <w:sz w:val="16"/>
                <w:szCs w:val="16"/>
              </w:rPr>
              <w:br/>
              <w:t>Street Number</w:t>
            </w:r>
          </w:p>
        </w:tc>
        <w:tc>
          <w:tcPr>
            <w:tcW w:w="1134" w:type="dxa"/>
            <w:tcBorders>
              <w:top w:val="single" w:sz="4" w:space="0" w:color="auto"/>
              <w:left w:val="nil"/>
              <w:bottom w:val="single" w:sz="4" w:space="0" w:color="auto"/>
              <w:right w:val="single" w:sz="4" w:space="0" w:color="auto"/>
            </w:tcBorders>
            <w:shd w:val="clear" w:color="000000" w:fill="D9D9D9"/>
            <w:hideMark/>
          </w:tcPr>
          <w:p w:rsidR="00CC75F2" w:rsidRPr="00CC75F2" w:rsidRDefault="00CC75F2" w:rsidP="00CC75F2">
            <w:pPr>
              <w:jc w:val="center"/>
              <w:rPr>
                <w:rFonts w:cs="Arial"/>
                <w:b/>
                <w:bCs/>
                <w:sz w:val="16"/>
                <w:szCs w:val="16"/>
              </w:rPr>
            </w:pPr>
            <w:r w:rsidRPr="00CC75F2">
              <w:rPr>
                <w:rFonts w:cs="Arial"/>
                <w:b/>
                <w:bCs/>
                <w:sz w:val="16"/>
                <w:szCs w:val="16"/>
              </w:rPr>
              <w:t>Suburb</w:t>
            </w:r>
          </w:p>
        </w:tc>
        <w:tc>
          <w:tcPr>
            <w:tcW w:w="1417" w:type="dxa"/>
            <w:tcBorders>
              <w:top w:val="single" w:sz="4" w:space="0" w:color="auto"/>
              <w:left w:val="nil"/>
              <w:bottom w:val="single" w:sz="4" w:space="0" w:color="auto"/>
              <w:right w:val="single" w:sz="4" w:space="0" w:color="auto"/>
            </w:tcBorders>
            <w:shd w:val="clear" w:color="000000" w:fill="D9D9D9"/>
            <w:hideMark/>
          </w:tcPr>
          <w:p w:rsidR="00CC75F2" w:rsidRPr="00CC75F2" w:rsidRDefault="00CC75F2" w:rsidP="00CC75F2">
            <w:pPr>
              <w:jc w:val="center"/>
              <w:rPr>
                <w:rFonts w:cs="Arial"/>
                <w:b/>
                <w:bCs/>
                <w:sz w:val="16"/>
                <w:szCs w:val="16"/>
              </w:rPr>
            </w:pPr>
            <w:r w:rsidRPr="00CC75F2">
              <w:rPr>
                <w:rFonts w:cs="Arial"/>
                <w:b/>
                <w:bCs/>
                <w:sz w:val="16"/>
                <w:szCs w:val="16"/>
              </w:rPr>
              <w:t>Property Description</w:t>
            </w:r>
          </w:p>
        </w:tc>
        <w:tc>
          <w:tcPr>
            <w:tcW w:w="1276" w:type="dxa"/>
            <w:tcBorders>
              <w:top w:val="single" w:sz="4" w:space="0" w:color="auto"/>
              <w:left w:val="nil"/>
              <w:bottom w:val="single" w:sz="4" w:space="0" w:color="auto"/>
              <w:right w:val="single" w:sz="4" w:space="0" w:color="auto"/>
            </w:tcBorders>
            <w:shd w:val="clear" w:color="000000" w:fill="D9D9D9"/>
            <w:hideMark/>
          </w:tcPr>
          <w:p w:rsidR="00CC75F2" w:rsidRPr="00CC75F2" w:rsidRDefault="00CC75F2" w:rsidP="00CC75F2">
            <w:pPr>
              <w:jc w:val="center"/>
              <w:rPr>
                <w:rFonts w:cs="Arial"/>
                <w:b/>
                <w:bCs/>
                <w:sz w:val="16"/>
                <w:szCs w:val="16"/>
              </w:rPr>
            </w:pPr>
            <w:r w:rsidRPr="00CC75F2">
              <w:rPr>
                <w:rFonts w:cs="Arial"/>
                <w:b/>
                <w:bCs/>
                <w:sz w:val="16"/>
                <w:szCs w:val="16"/>
              </w:rPr>
              <w:t>Heritage Overlay*</w:t>
            </w:r>
          </w:p>
        </w:tc>
        <w:tc>
          <w:tcPr>
            <w:tcW w:w="1134" w:type="dxa"/>
            <w:tcBorders>
              <w:top w:val="single" w:sz="4" w:space="0" w:color="auto"/>
              <w:left w:val="nil"/>
              <w:bottom w:val="single" w:sz="4" w:space="0" w:color="auto"/>
              <w:right w:val="single" w:sz="4" w:space="0" w:color="auto"/>
            </w:tcBorders>
            <w:shd w:val="clear" w:color="000000" w:fill="D9D9D9"/>
            <w:hideMark/>
          </w:tcPr>
          <w:p w:rsidR="00CC75F2" w:rsidRPr="00CC75F2" w:rsidRDefault="00CC75F2" w:rsidP="00CC75F2">
            <w:pPr>
              <w:jc w:val="center"/>
              <w:rPr>
                <w:rFonts w:cs="Arial"/>
                <w:b/>
                <w:bCs/>
                <w:sz w:val="16"/>
                <w:szCs w:val="16"/>
              </w:rPr>
            </w:pPr>
            <w:r w:rsidRPr="00CC75F2">
              <w:rPr>
                <w:rFonts w:cs="Arial"/>
                <w:b/>
                <w:bCs/>
                <w:sz w:val="16"/>
                <w:szCs w:val="16"/>
              </w:rPr>
              <w:t>Heritage Overlay No.</w:t>
            </w:r>
          </w:p>
        </w:tc>
        <w:tc>
          <w:tcPr>
            <w:tcW w:w="992" w:type="dxa"/>
            <w:tcBorders>
              <w:top w:val="single" w:sz="4" w:space="0" w:color="auto"/>
              <w:left w:val="nil"/>
              <w:bottom w:val="single" w:sz="4" w:space="0" w:color="auto"/>
              <w:right w:val="single" w:sz="4" w:space="0" w:color="auto"/>
            </w:tcBorders>
            <w:shd w:val="clear" w:color="000000" w:fill="D9D9D9"/>
            <w:hideMark/>
          </w:tcPr>
          <w:p w:rsidR="00CC75F2" w:rsidRPr="00CC75F2" w:rsidRDefault="00CC75F2" w:rsidP="00CC75F2">
            <w:pPr>
              <w:jc w:val="center"/>
              <w:rPr>
                <w:rFonts w:cs="Arial"/>
                <w:b/>
                <w:bCs/>
                <w:sz w:val="16"/>
                <w:szCs w:val="16"/>
              </w:rPr>
            </w:pPr>
            <w:r w:rsidRPr="00CC75F2">
              <w:rPr>
                <w:rFonts w:cs="Arial"/>
                <w:b/>
                <w:bCs/>
                <w:sz w:val="16"/>
                <w:szCs w:val="16"/>
              </w:rPr>
              <w:t>VHR**</w:t>
            </w:r>
          </w:p>
        </w:tc>
        <w:tc>
          <w:tcPr>
            <w:tcW w:w="1134" w:type="dxa"/>
            <w:tcBorders>
              <w:top w:val="single" w:sz="4" w:space="0" w:color="auto"/>
              <w:left w:val="nil"/>
              <w:bottom w:val="single" w:sz="4" w:space="0" w:color="auto"/>
              <w:right w:val="single" w:sz="4" w:space="0" w:color="auto"/>
            </w:tcBorders>
            <w:shd w:val="clear" w:color="000000" w:fill="D9D9D9"/>
            <w:hideMark/>
          </w:tcPr>
          <w:p w:rsidR="00CC75F2" w:rsidRPr="00CC75F2" w:rsidRDefault="00CC75F2" w:rsidP="00373B8F">
            <w:pPr>
              <w:jc w:val="center"/>
              <w:rPr>
                <w:rFonts w:cs="Arial"/>
                <w:b/>
                <w:bCs/>
                <w:sz w:val="16"/>
                <w:szCs w:val="16"/>
              </w:rPr>
            </w:pPr>
            <w:r w:rsidRPr="00CC75F2">
              <w:rPr>
                <w:rFonts w:cs="Arial"/>
                <w:b/>
                <w:bCs/>
                <w:sz w:val="16"/>
                <w:szCs w:val="16"/>
              </w:rPr>
              <w:t>Control Type</w:t>
            </w:r>
          </w:p>
        </w:tc>
        <w:tc>
          <w:tcPr>
            <w:tcW w:w="1276" w:type="dxa"/>
            <w:tcBorders>
              <w:top w:val="single" w:sz="4" w:space="0" w:color="auto"/>
              <w:left w:val="nil"/>
              <w:bottom w:val="single" w:sz="4" w:space="0" w:color="auto"/>
              <w:right w:val="single" w:sz="4" w:space="0" w:color="auto"/>
            </w:tcBorders>
            <w:shd w:val="clear" w:color="000000" w:fill="D9D9D9"/>
            <w:hideMark/>
          </w:tcPr>
          <w:p w:rsidR="00CC75F2" w:rsidRPr="00CC75F2" w:rsidRDefault="00CC75F2" w:rsidP="00CC75F2">
            <w:pPr>
              <w:jc w:val="center"/>
              <w:rPr>
                <w:rFonts w:cs="Arial"/>
                <w:b/>
                <w:bCs/>
                <w:sz w:val="16"/>
                <w:szCs w:val="16"/>
              </w:rPr>
            </w:pPr>
            <w:r w:rsidRPr="00CC75F2">
              <w:rPr>
                <w:rFonts w:cs="Arial"/>
                <w:b/>
                <w:bCs/>
                <w:sz w:val="16"/>
                <w:szCs w:val="16"/>
              </w:rPr>
              <w:t>Local Grading***</w:t>
            </w:r>
          </w:p>
        </w:tc>
        <w:tc>
          <w:tcPr>
            <w:tcW w:w="2835" w:type="dxa"/>
            <w:tcBorders>
              <w:top w:val="single" w:sz="4" w:space="0" w:color="auto"/>
              <w:left w:val="nil"/>
              <w:bottom w:val="single" w:sz="4" w:space="0" w:color="auto"/>
              <w:right w:val="single" w:sz="4" w:space="0" w:color="auto"/>
            </w:tcBorders>
            <w:shd w:val="clear" w:color="000000" w:fill="D9D9D9"/>
            <w:hideMark/>
          </w:tcPr>
          <w:p w:rsidR="00CC75F2" w:rsidRPr="00CC75F2" w:rsidRDefault="00CC75F2" w:rsidP="00CC75F2">
            <w:pPr>
              <w:jc w:val="left"/>
              <w:rPr>
                <w:rFonts w:cs="Arial"/>
                <w:b/>
                <w:bCs/>
                <w:sz w:val="16"/>
                <w:szCs w:val="16"/>
              </w:rPr>
            </w:pPr>
            <w:r w:rsidRPr="00CC75F2">
              <w:rPr>
                <w:rFonts w:cs="Arial"/>
                <w:b/>
                <w:bCs/>
                <w:sz w:val="16"/>
                <w:szCs w:val="16"/>
              </w:rPr>
              <w:t>Heritage Implications</w:t>
            </w:r>
          </w:p>
        </w:tc>
        <w:tc>
          <w:tcPr>
            <w:tcW w:w="2693" w:type="dxa"/>
            <w:tcBorders>
              <w:top w:val="single" w:sz="4" w:space="0" w:color="auto"/>
              <w:left w:val="nil"/>
              <w:bottom w:val="single" w:sz="4" w:space="0" w:color="auto"/>
              <w:right w:val="single" w:sz="4" w:space="0" w:color="auto"/>
            </w:tcBorders>
            <w:shd w:val="clear" w:color="000000" w:fill="D9D9D9"/>
            <w:hideMark/>
          </w:tcPr>
          <w:p w:rsidR="00CC75F2" w:rsidRPr="00CC75F2" w:rsidRDefault="00CC75F2" w:rsidP="00CC75F2">
            <w:pPr>
              <w:jc w:val="left"/>
              <w:rPr>
                <w:rFonts w:cs="Arial"/>
                <w:b/>
                <w:bCs/>
                <w:sz w:val="16"/>
                <w:szCs w:val="16"/>
              </w:rPr>
            </w:pPr>
            <w:r w:rsidRPr="00CC75F2">
              <w:rPr>
                <w:rFonts w:cs="Arial"/>
                <w:b/>
                <w:bCs/>
                <w:sz w:val="16"/>
                <w:szCs w:val="16"/>
              </w:rPr>
              <w:t>Notes</w:t>
            </w:r>
          </w:p>
        </w:tc>
      </w:tr>
      <w:tr w:rsidR="008B0CE7" w:rsidRPr="00CC75F2" w:rsidTr="00EA18F9">
        <w:trPr>
          <w:cantSplit/>
          <w:trHeight w:val="720"/>
        </w:trPr>
        <w:tc>
          <w:tcPr>
            <w:tcW w:w="1433" w:type="dxa"/>
            <w:tcBorders>
              <w:top w:val="nil"/>
              <w:left w:val="single" w:sz="4" w:space="0" w:color="auto"/>
              <w:bottom w:val="single" w:sz="4" w:space="0" w:color="auto"/>
              <w:right w:val="single" w:sz="4" w:space="0" w:color="auto"/>
            </w:tcBorders>
            <w:shd w:val="clear" w:color="auto" w:fill="auto"/>
            <w:hideMark/>
          </w:tcPr>
          <w:p w:rsidR="00CC75F2" w:rsidRPr="00CC75F2" w:rsidRDefault="00CC75F2" w:rsidP="00CC75F2">
            <w:pPr>
              <w:jc w:val="left"/>
              <w:rPr>
                <w:rFonts w:cs="Arial"/>
                <w:color w:val="000000"/>
                <w:sz w:val="16"/>
                <w:szCs w:val="16"/>
              </w:rPr>
            </w:pPr>
            <w:r w:rsidRPr="00CC75F2">
              <w:rPr>
                <w:rFonts w:cs="Arial"/>
                <w:color w:val="000000"/>
                <w:sz w:val="16"/>
                <w:szCs w:val="16"/>
              </w:rPr>
              <w:t>Alexander Street 18</w:t>
            </w:r>
          </w:p>
        </w:tc>
        <w:tc>
          <w:tcPr>
            <w:tcW w:w="1134" w:type="dxa"/>
            <w:tcBorders>
              <w:top w:val="nil"/>
              <w:left w:val="nil"/>
              <w:bottom w:val="single" w:sz="4" w:space="0" w:color="auto"/>
              <w:right w:val="single" w:sz="4" w:space="0" w:color="auto"/>
            </w:tcBorders>
            <w:shd w:val="clear" w:color="auto" w:fill="auto"/>
            <w:hideMark/>
          </w:tcPr>
          <w:p w:rsidR="00CC75F2" w:rsidRPr="00CC75F2" w:rsidRDefault="00373B8F" w:rsidP="00373B8F">
            <w:pPr>
              <w:jc w:val="center"/>
              <w:rPr>
                <w:rFonts w:cs="Arial"/>
                <w:color w:val="000000"/>
                <w:sz w:val="16"/>
                <w:szCs w:val="16"/>
              </w:rPr>
            </w:pPr>
            <w:r>
              <w:rPr>
                <w:rFonts w:cs="Arial"/>
                <w:color w:val="000000"/>
                <w:sz w:val="16"/>
                <w:szCs w:val="16"/>
              </w:rPr>
              <w:t>Collingwood</w:t>
            </w:r>
          </w:p>
        </w:tc>
        <w:tc>
          <w:tcPr>
            <w:tcW w:w="1417" w:type="dxa"/>
            <w:tcBorders>
              <w:top w:val="nil"/>
              <w:left w:val="nil"/>
              <w:bottom w:val="single" w:sz="4" w:space="0" w:color="auto"/>
              <w:right w:val="single" w:sz="4" w:space="0" w:color="auto"/>
            </w:tcBorders>
            <w:shd w:val="clear" w:color="auto" w:fill="auto"/>
            <w:hideMark/>
          </w:tcPr>
          <w:p w:rsidR="00CC75F2" w:rsidRPr="00CC75F2" w:rsidRDefault="00373B8F" w:rsidP="00373B8F">
            <w:pPr>
              <w:jc w:val="center"/>
              <w:rPr>
                <w:rFonts w:cs="Arial"/>
                <w:color w:val="000000"/>
                <w:sz w:val="16"/>
                <w:szCs w:val="16"/>
              </w:rPr>
            </w:pPr>
            <w:r>
              <w:rPr>
                <w:rFonts w:cs="Arial"/>
                <w:color w:val="000000"/>
                <w:sz w:val="16"/>
                <w:szCs w:val="16"/>
              </w:rPr>
              <w:t>Reserve</w:t>
            </w:r>
            <w:r w:rsidR="00CC75F2" w:rsidRPr="00CC75F2">
              <w:rPr>
                <w:rFonts w:cs="Arial"/>
                <w:color w:val="000000"/>
                <w:sz w:val="16"/>
                <w:szCs w:val="16"/>
              </w:rPr>
              <w:t xml:space="preserve"> </w:t>
            </w:r>
          </w:p>
        </w:tc>
        <w:tc>
          <w:tcPr>
            <w:tcW w:w="1276" w:type="dxa"/>
            <w:tcBorders>
              <w:top w:val="nil"/>
              <w:left w:val="nil"/>
              <w:bottom w:val="single" w:sz="4" w:space="0" w:color="auto"/>
              <w:right w:val="single" w:sz="4" w:space="0" w:color="auto"/>
            </w:tcBorders>
            <w:shd w:val="clear" w:color="auto" w:fill="auto"/>
            <w:hideMark/>
          </w:tcPr>
          <w:p w:rsidR="00CC75F2" w:rsidRPr="00CC75F2" w:rsidRDefault="00CC75F2" w:rsidP="00CC75F2">
            <w:pPr>
              <w:jc w:val="center"/>
              <w:rPr>
                <w:rFonts w:cs="Arial"/>
                <w:color w:val="000000"/>
                <w:sz w:val="16"/>
                <w:szCs w:val="16"/>
              </w:rPr>
            </w:pPr>
            <w:r w:rsidRPr="00CC75F2">
              <w:rPr>
                <w:rFonts w:cs="Arial"/>
                <w:color w:val="000000"/>
                <w:sz w:val="16"/>
                <w:szCs w:val="16"/>
              </w:rPr>
              <w:t>Gold Street Precinct</w:t>
            </w:r>
          </w:p>
        </w:tc>
        <w:tc>
          <w:tcPr>
            <w:tcW w:w="1134" w:type="dxa"/>
            <w:tcBorders>
              <w:top w:val="nil"/>
              <w:left w:val="nil"/>
              <w:bottom w:val="single" w:sz="4" w:space="0" w:color="auto"/>
              <w:right w:val="single" w:sz="4" w:space="0" w:color="auto"/>
            </w:tcBorders>
            <w:shd w:val="clear" w:color="auto" w:fill="auto"/>
            <w:hideMark/>
          </w:tcPr>
          <w:p w:rsidR="00CC75F2" w:rsidRPr="00CC75F2" w:rsidRDefault="00CC75F2" w:rsidP="00CC75F2">
            <w:pPr>
              <w:jc w:val="center"/>
              <w:rPr>
                <w:rFonts w:cs="Arial"/>
                <w:color w:val="000000"/>
                <w:sz w:val="16"/>
                <w:szCs w:val="16"/>
              </w:rPr>
            </w:pPr>
            <w:r w:rsidRPr="00CC75F2">
              <w:rPr>
                <w:rFonts w:cs="Arial"/>
                <w:color w:val="000000"/>
                <w:sz w:val="16"/>
                <w:szCs w:val="16"/>
              </w:rPr>
              <w:t>HO321</w:t>
            </w:r>
          </w:p>
        </w:tc>
        <w:tc>
          <w:tcPr>
            <w:tcW w:w="992" w:type="dxa"/>
            <w:tcBorders>
              <w:top w:val="nil"/>
              <w:left w:val="nil"/>
              <w:bottom w:val="single" w:sz="4" w:space="0" w:color="auto"/>
              <w:right w:val="single" w:sz="4" w:space="0" w:color="auto"/>
            </w:tcBorders>
            <w:shd w:val="clear" w:color="auto" w:fill="auto"/>
            <w:hideMark/>
          </w:tcPr>
          <w:p w:rsidR="00CC75F2" w:rsidRPr="00CC75F2" w:rsidRDefault="00CC75F2" w:rsidP="00CC75F2">
            <w:pPr>
              <w:jc w:val="center"/>
              <w:rPr>
                <w:rFonts w:cs="Arial"/>
                <w:color w:val="000000"/>
                <w:sz w:val="16"/>
                <w:szCs w:val="16"/>
              </w:rPr>
            </w:pPr>
            <w:r w:rsidRPr="00CC75F2">
              <w:rPr>
                <w:rFonts w:cs="Arial"/>
                <w:color w:val="000000"/>
                <w:sz w:val="16"/>
                <w:szCs w:val="16"/>
              </w:rPr>
              <w:t>N/A</w:t>
            </w:r>
          </w:p>
        </w:tc>
        <w:tc>
          <w:tcPr>
            <w:tcW w:w="1134" w:type="dxa"/>
            <w:tcBorders>
              <w:top w:val="nil"/>
              <w:left w:val="nil"/>
              <w:bottom w:val="single" w:sz="4" w:space="0" w:color="auto"/>
              <w:right w:val="single" w:sz="4" w:space="0" w:color="auto"/>
            </w:tcBorders>
            <w:shd w:val="clear" w:color="auto" w:fill="auto"/>
            <w:hideMark/>
          </w:tcPr>
          <w:p w:rsidR="00CC75F2" w:rsidRPr="00CC75F2" w:rsidRDefault="00CC75F2" w:rsidP="00373B8F">
            <w:pPr>
              <w:jc w:val="center"/>
              <w:rPr>
                <w:rFonts w:cs="Arial"/>
                <w:color w:val="000000"/>
                <w:sz w:val="16"/>
                <w:szCs w:val="16"/>
              </w:rPr>
            </w:pPr>
            <w:r w:rsidRPr="00CC75F2">
              <w:rPr>
                <w:rFonts w:cs="Arial"/>
                <w:color w:val="000000"/>
                <w:sz w:val="16"/>
                <w:szCs w:val="16"/>
              </w:rPr>
              <w:t>Precinct</w:t>
            </w:r>
          </w:p>
        </w:tc>
        <w:tc>
          <w:tcPr>
            <w:tcW w:w="1276" w:type="dxa"/>
            <w:tcBorders>
              <w:top w:val="nil"/>
              <w:left w:val="nil"/>
              <w:bottom w:val="single" w:sz="4" w:space="0" w:color="auto"/>
              <w:right w:val="single" w:sz="4" w:space="0" w:color="auto"/>
            </w:tcBorders>
            <w:shd w:val="clear" w:color="auto" w:fill="auto"/>
            <w:hideMark/>
          </w:tcPr>
          <w:p w:rsidR="00CC75F2" w:rsidRPr="00CC75F2" w:rsidRDefault="00CC75F2" w:rsidP="00CC75F2">
            <w:pPr>
              <w:jc w:val="center"/>
              <w:rPr>
                <w:rFonts w:cs="Arial"/>
                <w:color w:val="000000"/>
                <w:sz w:val="16"/>
                <w:szCs w:val="16"/>
              </w:rPr>
            </w:pPr>
            <w:r w:rsidRPr="00CC75F2">
              <w:rPr>
                <w:rFonts w:cs="Arial"/>
                <w:color w:val="000000"/>
                <w:sz w:val="16"/>
                <w:szCs w:val="16"/>
              </w:rPr>
              <w:t>Not contributory</w:t>
            </w:r>
          </w:p>
        </w:tc>
        <w:tc>
          <w:tcPr>
            <w:tcW w:w="2835" w:type="dxa"/>
            <w:tcBorders>
              <w:top w:val="nil"/>
              <w:left w:val="nil"/>
              <w:bottom w:val="single" w:sz="4" w:space="0" w:color="auto"/>
              <w:right w:val="single" w:sz="4" w:space="0" w:color="auto"/>
            </w:tcBorders>
            <w:shd w:val="clear" w:color="auto" w:fill="auto"/>
            <w:hideMark/>
          </w:tcPr>
          <w:p w:rsidR="00CC75F2" w:rsidRPr="00CC75F2" w:rsidRDefault="00CC75F2" w:rsidP="00CC75F2">
            <w:pPr>
              <w:jc w:val="left"/>
              <w:rPr>
                <w:rFonts w:cs="Arial"/>
                <w:color w:val="000000"/>
                <w:sz w:val="16"/>
                <w:szCs w:val="16"/>
              </w:rPr>
            </w:pPr>
            <w:r w:rsidRPr="00CC75F2">
              <w:rPr>
                <w:rFonts w:cs="Arial"/>
                <w:color w:val="000000"/>
                <w:sz w:val="16"/>
                <w:szCs w:val="16"/>
              </w:rPr>
              <w:t>External controls over buildings and land, no internal controls, no external paint controls and no tree controls</w:t>
            </w:r>
          </w:p>
        </w:tc>
        <w:tc>
          <w:tcPr>
            <w:tcW w:w="2693" w:type="dxa"/>
            <w:tcBorders>
              <w:top w:val="nil"/>
              <w:left w:val="nil"/>
              <w:bottom w:val="single" w:sz="4" w:space="0" w:color="auto"/>
              <w:right w:val="single" w:sz="4" w:space="0" w:color="auto"/>
            </w:tcBorders>
            <w:shd w:val="clear" w:color="auto" w:fill="auto"/>
            <w:hideMark/>
          </w:tcPr>
          <w:p w:rsidR="00CC75F2" w:rsidRPr="00CC75F2" w:rsidRDefault="00CC75F2" w:rsidP="00622DC3">
            <w:pPr>
              <w:jc w:val="left"/>
              <w:rPr>
                <w:rFonts w:cs="Arial"/>
                <w:color w:val="000000"/>
                <w:sz w:val="16"/>
                <w:szCs w:val="16"/>
              </w:rPr>
            </w:pPr>
            <w:r w:rsidRPr="00CC75F2">
              <w:rPr>
                <w:rFonts w:cs="Arial"/>
                <w:color w:val="000000"/>
                <w:sz w:val="16"/>
                <w:szCs w:val="16"/>
              </w:rPr>
              <w:t>Physical changes to the reserve would normally require approval under the Heritage Overlay from the Yarra</w:t>
            </w:r>
            <w:r w:rsidR="00622DC3">
              <w:rPr>
                <w:rFonts w:cs="Arial"/>
                <w:color w:val="000000"/>
                <w:sz w:val="16"/>
                <w:szCs w:val="16"/>
              </w:rPr>
              <w:t xml:space="preserve"> City Council</w:t>
            </w:r>
            <w:r w:rsidRPr="00CC75F2">
              <w:rPr>
                <w:rFonts w:cs="Arial"/>
                <w:color w:val="000000"/>
                <w:sz w:val="16"/>
                <w:szCs w:val="16"/>
              </w:rPr>
              <w:t>.</w:t>
            </w:r>
          </w:p>
        </w:tc>
      </w:tr>
      <w:tr w:rsidR="008B0CE7" w:rsidRPr="00CC75F2" w:rsidTr="00EA18F9">
        <w:trPr>
          <w:cantSplit/>
          <w:trHeight w:val="2640"/>
        </w:trPr>
        <w:tc>
          <w:tcPr>
            <w:tcW w:w="1433" w:type="dxa"/>
            <w:tcBorders>
              <w:top w:val="nil"/>
              <w:left w:val="single" w:sz="4" w:space="0" w:color="auto"/>
              <w:bottom w:val="single" w:sz="4" w:space="0" w:color="auto"/>
              <w:right w:val="single" w:sz="4" w:space="0" w:color="auto"/>
            </w:tcBorders>
            <w:shd w:val="clear" w:color="auto" w:fill="auto"/>
            <w:hideMark/>
          </w:tcPr>
          <w:p w:rsidR="00CC75F2" w:rsidRPr="00CC75F2" w:rsidRDefault="00CC75F2" w:rsidP="00CC75F2">
            <w:pPr>
              <w:jc w:val="left"/>
              <w:rPr>
                <w:rFonts w:cs="Arial"/>
                <w:color w:val="000000"/>
                <w:sz w:val="16"/>
                <w:szCs w:val="16"/>
              </w:rPr>
            </w:pPr>
            <w:r w:rsidRPr="00CC75F2">
              <w:rPr>
                <w:rFonts w:cs="Arial"/>
                <w:color w:val="000000"/>
                <w:sz w:val="16"/>
                <w:szCs w:val="16"/>
              </w:rPr>
              <w:t>Alexandra Parade 160</w:t>
            </w:r>
          </w:p>
        </w:tc>
        <w:tc>
          <w:tcPr>
            <w:tcW w:w="1134" w:type="dxa"/>
            <w:tcBorders>
              <w:top w:val="nil"/>
              <w:left w:val="nil"/>
              <w:bottom w:val="single" w:sz="4" w:space="0" w:color="auto"/>
              <w:right w:val="single" w:sz="4" w:space="0" w:color="auto"/>
            </w:tcBorders>
            <w:shd w:val="clear" w:color="auto" w:fill="auto"/>
            <w:hideMark/>
          </w:tcPr>
          <w:p w:rsidR="00CC75F2" w:rsidRPr="00CC75F2" w:rsidRDefault="00CC75F2" w:rsidP="00373B8F">
            <w:pPr>
              <w:jc w:val="center"/>
              <w:rPr>
                <w:rFonts w:cs="Arial"/>
                <w:color w:val="000000"/>
                <w:sz w:val="16"/>
                <w:szCs w:val="16"/>
              </w:rPr>
            </w:pPr>
            <w:r w:rsidRPr="00CC75F2">
              <w:rPr>
                <w:rFonts w:cs="Arial"/>
                <w:color w:val="000000"/>
                <w:sz w:val="16"/>
                <w:szCs w:val="16"/>
              </w:rPr>
              <w:t>F</w:t>
            </w:r>
            <w:r w:rsidR="00373B8F">
              <w:rPr>
                <w:rFonts w:cs="Arial"/>
                <w:color w:val="000000"/>
                <w:sz w:val="16"/>
                <w:szCs w:val="16"/>
              </w:rPr>
              <w:t>itzroy</w:t>
            </w:r>
          </w:p>
        </w:tc>
        <w:tc>
          <w:tcPr>
            <w:tcW w:w="1417" w:type="dxa"/>
            <w:tcBorders>
              <w:top w:val="nil"/>
              <w:left w:val="nil"/>
              <w:bottom w:val="single" w:sz="4" w:space="0" w:color="auto"/>
              <w:right w:val="single" w:sz="4" w:space="0" w:color="auto"/>
            </w:tcBorders>
            <w:shd w:val="clear" w:color="auto" w:fill="auto"/>
            <w:hideMark/>
          </w:tcPr>
          <w:p w:rsidR="00CC75F2" w:rsidRPr="00CC75F2" w:rsidRDefault="00CC75F2" w:rsidP="00373B8F">
            <w:pPr>
              <w:jc w:val="center"/>
              <w:rPr>
                <w:rFonts w:cs="Arial"/>
                <w:color w:val="000000"/>
                <w:sz w:val="16"/>
                <w:szCs w:val="16"/>
              </w:rPr>
            </w:pPr>
            <w:r w:rsidRPr="00CC75F2">
              <w:rPr>
                <w:rFonts w:cs="Arial"/>
                <w:color w:val="000000"/>
                <w:sz w:val="16"/>
                <w:szCs w:val="16"/>
              </w:rPr>
              <w:t>F</w:t>
            </w:r>
            <w:r w:rsidR="00373B8F">
              <w:rPr>
                <w:rFonts w:cs="Arial"/>
                <w:color w:val="000000"/>
                <w:sz w:val="16"/>
                <w:szCs w:val="16"/>
              </w:rPr>
              <w:t>itzroy Pool</w:t>
            </w:r>
          </w:p>
        </w:tc>
        <w:tc>
          <w:tcPr>
            <w:tcW w:w="1276" w:type="dxa"/>
            <w:tcBorders>
              <w:top w:val="nil"/>
              <w:left w:val="nil"/>
              <w:bottom w:val="single" w:sz="4" w:space="0" w:color="auto"/>
              <w:right w:val="single" w:sz="4" w:space="0" w:color="auto"/>
            </w:tcBorders>
            <w:shd w:val="clear" w:color="auto" w:fill="auto"/>
            <w:hideMark/>
          </w:tcPr>
          <w:p w:rsidR="00CC75F2" w:rsidRPr="00CC75F2" w:rsidRDefault="00CC75F2" w:rsidP="00CC75F2">
            <w:pPr>
              <w:jc w:val="center"/>
              <w:rPr>
                <w:rFonts w:cs="Arial"/>
                <w:color w:val="000000"/>
                <w:sz w:val="16"/>
                <w:szCs w:val="16"/>
              </w:rPr>
            </w:pPr>
            <w:r w:rsidRPr="00CC75F2">
              <w:rPr>
                <w:rFonts w:cs="Arial"/>
                <w:color w:val="000000"/>
                <w:sz w:val="16"/>
                <w:szCs w:val="16"/>
              </w:rPr>
              <w:t>South Fitzroy Precinct (HO334) 'Aqua Profonda' sign Fitzroy Pool (HO355)</w:t>
            </w:r>
          </w:p>
        </w:tc>
        <w:tc>
          <w:tcPr>
            <w:tcW w:w="1134" w:type="dxa"/>
            <w:tcBorders>
              <w:top w:val="nil"/>
              <w:left w:val="nil"/>
              <w:bottom w:val="single" w:sz="4" w:space="0" w:color="auto"/>
              <w:right w:val="single" w:sz="4" w:space="0" w:color="auto"/>
            </w:tcBorders>
            <w:shd w:val="clear" w:color="auto" w:fill="auto"/>
            <w:hideMark/>
          </w:tcPr>
          <w:p w:rsidR="00CC75F2" w:rsidRPr="00CC75F2" w:rsidRDefault="00CC75F2" w:rsidP="00CC75F2">
            <w:pPr>
              <w:jc w:val="center"/>
              <w:rPr>
                <w:rFonts w:cs="Arial"/>
                <w:color w:val="000000"/>
                <w:sz w:val="16"/>
                <w:szCs w:val="16"/>
              </w:rPr>
            </w:pPr>
            <w:r w:rsidRPr="00CC75F2">
              <w:rPr>
                <w:rFonts w:cs="Arial"/>
                <w:color w:val="000000"/>
                <w:sz w:val="16"/>
                <w:szCs w:val="16"/>
              </w:rPr>
              <w:t xml:space="preserve">HO334 and HO355 </w:t>
            </w:r>
          </w:p>
        </w:tc>
        <w:tc>
          <w:tcPr>
            <w:tcW w:w="992" w:type="dxa"/>
            <w:tcBorders>
              <w:top w:val="nil"/>
              <w:left w:val="nil"/>
              <w:bottom w:val="single" w:sz="4" w:space="0" w:color="auto"/>
              <w:right w:val="single" w:sz="4" w:space="0" w:color="auto"/>
            </w:tcBorders>
            <w:shd w:val="clear" w:color="auto" w:fill="auto"/>
            <w:hideMark/>
          </w:tcPr>
          <w:p w:rsidR="00CC75F2" w:rsidRPr="00CC75F2" w:rsidRDefault="00CC75F2" w:rsidP="00CC75F2">
            <w:pPr>
              <w:jc w:val="center"/>
              <w:rPr>
                <w:rFonts w:cs="Arial"/>
                <w:color w:val="000000"/>
                <w:sz w:val="16"/>
                <w:szCs w:val="16"/>
              </w:rPr>
            </w:pPr>
            <w:r w:rsidRPr="00CC75F2">
              <w:rPr>
                <w:rFonts w:cs="Arial"/>
                <w:color w:val="000000"/>
                <w:sz w:val="16"/>
                <w:szCs w:val="16"/>
              </w:rPr>
              <w:t>H1687</w:t>
            </w:r>
          </w:p>
        </w:tc>
        <w:tc>
          <w:tcPr>
            <w:tcW w:w="1134" w:type="dxa"/>
            <w:tcBorders>
              <w:top w:val="nil"/>
              <w:left w:val="nil"/>
              <w:bottom w:val="single" w:sz="4" w:space="0" w:color="auto"/>
              <w:right w:val="single" w:sz="4" w:space="0" w:color="auto"/>
            </w:tcBorders>
            <w:shd w:val="clear" w:color="auto" w:fill="auto"/>
            <w:hideMark/>
          </w:tcPr>
          <w:p w:rsidR="00CC75F2" w:rsidRPr="00CC75F2" w:rsidRDefault="00CC75F2" w:rsidP="00373B8F">
            <w:pPr>
              <w:jc w:val="center"/>
              <w:rPr>
                <w:rFonts w:cs="Arial"/>
                <w:color w:val="000000"/>
                <w:sz w:val="16"/>
                <w:szCs w:val="16"/>
              </w:rPr>
            </w:pPr>
            <w:r w:rsidRPr="00CC75F2">
              <w:rPr>
                <w:rFonts w:cs="Arial"/>
                <w:color w:val="000000"/>
                <w:sz w:val="16"/>
                <w:szCs w:val="16"/>
              </w:rPr>
              <w:t>Individual (state)  Individual (local) Precinct</w:t>
            </w:r>
          </w:p>
        </w:tc>
        <w:tc>
          <w:tcPr>
            <w:tcW w:w="1276" w:type="dxa"/>
            <w:tcBorders>
              <w:top w:val="nil"/>
              <w:left w:val="nil"/>
              <w:bottom w:val="single" w:sz="4" w:space="0" w:color="auto"/>
              <w:right w:val="single" w:sz="4" w:space="0" w:color="auto"/>
            </w:tcBorders>
            <w:shd w:val="clear" w:color="auto" w:fill="auto"/>
            <w:hideMark/>
          </w:tcPr>
          <w:p w:rsidR="00CC75F2" w:rsidRPr="00CC75F2" w:rsidRDefault="00CC75F2" w:rsidP="00CC75F2">
            <w:pPr>
              <w:jc w:val="center"/>
              <w:rPr>
                <w:rFonts w:cs="Arial"/>
                <w:color w:val="000000"/>
                <w:sz w:val="16"/>
                <w:szCs w:val="16"/>
              </w:rPr>
            </w:pPr>
            <w:r w:rsidRPr="00CC75F2">
              <w:rPr>
                <w:rFonts w:cs="Arial"/>
                <w:color w:val="000000"/>
                <w:sz w:val="16"/>
                <w:szCs w:val="16"/>
              </w:rPr>
              <w:t>Individually significant</w:t>
            </w:r>
          </w:p>
        </w:tc>
        <w:tc>
          <w:tcPr>
            <w:tcW w:w="2835" w:type="dxa"/>
            <w:tcBorders>
              <w:top w:val="nil"/>
              <w:left w:val="nil"/>
              <w:bottom w:val="single" w:sz="4" w:space="0" w:color="auto"/>
              <w:right w:val="single" w:sz="4" w:space="0" w:color="auto"/>
            </w:tcBorders>
            <w:shd w:val="clear" w:color="auto" w:fill="auto"/>
            <w:hideMark/>
          </w:tcPr>
          <w:p w:rsidR="00CC75F2" w:rsidRPr="00CC75F2" w:rsidRDefault="00CC75F2" w:rsidP="00CC75F2">
            <w:pPr>
              <w:jc w:val="left"/>
              <w:rPr>
                <w:rFonts w:cs="Arial"/>
                <w:color w:val="000000"/>
                <w:sz w:val="16"/>
                <w:szCs w:val="16"/>
              </w:rPr>
            </w:pPr>
            <w:r w:rsidRPr="00CC75F2">
              <w:rPr>
                <w:rFonts w:cs="Arial"/>
                <w:color w:val="000000"/>
                <w:sz w:val="16"/>
                <w:szCs w:val="16"/>
              </w:rPr>
              <w:t>External controls apply to the wall/sign as a result of the Heritage Victoria registration.  External controls apply to the whole of the pool as a result of the Heritage Overlay control.</w:t>
            </w:r>
          </w:p>
        </w:tc>
        <w:tc>
          <w:tcPr>
            <w:tcW w:w="2693" w:type="dxa"/>
            <w:tcBorders>
              <w:top w:val="nil"/>
              <w:left w:val="nil"/>
              <w:bottom w:val="single" w:sz="4" w:space="0" w:color="auto"/>
              <w:right w:val="single" w:sz="4" w:space="0" w:color="auto"/>
            </w:tcBorders>
            <w:shd w:val="clear" w:color="auto" w:fill="auto"/>
            <w:hideMark/>
          </w:tcPr>
          <w:p w:rsidR="00CC75F2" w:rsidRPr="00CC75F2" w:rsidRDefault="00CC75F2" w:rsidP="00622DC3">
            <w:pPr>
              <w:jc w:val="left"/>
              <w:rPr>
                <w:rFonts w:cs="Arial"/>
                <w:color w:val="000000"/>
                <w:sz w:val="16"/>
                <w:szCs w:val="16"/>
              </w:rPr>
            </w:pPr>
            <w:r w:rsidRPr="00CC75F2">
              <w:rPr>
                <w:rFonts w:cs="Arial"/>
                <w:color w:val="000000"/>
                <w:sz w:val="16"/>
                <w:szCs w:val="16"/>
              </w:rPr>
              <w:t>VHR1687 and HO355 apply to the west wall, and HO334 applied to the whole site.  The land extending 3m from the wall to the east and 2m from the base of the wall to the west is also included in the VHR extent of registration. Heritage Victoria should be notified if there are works proposed for the wall or works that may impact upon the visibility of the wall sign from the pool. Minor works to the Young Street side of the wall, and to the pool side of the wall which are further than 1500mm away from the sign, are permit exempt.  Physical changes to the pool would normal require approval under the Heritage Overlay from the Yarra</w:t>
            </w:r>
            <w:r w:rsidR="00622DC3">
              <w:rPr>
                <w:rFonts w:cs="Arial"/>
                <w:color w:val="000000"/>
                <w:sz w:val="16"/>
                <w:szCs w:val="16"/>
              </w:rPr>
              <w:t xml:space="preserve"> City Council.</w:t>
            </w:r>
          </w:p>
        </w:tc>
      </w:tr>
      <w:tr w:rsidR="008B0CE7" w:rsidRPr="00CC75F2" w:rsidTr="00EA18F9">
        <w:trPr>
          <w:cantSplit/>
          <w:trHeight w:val="720"/>
        </w:trPr>
        <w:tc>
          <w:tcPr>
            <w:tcW w:w="1433" w:type="dxa"/>
            <w:tcBorders>
              <w:top w:val="nil"/>
              <w:left w:val="single" w:sz="4" w:space="0" w:color="auto"/>
              <w:bottom w:val="single" w:sz="4" w:space="0" w:color="auto"/>
              <w:right w:val="single" w:sz="4" w:space="0" w:color="auto"/>
            </w:tcBorders>
            <w:shd w:val="clear" w:color="auto" w:fill="auto"/>
            <w:hideMark/>
          </w:tcPr>
          <w:p w:rsidR="00CC75F2" w:rsidRPr="00CC75F2" w:rsidRDefault="00CC75F2" w:rsidP="00CC75F2">
            <w:pPr>
              <w:jc w:val="left"/>
              <w:rPr>
                <w:rFonts w:cs="Arial"/>
                <w:color w:val="000000"/>
                <w:sz w:val="16"/>
                <w:szCs w:val="16"/>
              </w:rPr>
            </w:pPr>
            <w:r w:rsidRPr="00CC75F2">
              <w:rPr>
                <w:rFonts w:cs="Arial"/>
                <w:color w:val="000000"/>
                <w:sz w:val="16"/>
                <w:szCs w:val="16"/>
              </w:rPr>
              <w:t>Alexandra Parade 180</w:t>
            </w:r>
          </w:p>
        </w:tc>
        <w:tc>
          <w:tcPr>
            <w:tcW w:w="1134" w:type="dxa"/>
            <w:tcBorders>
              <w:top w:val="nil"/>
              <w:left w:val="nil"/>
              <w:bottom w:val="single" w:sz="4" w:space="0" w:color="auto"/>
              <w:right w:val="single" w:sz="4" w:space="0" w:color="auto"/>
            </w:tcBorders>
            <w:shd w:val="clear" w:color="auto" w:fill="auto"/>
            <w:hideMark/>
          </w:tcPr>
          <w:p w:rsidR="00CC75F2" w:rsidRPr="00CC75F2" w:rsidRDefault="00373B8F" w:rsidP="00CC75F2">
            <w:pPr>
              <w:jc w:val="center"/>
              <w:rPr>
                <w:rFonts w:cs="Arial"/>
                <w:color w:val="000000"/>
                <w:sz w:val="16"/>
                <w:szCs w:val="16"/>
              </w:rPr>
            </w:pPr>
            <w:r w:rsidRPr="00CC75F2">
              <w:rPr>
                <w:rFonts w:cs="Arial"/>
                <w:color w:val="000000"/>
                <w:sz w:val="16"/>
                <w:szCs w:val="16"/>
              </w:rPr>
              <w:t>F</w:t>
            </w:r>
            <w:r>
              <w:rPr>
                <w:rFonts w:cs="Arial"/>
                <w:color w:val="000000"/>
                <w:sz w:val="16"/>
                <w:szCs w:val="16"/>
              </w:rPr>
              <w:t>itzroy</w:t>
            </w:r>
          </w:p>
        </w:tc>
        <w:tc>
          <w:tcPr>
            <w:tcW w:w="1417" w:type="dxa"/>
            <w:tcBorders>
              <w:top w:val="nil"/>
              <w:left w:val="nil"/>
              <w:bottom w:val="single" w:sz="4" w:space="0" w:color="auto"/>
              <w:right w:val="single" w:sz="4" w:space="0" w:color="auto"/>
            </w:tcBorders>
            <w:shd w:val="clear" w:color="auto" w:fill="auto"/>
            <w:hideMark/>
          </w:tcPr>
          <w:p w:rsidR="00CC75F2" w:rsidRPr="00CC75F2" w:rsidRDefault="008B0CE7" w:rsidP="008B0CE7">
            <w:pPr>
              <w:jc w:val="center"/>
              <w:rPr>
                <w:rFonts w:cs="Arial"/>
                <w:color w:val="000000"/>
                <w:sz w:val="16"/>
                <w:szCs w:val="16"/>
              </w:rPr>
            </w:pPr>
            <w:r>
              <w:rPr>
                <w:rFonts w:cs="Arial"/>
                <w:color w:val="000000"/>
                <w:sz w:val="16"/>
                <w:szCs w:val="16"/>
              </w:rPr>
              <w:t>Smith Reserve</w:t>
            </w:r>
          </w:p>
        </w:tc>
        <w:tc>
          <w:tcPr>
            <w:tcW w:w="1276" w:type="dxa"/>
            <w:tcBorders>
              <w:top w:val="nil"/>
              <w:left w:val="nil"/>
              <w:bottom w:val="single" w:sz="4" w:space="0" w:color="auto"/>
              <w:right w:val="single" w:sz="4" w:space="0" w:color="auto"/>
            </w:tcBorders>
            <w:shd w:val="clear" w:color="auto" w:fill="auto"/>
            <w:hideMark/>
          </w:tcPr>
          <w:p w:rsidR="00CC75F2" w:rsidRPr="00CC75F2" w:rsidRDefault="00CC75F2" w:rsidP="00CC75F2">
            <w:pPr>
              <w:jc w:val="center"/>
              <w:rPr>
                <w:rFonts w:cs="Arial"/>
                <w:color w:val="000000"/>
                <w:sz w:val="16"/>
                <w:szCs w:val="16"/>
              </w:rPr>
            </w:pPr>
            <w:r w:rsidRPr="00CC75F2">
              <w:rPr>
                <w:rFonts w:cs="Arial"/>
                <w:color w:val="000000"/>
                <w:sz w:val="16"/>
                <w:szCs w:val="16"/>
              </w:rPr>
              <w:t>South Fitzroy Precinct</w:t>
            </w:r>
          </w:p>
        </w:tc>
        <w:tc>
          <w:tcPr>
            <w:tcW w:w="1134" w:type="dxa"/>
            <w:tcBorders>
              <w:top w:val="nil"/>
              <w:left w:val="nil"/>
              <w:bottom w:val="single" w:sz="4" w:space="0" w:color="auto"/>
              <w:right w:val="single" w:sz="4" w:space="0" w:color="auto"/>
            </w:tcBorders>
            <w:shd w:val="clear" w:color="auto" w:fill="auto"/>
            <w:hideMark/>
          </w:tcPr>
          <w:p w:rsidR="00CC75F2" w:rsidRPr="00CC75F2" w:rsidRDefault="00CC75F2" w:rsidP="00CC75F2">
            <w:pPr>
              <w:jc w:val="center"/>
              <w:rPr>
                <w:rFonts w:cs="Arial"/>
                <w:color w:val="000000"/>
                <w:sz w:val="16"/>
                <w:szCs w:val="16"/>
              </w:rPr>
            </w:pPr>
            <w:r w:rsidRPr="00CC75F2">
              <w:rPr>
                <w:rFonts w:cs="Arial"/>
                <w:color w:val="000000"/>
                <w:sz w:val="16"/>
                <w:szCs w:val="16"/>
              </w:rPr>
              <w:t>HO334</w:t>
            </w:r>
          </w:p>
        </w:tc>
        <w:tc>
          <w:tcPr>
            <w:tcW w:w="992" w:type="dxa"/>
            <w:tcBorders>
              <w:top w:val="nil"/>
              <w:left w:val="nil"/>
              <w:bottom w:val="single" w:sz="4" w:space="0" w:color="auto"/>
              <w:right w:val="single" w:sz="4" w:space="0" w:color="auto"/>
            </w:tcBorders>
            <w:shd w:val="clear" w:color="auto" w:fill="auto"/>
            <w:hideMark/>
          </w:tcPr>
          <w:p w:rsidR="00CC75F2" w:rsidRPr="00CC75F2" w:rsidRDefault="00CC75F2" w:rsidP="00CC75F2">
            <w:pPr>
              <w:jc w:val="center"/>
              <w:rPr>
                <w:rFonts w:cs="Arial"/>
                <w:color w:val="000000"/>
                <w:sz w:val="16"/>
                <w:szCs w:val="16"/>
              </w:rPr>
            </w:pPr>
            <w:r w:rsidRPr="00CC75F2">
              <w:rPr>
                <w:rFonts w:cs="Arial"/>
                <w:color w:val="000000"/>
                <w:sz w:val="16"/>
                <w:szCs w:val="16"/>
              </w:rPr>
              <w:t>N/A</w:t>
            </w:r>
          </w:p>
        </w:tc>
        <w:tc>
          <w:tcPr>
            <w:tcW w:w="1134" w:type="dxa"/>
            <w:tcBorders>
              <w:top w:val="nil"/>
              <w:left w:val="nil"/>
              <w:bottom w:val="single" w:sz="4" w:space="0" w:color="auto"/>
              <w:right w:val="single" w:sz="4" w:space="0" w:color="auto"/>
            </w:tcBorders>
            <w:shd w:val="clear" w:color="auto" w:fill="auto"/>
            <w:hideMark/>
          </w:tcPr>
          <w:p w:rsidR="00CC75F2" w:rsidRPr="00CC75F2" w:rsidRDefault="00CC75F2" w:rsidP="00373B8F">
            <w:pPr>
              <w:jc w:val="center"/>
              <w:rPr>
                <w:rFonts w:cs="Arial"/>
                <w:color w:val="000000"/>
                <w:sz w:val="16"/>
                <w:szCs w:val="16"/>
              </w:rPr>
            </w:pPr>
            <w:r w:rsidRPr="00CC75F2">
              <w:rPr>
                <w:rFonts w:cs="Arial"/>
                <w:color w:val="000000"/>
                <w:sz w:val="16"/>
                <w:szCs w:val="16"/>
              </w:rPr>
              <w:t>Precinct</w:t>
            </w:r>
          </w:p>
        </w:tc>
        <w:tc>
          <w:tcPr>
            <w:tcW w:w="1276" w:type="dxa"/>
            <w:tcBorders>
              <w:top w:val="nil"/>
              <w:left w:val="nil"/>
              <w:bottom w:val="single" w:sz="4" w:space="0" w:color="auto"/>
              <w:right w:val="single" w:sz="4" w:space="0" w:color="auto"/>
            </w:tcBorders>
            <w:shd w:val="clear" w:color="auto" w:fill="auto"/>
            <w:hideMark/>
          </w:tcPr>
          <w:p w:rsidR="00CC75F2" w:rsidRPr="00CC75F2" w:rsidRDefault="00CC75F2" w:rsidP="00CC75F2">
            <w:pPr>
              <w:jc w:val="center"/>
              <w:rPr>
                <w:rFonts w:cs="Arial"/>
                <w:color w:val="000000"/>
                <w:sz w:val="16"/>
                <w:szCs w:val="16"/>
              </w:rPr>
            </w:pPr>
            <w:r w:rsidRPr="00CC75F2">
              <w:rPr>
                <w:rFonts w:cs="Arial"/>
                <w:color w:val="000000"/>
                <w:sz w:val="16"/>
                <w:szCs w:val="16"/>
              </w:rPr>
              <w:t>Not contributory</w:t>
            </w:r>
          </w:p>
        </w:tc>
        <w:tc>
          <w:tcPr>
            <w:tcW w:w="2835" w:type="dxa"/>
            <w:tcBorders>
              <w:top w:val="nil"/>
              <w:left w:val="nil"/>
              <w:bottom w:val="single" w:sz="4" w:space="0" w:color="auto"/>
              <w:right w:val="single" w:sz="4" w:space="0" w:color="auto"/>
            </w:tcBorders>
            <w:shd w:val="clear" w:color="auto" w:fill="auto"/>
            <w:hideMark/>
          </w:tcPr>
          <w:p w:rsidR="00CC75F2" w:rsidRPr="00CC75F2" w:rsidRDefault="00CC75F2" w:rsidP="00CC75F2">
            <w:pPr>
              <w:jc w:val="left"/>
              <w:rPr>
                <w:rFonts w:cs="Arial"/>
                <w:color w:val="000000"/>
                <w:sz w:val="16"/>
                <w:szCs w:val="16"/>
              </w:rPr>
            </w:pPr>
            <w:r w:rsidRPr="00CC75F2">
              <w:rPr>
                <w:rFonts w:cs="Arial"/>
                <w:color w:val="000000"/>
                <w:sz w:val="16"/>
                <w:szCs w:val="16"/>
              </w:rPr>
              <w:t>External controls over buildings and land, no internal controls, no external paint controls and no tree controls</w:t>
            </w:r>
          </w:p>
        </w:tc>
        <w:tc>
          <w:tcPr>
            <w:tcW w:w="2693" w:type="dxa"/>
            <w:tcBorders>
              <w:top w:val="nil"/>
              <w:left w:val="nil"/>
              <w:bottom w:val="single" w:sz="4" w:space="0" w:color="auto"/>
              <w:right w:val="single" w:sz="4" w:space="0" w:color="auto"/>
            </w:tcBorders>
            <w:shd w:val="clear" w:color="auto" w:fill="auto"/>
            <w:hideMark/>
          </w:tcPr>
          <w:p w:rsidR="00CC75F2" w:rsidRPr="00CC75F2" w:rsidRDefault="00CC75F2" w:rsidP="00622DC3">
            <w:pPr>
              <w:jc w:val="left"/>
              <w:rPr>
                <w:rFonts w:cs="Arial"/>
                <w:color w:val="000000"/>
                <w:sz w:val="16"/>
                <w:szCs w:val="16"/>
              </w:rPr>
            </w:pPr>
            <w:r w:rsidRPr="00CC75F2">
              <w:rPr>
                <w:rFonts w:cs="Arial"/>
                <w:color w:val="000000"/>
                <w:sz w:val="16"/>
                <w:szCs w:val="16"/>
              </w:rPr>
              <w:t xml:space="preserve">Physical changes to the reserve would normally require approval under the Heritage Overlay from the </w:t>
            </w:r>
            <w:r w:rsidR="00622DC3" w:rsidRPr="00CC75F2">
              <w:rPr>
                <w:rFonts w:cs="Arial"/>
                <w:color w:val="000000"/>
                <w:sz w:val="16"/>
                <w:szCs w:val="16"/>
              </w:rPr>
              <w:t>Yarra</w:t>
            </w:r>
            <w:r w:rsidR="00622DC3">
              <w:rPr>
                <w:rFonts w:cs="Arial"/>
                <w:color w:val="000000"/>
                <w:sz w:val="16"/>
                <w:szCs w:val="16"/>
              </w:rPr>
              <w:t xml:space="preserve"> City Council.</w:t>
            </w:r>
          </w:p>
        </w:tc>
      </w:tr>
      <w:tr w:rsidR="008B0CE7" w:rsidRPr="00CC75F2" w:rsidTr="00EA18F9">
        <w:trPr>
          <w:cantSplit/>
          <w:trHeight w:val="720"/>
        </w:trPr>
        <w:tc>
          <w:tcPr>
            <w:tcW w:w="1433" w:type="dxa"/>
            <w:tcBorders>
              <w:top w:val="nil"/>
              <w:left w:val="single" w:sz="4" w:space="0" w:color="auto"/>
              <w:bottom w:val="single" w:sz="4" w:space="0" w:color="auto"/>
              <w:right w:val="single" w:sz="4" w:space="0" w:color="auto"/>
            </w:tcBorders>
            <w:shd w:val="clear" w:color="auto" w:fill="auto"/>
            <w:hideMark/>
          </w:tcPr>
          <w:p w:rsidR="00CC75F2" w:rsidRPr="00CC75F2" w:rsidRDefault="00CC75F2" w:rsidP="00CC75F2">
            <w:pPr>
              <w:jc w:val="left"/>
              <w:rPr>
                <w:rFonts w:cs="Arial"/>
                <w:color w:val="000000"/>
                <w:sz w:val="16"/>
                <w:szCs w:val="16"/>
              </w:rPr>
            </w:pPr>
            <w:r w:rsidRPr="00CC75F2">
              <w:rPr>
                <w:rFonts w:cs="Arial"/>
                <w:color w:val="000000"/>
                <w:sz w:val="16"/>
                <w:szCs w:val="16"/>
              </w:rPr>
              <w:t>Batman Street 37-45</w:t>
            </w:r>
          </w:p>
        </w:tc>
        <w:tc>
          <w:tcPr>
            <w:tcW w:w="1134" w:type="dxa"/>
            <w:tcBorders>
              <w:top w:val="nil"/>
              <w:left w:val="nil"/>
              <w:bottom w:val="single" w:sz="4" w:space="0" w:color="auto"/>
              <w:right w:val="single" w:sz="4" w:space="0" w:color="auto"/>
            </w:tcBorders>
            <w:shd w:val="clear" w:color="auto" w:fill="auto"/>
            <w:hideMark/>
          </w:tcPr>
          <w:p w:rsidR="00CC75F2" w:rsidRPr="00CC75F2" w:rsidRDefault="00373B8F" w:rsidP="008B0CE7">
            <w:pPr>
              <w:jc w:val="center"/>
              <w:rPr>
                <w:rFonts w:cs="Arial"/>
                <w:color w:val="000000"/>
                <w:sz w:val="16"/>
                <w:szCs w:val="16"/>
              </w:rPr>
            </w:pPr>
            <w:r w:rsidRPr="00CC75F2">
              <w:rPr>
                <w:rFonts w:cs="Arial"/>
                <w:color w:val="000000"/>
                <w:sz w:val="16"/>
                <w:szCs w:val="16"/>
              </w:rPr>
              <w:t>F</w:t>
            </w:r>
            <w:r>
              <w:rPr>
                <w:rFonts w:cs="Arial"/>
                <w:color w:val="000000"/>
                <w:sz w:val="16"/>
                <w:szCs w:val="16"/>
              </w:rPr>
              <w:t>itzroy</w:t>
            </w:r>
            <w:r w:rsidR="00CC75F2" w:rsidRPr="00CC75F2">
              <w:rPr>
                <w:rFonts w:cs="Arial"/>
                <w:color w:val="000000"/>
                <w:sz w:val="16"/>
                <w:szCs w:val="16"/>
              </w:rPr>
              <w:t xml:space="preserve"> N</w:t>
            </w:r>
            <w:r w:rsidR="008B0CE7">
              <w:rPr>
                <w:rFonts w:cs="Arial"/>
                <w:color w:val="000000"/>
                <w:sz w:val="16"/>
                <w:szCs w:val="16"/>
              </w:rPr>
              <w:t>orth</w:t>
            </w:r>
          </w:p>
        </w:tc>
        <w:tc>
          <w:tcPr>
            <w:tcW w:w="1417" w:type="dxa"/>
            <w:tcBorders>
              <w:top w:val="nil"/>
              <w:left w:val="nil"/>
              <w:bottom w:val="single" w:sz="4" w:space="0" w:color="auto"/>
              <w:right w:val="single" w:sz="4" w:space="0" w:color="auto"/>
            </w:tcBorders>
            <w:shd w:val="clear" w:color="auto" w:fill="auto"/>
            <w:hideMark/>
          </w:tcPr>
          <w:p w:rsidR="00CC75F2" w:rsidRPr="00CC75F2" w:rsidRDefault="008B0CE7" w:rsidP="00373B8F">
            <w:pPr>
              <w:jc w:val="center"/>
              <w:rPr>
                <w:rFonts w:cs="Arial"/>
                <w:color w:val="000000"/>
                <w:sz w:val="16"/>
                <w:szCs w:val="16"/>
              </w:rPr>
            </w:pPr>
            <w:r>
              <w:rPr>
                <w:rFonts w:cs="Arial"/>
                <w:color w:val="000000"/>
                <w:sz w:val="16"/>
                <w:szCs w:val="16"/>
              </w:rPr>
              <w:t>Batman Reserve</w:t>
            </w:r>
          </w:p>
        </w:tc>
        <w:tc>
          <w:tcPr>
            <w:tcW w:w="1276" w:type="dxa"/>
            <w:tcBorders>
              <w:top w:val="nil"/>
              <w:left w:val="nil"/>
              <w:bottom w:val="single" w:sz="4" w:space="0" w:color="auto"/>
              <w:right w:val="single" w:sz="4" w:space="0" w:color="auto"/>
            </w:tcBorders>
            <w:shd w:val="clear" w:color="auto" w:fill="auto"/>
            <w:hideMark/>
          </w:tcPr>
          <w:p w:rsidR="00CC75F2" w:rsidRPr="00CC75F2" w:rsidRDefault="00CC75F2" w:rsidP="00CC75F2">
            <w:pPr>
              <w:jc w:val="center"/>
              <w:rPr>
                <w:rFonts w:cs="Arial"/>
                <w:color w:val="000000"/>
                <w:sz w:val="16"/>
                <w:szCs w:val="16"/>
              </w:rPr>
            </w:pPr>
            <w:r w:rsidRPr="00CC75F2">
              <w:rPr>
                <w:rFonts w:cs="Arial"/>
                <w:color w:val="000000"/>
                <w:sz w:val="16"/>
                <w:szCs w:val="16"/>
              </w:rPr>
              <w:t>North Fitzroy Precinct</w:t>
            </w:r>
          </w:p>
        </w:tc>
        <w:tc>
          <w:tcPr>
            <w:tcW w:w="1134" w:type="dxa"/>
            <w:tcBorders>
              <w:top w:val="nil"/>
              <w:left w:val="nil"/>
              <w:bottom w:val="single" w:sz="4" w:space="0" w:color="auto"/>
              <w:right w:val="single" w:sz="4" w:space="0" w:color="auto"/>
            </w:tcBorders>
            <w:shd w:val="clear" w:color="auto" w:fill="auto"/>
            <w:hideMark/>
          </w:tcPr>
          <w:p w:rsidR="00CC75F2" w:rsidRPr="00CC75F2" w:rsidRDefault="00CC75F2" w:rsidP="00CC75F2">
            <w:pPr>
              <w:jc w:val="center"/>
              <w:rPr>
                <w:rFonts w:cs="Arial"/>
                <w:color w:val="000000"/>
                <w:sz w:val="16"/>
                <w:szCs w:val="16"/>
              </w:rPr>
            </w:pPr>
            <w:r w:rsidRPr="00CC75F2">
              <w:rPr>
                <w:rFonts w:cs="Arial"/>
                <w:color w:val="000000"/>
                <w:sz w:val="16"/>
                <w:szCs w:val="16"/>
              </w:rPr>
              <w:t>HO327</w:t>
            </w:r>
          </w:p>
        </w:tc>
        <w:tc>
          <w:tcPr>
            <w:tcW w:w="992" w:type="dxa"/>
            <w:tcBorders>
              <w:top w:val="nil"/>
              <w:left w:val="nil"/>
              <w:bottom w:val="single" w:sz="4" w:space="0" w:color="auto"/>
              <w:right w:val="single" w:sz="4" w:space="0" w:color="auto"/>
            </w:tcBorders>
            <w:shd w:val="clear" w:color="auto" w:fill="auto"/>
            <w:hideMark/>
          </w:tcPr>
          <w:p w:rsidR="00CC75F2" w:rsidRPr="00CC75F2" w:rsidRDefault="00CC75F2" w:rsidP="00CC75F2">
            <w:pPr>
              <w:jc w:val="center"/>
              <w:rPr>
                <w:rFonts w:cs="Arial"/>
                <w:color w:val="000000"/>
                <w:sz w:val="16"/>
                <w:szCs w:val="16"/>
              </w:rPr>
            </w:pPr>
            <w:r w:rsidRPr="00CC75F2">
              <w:rPr>
                <w:rFonts w:cs="Arial"/>
                <w:color w:val="000000"/>
                <w:sz w:val="16"/>
                <w:szCs w:val="16"/>
              </w:rPr>
              <w:t>N/A</w:t>
            </w:r>
          </w:p>
        </w:tc>
        <w:tc>
          <w:tcPr>
            <w:tcW w:w="1134" w:type="dxa"/>
            <w:tcBorders>
              <w:top w:val="nil"/>
              <w:left w:val="nil"/>
              <w:bottom w:val="single" w:sz="4" w:space="0" w:color="auto"/>
              <w:right w:val="single" w:sz="4" w:space="0" w:color="auto"/>
            </w:tcBorders>
            <w:shd w:val="clear" w:color="auto" w:fill="auto"/>
            <w:hideMark/>
          </w:tcPr>
          <w:p w:rsidR="00CC75F2" w:rsidRPr="00CC75F2" w:rsidRDefault="00CC75F2" w:rsidP="00373B8F">
            <w:pPr>
              <w:jc w:val="center"/>
              <w:rPr>
                <w:rFonts w:cs="Arial"/>
                <w:color w:val="000000"/>
                <w:sz w:val="16"/>
                <w:szCs w:val="16"/>
              </w:rPr>
            </w:pPr>
            <w:r w:rsidRPr="00CC75F2">
              <w:rPr>
                <w:rFonts w:cs="Arial"/>
                <w:color w:val="000000"/>
                <w:sz w:val="16"/>
                <w:szCs w:val="16"/>
              </w:rPr>
              <w:t>Precinct</w:t>
            </w:r>
          </w:p>
        </w:tc>
        <w:tc>
          <w:tcPr>
            <w:tcW w:w="1276" w:type="dxa"/>
            <w:tcBorders>
              <w:top w:val="nil"/>
              <w:left w:val="nil"/>
              <w:bottom w:val="single" w:sz="4" w:space="0" w:color="auto"/>
              <w:right w:val="single" w:sz="4" w:space="0" w:color="auto"/>
            </w:tcBorders>
            <w:shd w:val="clear" w:color="auto" w:fill="auto"/>
            <w:hideMark/>
          </w:tcPr>
          <w:p w:rsidR="00CC75F2" w:rsidRPr="00CC75F2" w:rsidRDefault="00CC75F2" w:rsidP="00CC75F2">
            <w:pPr>
              <w:jc w:val="center"/>
              <w:rPr>
                <w:rFonts w:cs="Arial"/>
                <w:color w:val="000000"/>
                <w:sz w:val="16"/>
                <w:szCs w:val="16"/>
              </w:rPr>
            </w:pPr>
            <w:r w:rsidRPr="00CC75F2">
              <w:rPr>
                <w:rFonts w:cs="Arial"/>
                <w:color w:val="000000"/>
                <w:sz w:val="16"/>
                <w:szCs w:val="16"/>
              </w:rPr>
              <w:t>Not contributory</w:t>
            </w:r>
          </w:p>
        </w:tc>
        <w:tc>
          <w:tcPr>
            <w:tcW w:w="2835" w:type="dxa"/>
            <w:tcBorders>
              <w:top w:val="nil"/>
              <w:left w:val="nil"/>
              <w:bottom w:val="single" w:sz="4" w:space="0" w:color="auto"/>
              <w:right w:val="single" w:sz="4" w:space="0" w:color="auto"/>
            </w:tcBorders>
            <w:shd w:val="clear" w:color="auto" w:fill="auto"/>
            <w:hideMark/>
          </w:tcPr>
          <w:p w:rsidR="00CC75F2" w:rsidRPr="00CC75F2" w:rsidRDefault="00CC75F2" w:rsidP="00CC75F2">
            <w:pPr>
              <w:jc w:val="left"/>
              <w:rPr>
                <w:rFonts w:cs="Arial"/>
                <w:color w:val="000000"/>
                <w:sz w:val="16"/>
                <w:szCs w:val="16"/>
              </w:rPr>
            </w:pPr>
            <w:r w:rsidRPr="00CC75F2">
              <w:rPr>
                <w:rFonts w:cs="Arial"/>
                <w:color w:val="000000"/>
                <w:sz w:val="16"/>
                <w:szCs w:val="16"/>
              </w:rPr>
              <w:t>External controls over buildings and land, no internal controls, no external paint controls and no tree controls</w:t>
            </w:r>
          </w:p>
        </w:tc>
        <w:tc>
          <w:tcPr>
            <w:tcW w:w="2693" w:type="dxa"/>
            <w:tcBorders>
              <w:top w:val="nil"/>
              <w:left w:val="nil"/>
              <w:bottom w:val="single" w:sz="4" w:space="0" w:color="auto"/>
              <w:right w:val="single" w:sz="4" w:space="0" w:color="auto"/>
            </w:tcBorders>
            <w:shd w:val="clear" w:color="auto" w:fill="auto"/>
            <w:hideMark/>
          </w:tcPr>
          <w:p w:rsidR="00CC75F2" w:rsidRPr="00CC75F2" w:rsidRDefault="00CC75F2" w:rsidP="00622DC3">
            <w:pPr>
              <w:jc w:val="left"/>
              <w:rPr>
                <w:rFonts w:cs="Arial"/>
                <w:color w:val="000000"/>
                <w:sz w:val="16"/>
                <w:szCs w:val="16"/>
              </w:rPr>
            </w:pPr>
            <w:r w:rsidRPr="00CC75F2">
              <w:rPr>
                <w:rFonts w:cs="Arial"/>
                <w:color w:val="000000"/>
                <w:sz w:val="16"/>
                <w:szCs w:val="16"/>
              </w:rPr>
              <w:t xml:space="preserve">Physical changes to the reserve would normally require approval under the Heritage Overlay from the </w:t>
            </w:r>
            <w:r w:rsidR="00622DC3" w:rsidRPr="00CC75F2">
              <w:rPr>
                <w:rFonts w:cs="Arial"/>
                <w:color w:val="000000"/>
                <w:sz w:val="16"/>
                <w:szCs w:val="16"/>
              </w:rPr>
              <w:t>Yarra</w:t>
            </w:r>
            <w:r w:rsidR="00622DC3">
              <w:rPr>
                <w:rFonts w:cs="Arial"/>
                <w:color w:val="000000"/>
                <w:sz w:val="16"/>
                <w:szCs w:val="16"/>
              </w:rPr>
              <w:t xml:space="preserve"> City Council.</w:t>
            </w:r>
          </w:p>
        </w:tc>
      </w:tr>
      <w:tr w:rsidR="008B0CE7" w:rsidRPr="00CC75F2" w:rsidTr="00EA18F9">
        <w:trPr>
          <w:cantSplit/>
          <w:trHeight w:val="720"/>
        </w:trPr>
        <w:tc>
          <w:tcPr>
            <w:tcW w:w="1433" w:type="dxa"/>
            <w:tcBorders>
              <w:top w:val="nil"/>
              <w:left w:val="single" w:sz="4" w:space="0" w:color="auto"/>
              <w:bottom w:val="single" w:sz="4" w:space="0" w:color="auto"/>
              <w:right w:val="single" w:sz="4" w:space="0" w:color="auto"/>
            </w:tcBorders>
            <w:shd w:val="clear" w:color="auto" w:fill="auto"/>
            <w:hideMark/>
          </w:tcPr>
          <w:p w:rsidR="00CC75F2" w:rsidRPr="00CC75F2" w:rsidRDefault="00CC75F2" w:rsidP="00CC75F2">
            <w:pPr>
              <w:jc w:val="left"/>
              <w:rPr>
                <w:rFonts w:cs="Arial"/>
                <w:color w:val="000000"/>
                <w:sz w:val="16"/>
                <w:szCs w:val="16"/>
              </w:rPr>
            </w:pPr>
            <w:r w:rsidRPr="00CC75F2">
              <w:rPr>
                <w:rFonts w:cs="Arial"/>
                <w:color w:val="000000"/>
                <w:sz w:val="16"/>
                <w:szCs w:val="16"/>
              </w:rPr>
              <w:t>Bell Street 19-29</w:t>
            </w:r>
          </w:p>
        </w:tc>
        <w:tc>
          <w:tcPr>
            <w:tcW w:w="1134" w:type="dxa"/>
            <w:tcBorders>
              <w:top w:val="nil"/>
              <w:left w:val="nil"/>
              <w:bottom w:val="single" w:sz="4" w:space="0" w:color="auto"/>
              <w:right w:val="single" w:sz="4" w:space="0" w:color="auto"/>
            </w:tcBorders>
            <w:shd w:val="clear" w:color="auto" w:fill="auto"/>
            <w:hideMark/>
          </w:tcPr>
          <w:p w:rsidR="00CC75F2" w:rsidRPr="00CC75F2" w:rsidRDefault="00373B8F" w:rsidP="00CC75F2">
            <w:pPr>
              <w:jc w:val="center"/>
              <w:rPr>
                <w:rFonts w:cs="Arial"/>
                <w:color w:val="000000"/>
                <w:sz w:val="16"/>
                <w:szCs w:val="16"/>
              </w:rPr>
            </w:pPr>
            <w:r w:rsidRPr="00CC75F2">
              <w:rPr>
                <w:rFonts w:cs="Arial"/>
                <w:color w:val="000000"/>
                <w:sz w:val="16"/>
                <w:szCs w:val="16"/>
              </w:rPr>
              <w:t>F</w:t>
            </w:r>
            <w:r>
              <w:rPr>
                <w:rFonts w:cs="Arial"/>
                <w:color w:val="000000"/>
                <w:sz w:val="16"/>
                <w:szCs w:val="16"/>
              </w:rPr>
              <w:t>itzroy</w:t>
            </w:r>
          </w:p>
        </w:tc>
        <w:tc>
          <w:tcPr>
            <w:tcW w:w="1417" w:type="dxa"/>
            <w:tcBorders>
              <w:top w:val="nil"/>
              <w:left w:val="nil"/>
              <w:bottom w:val="single" w:sz="4" w:space="0" w:color="auto"/>
              <w:right w:val="single" w:sz="4" w:space="0" w:color="auto"/>
            </w:tcBorders>
            <w:shd w:val="clear" w:color="auto" w:fill="auto"/>
            <w:hideMark/>
          </w:tcPr>
          <w:p w:rsidR="00CC75F2" w:rsidRPr="00CC75F2" w:rsidRDefault="00CC75F2" w:rsidP="008B0CE7">
            <w:pPr>
              <w:jc w:val="center"/>
              <w:rPr>
                <w:rFonts w:cs="Arial"/>
                <w:color w:val="000000"/>
                <w:sz w:val="16"/>
                <w:szCs w:val="16"/>
              </w:rPr>
            </w:pPr>
            <w:r w:rsidRPr="00CC75F2">
              <w:rPr>
                <w:rFonts w:cs="Arial"/>
                <w:color w:val="000000"/>
                <w:sz w:val="16"/>
                <w:szCs w:val="16"/>
              </w:rPr>
              <w:t>F</w:t>
            </w:r>
            <w:r w:rsidR="008B0CE7">
              <w:rPr>
                <w:rFonts w:cs="Arial"/>
                <w:color w:val="000000"/>
                <w:sz w:val="16"/>
                <w:szCs w:val="16"/>
              </w:rPr>
              <w:t>rank King Mini Park</w:t>
            </w:r>
          </w:p>
        </w:tc>
        <w:tc>
          <w:tcPr>
            <w:tcW w:w="1276" w:type="dxa"/>
            <w:tcBorders>
              <w:top w:val="nil"/>
              <w:left w:val="nil"/>
              <w:bottom w:val="single" w:sz="4" w:space="0" w:color="auto"/>
              <w:right w:val="single" w:sz="4" w:space="0" w:color="auto"/>
            </w:tcBorders>
            <w:shd w:val="clear" w:color="auto" w:fill="auto"/>
            <w:hideMark/>
          </w:tcPr>
          <w:p w:rsidR="00CC75F2" w:rsidRPr="00CC75F2" w:rsidRDefault="00CC75F2" w:rsidP="00CC75F2">
            <w:pPr>
              <w:jc w:val="center"/>
              <w:rPr>
                <w:rFonts w:cs="Arial"/>
                <w:color w:val="000000"/>
                <w:sz w:val="16"/>
                <w:szCs w:val="16"/>
              </w:rPr>
            </w:pPr>
            <w:r w:rsidRPr="00CC75F2">
              <w:rPr>
                <w:rFonts w:cs="Arial"/>
                <w:color w:val="000000"/>
                <w:sz w:val="16"/>
                <w:szCs w:val="16"/>
              </w:rPr>
              <w:t>South Fitzroy Precinct</w:t>
            </w:r>
          </w:p>
        </w:tc>
        <w:tc>
          <w:tcPr>
            <w:tcW w:w="1134" w:type="dxa"/>
            <w:tcBorders>
              <w:top w:val="nil"/>
              <w:left w:val="nil"/>
              <w:bottom w:val="single" w:sz="4" w:space="0" w:color="auto"/>
              <w:right w:val="single" w:sz="4" w:space="0" w:color="auto"/>
            </w:tcBorders>
            <w:shd w:val="clear" w:color="auto" w:fill="auto"/>
            <w:hideMark/>
          </w:tcPr>
          <w:p w:rsidR="00CC75F2" w:rsidRPr="00CC75F2" w:rsidRDefault="00CC75F2" w:rsidP="00CC75F2">
            <w:pPr>
              <w:jc w:val="center"/>
              <w:rPr>
                <w:rFonts w:cs="Arial"/>
                <w:color w:val="000000"/>
                <w:sz w:val="16"/>
                <w:szCs w:val="16"/>
              </w:rPr>
            </w:pPr>
            <w:r w:rsidRPr="00CC75F2">
              <w:rPr>
                <w:rFonts w:cs="Arial"/>
                <w:color w:val="000000"/>
                <w:sz w:val="16"/>
                <w:szCs w:val="16"/>
              </w:rPr>
              <w:t>HO334</w:t>
            </w:r>
          </w:p>
        </w:tc>
        <w:tc>
          <w:tcPr>
            <w:tcW w:w="992" w:type="dxa"/>
            <w:tcBorders>
              <w:top w:val="nil"/>
              <w:left w:val="nil"/>
              <w:bottom w:val="single" w:sz="4" w:space="0" w:color="auto"/>
              <w:right w:val="single" w:sz="4" w:space="0" w:color="auto"/>
            </w:tcBorders>
            <w:shd w:val="clear" w:color="auto" w:fill="auto"/>
            <w:hideMark/>
          </w:tcPr>
          <w:p w:rsidR="00CC75F2" w:rsidRPr="00CC75F2" w:rsidRDefault="00CC75F2" w:rsidP="00CC75F2">
            <w:pPr>
              <w:jc w:val="center"/>
              <w:rPr>
                <w:rFonts w:cs="Arial"/>
                <w:color w:val="000000"/>
                <w:sz w:val="16"/>
                <w:szCs w:val="16"/>
              </w:rPr>
            </w:pPr>
            <w:r w:rsidRPr="00CC75F2">
              <w:rPr>
                <w:rFonts w:cs="Arial"/>
                <w:color w:val="000000"/>
                <w:sz w:val="16"/>
                <w:szCs w:val="16"/>
              </w:rPr>
              <w:t>N/A</w:t>
            </w:r>
          </w:p>
        </w:tc>
        <w:tc>
          <w:tcPr>
            <w:tcW w:w="1134" w:type="dxa"/>
            <w:tcBorders>
              <w:top w:val="nil"/>
              <w:left w:val="nil"/>
              <w:bottom w:val="single" w:sz="4" w:space="0" w:color="auto"/>
              <w:right w:val="single" w:sz="4" w:space="0" w:color="auto"/>
            </w:tcBorders>
            <w:shd w:val="clear" w:color="auto" w:fill="auto"/>
            <w:hideMark/>
          </w:tcPr>
          <w:p w:rsidR="00CC75F2" w:rsidRPr="00CC75F2" w:rsidRDefault="00CC75F2" w:rsidP="00373B8F">
            <w:pPr>
              <w:jc w:val="center"/>
              <w:rPr>
                <w:rFonts w:cs="Arial"/>
                <w:color w:val="000000"/>
                <w:sz w:val="16"/>
                <w:szCs w:val="16"/>
              </w:rPr>
            </w:pPr>
            <w:r w:rsidRPr="00CC75F2">
              <w:rPr>
                <w:rFonts w:cs="Arial"/>
                <w:color w:val="000000"/>
                <w:sz w:val="16"/>
                <w:szCs w:val="16"/>
              </w:rPr>
              <w:t>Precinct</w:t>
            </w:r>
          </w:p>
        </w:tc>
        <w:tc>
          <w:tcPr>
            <w:tcW w:w="1276" w:type="dxa"/>
            <w:tcBorders>
              <w:top w:val="nil"/>
              <w:left w:val="nil"/>
              <w:bottom w:val="single" w:sz="4" w:space="0" w:color="auto"/>
              <w:right w:val="single" w:sz="4" w:space="0" w:color="auto"/>
            </w:tcBorders>
            <w:shd w:val="clear" w:color="auto" w:fill="auto"/>
            <w:hideMark/>
          </w:tcPr>
          <w:p w:rsidR="00CC75F2" w:rsidRPr="00CC75F2" w:rsidRDefault="00CC75F2" w:rsidP="00CC75F2">
            <w:pPr>
              <w:jc w:val="center"/>
              <w:rPr>
                <w:rFonts w:cs="Arial"/>
                <w:color w:val="000000"/>
                <w:sz w:val="16"/>
                <w:szCs w:val="16"/>
              </w:rPr>
            </w:pPr>
            <w:r w:rsidRPr="00CC75F2">
              <w:rPr>
                <w:rFonts w:cs="Arial"/>
                <w:color w:val="000000"/>
                <w:sz w:val="16"/>
                <w:szCs w:val="16"/>
              </w:rPr>
              <w:t>Not contributory</w:t>
            </w:r>
          </w:p>
        </w:tc>
        <w:tc>
          <w:tcPr>
            <w:tcW w:w="2835" w:type="dxa"/>
            <w:tcBorders>
              <w:top w:val="nil"/>
              <w:left w:val="nil"/>
              <w:bottom w:val="single" w:sz="4" w:space="0" w:color="auto"/>
              <w:right w:val="single" w:sz="4" w:space="0" w:color="auto"/>
            </w:tcBorders>
            <w:shd w:val="clear" w:color="auto" w:fill="auto"/>
            <w:hideMark/>
          </w:tcPr>
          <w:p w:rsidR="00CC75F2" w:rsidRPr="00CC75F2" w:rsidRDefault="00CC75F2" w:rsidP="00CC75F2">
            <w:pPr>
              <w:jc w:val="left"/>
              <w:rPr>
                <w:rFonts w:cs="Arial"/>
                <w:color w:val="000000"/>
                <w:sz w:val="16"/>
                <w:szCs w:val="16"/>
              </w:rPr>
            </w:pPr>
            <w:r w:rsidRPr="00CC75F2">
              <w:rPr>
                <w:rFonts w:cs="Arial"/>
                <w:color w:val="000000"/>
                <w:sz w:val="16"/>
                <w:szCs w:val="16"/>
              </w:rPr>
              <w:t>External controls over buildings and land, no internal controls, no external paint controls and no tree controls</w:t>
            </w:r>
          </w:p>
        </w:tc>
        <w:tc>
          <w:tcPr>
            <w:tcW w:w="2693" w:type="dxa"/>
            <w:tcBorders>
              <w:top w:val="nil"/>
              <w:left w:val="nil"/>
              <w:bottom w:val="single" w:sz="4" w:space="0" w:color="auto"/>
              <w:right w:val="single" w:sz="4" w:space="0" w:color="auto"/>
            </w:tcBorders>
            <w:shd w:val="clear" w:color="auto" w:fill="auto"/>
            <w:hideMark/>
          </w:tcPr>
          <w:p w:rsidR="00CC75F2" w:rsidRPr="00CC75F2" w:rsidRDefault="00CC75F2" w:rsidP="00622DC3">
            <w:pPr>
              <w:jc w:val="left"/>
              <w:rPr>
                <w:rFonts w:cs="Arial"/>
                <w:color w:val="000000"/>
                <w:sz w:val="16"/>
                <w:szCs w:val="16"/>
              </w:rPr>
            </w:pPr>
            <w:r w:rsidRPr="00CC75F2">
              <w:rPr>
                <w:rFonts w:cs="Arial"/>
                <w:color w:val="000000"/>
                <w:sz w:val="16"/>
                <w:szCs w:val="16"/>
              </w:rPr>
              <w:t xml:space="preserve">Physical changes to the park would normally require approval under the Heritage Overlay from the </w:t>
            </w:r>
            <w:r w:rsidR="00622DC3" w:rsidRPr="00CC75F2">
              <w:rPr>
                <w:rFonts w:cs="Arial"/>
                <w:color w:val="000000"/>
                <w:sz w:val="16"/>
                <w:szCs w:val="16"/>
              </w:rPr>
              <w:t>Yarra</w:t>
            </w:r>
            <w:r w:rsidR="00622DC3">
              <w:rPr>
                <w:rFonts w:cs="Arial"/>
                <w:color w:val="000000"/>
                <w:sz w:val="16"/>
                <w:szCs w:val="16"/>
              </w:rPr>
              <w:t xml:space="preserve"> City Council.</w:t>
            </w:r>
            <w:r w:rsidR="00622DC3" w:rsidRPr="00CC75F2">
              <w:rPr>
                <w:rFonts w:cs="Arial"/>
                <w:color w:val="000000"/>
                <w:sz w:val="16"/>
                <w:szCs w:val="16"/>
              </w:rPr>
              <w:t xml:space="preserve"> </w:t>
            </w:r>
          </w:p>
        </w:tc>
      </w:tr>
      <w:tr w:rsidR="008B0CE7" w:rsidRPr="00CC75F2" w:rsidTr="00EA18F9">
        <w:trPr>
          <w:cantSplit/>
          <w:trHeight w:val="720"/>
        </w:trPr>
        <w:tc>
          <w:tcPr>
            <w:tcW w:w="1433" w:type="dxa"/>
            <w:tcBorders>
              <w:top w:val="nil"/>
              <w:left w:val="single" w:sz="4" w:space="0" w:color="auto"/>
              <w:bottom w:val="single" w:sz="4" w:space="0" w:color="auto"/>
              <w:right w:val="single" w:sz="4" w:space="0" w:color="auto"/>
            </w:tcBorders>
            <w:shd w:val="clear" w:color="auto" w:fill="auto"/>
            <w:hideMark/>
          </w:tcPr>
          <w:p w:rsidR="00CC75F2" w:rsidRPr="00CC75F2" w:rsidRDefault="00CC75F2" w:rsidP="00CC75F2">
            <w:pPr>
              <w:jc w:val="left"/>
              <w:rPr>
                <w:rFonts w:cs="Arial"/>
                <w:color w:val="000000"/>
                <w:sz w:val="16"/>
                <w:szCs w:val="16"/>
              </w:rPr>
            </w:pPr>
            <w:r w:rsidRPr="00CC75F2">
              <w:rPr>
                <w:rFonts w:cs="Arial"/>
                <w:color w:val="000000"/>
                <w:sz w:val="16"/>
                <w:szCs w:val="16"/>
              </w:rPr>
              <w:t>Berry Street 30-34</w:t>
            </w:r>
          </w:p>
        </w:tc>
        <w:tc>
          <w:tcPr>
            <w:tcW w:w="1134" w:type="dxa"/>
            <w:tcBorders>
              <w:top w:val="nil"/>
              <w:left w:val="nil"/>
              <w:bottom w:val="single" w:sz="4" w:space="0" w:color="auto"/>
              <w:right w:val="single" w:sz="4" w:space="0" w:color="auto"/>
            </w:tcBorders>
            <w:shd w:val="clear" w:color="auto" w:fill="auto"/>
            <w:hideMark/>
          </w:tcPr>
          <w:p w:rsidR="00CC75F2" w:rsidRPr="00CC75F2" w:rsidRDefault="00CC75F2" w:rsidP="008B0CE7">
            <w:pPr>
              <w:jc w:val="center"/>
              <w:rPr>
                <w:rFonts w:cs="Arial"/>
                <w:color w:val="000000"/>
                <w:sz w:val="16"/>
                <w:szCs w:val="16"/>
              </w:rPr>
            </w:pPr>
            <w:r w:rsidRPr="00CC75F2">
              <w:rPr>
                <w:rFonts w:cs="Arial"/>
                <w:color w:val="000000"/>
                <w:sz w:val="16"/>
                <w:szCs w:val="16"/>
              </w:rPr>
              <w:t>R</w:t>
            </w:r>
            <w:r w:rsidR="008B0CE7">
              <w:rPr>
                <w:rFonts w:cs="Arial"/>
                <w:color w:val="000000"/>
                <w:sz w:val="16"/>
                <w:szCs w:val="16"/>
              </w:rPr>
              <w:t>ichmond</w:t>
            </w:r>
          </w:p>
        </w:tc>
        <w:tc>
          <w:tcPr>
            <w:tcW w:w="1417" w:type="dxa"/>
            <w:tcBorders>
              <w:top w:val="nil"/>
              <w:left w:val="nil"/>
              <w:bottom w:val="single" w:sz="4" w:space="0" w:color="auto"/>
              <w:right w:val="single" w:sz="4" w:space="0" w:color="auto"/>
            </w:tcBorders>
            <w:shd w:val="clear" w:color="auto" w:fill="auto"/>
            <w:hideMark/>
          </w:tcPr>
          <w:p w:rsidR="00CC75F2" w:rsidRPr="00CC75F2" w:rsidRDefault="00CC75F2" w:rsidP="009C23D6">
            <w:pPr>
              <w:jc w:val="center"/>
              <w:rPr>
                <w:rFonts w:cs="Arial"/>
                <w:color w:val="000000"/>
                <w:sz w:val="16"/>
                <w:szCs w:val="16"/>
              </w:rPr>
            </w:pPr>
            <w:r w:rsidRPr="00CC75F2">
              <w:rPr>
                <w:rFonts w:cs="Arial"/>
                <w:color w:val="000000"/>
                <w:sz w:val="16"/>
                <w:szCs w:val="16"/>
              </w:rPr>
              <w:t>A</w:t>
            </w:r>
            <w:r w:rsidR="009C23D6">
              <w:rPr>
                <w:rFonts w:cs="Arial"/>
                <w:color w:val="000000"/>
                <w:sz w:val="16"/>
                <w:szCs w:val="16"/>
              </w:rPr>
              <w:t>lexander Reserve</w:t>
            </w:r>
          </w:p>
        </w:tc>
        <w:tc>
          <w:tcPr>
            <w:tcW w:w="1276" w:type="dxa"/>
            <w:tcBorders>
              <w:top w:val="nil"/>
              <w:left w:val="nil"/>
              <w:bottom w:val="single" w:sz="4" w:space="0" w:color="auto"/>
              <w:right w:val="single" w:sz="4" w:space="0" w:color="auto"/>
            </w:tcBorders>
            <w:shd w:val="clear" w:color="auto" w:fill="auto"/>
            <w:hideMark/>
          </w:tcPr>
          <w:p w:rsidR="00CC75F2" w:rsidRPr="00CC75F2" w:rsidRDefault="00CC75F2" w:rsidP="00CC75F2">
            <w:pPr>
              <w:jc w:val="center"/>
              <w:rPr>
                <w:rFonts w:cs="Arial"/>
                <w:color w:val="000000"/>
                <w:sz w:val="16"/>
                <w:szCs w:val="16"/>
              </w:rPr>
            </w:pPr>
            <w:r w:rsidRPr="00CC75F2">
              <w:rPr>
                <w:rFonts w:cs="Arial"/>
                <w:color w:val="000000"/>
                <w:sz w:val="16"/>
                <w:szCs w:val="16"/>
              </w:rPr>
              <w:t>Richmond Hill Precinct</w:t>
            </w:r>
          </w:p>
        </w:tc>
        <w:tc>
          <w:tcPr>
            <w:tcW w:w="1134" w:type="dxa"/>
            <w:tcBorders>
              <w:top w:val="nil"/>
              <w:left w:val="nil"/>
              <w:bottom w:val="single" w:sz="4" w:space="0" w:color="auto"/>
              <w:right w:val="single" w:sz="4" w:space="0" w:color="auto"/>
            </w:tcBorders>
            <w:shd w:val="clear" w:color="auto" w:fill="auto"/>
            <w:hideMark/>
          </w:tcPr>
          <w:p w:rsidR="00CC75F2" w:rsidRPr="00CC75F2" w:rsidRDefault="00CC75F2" w:rsidP="00CC75F2">
            <w:pPr>
              <w:jc w:val="center"/>
              <w:rPr>
                <w:rFonts w:cs="Arial"/>
                <w:color w:val="000000"/>
                <w:sz w:val="16"/>
                <w:szCs w:val="16"/>
              </w:rPr>
            </w:pPr>
            <w:r w:rsidRPr="00CC75F2">
              <w:rPr>
                <w:rFonts w:cs="Arial"/>
                <w:color w:val="000000"/>
                <w:sz w:val="16"/>
                <w:szCs w:val="16"/>
              </w:rPr>
              <w:t>HO332</w:t>
            </w:r>
          </w:p>
        </w:tc>
        <w:tc>
          <w:tcPr>
            <w:tcW w:w="992" w:type="dxa"/>
            <w:tcBorders>
              <w:top w:val="nil"/>
              <w:left w:val="nil"/>
              <w:bottom w:val="single" w:sz="4" w:space="0" w:color="auto"/>
              <w:right w:val="single" w:sz="4" w:space="0" w:color="auto"/>
            </w:tcBorders>
            <w:shd w:val="clear" w:color="auto" w:fill="auto"/>
            <w:hideMark/>
          </w:tcPr>
          <w:p w:rsidR="00CC75F2" w:rsidRPr="00CC75F2" w:rsidRDefault="00CC75F2" w:rsidP="00CC75F2">
            <w:pPr>
              <w:jc w:val="center"/>
              <w:rPr>
                <w:rFonts w:cs="Arial"/>
                <w:color w:val="000000"/>
                <w:sz w:val="16"/>
                <w:szCs w:val="16"/>
              </w:rPr>
            </w:pPr>
            <w:r w:rsidRPr="00CC75F2">
              <w:rPr>
                <w:rFonts w:cs="Arial"/>
                <w:color w:val="000000"/>
                <w:sz w:val="16"/>
                <w:szCs w:val="16"/>
              </w:rPr>
              <w:t>N/A</w:t>
            </w:r>
          </w:p>
        </w:tc>
        <w:tc>
          <w:tcPr>
            <w:tcW w:w="1134" w:type="dxa"/>
            <w:tcBorders>
              <w:top w:val="nil"/>
              <w:left w:val="nil"/>
              <w:bottom w:val="single" w:sz="4" w:space="0" w:color="auto"/>
              <w:right w:val="single" w:sz="4" w:space="0" w:color="auto"/>
            </w:tcBorders>
            <w:shd w:val="clear" w:color="auto" w:fill="auto"/>
            <w:hideMark/>
          </w:tcPr>
          <w:p w:rsidR="00CC75F2" w:rsidRPr="00CC75F2" w:rsidRDefault="00CC75F2" w:rsidP="00373B8F">
            <w:pPr>
              <w:jc w:val="center"/>
              <w:rPr>
                <w:rFonts w:cs="Arial"/>
                <w:color w:val="000000"/>
                <w:sz w:val="16"/>
                <w:szCs w:val="16"/>
              </w:rPr>
            </w:pPr>
            <w:r w:rsidRPr="00CC75F2">
              <w:rPr>
                <w:rFonts w:cs="Arial"/>
                <w:color w:val="000000"/>
                <w:sz w:val="16"/>
                <w:szCs w:val="16"/>
              </w:rPr>
              <w:t>Precinct</w:t>
            </w:r>
          </w:p>
        </w:tc>
        <w:tc>
          <w:tcPr>
            <w:tcW w:w="1276" w:type="dxa"/>
            <w:tcBorders>
              <w:top w:val="nil"/>
              <w:left w:val="nil"/>
              <w:bottom w:val="single" w:sz="4" w:space="0" w:color="auto"/>
              <w:right w:val="single" w:sz="4" w:space="0" w:color="auto"/>
            </w:tcBorders>
            <w:shd w:val="clear" w:color="auto" w:fill="auto"/>
            <w:hideMark/>
          </w:tcPr>
          <w:p w:rsidR="00CC75F2" w:rsidRPr="00CC75F2" w:rsidRDefault="00CC75F2" w:rsidP="00CC75F2">
            <w:pPr>
              <w:jc w:val="center"/>
              <w:rPr>
                <w:rFonts w:cs="Arial"/>
                <w:color w:val="000000"/>
                <w:sz w:val="16"/>
                <w:szCs w:val="16"/>
              </w:rPr>
            </w:pPr>
            <w:r w:rsidRPr="00CC75F2">
              <w:rPr>
                <w:rFonts w:cs="Arial"/>
                <w:color w:val="000000"/>
                <w:sz w:val="16"/>
                <w:szCs w:val="16"/>
              </w:rPr>
              <w:t>Not contributory</w:t>
            </w:r>
          </w:p>
        </w:tc>
        <w:tc>
          <w:tcPr>
            <w:tcW w:w="2835" w:type="dxa"/>
            <w:tcBorders>
              <w:top w:val="nil"/>
              <w:left w:val="nil"/>
              <w:bottom w:val="single" w:sz="4" w:space="0" w:color="auto"/>
              <w:right w:val="single" w:sz="4" w:space="0" w:color="auto"/>
            </w:tcBorders>
            <w:shd w:val="clear" w:color="auto" w:fill="auto"/>
            <w:hideMark/>
          </w:tcPr>
          <w:p w:rsidR="00CC75F2" w:rsidRPr="00CC75F2" w:rsidRDefault="00CC75F2" w:rsidP="00CC75F2">
            <w:pPr>
              <w:jc w:val="left"/>
              <w:rPr>
                <w:rFonts w:cs="Arial"/>
                <w:color w:val="000000"/>
                <w:sz w:val="16"/>
                <w:szCs w:val="16"/>
              </w:rPr>
            </w:pPr>
            <w:r w:rsidRPr="00CC75F2">
              <w:rPr>
                <w:rFonts w:cs="Arial"/>
                <w:color w:val="000000"/>
                <w:sz w:val="16"/>
                <w:szCs w:val="16"/>
              </w:rPr>
              <w:t>External controls over buildings and land, no internal controls, no external paint controls and no tree controls</w:t>
            </w:r>
          </w:p>
        </w:tc>
        <w:tc>
          <w:tcPr>
            <w:tcW w:w="2693" w:type="dxa"/>
            <w:tcBorders>
              <w:top w:val="nil"/>
              <w:left w:val="nil"/>
              <w:bottom w:val="single" w:sz="4" w:space="0" w:color="auto"/>
              <w:right w:val="single" w:sz="4" w:space="0" w:color="auto"/>
            </w:tcBorders>
            <w:shd w:val="clear" w:color="auto" w:fill="auto"/>
            <w:hideMark/>
          </w:tcPr>
          <w:p w:rsidR="00CC75F2" w:rsidRPr="00CC75F2" w:rsidRDefault="00CC75F2" w:rsidP="00622DC3">
            <w:pPr>
              <w:jc w:val="left"/>
              <w:rPr>
                <w:rFonts w:cs="Arial"/>
                <w:color w:val="000000"/>
                <w:sz w:val="16"/>
                <w:szCs w:val="16"/>
              </w:rPr>
            </w:pPr>
            <w:r w:rsidRPr="00CC75F2">
              <w:rPr>
                <w:rFonts w:cs="Arial"/>
                <w:color w:val="000000"/>
                <w:sz w:val="16"/>
                <w:szCs w:val="16"/>
              </w:rPr>
              <w:t>Physical changes to the park would normally require approval under the Heritage Overlay from the</w:t>
            </w:r>
            <w:r w:rsidR="00622DC3">
              <w:rPr>
                <w:rFonts w:cs="Arial"/>
                <w:color w:val="000000"/>
                <w:sz w:val="16"/>
                <w:szCs w:val="16"/>
              </w:rPr>
              <w:t xml:space="preserve"> </w:t>
            </w:r>
            <w:r w:rsidR="00622DC3" w:rsidRPr="00CC75F2">
              <w:rPr>
                <w:rFonts w:cs="Arial"/>
                <w:color w:val="000000"/>
                <w:sz w:val="16"/>
                <w:szCs w:val="16"/>
              </w:rPr>
              <w:t>Yarra</w:t>
            </w:r>
            <w:r w:rsidR="00622DC3">
              <w:rPr>
                <w:rFonts w:cs="Arial"/>
                <w:color w:val="000000"/>
                <w:sz w:val="16"/>
                <w:szCs w:val="16"/>
              </w:rPr>
              <w:t xml:space="preserve"> City Council.</w:t>
            </w:r>
            <w:r w:rsidRPr="00CC75F2">
              <w:rPr>
                <w:rFonts w:cs="Arial"/>
                <w:color w:val="000000"/>
                <w:sz w:val="16"/>
                <w:szCs w:val="16"/>
              </w:rPr>
              <w:t xml:space="preserve"> </w:t>
            </w:r>
          </w:p>
        </w:tc>
      </w:tr>
      <w:tr w:rsidR="008B0CE7" w:rsidRPr="00CC75F2" w:rsidTr="00EA18F9">
        <w:trPr>
          <w:cantSplit/>
          <w:trHeight w:val="960"/>
        </w:trPr>
        <w:tc>
          <w:tcPr>
            <w:tcW w:w="1433" w:type="dxa"/>
            <w:tcBorders>
              <w:top w:val="nil"/>
              <w:left w:val="single" w:sz="4" w:space="0" w:color="auto"/>
              <w:bottom w:val="single" w:sz="4" w:space="0" w:color="auto"/>
              <w:right w:val="single" w:sz="4" w:space="0" w:color="auto"/>
            </w:tcBorders>
            <w:shd w:val="clear" w:color="auto" w:fill="auto"/>
            <w:hideMark/>
          </w:tcPr>
          <w:p w:rsidR="00CC75F2" w:rsidRPr="00CC75F2" w:rsidRDefault="00CC75F2" w:rsidP="00CC75F2">
            <w:pPr>
              <w:jc w:val="left"/>
              <w:rPr>
                <w:rFonts w:cs="Arial"/>
                <w:color w:val="000000"/>
                <w:sz w:val="16"/>
                <w:szCs w:val="16"/>
              </w:rPr>
            </w:pPr>
            <w:r w:rsidRPr="00CC75F2">
              <w:rPr>
                <w:rFonts w:cs="Arial"/>
                <w:color w:val="000000"/>
                <w:sz w:val="16"/>
                <w:szCs w:val="16"/>
              </w:rPr>
              <w:t xml:space="preserve">Bridge Road 325-333 </w:t>
            </w:r>
          </w:p>
        </w:tc>
        <w:tc>
          <w:tcPr>
            <w:tcW w:w="1134" w:type="dxa"/>
            <w:tcBorders>
              <w:top w:val="nil"/>
              <w:left w:val="nil"/>
              <w:bottom w:val="single" w:sz="4" w:space="0" w:color="auto"/>
              <w:right w:val="single" w:sz="4" w:space="0" w:color="auto"/>
            </w:tcBorders>
            <w:shd w:val="clear" w:color="auto" w:fill="auto"/>
            <w:hideMark/>
          </w:tcPr>
          <w:p w:rsidR="00CC75F2" w:rsidRPr="00CC75F2" w:rsidRDefault="008B0CE7" w:rsidP="00CC75F2">
            <w:pPr>
              <w:jc w:val="center"/>
              <w:rPr>
                <w:rFonts w:cs="Arial"/>
                <w:color w:val="000000"/>
                <w:sz w:val="16"/>
                <w:szCs w:val="16"/>
              </w:rPr>
            </w:pPr>
            <w:r w:rsidRPr="00CC75F2">
              <w:rPr>
                <w:rFonts w:cs="Arial"/>
                <w:color w:val="000000"/>
                <w:sz w:val="16"/>
                <w:szCs w:val="16"/>
              </w:rPr>
              <w:t>R</w:t>
            </w:r>
            <w:r>
              <w:rPr>
                <w:rFonts w:cs="Arial"/>
                <w:color w:val="000000"/>
                <w:sz w:val="16"/>
                <w:szCs w:val="16"/>
              </w:rPr>
              <w:t>ichmond</w:t>
            </w:r>
          </w:p>
        </w:tc>
        <w:tc>
          <w:tcPr>
            <w:tcW w:w="1417" w:type="dxa"/>
            <w:tcBorders>
              <w:top w:val="nil"/>
              <w:left w:val="nil"/>
              <w:bottom w:val="single" w:sz="4" w:space="0" w:color="auto"/>
              <w:right w:val="single" w:sz="4" w:space="0" w:color="auto"/>
            </w:tcBorders>
            <w:shd w:val="clear" w:color="auto" w:fill="auto"/>
            <w:hideMark/>
          </w:tcPr>
          <w:p w:rsidR="00CC75F2" w:rsidRPr="00CC75F2" w:rsidRDefault="008B0CE7" w:rsidP="008B0CE7">
            <w:pPr>
              <w:jc w:val="center"/>
              <w:rPr>
                <w:rFonts w:cs="Arial"/>
                <w:color w:val="000000"/>
                <w:sz w:val="16"/>
                <w:szCs w:val="16"/>
              </w:rPr>
            </w:pPr>
            <w:r w:rsidRPr="00CC75F2">
              <w:rPr>
                <w:rFonts w:cs="Arial"/>
                <w:color w:val="000000"/>
                <w:sz w:val="16"/>
                <w:szCs w:val="16"/>
              </w:rPr>
              <w:t>R</w:t>
            </w:r>
            <w:r>
              <w:rPr>
                <w:rFonts w:cs="Arial"/>
                <w:color w:val="000000"/>
                <w:sz w:val="16"/>
                <w:szCs w:val="16"/>
              </w:rPr>
              <w:t>ichmond Town Hall</w:t>
            </w:r>
            <w:r w:rsidR="00CC75F2" w:rsidRPr="00CC75F2">
              <w:rPr>
                <w:rFonts w:cs="Arial"/>
                <w:color w:val="000000"/>
                <w:sz w:val="16"/>
                <w:szCs w:val="16"/>
              </w:rPr>
              <w:t xml:space="preserve"> </w:t>
            </w:r>
          </w:p>
        </w:tc>
        <w:tc>
          <w:tcPr>
            <w:tcW w:w="1276" w:type="dxa"/>
            <w:tcBorders>
              <w:top w:val="nil"/>
              <w:left w:val="nil"/>
              <w:bottom w:val="single" w:sz="4" w:space="0" w:color="auto"/>
              <w:right w:val="single" w:sz="4" w:space="0" w:color="auto"/>
            </w:tcBorders>
            <w:shd w:val="clear" w:color="auto" w:fill="auto"/>
            <w:hideMark/>
          </w:tcPr>
          <w:p w:rsidR="00CC75F2" w:rsidRPr="00CC75F2" w:rsidRDefault="00CC75F2" w:rsidP="00373B8F">
            <w:pPr>
              <w:jc w:val="center"/>
              <w:rPr>
                <w:rFonts w:cs="Arial"/>
                <w:color w:val="000000"/>
                <w:sz w:val="16"/>
                <w:szCs w:val="16"/>
              </w:rPr>
            </w:pPr>
            <w:r w:rsidRPr="00CC75F2">
              <w:rPr>
                <w:rFonts w:cs="Arial"/>
                <w:color w:val="000000"/>
                <w:sz w:val="16"/>
                <w:szCs w:val="16"/>
              </w:rPr>
              <w:t>Bridge Road Precinct (HO310)</w:t>
            </w:r>
            <w:r w:rsidR="00373B8F">
              <w:rPr>
                <w:rFonts w:cs="Arial"/>
                <w:color w:val="000000"/>
                <w:sz w:val="16"/>
                <w:szCs w:val="16"/>
              </w:rPr>
              <w:t xml:space="preserve"> </w:t>
            </w:r>
            <w:r w:rsidRPr="00CC75F2">
              <w:rPr>
                <w:rFonts w:cs="Arial"/>
                <w:color w:val="000000"/>
                <w:sz w:val="16"/>
                <w:szCs w:val="16"/>
              </w:rPr>
              <w:t>Richmond Police Station (HO230)</w:t>
            </w:r>
          </w:p>
        </w:tc>
        <w:tc>
          <w:tcPr>
            <w:tcW w:w="1134" w:type="dxa"/>
            <w:tcBorders>
              <w:top w:val="nil"/>
              <w:left w:val="nil"/>
              <w:bottom w:val="single" w:sz="4" w:space="0" w:color="auto"/>
              <w:right w:val="single" w:sz="4" w:space="0" w:color="auto"/>
            </w:tcBorders>
            <w:shd w:val="clear" w:color="auto" w:fill="auto"/>
            <w:hideMark/>
          </w:tcPr>
          <w:p w:rsidR="00CC75F2" w:rsidRPr="00CC75F2" w:rsidRDefault="00CC75F2" w:rsidP="00CC75F2">
            <w:pPr>
              <w:jc w:val="center"/>
              <w:rPr>
                <w:rFonts w:cs="Arial"/>
                <w:color w:val="000000"/>
                <w:sz w:val="16"/>
                <w:szCs w:val="16"/>
              </w:rPr>
            </w:pPr>
            <w:r w:rsidRPr="00CC75F2">
              <w:rPr>
                <w:rFonts w:cs="Arial"/>
                <w:color w:val="000000"/>
                <w:sz w:val="16"/>
                <w:szCs w:val="16"/>
              </w:rPr>
              <w:t xml:space="preserve">HO310 HO230 </w:t>
            </w:r>
          </w:p>
        </w:tc>
        <w:tc>
          <w:tcPr>
            <w:tcW w:w="992" w:type="dxa"/>
            <w:tcBorders>
              <w:top w:val="nil"/>
              <w:left w:val="nil"/>
              <w:bottom w:val="single" w:sz="4" w:space="0" w:color="auto"/>
              <w:right w:val="single" w:sz="4" w:space="0" w:color="auto"/>
            </w:tcBorders>
            <w:shd w:val="clear" w:color="auto" w:fill="auto"/>
            <w:hideMark/>
          </w:tcPr>
          <w:p w:rsidR="00CC75F2" w:rsidRPr="00CC75F2" w:rsidRDefault="00CC75F2" w:rsidP="00CC75F2">
            <w:pPr>
              <w:jc w:val="center"/>
              <w:rPr>
                <w:rFonts w:cs="Arial"/>
                <w:color w:val="000000"/>
                <w:sz w:val="16"/>
                <w:szCs w:val="16"/>
              </w:rPr>
            </w:pPr>
            <w:r w:rsidRPr="00CC75F2">
              <w:rPr>
                <w:rFonts w:cs="Arial"/>
                <w:color w:val="000000"/>
                <w:sz w:val="16"/>
                <w:szCs w:val="16"/>
              </w:rPr>
              <w:t>N/A</w:t>
            </w:r>
          </w:p>
        </w:tc>
        <w:tc>
          <w:tcPr>
            <w:tcW w:w="1134" w:type="dxa"/>
            <w:tcBorders>
              <w:top w:val="nil"/>
              <w:left w:val="nil"/>
              <w:bottom w:val="single" w:sz="4" w:space="0" w:color="auto"/>
              <w:right w:val="single" w:sz="4" w:space="0" w:color="auto"/>
            </w:tcBorders>
            <w:shd w:val="clear" w:color="auto" w:fill="auto"/>
            <w:hideMark/>
          </w:tcPr>
          <w:p w:rsidR="00CC75F2" w:rsidRPr="00CC75F2" w:rsidRDefault="00CC75F2" w:rsidP="005E5635">
            <w:pPr>
              <w:jc w:val="center"/>
              <w:rPr>
                <w:rFonts w:cs="Arial"/>
                <w:color w:val="000000"/>
                <w:sz w:val="16"/>
                <w:szCs w:val="16"/>
              </w:rPr>
            </w:pPr>
            <w:r w:rsidRPr="00CC75F2">
              <w:rPr>
                <w:rFonts w:cs="Arial"/>
                <w:color w:val="000000"/>
                <w:sz w:val="16"/>
                <w:szCs w:val="16"/>
              </w:rPr>
              <w:t xml:space="preserve">Precinct and      Individual (Police </w:t>
            </w:r>
            <w:r w:rsidR="005E5635">
              <w:rPr>
                <w:rFonts w:cs="Arial"/>
                <w:color w:val="000000"/>
                <w:sz w:val="16"/>
                <w:szCs w:val="16"/>
              </w:rPr>
              <w:t>S</w:t>
            </w:r>
            <w:r w:rsidRPr="00CC75F2">
              <w:rPr>
                <w:rFonts w:cs="Arial"/>
                <w:color w:val="000000"/>
                <w:sz w:val="16"/>
                <w:szCs w:val="16"/>
              </w:rPr>
              <w:t>tation)</w:t>
            </w:r>
          </w:p>
        </w:tc>
        <w:tc>
          <w:tcPr>
            <w:tcW w:w="1276" w:type="dxa"/>
            <w:tcBorders>
              <w:top w:val="nil"/>
              <w:left w:val="nil"/>
              <w:bottom w:val="single" w:sz="4" w:space="0" w:color="auto"/>
              <w:right w:val="single" w:sz="4" w:space="0" w:color="auto"/>
            </w:tcBorders>
            <w:shd w:val="clear" w:color="auto" w:fill="auto"/>
            <w:hideMark/>
          </w:tcPr>
          <w:p w:rsidR="00CC75F2" w:rsidRPr="00CC75F2" w:rsidRDefault="00CC75F2" w:rsidP="00CC75F2">
            <w:pPr>
              <w:jc w:val="center"/>
              <w:rPr>
                <w:rFonts w:cs="Arial"/>
                <w:color w:val="000000"/>
                <w:sz w:val="16"/>
                <w:szCs w:val="16"/>
              </w:rPr>
            </w:pPr>
            <w:r w:rsidRPr="00CC75F2">
              <w:rPr>
                <w:rFonts w:cs="Arial"/>
                <w:color w:val="000000"/>
                <w:sz w:val="16"/>
                <w:szCs w:val="16"/>
              </w:rPr>
              <w:t>Individually significant</w:t>
            </w:r>
          </w:p>
        </w:tc>
        <w:tc>
          <w:tcPr>
            <w:tcW w:w="2835" w:type="dxa"/>
            <w:tcBorders>
              <w:top w:val="nil"/>
              <w:left w:val="nil"/>
              <w:bottom w:val="single" w:sz="4" w:space="0" w:color="auto"/>
              <w:right w:val="single" w:sz="4" w:space="0" w:color="auto"/>
            </w:tcBorders>
            <w:shd w:val="clear" w:color="auto" w:fill="auto"/>
            <w:hideMark/>
          </w:tcPr>
          <w:p w:rsidR="00CC75F2" w:rsidRPr="00CC75F2" w:rsidRDefault="00CC75F2" w:rsidP="00CC75F2">
            <w:pPr>
              <w:jc w:val="left"/>
              <w:rPr>
                <w:rFonts w:cs="Arial"/>
                <w:color w:val="000000"/>
                <w:sz w:val="16"/>
                <w:szCs w:val="16"/>
              </w:rPr>
            </w:pPr>
            <w:r w:rsidRPr="00CC75F2">
              <w:rPr>
                <w:rFonts w:cs="Arial"/>
                <w:color w:val="000000"/>
                <w:sz w:val="16"/>
                <w:szCs w:val="16"/>
              </w:rPr>
              <w:t>External controls over the buildings and land apply.  External paint controls apply. No internal controls and no tree  controls apply</w:t>
            </w:r>
          </w:p>
        </w:tc>
        <w:tc>
          <w:tcPr>
            <w:tcW w:w="2693" w:type="dxa"/>
            <w:tcBorders>
              <w:top w:val="nil"/>
              <w:left w:val="nil"/>
              <w:bottom w:val="single" w:sz="4" w:space="0" w:color="auto"/>
              <w:right w:val="single" w:sz="4" w:space="0" w:color="auto"/>
            </w:tcBorders>
            <w:shd w:val="clear" w:color="auto" w:fill="auto"/>
            <w:hideMark/>
          </w:tcPr>
          <w:p w:rsidR="00CC75F2" w:rsidRPr="00CC75F2" w:rsidRDefault="00CC75F2" w:rsidP="00CC75F2">
            <w:pPr>
              <w:jc w:val="left"/>
              <w:rPr>
                <w:rFonts w:cs="Arial"/>
                <w:color w:val="000000"/>
                <w:sz w:val="16"/>
                <w:szCs w:val="16"/>
              </w:rPr>
            </w:pPr>
            <w:r w:rsidRPr="00CC75F2">
              <w:rPr>
                <w:rFonts w:cs="Arial"/>
                <w:color w:val="000000"/>
                <w:sz w:val="16"/>
                <w:szCs w:val="16"/>
              </w:rPr>
              <w:t>The Police Station has an individual heritage overlay although all of the site is graded 'individually significant' in the Bridge Road Precinct.</w:t>
            </w:r>
          </w:p>
        </w:tc>
      </w:tr>
      <w:tr w:rsidR="00EA18F9" w:rsidRPr="00CC75F2" w:rsidTr="00325F0A">
        <w:trPr>
          <w:cantSplit/>
          <w:trHeight w:val="960"/>
        </w:trPr>
        <w:tc>
          <w:tcPr>
            <w:tcW w:w="1433" w:type="dxa"/>
            <w:tcBorders>
              <w:top w:val="nil"/>
              <w:left w:val="single" w:sz="4" w:space="0" w:color="auto"/>
              <w:bottom w:val="single" w:sz="4" w:space="0" w:color="auto"/>
              <w:right w:val="single" w:sz="4" w:space="0" w:color="auto"/>
            </w:tcBorders>
            <w:shd w:val="clear" w:color="auto" w:fill="auto"/>
          </w:tcPr>
          <w:p w:rsidR="00EA18F9" w:rsidRPr="00CC75F2" w:rsidRDefault="00EA18F9" w:rsidP="00325F0A">
            <w:pPr>
              <w:jc w:val="left"/>
              <w:rPr>
                <w:rFonts w:cs="Arial"/>
                <w:color w:val="000000"/>
                <w:sz w:val="16"/>
                <w:szCs w:val="16"/>
              </w:rPr>
            </w:pPr>
            <w:r w:rsidRPr="00AA2630">
              <w:rPr>
                <w:rFonts w:cs="Arial"/>
                <w:color w:val="000000"/>
                <w:sz w:val="16"/>
                <w:szCs w:val="18"/>
              </w:rPr>
              <w:t>Brunswick Street</w:t>
            </w:r>
          </w:p>
        </w:tc>
        <w:tc>
          <w:tcPr>
            <w:tcW w:w="1134" w:type="dxa"/>
            <w:tcBorders>
              <w:top w:val="nil"/>
              <w:left w:val="nil"/>
              <w:bottom w:val="single" w:sz="4" w:space="0" w:color="auto"/>
              <w:right w:val="single" w:sz="4" w:space="0" w:color="auto"/>
            </w:tcBorders>
            <w:shd w:val="clear" w:color="auto" w:fill="auto"/>
          </w:tcPr>
          <w:p w:rsidR="00EA18F9" w:rsidRPr="00CC75F2" w:rsidRDefault="00EA18F9" w:rsidP="00325F0A">
            <w:pPr>
              <w:jc w:val="center"/>
              <w:rPr>
                <w:rFonts w:cs="Arial"/>
                <w:color w:val="000000"/>
                <w:sz w:val="16"/>
                <w:szCs w:val="16"/>
              </w:rPr>
            </w:pPr>
            <w:r>
              <w:rPr>
                <w:rFonts w:cs="Arial"/>
                <w:color w:val="000000"/>
                <w:sz w:val="16"/>
                <w:szCs w:val="16"/>
              </w:rPr>
              <w:t>Fitzroy North</w:t>
            </w:r>
          </w:p>
        </w:tc>
        <w:tc>
          <w:tcPr>
            <w:tcW w:w="1417" w:type="dxa"/>
            <w:tcBorders>
              <w:top w:val="nil"/>
              <w:left w:val="nil"/>
              <w:bottom w:val="single" w:sz="4" w:space="0" w:color="auto"/>
              <w:right w:val="single" w:sz="4" w:space="0" w:color="auto"/>
            </w:tcBorders>
            <w:shd w:val="clear" w:color="auto" w:fill="auto"/>
          </w:tcPr>
          <w:p w:rsidR="00EA18F9" w:rsidRPr="00CC75F2" w:rsidRDefault="00EA18F9" w:rsidP="00325F0A">
            <w:pPr>
              <w:jc w:val="center"/>
              <w:rPr>
                <w:rFonts w:cs="Arial"/>
                <w:color w:val="000000"/>
                <w:sz w:val="16"/>
                <w:szCs w:val="16"/>
              </w:rPr>
            </w:pPr>
            <w:r>
              <w:rPr>
                <w:rFonts w:cs="Arial"/>
                <w:color w:val="000000"/>
                <w:sz w:val="16"/>
                <w:szCs w:val="16"/>
              </w:rPr>
              <w:t>Edinburgh Gardens</w:t>
            </w:r>
          </w:p>
        </w:tc>
        <w:tc>
          <w:tcPr>
            <w:tcW w:w="1276" w:type="dxa"/>
            <w:tcBorders>
              <w:top w:val="nil"/>
              <w:left w:val="nil"/>
              <w:bottom w:val="single" w:sz="4" w:space="0" w:color="auto"/>
              <w:right w:val="single" w:sz="4" w:space="0" w:color="auto"/>
            </w:tcBorders>
            <w:shd w:val="clear" w:color="auto" w:fill="auto"/>
          </w:tcPr>
          <w:p w:rsidR="00EA18F9" w:rsidRPr="00CC75F2" w:rsidRDefault="00EA18F9" w:rsidP="00325F0A">
            <w:pPr>
              <w:jc w:val="center"/>
              <w:rPr>
                <w:rFonts w:cs="Arial"/>
                <w:color w:val="000000"/>
                <w:sz w:val="16"/>
                <w:szCs w:val="16"/>
              </w:rPr>
            </w:pPr>
            <w:r w:rsidRPr="00AA2630">
              <w:rPr>
                <w:rFonts w:cs="Arial"/>
                <w:color w:val="000000"/>
                <w:sz w:val="16"/>
                <w:szCs w:val="18"/>
              </w:rPr>
              <w:t>Brunswick Street and Alfred Crescent North Fitzroy Edinburgh Ga</w:t>
            </w:r>
            <w:r>
              <w:rPr>
                <w:rFonts w:cs="Arial"/>
                <w:color w:val="000000"/>
                <w:sz w:val="16"/>
                <w:szCs w:val="18"/>
              </w:rPr>
              <w:t>r</w:t>
            </w:r>
            <w:r w:rsidRPr="00AA2630">
              <w:rPr>
                <w:rFonts w:cs="Arial"/>
                <w:color w:val="000000"/>
                <w:sz w:val="16"/>
                <w:szCs w:val="18"/>
              </w:rPr>
              <w:t>dens (HO213) and Fitzroy Cricket Club Complex (HO215)</w:t>
            </w:r>
          </w:p>
        </w:tc>
        <w:tc>
          <w:tcPr>
            <w:tcW w:w="1134" w:type="dxa"/>
            <w:tcBorders>
              <w:top w:val="nil"/>
              <w:left w:val="nil"/>
              <w:bottom w:val="single" w:sz="4" w:space="0" w:color="auto"/>
              <w:right w:val="single" w:sz="4" w:space="0" w:color="auto"/>
            </w:tcBorders>
            <w:shd w:val="clear" w:color="auto" w:fill="auto"/>
          </w:tcPr>
          <w:p w:rsidR="00EA18F9" w:rsidRPr="00CC75F2" w:rsidRDefault="00EA18F9" w:rsidP="00325F0A">
            <w:pPr>
              <w:jc w:val="center"/>
              <w:rPr>
                <w:rFonts w:cs="Arial"/>
                <w:color w:val="000000"/>
                <w:sz w:val="16"/>
                <w:szCs w:val="16"/>
              </w:rPr>
            </w:pPr>
            <w:r w:rsidRPr="00AA2630">
              <w:rPr>
                <w:rFonts w:cs="Arial"/>
                <w:color w:val="000000"/>
                <w:sz w:val="16"/>
                <w:szCs w:val="18"/>
              </w:rPr>
              <w:t>HO213 and HO215</w:t>
            </w:r>
          </w:p>
        </w:tc>
        <w:tc>
          <w:tcPr>
            <w:tcW w:w="992" w:type="dxa"/>
            <w:tcBorders>
              <w:top w:val="nil"/>
              <w:left w:val="nil"/>
              <w:bottom w:val="single" w:sz="4" w:space="0" w:color="auto"/>
              <w:right w:val="single" w:sz="4" w:space="0" w:color="auto"/>
            </w:tcBorders>
            <w:shd w:val="clear" w:color="auto" w:fill="auto"/>
          </w:tcPr>
          <w:p w:rsidR="00EA18F9" w:rsidRPr="00CC75F2" w:rsidRDefault="00EA18F9" w:rsidP="00325F0A">
            <w:pPr>
              <w:ind w:left="-108" w:right="-108"/>
              <w:jc w:val="center"/>
              <w:rPr>
                <w:rFonts w:cs="Arial"/>
                <w:color w:val="000000"/>
                <w:sz w:val="16"/>
                <w:szCs w:val="16"/>
              </w:rPr>
            </w:pPr>
            <w:r w:rsidRPr="00AA2630">
              <w:rPr>
                <w:rFonts w:cs="Arial"/>
                <w:color w:val="000000"/>
                <w:sz w:val="16"/>
                <w:szCs w:val="18"/>
              </w:rPr>
              <w:t>H0751 (Fitzroy Cricket Ground Grandstand)</w:t>
            </w:r>
          </w:p>
        </w:tc>
        <w:tc>
          <w:tcPr>
            <w:tcW w:w="1134" w:type="dxa"/>
            <w:tcBorders>
              <w:top w:val="nil"/>
              <w:left w:val="nil"/>
              <w:bottom w:val="single" w:sz="4" w:space="0" w:color="auto"/>
              <w:right w:val="single" w:sz="4" w:space="0" w:color="auto"/>
            </w:tcBorders>
            <w:shd w:val="clear" w:color="auto" w:fill="auto"/>
          </w:tcPr>
          <w:p w:rsidR="00EA18F9" w:rsidRPr="00CC75F2" w:rsidRDefault="00EA18F9" w:rsidP="00325F0A">
            <w:pPr>
              <w:jc w:val="center"/>
              <w:rPr>
                <w:rFonts w:cs="Arial"/>
                <w:color w:val="000000"/>
                <w:sz w:val="16"/>
                <w:szCs w:val="16"/>
              </w:rPr>
            </w:pPr>
            <w:r w:rsidRPr="00AA2630">
              <w:rPr>
                <w:rFonts w:cs="Arial"/>
                <w:color w:val="000000"/>
                <w:sz w:val="16"/>
                <w:szCs w:val="18"/>
              </w:rPr>
              <w:t>Individual (local)</w:t>
            </w:r>
            <w:r>
              <w:rPr>
                <w:rFonts w:cs="Arial"/>
                <w:color w:val="000000"/>
                <w:sz w:val="16"/>
                <w:szCs w:val="18"/>
              </w:rPr>
              <w:t>.</w:t>
            </w:r>
            <w:r w:rsidRPr="00AA2630">
              <w:rPr>
                <w:rFonts w:cs="Arial"/>
                <w:color w:val="000000"/>
                <w:sz w:val="16"/>
                <w:szCs w:val="18"/>
              </w:rPr>
              <w:t xml:space="preserve">  The Fitzroy Cricket Ground Grandstand to the west</w:t>
            </w:r>
            <w:r>
              <w:rPr>
                <w:rFonts w:cs="Arial"/>
                <w:color w:val="000000"/>
                <w:sz w:val="16"/>
                <w:szCs w:val="18"/>
              </w:rPr>
              <w:t xml:space="preserve"> side of the park is also indivi</w:t>
            </w:r>
            <w:r w:rsidRPr="00AA2630">
              <w:rPr>
                <w:rFonts w:cs="Arial"/>
                <w:color w:val="000000"/>
                <w:sz w:val="16"/>
                <w:szCs w:val="18"/>
              </w:rPr>
              <w:t>d</w:t>
            </w:r>
            <w:r>
              <w:rPr>
                <w:rFonts w:cs="Arial"/>
                <w:color w:val="000000"/>
                <w:sz w:val="16"/>
                <w:szCs w:val="18"/>
              </w:rPr>
              <w:t>u</w:t>
            </w:r>
            <w:r w:rsidRPr="00AA2630">
              <w:rPr>
                <w:rFonts w:cs="Arial"/>
                <w:color w:val="000000"/>
                <w:sz w:val="16"/>
                <w:szCs w:val="18"/>
              </w:rPr>
              <w:t>ally registered at a State level.</w:t>
            </w:r>
          </w:p>
        </w:tc>
        <w:tc>
          <w:tcPr>
            <w:tcW w:w="1276" w:type="dxa"/>
            <w:tcBorders>
              <w:top w:val="nil"/>
              <w:left w:val="nil"/>
              <w:bottom w:val="single" w:sz="4" w:space="0" w:color="auto"/>
              <w:right w:val="single" w:sz="4" w:space="0" w:color="auto"/>
            </w:tcBorders>
            <w:shd w:val="clear" w:color="auto" w:fill="auto"/>
          </w:tcPr>
          <w:p w:rsidR="00EA18F9" w:rsidRPr="00CC75F2" w:rsidRDefault="00EA18F9" w:rsidP="00325F0A">
            <w:pPr>
              <w:jc w:val="center"/>
              <w:rPr>
                <w:rFonts w:cs="Arial"/>
                <w:color w:val="000000"/>
                <w:sz w:val="16"/>
                <w:szCs w:val="16"/>
              </w:rPr>
            </w:pPr>
            <w:r w:rsidRPr="00AA2630">
              <w:rPr>
                <w:rFonts w:cs="Arial"/>
                <w:color w:val="000000"/>
                <w:sz w:val="16"/>
                <w:szCs w:val="18"/>
              </w:rPr>
              <w:t>Individually significant</w:t>
            </w:r>
          </w:p>
        </w:tc>
        <w:tc>
          <w:tcPr>
            <w:tcW w:w="2835" w:type="dxa"/>
            <w:tcBorders>
              <w:top w:val="nil"/>
              <w:left w:val="nil"/>
              <w:bottom w:val="single" w:sz="4" w:space="0" w:color="auto"/>
              <w:right w:val="single" w:sz="4" w:space="0" w:color="auto"/>
            </w:tcBorders>
            <w:shd w:val="clear" w:color="auto" w:fill="auto"/>
          </w:tcPr>
          <w:p w:rsidR="00EA18F9" w:rsidRPr="00CC75F2" w:rsidRDefault="00EA18F9" w:rsidP="00325F0A">
            <w:pPr>
              <w:jc w:val="left"/>
              <w:rPr>
                <w:rFonts w:cs="Arial"/>
                <w:color w:val="000000"/>
                <w:sz w:val="16"/>
                <w:szCs w:val="16"/>
              </w:rPr>
            </w:pPr>
            <w:r w:rsidRPr="00AA2630">
              <w:rPr>
                <w:rFonts w:cs="Arial"/>
                <w:color w:val="000000"/>
                <w:sz w:val="16"/>
                <w:szCs w:val="18"/>
              </w:rPr>
              <w:t>External controls apply to the whole of the site as a result of the Heritage Overlay.  External and internal controls apply to the Fitzroy Cricket Ground Grandstand as a result of the Heritage Victoria Registration.  A permit from Heritage Victoria will be required for works to the grandstand and on land included in the extent of registration.</w:t>
            </w:r>
          </w:p>
        </w:tc>
        <w:tc>
          <w:tcPr>
            <w:tcW w:w="2693" w:type="dxa"/>
            <w:tcBorders>
              <w:top w:val="nil"/>
              <w:left w:val="nil"/>
              <w:bottom w:val="single" w:sz="4" w:space="0" w:color="auto"/>
              <w:right w:val="single" w:sz="4" w:space="0" w:color="auto"/>
            </w:tcBorders>
            <w:shd w:val="clear" w:color="auto" w:fill="auto"/>
          </w:tcPr>
          <w:p w:rsidR="00EA18F9" w:rsidRPr="00CC75F2" w:rsidRDefault="00EA18F9" w:rsidP="00325F0A">
            <w:pPr>
              <w:jc w:val="left"/>
              <w:rPr>
                <w:rFonts w:cs="Arial"/>
                <w:color w:val="000000"/>
                <w:sz w:val="16"/>
                <w:szCs w:val="16"/>
              </w:rPr>
            </w:pPr>
            <w:r w:rsidRPr="00AA2630">
              <w:rPr>
                <w:rFonts w:cs="Arial"/>
                <w:color w:val="000000"/>
                <w:sz w:val="16"/>
                <w:szCs w:val="18"/>
              </w:rPr>
              <w:t>HO213 cover the whole site.  VHR0751 applies to the Fitzroy Cricket Ground Grandstand and the land included in its extent of registration  (HO215 reflects this registration).  The Edinburgh Gardens also have frontages to Freeman</w:t>
            </w:r>
            <w:r>
              <w:rPr>
                <w:rFonts w:cs="Arial"/>
                <w:color w:val="000000"/>
                <w:sz w:val="16"/>
                <w:szCs w:val="18"/>
              </w:rPr>
              <w:t xml:space="preserve"> </w:t>
            </w:r>
            <w:r w:rsidRPr="00AA2630">
              <w:rPr>
                <w:rFonts w:cs="Arial"/>
                <w:color w:val="000000"/>
                <w:sz w:val="16"/>
                <w:szCs w:val="18"/>
              </w:rPr>
              <w:t>Street, Alfred Crescent and St Georg</w:t>
            </w:r>
            <w:r>
              <w:rPr>
                <w:rFonts w:cs="Arial"/>
                <w:color w:val="000000"/>
                <w:sz w:val="16"/>
                <w:szCs w:val="18"/>
              </w:rPr>
              <w:t>es Road.</w:t>
            </w:r>
          </w:p>
        </w:tc>
      </w:tr>
      <w:tr w:rsidR="008B0CE7" w:rsidRPr="00CC75F2" w:rsidTr="00EA18F9">
        <w:trPr>
          <w:cantSplit/>
          <w:trHeight w:val="720"/>
        </w:trPr>
        <w:tc>
          <w:tcPr>
            <w:tcW w:w="1433" w:type="dxa"/>
            <w:tcBorders>
              <w:top w:val="nil"/>
              <w:left w:val="single" w:sz="4" w:space="0" w:color="auto"/>
              <w:bottom w:val="single" w:sz="4" w:space="0" w:color="auto"/>
              <w:right w:val="single" w:sz="4" w:space="0" w:color="auto"/>
            </w:tcBorders>
            <w:shd w:val="clear" w:color="auto" w:fill="auto"/>
            <w:hideMark/>
          </w:tcPr>
          <w:p w:rsidR="00CC75F2" w:rsidRPr="00CC75F2" w:rsidRDefault="00CC75F2" w:rsidP="00CC75F2">
            <w:pPr>
              <w:jc w:val="left"/>
              <w:rPr>
                <w:rFonts w:cs="Arial"/>
                <w:color w:val="000000"/>
                <w:sz w:val="16"/>
                <w:szCs w:val="16"/>
              </w:rPr>
            </w:pPr>
            <w:r w:rsidRPr="00CC75F2">
              <w:rPr>
                <w:rFonts w:cs="Arial"/>
                <w:color w:val="000000"/>
                <w:sz w:val="16"/>
                <w:szCs w:val="16"/>
              </w:rPr>
              <w:t>Brunswick Street 239</w:t>
            </w:r>
          </w:p>
        </w:tc>
        <w:tc>
          <w:tcPr>
            <w:tcW w:w="1134" w:type="dxa"/>
            <w:tcBorders>
              <w:top w:val="nil"/>
              <w:left w:val="nil"/>
              <w:bottom w:val="single" w:sz="4" w:space="0" w:color="auto"/>
              <w:right w:val="single" w:sz="4" w:space="0" w:color="auto"/>
            </w:tcBorders>
            <w:shd w:val="clear" w:color="auto" w:fill="auto"/>
            <w:hideMark/>
          </w:tcPr>
          <w:p w:rsidR="00CC75F2" w:rsidRPr="00CC75F2" w:rsidRDefault="00373B8F" w:rsidP="00CC75F2">
            <w:pPr>
              <w:jc w:val="center"/>
              <w:rPr>
                <w:rFonts w:cs="Arial"/>
                <w:color w:val="000000"/>
                <w:sz w:val="16"/>
                <w:szCs w:val="16"/>
              </w:rPr>
            </w:pPr>
            <w:r w:rsidRPr="00CC75F2">
              <w:rPr>
                <w:rFonts w:cs="Arial"/>
                <w:color w:val="000000"/>
                <w:sz w:val="16"/>
                <w:szCs w:val="16"/>
              </w:rPr>
              <w:t>F</w:t>
            </w:r>
            <w:r>
              <w:rPr>
                <w:rFonts w:cs="Arial"/>
                <w:color w:val="000000"/>
                <w:sz w:val="16"/>
                <w:szCs w:val="16"/>
              </w:rPr>
              <w:t>itzroy</w:t>
            </w:r>
          </w:p>
        </w:tc>
        <w:tc>
          <w:tcPr>
            <w:tcW w:w="1417" w:type="dxa"/>
            <w:tcBorders>
              <w:top w:val="nil"/>
              <w:left w:val="nil"/>
              <w:bottom w:val="single" w:sz="4" w:space="0" w:color="auto"/>
              <w:right w:val="single" w:sz="4" w:space="0" w:color="auto"/>
            </w:tcBorders>
            <w:shd w:val="clear" w:color="auto" w:fill="auto"/>
            <w:hideMark/>
          </w:tcPr>
          <w:p w:rsidR="00CC75F2" w:rsidRPr="00CC75F2" w:rsidRDefault="009C23D6" w:rsidP="00CC75F2">
            <w:pPr>
              <w:jc w:val="center"/>
              <w:rPr>
                <w:rFonts w:cs="Arial"/>
                <w:color w:val="000000"/>
                <w:sz w:val="16"/>
                <w:szCs w:val="16"/>
              </w:rPr>
            </w:pPr>
            <w:r w:rsidRPr="00CC75F2">
              <w:rPr>
                <w:rFonts w:cs="Arial"/>
                <w:color w:val="000000"/>
                <w:sz w:val="16"/>
                <w:szCs w:val="16"/>
              </w:rPr>
              <w:t>N</w:t>
            </w:r>
            <w:r>
              <w:rPr>
                <w:rFonts w:cs="Arial"/>
                <w:color w:val="000000"/>
                <w:sz w:val="16"/>
                <w:szCs w:val="16"/>
              </w:rPr>
              <w:t>ot Provided</w:t>
            </w:r>
          </w:p>
        </w:tc>
        <w:tc>
          <w:tcPr>
            <w:tcW w:w="1276" w:type="dxa"/>
            <w:tcBorders>
              <w:top w:val="nil"/>
              <w:left w:val="nil"/>
              <w:bottom w:val="single" w:sz="4" w:space="0" w:color="auto"/>
              <w:right w:val="single" w:sz="4" w:space="0" w:color="auto"/>
            </w:tcBorders>
            <w:shd w:val="clear" w:color="auto" w:fill="auto"/>
            <w:hideMark/>
          </w:tcPr>
          <w:p w:rsidR="00CC75F2" w:rsidRPr="00CC75F2" w:rsidRDefault="00CC75F2" w:rsidP="00CC75F2">
            <w:pPr>
              <w:jc w:val="center"/>
              <w:rPr>
                <w:rFonts w:cs="Arial"/>
                <w:color w:val="000000"/>
                <w:sz w:val="16"/>
                <w:szCs w:val="16"/>
              </w:rPr>
            </w:pPr>
            <w:r w:rsidRPr="00CC75F2">
              <w:rPr>
                <w:rFonts w:cs="Arial"/>
                <w:color w:val="000000"/>
                <w:sz w:val="16"/>
                <w:szCs w:val="16"/>
              </w:rPr>
              <w:t>Brunswick Street Precinct</w:t>
            </w:r>
          </w:p>
        </w:tc>
        <w:tc>
          <w:tcPr>
            <w:tcW w:w="1134" w:type="dxa"/>
            <w:tcBorders>
              <w:top w:val="nil"/>
              <w:left w:val="nil"/>
              <w:bottom w:val="single" w:sz="4" w:space="0" w:color="auto"/>
              <w:right w:val="single" w:sz="4" w:space="0" w:color="auto"/>
            </w:tcBorders>
            <w:shd w:val="clear" w:color="auto" w:fill="auto"/>
            <w:hideMark/>
          </w:tcPr>
          <w:p w:rsidR="00CC75F2" w:rsidRPr="00CC75F2" w:rsidRDefault="00CC75F2" w:rsidP="00CC75F2">
            <w:pPr>
              <w:jc w:val="center"/>
              <w:rPr>
                <w:rFonts w:cs="Arial"/>
                <w:color w:val="000000"/>
                <w:sz w:val="16"/>
                <w:szCs w:val="16"/>
              </w:rPr>
            </w:pPr>
            <w:r w:rsidRPr="00CC75F2">
              <w:rPr>
                <w:rFonts w:cs="Arial"/>
                <w:color w:val="000000"/>
                <w:sz w:val="16"/>
                <w:szCs w:val="16"/>
              </w:rPr>
              <w:t>HO311</w:t>
            </w:r>
          </w:p>
        </w:tc>
        <w:tc>
          <w:tcPr>
            <w:tcW w:w="992" w:type="dxa"/>
            <w:tcBorders>
              <w:top w:val="nil"/>
              <w:left w:val="nil"/>
              <w:bottom w:val="single" w:sz="4" w:space="0" w:color="auto"/>
              <w:right w:val="single" w:sz="4" w:space="0" w:color="auto"/>
            </w:tcBorders>
            <w:shd w:val="clear" w:color="auto" w:fill="auto"/>
            <w:hideMark/>
          </w:tcPr>
          <w:p w:rsidR="00CC75F2" w:rsidRPr="00CC75F2" w:rsidRDefault="00CC75F2" w:rsidP="00CC75F2">
            <w:pPr>
              <w:jc w:val="center"/>
              <w:rPr>
                <w:rFonts w:cs="Arial"/>
                <w:color w:val="000000"/>
                <w:sz w:val="16"/>
                <w:szCs w:val="16"/>
              </w:rPr>
            </w:pPr>
            <w:r w:rsidRPr="00CC75F2">
              <w:rPr>
                <w:rFonts w:cs="Arial"/>
                <w:color w:val="000000"/>
                <w:sz w:val="16"/>
                <w:szCs w:val="16"/>
              </w:rPr>
              <w:t>N/A</w:t>
            </w:r>
          </w:p>
        </w:tc>
        <w:tc>
          <w:tcPr>
            <w:tcW w:w="1134" w:type="dxa"/>
            <w:tcBorders>
              <w:top w:val="nil"/>
              <w:left w:val="nil"/>
              <w:bottom w:val="single" w:sz="4" w:space="0" w:color="auto"/>
              <w:right w:val="single" w:sz="4" w:space="0" w:color="auto"/>
            </w:tcBorders>
            <w:shd w:val="clear" w:color="auto" w:fill="auto"/>
            <w:hideMark/>
          </w:tcPr>
          <w:p w:rsidR="00CC75F2" w:rsidRPr="00CC75F2" w:rsidRDefault="00CC75F2" w:rsidP="00373B8F">
            <w:pPr>
              <w:jc w:val="center"/>
              <w:rPr>
                <w:rFonts w:cs="Arial"/>
                <w:color w:val="000000"/>
                <w:sz w:val="16"/>
                <w:szCs w:val="16"/>
              </w:rPr>
            </w:pPr>
            <w:r w:rsidRPr="00CC75F2">
              <w:rPr>
                <w:rFonts w:cs="Arial"/>
                <w:color w:val="000000"/>
                <w:sz w:val="16"/>
                <w:szCs w:val="16"/>
              </w:rPr>
              <w:t>Precinct</w:t>
            </w:r>
          </w:p>
        </w:tc>
        <w:tc>
          <w:tcPr>
            <w:tcW w:w="1276" w:type="dxa"/>
            <w:tcBorders>
              <w:top w:val="nil"/>
              <w:left w:val="nil"/>
              <w:bottom w:val="single" w:sz="4" w:space="0" w:color="auto"/>
              <w:right w:val="single" w:sz="4" w:space="0" w:color="auto"/>
            </w:tcBorders>
            <w:shd w:val="clear" w:color="auto" w:fill="auto"/>
            <w:hideMark/>
          </w:tcPr>
          <w:p w:rsidR="00CC75F2" w:rsidRPr="00CC75F2" w:rsidRDefault="00CC75F2" w:rsidP="00CC75F2">
            <w:pPr>
              <w:jc w:val="center"/>
              <w:rPr>
                <w:rFonts w:cs="Arial"/>
                <w:color w:val="000000"/>
                <w:sz w:val="16"/>
                <w:szCs w:val="16"/>
              </w:rPr>
            </w:pPr>
            <w:r w:rsidRPr="00CC75F2">
              <w:rPr>
                <w:rFonts w:cs="Arial"/>
                <w:color w:val="000000"/>
                <w:sz w:val="16"/>
                <w:szCs w:val="16"/>
              </w:rPr>
              <w:t>Contributory</w:t>
            </w:r>
          </w:p>
        </w:tc>
        <w:tc>
          <w:tcPr>
            <w:tcW w:w="2835" w:type="dxa"/>
            <w:tcBorders>
              <w:top w:val="nil"/>
              <w:left w:val="nil"/>
              <w:bottom w:val="single" w:sz="4" w:space="0" w:color="auto"/>
              <w:right w:val="single" w:sz="4" w:space="0" w:color="auto"/>
            </w:tcBorders>
            <w:shd w:val="clear" w:color="auto" w:fill="auto"/>
            <w:hideMark/>
          </w:tcPr>
          <w:p w:rsidR="00CC75F2" w:rsidRPr="00CC75F2" w:rsidRDefault="00CC75F2" w:rsidP="00CC75F2">
            <w:pPr>
              <w:jc w:val="left"/>
              <w:rPr>
                <w:rFonts w:cs="Arial"/>
                <w:color w:val="000000"/>
                <w:sz w:val="16"/>
                <w:szCs w:val="16"/>
              </w:rPr>
            </w:pPr>
            <w:r w:rsidRPr="00CC75F2">
              <w:rPr>
                <w:rFonts w:cs="Arial"/>
                <w:color w:val="000000"/>
                <w:sz w:val="16"/>
                <w:szCs w:val="16"/>
              </w:rPr>
              <w:t>External controls over the building and land apply.  External paint controls apply.  No  internal controls or tree controls apply</w:t>
            </w:r>
          </w:p>
        </w:tc>
        <w:tc>
          <w:tcPr>
            <w:tcW w:w="2693" w:type="dxa"/>
            <w:tcBorders>
              <w:top w:val="nil"/>
              <w:left w:val="nil"/>
              <w:bottom w:val="single" w:sz="4" w:space="0" w:color="auto"/>
              <w:right w:val="single" w:sz="4" w:space="0" w:color="auto"/>
            </w:tcBorders>
            <w:shd w:val="clear" w:color="auto" w:fill="auto"/>
            <w:hideMark/>
          </w:tcPr>
          <w:p w:rsidR="00CC75F2" w:rsidRPr="00CC75F2" w:rsidRDefault="00CC75F2" w:rsidP="00CC75F2">
            <w:pPr>
              <w:jc w:val="left"/>
              <w:rPr>
                <w:rFonts w:cs="Arial"/>
                <w:color w:val="000000"/>
                <w:sz w:val="16"/>
                <w:szCs w:val="16"/>
              </w:rPr>
            </w:pPr>
            <w:r w:rsidRPr="00CC75F2">
              <w:rPr>
                <w:rFonts w:cs="Arial"/>
                <w:color w:val="000000"/>
                <w:sz w:val="16"/>
                <w:szCs w:val="16"/>
              </w:rPr>
              <w:t>No. 239 and 241 Brunswick Street are included in the same property boundary</w:t>
            </w:r>
            <w:r w:rsidR="00A65590">
              <w:rPr>
                <w:rFonts w:cs="Arial"/>
                <w:color w:val="000000"/>
                <w:sz w:val="16"/>
                <w:szCs w:val="16"/>
              </w:rPr>
              <w:t>.</w:t>
            </w:r>
          </w:p>
        </w:tc>
      </w:tr>
      <w:tr w:rsidR="008B0CE7" w:rsidRPr="00CC75F2" w:rsidTr="00EA18F9">
        <w:trPr>
          <w:cantSplit/>
          <w:trHeight w:val="480"/>
        </w:trPr>
        <w:tc>
          <w:tcPr>
            <w:tcW w:w="1433" w:type="dxa"/>
            <w:tcBorders>
              <w:top w:val="nil"/>
              <w:left w:val="single" w:sz="4" w:space="0" w:color="auto"/>
              <w:bottom w:val="single" w:sz="4" w:space="0" w:color="auto"/>
              <w:right w:val="single" w:sz="4" w:space="0" w:color="auto"/>
            </w:tcBorders>
            <w:shd w:val="clear" w:color="auto" w:fill="auto"/>
            <w:hideMark/>
          </w:tcPr>
          <w:p w:rsidR="00CC75F2" w:rsidRPr="00CC75F2" w:rsidRDefault="00CC75F2" w:rsidP="00CC75F2">
            <w:pPr>
              <w:jc w:val="left"/>
              <w:rPr>
                <w:rFonts w:cs="Arial"/>
                <w:color w:val="000000"/>
                <w:sz w:val="16"/>
                <w:szCs w:val="16"/>
              </w:rPr>
            </w:pPr>
            <w:r w:rsidRPr="00CC75F2">
              <w:rPr>
                <w:rFonts w:cs="Arial"/>
                <w:color w:val="000000"/>
                <w:sz w:val="16"/>
                <w:szCs w:val="16"/>
              </w:rPr>
              <w:t>Brunswick Street 241</w:t>
            </w:r>
          </w:p>
        </w:tc>
        <w:tc>
          <w:tcPr>
            <w:tcW w:w="1134" w:type="dxa"/>
            <w:tcBorders>
              <w:top w:val="nil"/>
              <w:left w:val="nil"/>
              <w:bottom w:val="single" w:sz="4" w:space="0" w:color="auto"/>
              <w:right w:val="single" w:sz="4" w:space="0" w:color="auto"/>
            </w:tcBorders>
            <w:shd w:val="clear" w:color="auto" w:fill="auto"/>
            <w:hideMark/>
          </w:tcPr>
          <w:p w:rsidR="00CC75F2" w:rsidRPr="00CC75F2" w:rsidRDefault="00373B8F" w:rsidP="00CC75F2">
            <w:pPr>
              <w:jc w:val="center"/>
              <w:rPr>
                <w:rFonts w:cs="Arial"/>
                <w:color w:val="000000"/>
                <w:sz w:val="16"/>
                <w:szCs w:val="16"/>
              </w:rPr>
            </w:pPr>
            <w:r w:rsidRPr="00CC75F2">
              <w:rPr>
                <w:rFonts w:cs="Arial"/>
                <w:color w:val="000000"/>
                <w:sz w:val="16"/>
                <w:szCs w:val="16"/>
              </w:rPr>
              <w:t>F</w:t>
            </w:r>
            <w:r>
              <w:rPr>
                <w:rFonts w:cs="Arial"/>
                <w:color w:val="000000"/>
                <w:sz w:val="16"/>
                <w:szCs w:val="16"/>
              </w:rPr>
              <w:t>itzroy</w:t>
            </w:r>
          </w:p>
        </w:tc>
        <w:tc>
          <w:tcPr>
            <w:tcW w:w="1417" w:type="dxa"/>
            <w:tcBorders>
              <w:top w:val="nil"/>
              <w:left w:val="nil"/>
              <w:bottom w:val="single" w:sz="4" w:space="0" w:color="auto"/>
              <w:right w:val="single" w:sz="4" w:space="0" w:color="auto"/>
            </w:tcBorders>
            <w:shd w:val="clear" w:color="auto" w:fill="auto"/>
            <w:hideMark/>
          </w:tcPr>
          <w:p w:rsidR="00CC75F2" w:rsidRPr="00CC75F2" w:rsidRDefault="00CC75F2" w:rsidP="009C23D6">
            <w:pPr>
              <w:jc w:val="center"/>
              <w:rPr>
                <w:rFonts w:cs="Arial"/>
                <w:color w:val="000000"/>
                <w:sz w:val="16"/>
                <w:szCs w:val="16"/>
              </w:rPr>
            </w:pPr>
            <w:r w:rsidRPr="00CC75F2">
              <w:rPr>
                <w:rFonts w:cs="Arial"/>
                <w:color w:val="000000"/>
                <w:sz w:val="16"/>
                <w:szCs w:val="16"/>
              </w:rPr>
              <w:t>N</w:t>
            </w:r>
            <w:r w:rsidR="009C23D6">
              <w:rPr>
                <w:rFonts w:cs="Arial"/>
                <w:color w:val="000000"/>
                <w:sz w:val="16"/>
                <w:szCs w:val="16"/>
              </w:rPr>
              <w:t>ot Provided</w:t>
            </w:r>
          </w:p>
        </w:tc>
        <w:tc>
          <w:tcPr>
            <w:tcW w:w="1276" w:type="dxa"/>
            <w:tcBorders>
              <w:top w:val="nil"/>
              <w:left w:val="nil"/>
              <w:bottom w:val="single" w:sz="4" w:space="0" w:color="auto"/>
              <w:right w:val="single" w:sz="4" w:space="0" w:color="auto"/>
            </w:tcBorders>
            <w:shd w:val="clear" w:color="auto" w:fill="auto"/>
            <w:hideMark/>
          </w:tcPr>
          <w:p w:rsidR="00CC75F2" w:rsidRPr="00CC75F2" w:rsidRDefault="00CC75F2" w:rsidP="00CC75F2">
            <w:pPr>
              <w:jc w:val="center"/>
              <w:rPr>
                <w:rFonts w:cs="Arial"/>
                <w:color w:val="000000"/>
                <w:sz w:val="16"/>
                <w:szCs w:val="16"/>
              </w:rPr>
            </w:pPr>
            <w:r w:rsidRPr="00CC75F2">
              <w:rPr>
                <w:rFonts w:cs="Arial"/>
                <w:color w:val="000000"/>
                <w:sz w:val="16"/>
                <w:szCs w:val="16"/>
              </w:rPr>
              <w:t>See note</w:t>
            </w:r>
          </w:p>
        </w:tc>
        <w:tc>
          <w:tcPr>
            <w:tcW w:w="1134" w:type="dxa"/>
            <w:tcBorders>
              <w:top w:val="nil"/>
              <w:left w:val="nil"/>
              <w:bottom w:val="single" w:sz="4" w:space="0" w:color="auto"/>
              <w:right w:val="single" w:sz="4" w:space="0" w:color="auto"/>
            </w:tcBorders>
            <w:shd w:val="clear" w:color="auto" w:fill="auto"/>
            <w:hideMark/>
          </w:tcPr>
          <w:p w:rsidR="00CC75F2" w:rsidRPr="00CC75F2" w:rsidRDefault="00CC75F2" w:rsidP="00CC75F2">
            <w:pPr>
              <w:jc w:val="center"/>
              <w:rPr>
                <w:rFonts w:cs="Arial"/>
                <w:color w:val="000000"/>
                <w:sz w:val="16"/>
                <w:szCs w:val="16"/>
              </w:rPr>
            </w:pPr>
            <w:r w:rsidRPr="00CC75F2">
              <w:rPr>
                <w:rFonts w:cs="Arial"/>
                <w:color w:val="000000"/>
                <w:sz w:val="16"/>
                <w:szCs w:val="16"/>
              </w:rPr>
              <w:t>See note</w:t>
            </w:r>
          </w:p>
        </w:tc>
        <w:tc>
          <w:tcPr>
            <w:tcW w:w="992" w:type="dxa"/>
            <w:tcBorders>
              <w:top w:val="nil"/>
              <w:left w:val="nil"/>
              <w:bottom w:val="single" w:sz="4" w:space="0" w:color="auto"/>
              <w:right w:val="single" w:sz="4" w:space="0" w:color="auto"/>
            </w:tcBorders>
            <w:shd w:val="clear" w:color="auto" w:fill="auto"/>
            <w:hideMark/>
          </w:tcPr>
          <w:p w:rsidR="00CC75F2" w:rsidRPr="00CC75F2" w:rsidRDefault="00CC75F2" w:rsidP="00CC75F2">
            <w:pPr>
              <w:jc w:val="center"/>
              <w:rPr>
                <w:rFonts w:cs="Arial"/>
                <w:color w:val="000000"/>
                <w:sz w:val="16"/>
                <w:szCs w:val="16"/>
              </w:rPr>
            </w:pPr>
            <w:r w:rsidRPr="00CC75F2">
              <w:rPr>
                <w:rFonts w:cs="Arial"/>
                <w:color w:val="000000"/>
                <w:sz w:val="16"/>
                <w:szCs w:val="16"/>
              </w:rPr>
              <w:t>N/A</w:t>
            </w:r>
          </w:p>
        </w:tc>
        <w:tc>
          <w:tcPr>
            <w:tcW w:w="1134" w:type="dxa"/>
            <w:tcBorders>
              <w:top w:val="nil"/>
              <w:left w:val="nil"/>
              <w:bottom w:val="single" w:sz="4" w:space="0" w:color="auto"/>
              <w:right w:val="single" w:sz="4" w:space="0" w:color="auto"/>
            </w:tcBorders>
            <w:shd w:val="clear" w:color="auto" w:fill="auto"/>
            <w:hideMark/>
          </w:tcPr>
          <w:p w:rsidR="00CC75F2" w:rsidRPr="00CC75F2" w:rsidRDefault="00CC75F2" w:rsidP="00373B8F">
            <w:pPr>
              <w:jc w:val="center"/>
              <w:rPr>
                <w:rFonts w:cs="Arial"/>
                <w:color w:val="000000"/>
                <w:sz w:val="16"/>
                <w:szCs w:val="16"/>
              </w:rPr>
            </w:pPr>
            <w:r w:rsidRPr="00CC75F2">
              <w:rPr>
                <w:rFonts w:cs="Arial"/>
                <w:color w:val="000000"/>
                <w:sz w:val="16"/>
                <w:szCs w:val="16"/>
              </w:rPr>
              <w:t>See note</w:t>
            </w:r>
          </w:p>
        </w:tc>
        <w:tc>
          <w:tcPr>
            <w:tcW w:w="1276" w:type="dxa"/>
            <w:tcBorders>
              <w:top w:val="nil"/>
              <w:left w:val="nil"/>
              <w:bottom w:val="single" w:sz="4" w:space="0" w:color="auto"/>
              <w:right w:val="single" w:sz="4" w:space="0" w:color="auto"/>
            </w:tcBorders>
            <w:shd w:val="clear" w:color="auto" w:fill="auto"/>
            <w:hideMark/>
          </w:tcPr>
          <w:p w:rsidR="00CC75F2" w:rsidRPr="00CC75F2" w:rsidRDefault="00CC75F2" w:rsidP="00CC75F2">
            <w:pPr>
              <w:jc w:val="center"/>
              <w:rPr>
                <w:rFonts w:cs="Arial"/>
                <w:color w:val="000000"/>
                <w:sz w:val="16"/>
                <w:szCs w:val="16"/>
              </w:rPr>
            </w:pPr>
            <w:r w:rsidRPr="00CC75F2">
              <w:rPr>
                <w:rFonts w:cs="Arial"/>
                <w:color w:val="000000"/>
                <w:sz w:val="16"/>
                <w:szCs w:val="16"/>
              </w:rPr>
              <w:t>See note</w:t>
            </w:r>
          </w:p>
        </w:tc>
        <w:tc>
          <w:tcPr>
            <w:tcW w:w="2835" w:type="dxa"/>
            <w:tcBorders>
              <w:top w:val="nil"/>
              <w:left w:val="nil"/>
              <w:bottom w:val="single" w:sz="4" w:space="0" w:color="auto"/>
              <w:right w:val="single" w:sz="4" w:space="0" w:color="auto"/>
            </w:tcBorders>
            <w:shd w:val="clear" w:color="auto" w:fill="auto"/>
            <w:hideMark/>
          </w:tcPr>
          <w:p w:rsidR="00CC75F2" w:rsidRPr="00CC75F2" w:rsidRDefault="00CC75F2" w:rsidP="00CC75F2">
            <w:pPr>
              <w:jc w:val="left"/>
              <w:rPr>
                <w:rFonts w:cs="Arial"/>
                <w:color w:val="000000"/>
                <w:sz w:val="16"/>
                <w:szCs w:val="16"/>
              </w:rPr>
            </w:pPr>
            <w:r w:rsidRPr="00CC75F2">
              <w:rPr>
                <w:rFonts w:cs="Arial"/>
                <w:color w:val="000000"/>
                <w:sz w:val="16"/>
                <w:szCs w:val="16"/>
              </w:rPr>
              <w:t>See note</w:t>
            </w:r>
          </w:p>
        </w:tc>
        <w:tc>
          <w:tcPr>
            <w:tcW w:w="2693" w:type="dxa"/>
            <w:tcBorders>
              <w:top w:val="nil"/>
              <w:left w:val="nil"/>
              <w:bottom w:val="single" w:sz="4" w:space="0" w:color="auto"/>
              <w:right w:val="single" w:sz="4" w:space="0" w:color="auto"/>
            </w:tcBorders>
            <w:shd w:val="clear" w:color="auto" w:fill="auto"/>
            <w:hideMark/>
          </w:tcPr>
          <w:p w:rsidR="00CC75F2" w:rsidRPr="00CC75F2" w:rsidRDefault="00CC75F2" w:rsidP="00CC75F2">
            <w:pPr>
              <w:jc w:val="left"/>
              <w:rPr>
                <w:rFonts w:cs="Arial"/>
                <w:color w:val="000000"/>
                <w:sz w:val="16"/>
                <w:szCs w:val="16"/>
              </w:rPr>
            </w:pPr>
            <w:r w:rsidRPr="00CC75F2">
              <w:rPr>
                <w:rFonts w:cs="Arial"/>
                <w:color w:val="000000"/>
                <w:sz w:val="16"/>
                <w:szCs w:val="16"/>
              </w:rPr>
              <w:t>No. 239 and 241 Brunswick Street are included in the same property boundary</w:t>
            </w:r>
            <w:r w:rsidR="00A65590">
              <w:rPr>
                <w:rFonts w:cs="Arial"/>
                <w:color w:val="000000"/>
                <w:sz w:val="16"/>
                <w:szCs w:val="16"/>
              </w:rPr>
              <w:t>.</w:t>
            </w:r>
          </w:p>
        </w:tc>
      </w:tr>
      <w:tr w:rsidR="008B0CE7" w:rsidRPr="00CC75F2" w:rsidTr="00EA18F9">
        <w:trPr>
          <w:cantSplit/>
          <w:trHeight w:val="960"/>
        </w:trPr>
        <w:tc>
          <w:tcPr>
            <w:tcW w:w="1433" w:type="dxa"/>
            <w:tcBorders>
              <w:top w:val="nil"/>
              <w:left w:val="single" w:sz="4" w:space="0" w:color="auto"/>
              <w:bottom w:val="single" w:sz="4" w:space="0" w:color="auto"/>
              <w:right w:val="single" w:sz="4" w:space="0" w:color="auto"/>
            </w:tcBorders>
            <w:shd w:val="clear" w:color="auto" w:fill="auto"/>
            <w:hideMark/>
          </w:tcPr>
          <w:p w:rsidR="00CC75F2" w:rsidRPr="00CC75F2" w:rsidRDefault="00CC75F2" w:rsidP="00CC75F2">
            <w:pPr>
              <w:jc w:val="left"/>
              <w:rPr>
                <w:rFonts w:cs="Arial"/>
                <w:color w:val="000000"/>
                <w:sz w:val="16"/>
                <w:szCs w:val="16"/>
              </w:rPr>
            </w:pPr>
            <w:r w:rsidRPr="00CC75F2">
              <w:rPr>
                <w:rFonts w:cs="Arial"/>
                <w:color w:val="000000"/>
                <w:sz w:val="16"/>
                <w:szCs w:val="16"/>
              </w:rPr>
              <w:t>Byrne Street 1</w:t>
            </w:r>
          </w:p>
        </w:tc>
        <w:tc>
          <w:tcPr>
            <w:tcW w:w="1134" w:type="dxa"/>
            <w:tcBorders>
              <w:top w:val="nil"/>
              <w:left w:val="nil"/>
              <w:bottom w:val="single" w:sz="4" w:space="0" w:color="auto"/>
              <w:right w:val="single" w:sz="4" w:space="0" w:color="auto"/>
            </w:tcBorders>
            <w:shd w:val="clear" w:color="auto" w:fill="auto"/>
            <w:hideMark/>
          </w:tcPr>
          <w:p w:rsidR="00CC75F2" w:rsidRPr="00CC75F2" w:rsidRDefault="00373B8F" w:rsidP="008B0CE7">
            <w:pPr>
              <w:jc w:val="center"/>
              <w:rPr>
                <w:rFonts w:cs="Arial"/>
                <w:color w:val="000000"/>
                <w:sz w:val="16"/>
                <w:szCs w:val="16"/>
              </w:rPr>
            </w:pPr>
            <w:r w:rsidRPr="00CC75F2">
              <w:rPr>
                <w:rFonts w:cs="Arial"/>
                <w:color w:val="000000"/>
                <w:sz w:val="16"/>
                <w:szCs w:val="16"/>
              </w:rPr>
              <w:t>F</w:t>
            </w:r>
            <w:r>
              <w:rPr>
                <w:rFonts w:cs="Arial"/>
                <w:color w:val="000000"/>
                <w:sz w:val="16"/>
                <w:szCs w:val="16"/>
              </w:rPr>
              <w:t>itzroy</w:t>
            </w:r>
            <w:r w:rsidR="00CC75F2" w:rsidRPr="00CC75F2">
              <w:rPr>
                <w:rFonts w:cs="Arial"/>
                <w:color w:val="000000"/>
                <w:sz w:val="16"/>
                <w:szCs w:val="16"/>
              </w:rPr>
              <w:t xml:space="preserve"> </w:t>
            </w:r>
            <w:r w:rsidR="008B0CE7">
              <w:rPr>
                <w:rFonts w:cs="Arial"/>
                <w:color w:val="000000"/>
                <w:sz w:val="16"/>
                <w:szCs w:val="16"/>
              </w:rPr>
              <w:t>North</w:t>
            </w:r>
          </w:p>
        </w:tc>
        <w:tc>
          <w:tcPr>
            <w:tcW w:w="1417" w:type="dxa"/>
            <w:tcBorders>
              <w:top w:val="nil"/>
              <w:left w:val="nil"/>
              <w:bottom w:val="single" w:sz="4" w:space="0" w:color="auto"/>
              <w:right w:val="single" w:sz="4" w:space="0" w:color="auto"/>
            </w:tcBorders>
            <w:shd w:val="clear" w:color="auto" w:fill="auto"/>
            <w:hideMark/>
          </w:tcPr>
          <w:p w:rsidR="00CC75F2" w:rsidRPr="00CC75F2" w:rsidRDefault="00CC75F2" w:rsidP="009C23D6">
            <w:pPr>
              <w:jc w:val="center"/>
              <w:rPr>
                <w:rFonts w:cs="Arial"/>
                <w:color w:val="000000"/>
                <w:sz w:val="16"/>
                <w:szCs w:val="16"/>
              </w:rPr>
            </w:pPr>
            <w:r w:rsidRPr="00CC75F2">
              <w:rPr>
                <w:rFonts w:cs="Arial"/>
                <w:color w:val="000000"/>
                <w:sz w:val="16"/>
                <w:szCs w:val="16"/>
              </w:rPr>
              <w:t>H</w:t>
            </w:r>
            <w:r w:rsidR="009C23D6">
              <w:rPr>
                <w:rFonts w:cs="Arial"/>
                <w:color w:val="000000"/>
                <w:sz w:val="16"/>
                <w:szCs w:val="16"/>
              </w:rPr>
              <w:t>olden Street Reserve</w:t>
            </w:r>
          </w:p>
        </w:tc>
        <w:tc>
          <w:tcPr>
            <w:tcW w:w="1276" w:type="dxa"/>
            <w:tcBorders>
              <w:top w:val="nil"/>
              <w:left w:val="nil"/>
              <w:bottom w:val="single" w:sz="4" w:space="0" w:color="auto"/>
              <w:right w:val="single" w:sz="4" w:space="0" w:color="auto"/>
            </w:tcBorders>
            <w:shd w:val="clear" w:color="auto" w:fill="auto"/>
            <w:hideMark/>
          </w:tcPr>
          <w:p w:rsidR="00CC75F2" w:rsidRPr="00CC75F2" w:rsidRDefault="00CC75F2" w:rsidP="00CC75F2">
            <w:pPr>
              <w:jc w:val="center"/>
              <w:rPr>
                <w:rFonts w:cs="Arial"/>
                <w:color w:val="000000"/>
                <w:sz w:val="16"/>
                <w:szCs w:val="16"/>
              </w:rPr>
            </w:pPr>
            <w:r w:rsidRPr="00CC75F2">
              <w:rPr>
                <w:rFonts w:cs="Arial"/>
                <w:color w:val="000000"/>
                <w:sz w:val="16"/>
                <w:szCs w:val="16"/>
              </w:rPr>
              <w:t>North Fitzroy Precinct</w:t>
            </w:r>
          </w:p>
        </w:tc>
        <w:tc>
          <w:tcPr>
            <w:tcW w:w="1134" w:type="dxa"/>
            <w:tcBorders>
              <w:top w:val="nil"/>
              <w:left w:val="nil"/>
              <w:bottom w:val="single" w:sz="4" w:space="0" w:color="auto"/>
              <w:right w:val="single" w:sz="4" w:space="0" w:color="auto"/>
            </w:tcBorders>
            <w:shd w:val="clear" w:color="auto" w:fill="auto"/>
            <w:hideMark/>
          </w:tcPr>
          <w:p w:rsidR="00CC75F2" w:rsidRPr="00CC75F2" w:rsidRDefault="00CC75F2" w:rsidP="00CC75F2">
            <w:pPr>
              <w:jc w:val="center"/>
              <w:rPr>
                <w:rFonts w:cs="Arial"/>
                <w:color w:val="000000"/>
                <w:sz w:val="16"/>
                <w:szCs w:val="16"/>
              </w:rPr>
            </w:pPr>
            <w:r w:rsidRPr="00CC75F2">
              <w:rPr>
                <w:rFonts w:cs="Arial"/>
                <w:color w:val="000000"/>
                <w:sz w:val="16"/>
                <w:szCs w:val="16"/>
              </w:rPr>
              <w:t>HO327</w:t>
            </w:r>
          </w:p>
        </w:tc>
        <w:tc>
          <w:tcPr>
            <w:tcW w:w="992" w:type="dxa"/>
            <w:tcBorders>
              <w:top w:val="nil"/>
              <w:left w:val="nil"/>
              <w:bottom w:val="single" w:sz="4" w:space="0" w:color="auto"/>
              <w:right w:val="single" w:sz="4" w:space="0" w:color="auto"/>
            </w:tcBorders>
            <w:shd w:val="clear" w:color="auto" w:fill="auto"/>
            <w:hideMark/>
          </w:tcPr>
          <w:p w:rsidR="00CC75F2" w:rsidRPr="00CC75F2" w:rsidRDefault="00CC75F2" w:rsidP="00CC75F2">
            <w:pPr>
              <w:jc w:val="center"/>
              <w:rPr>
                <w:rFonts w:cs="Arial"/>
                <w:color w:val="000000"/>
                <w:sz w:val="16"/>
                <w:szCs w:val="16"/>
              </w:rPr>
            </w:pPr>
            <w:r w:rsidRPr="00CC75F2">
              <w:rPr>
                <w:rFonts w:cs="Arial"/>
                <w:color w:val="000000"/>
                <w:sz w:val="16"/>
                <w:szCs w:val="16"/>
              </w:rPr>
              <w:t>N/A</w:t>
            </w:r>
          </w:p>
        </w:tc>
        <w:tc>
          <w:tcPr>
            <w:tcW w:w="1134" w:type="dxa"/>
            <w:tcBorders>
              <w:top w:val="nil"/>
              <w:left w:val="nil"/>
              <w:bottom w:val="single" w:sz="4" w:space="0" w:color="auto"/>
              <w:right w:val="single" w:sz="4" w:space="0" w:color="auto"/>
            </w:tcBorders>
            <w:shd w:val="clear" w:color="auto" w:fill="auto"/>
            <w:hideMark/>
          </w:tcPr>
          <w:p w:rsidR="00CC75F2" w:rsidRPr="00CC75F2" w:rsidRDefault="00CC75F2" w:rsidP="00373B8F">
            <w:pPr>
              <w:jc w:val="center"/>
              <w:rPr>
                <w:rFonts w:cs="Arial"/>
                <w:color w:val="000000"/>
                <w:sz w:val="16"/>
                <w:szCs w:val="16"/>
              </w:rPr>
            </w:pPr>
            <w:r w:rsidRPr="00CC75F2">
              <w:rPr>
                <w:rFonts w:cs="Arial"/>
                <w:color w:val="000000"/>
                <w:sz w:val="16"/>
                <w:szCs w:val="16"/>
              </w:rPr>
              <w:t>Precinct</w:t>
            </w:r>
          </w:p>
        </w:tc>
        <w:tc>
          <w:tcPr>
            <w:tcW w:w="1276" w:type="dxa"/>
            <w:tcBorders>
              <w:top w:val="nil"/>
              <w:left w:val="nil"/>
              <w:bottom w:val="single" w:sz="4" w:space="0" w:color="auto"/>
              <w:right w:val="single" w:sz="4" w:space="0" w:color="auto"/>
            </w:tcBorders>
            <w:shd w:val="clear" w:color="auto" w:fill="auto"/>
            <w:hideMark/>
          </w:tcPr>
          <w:p w:rsidR="00CC75F2" w:rsidRPr="00CC75F2" w:rsidRDefault="00CC75F2" w:rsidP="00CC75F2">
            <w:pPr>
              <w:jc w:val="center"/>
              <w:rPr>
                <w:rFonts w:cs="Arial"/>
                <w:color w:val="000000"/>
                <w:sz w:val="16"/>
                <w:szCs w:val="16"/>
              </w:rPr>
            </w:pPr>
            <w:r w:rsidRPr="00CC75F2">
              <w:rPr>
                <w:rFonts w:cs="Arial"/>
                <w:color w:val="000000"/>
                <w:sz w:val="16"/>
                <w:szCs w:val="16"/>
              </w:rPr>
              <w:t>Not contributory (see note)</w:t>
            </w:r>
          </w:p>
        </w:tc>
        <w:tc>
          <w:tcPr>
            <w:tcW w:w="2835" w:type="dxa"/>
            <w:tcBorders>
              <w:top w:val="nil"/>
              <w:left w:val="nil"/>
              <w:bottom w:val="single" w:sz="4" w:space="0" w:color="auto"/>
              <w:right w:val="single" w:sz="4" w:space="0" w:color="auto"/>
            </w:tcBorders>
            <w:shd w:val="clear" w:color="auto" w:fill="auto"/>
            <w:hideMark/>
          </w:tcPr>
          <w:p w:rsidR="00CC75F2" w:rsidRPr="00CC75F2" w:rsidRDefault="00CC75F2" w:rsidP="00CC75F2">
            <w:pPr>
              <w:jc w:val="left"/>
              <w:rPr>
                <w:rFonts w:cs="Arial"/>
                <w:color w:val="000000"/>
                <w:sz w:val="16"/>
                <w:szCs w:val="16"/>
              </w:rPr>
            </w:pPr>
            <w:r w:rsidRPr="00CC75F2">
              <w:rPr>
                <w:rFonts w:cs="Arial"/>
                <w:color w:val="000000"/>
                <w:sz w:val="16"/>
                <w:szCs w:val="16"/>
              </w:rPr>
              <w:t xml:space="preserve">External controls over buildings and land, no internal controls, no external paint controls and no tree controls </w:t>
            </w:r>
          </w:p>
        </w:tc>
        <w:tc>
          <w:tcPr>
            <w:tcW w:w="2693" w:type="dxa"/>
            <w:tcBorders>
              <w:top w:val="nil"/>
              <w:left w:val="nil"/>
              <w:bottom w:val="single" w:sz="4" w:space="0" w:color="auto"/>
              <w:right w:val="single" w:sz="4" w:space="0" w:color="auto"/>
            </w:tcBorders>
            <w:shd w:val="clear" w:color="auto" w:fill="auto"/>
            <w:hideMark/>
          </w:tcPr>
          <w:p w:rsidR="00CC75F2" w:rsidRPr="00CC75F2" w:rsidRDefault="00CC75F2" w:rsidP="00622DC3">
            <w:pPr>
              <w:jc w:val="left"/>
              <w:rPr>
                <w:rFonts w:cs="Arial"/>
                <w:color w:val="000000"/>
                <w:sz w:val="16"/>
                <w:szCs w:val="16"/>
              </w:rPr>
            </w:pPr>
            <w:r w:rsidRPr="00CC75F2">
              <w:rPr>
                <w:rFonts w:cs="Arial"/>
                <w:color w:val="000000"/>
                <w:sz w:val="16"/>
                <w:szCs w:val="16"/>
              </w:rPr>
              <w:t xml:space="preserve">Note: the reserve is identified as 128 Holden Street in the 2007 </w:t>
            </w:r>
            <w:r w:rsidRPr="00CC75F2">
              <w:rPr>
                <w:rFonts w:cs="Arial"/>
                <w:i/>
                <w:iCs/>
                <w:color w:val="000000"/>
                <w:sz w:val="16"/>
                <w:szCs w:val="16"/>
              </w:rPr>
              <w:t>Review of Heritage Overlay Areas</w:t>
            </w:r>
            <w:r w:rsidRPr="00CC75F2">
              <w:rPr>
                <w:rFonts w:cs="Arial"/>
                <w:color w:val="000000"/>
                <w:sz w:val="16"/>
                <w:szCs w:val="16"/>
              </w:rPr>
              <w:t>.  Physical changes to the park would normally require approval under the Heritage Overlay from the</w:t>
            </w:r>
            <w:r w:rsidR="00622DC3">
              <w:rPr>
                <w:rFonts w:cs="Arial"/>
                <w:color w:val="000000"/>
                <w:sz w:val="16"/>
                <w:szCs w:val="16"/>
              </w:rPr>
              <w:t xml:space="preserve"> </w:t>
            </w:r>
            <w:r w:rsidR="00622DC3" w:rsidRPr="00CC75F2">
              <w:rPr>
                <w:rFonts w:cs="Arial"/>
                <w:color w:val="000000"/>
                <w:sz w:val="16"/>
                <w:szCs w:val="16"/>
              </w:rPr>
              <w:t>Yarra</w:t>
            </w:r>
            <w:r w:rsidR="00622DC3">
              <w:rPr>
                <w:rFonts w:cs="Arial"/>
                <w:color w:val="000000"/>
                <w:sz w:val="16"/>
                <w:szCs w:val="16"/>
              </w:rPr>
              <w:t xml:space="preserve"> City Council.</w:t>
            </w:r>
            <w:r w:rsidRPr="00CC75F2">
              <w:rPr>
                <w:rFonts w:cs="Arial"/>
                <w:color w:val="000000"/>
                <w:sz w:val="16"/>
                <w:szCs w:val="16"/>
              </w:rPr>
              <w:t xml:space="preserve"> </w:t>
            </w:r>
          </w:p>
        </w:tc>
      </w:tr>
      <w:tr w:rsidR="008B0CE7" w:rsidRPr="00CC75F2" w:rsidTr="00EA18F9">
        <w:trPr>
          <w:cantSplit/>
          <w:trHeight w:val="720"/>
        </w:trPr>
        <w:tc>
          <w:tcPr>
            <w:tcW w:w="1433" w:type="dxa"/>
            <w:tcBorders>
              <w:top w:val="nil"/>
              <w:left w:val="single" w:sz="4" w:space="0" w:color="auto"/>
              <w:bottom w:val="single" w:sz="4" w:space="0" w:color="auto"/>
              <w:right w:val="single" w:sz="4" w:space="0" w:color="auto"/>
            </w:tcBorders>
            <w:shd w:val="clear" w:color="auto" w:fill="auto"/>
            <w:hideMark/>
          </w:tcPr>
          <w:p w:rsidR="00CC75F2" w:rsidRPr="00CC75F2" w:rsidRDefault="00CC75F2" w:rsidP="00CC75F2">
            <w:pPr>
              <w:jc w:val="left"/>
              <w:rPr>
                <w:rFonts w:cs="Arial"/>
                <w:color w:val="000000"/>
                <w:sz w:val="16"/>
                <w:szCs w:val="16"/>
              </w:rPr>
            </w:pPr>
            <w:r w:rsidRPr="00CC75F2">
              <w:rPr>
                <w:rFonts w:cs="Arial"/>
                <w:color w:val="000000"/>
                <w:sz w:val="16"/>
                <w:szCs w:val="16"/>
              </w:rPr>
              <w:t>Canning Street 481</w:t>
            </w:r>
          </w:p>
        </w:tc>
        <w:tc>
          <w:tcPr>
            <w:tcW w:w="1134" w:type="dxa"/>
            <w:tcBorders>
              <w:top w:val="nil"/>
              <w:left w:val="nil"/>
              <w:bottom w:val="single" w:sz="4" w:space="0" w:color="auto"/>
              <w:right w:val="single" w:sz="4" w:space="0" w:color="auto"/>
            </w:tcBorders>
            <w:shd w:val="clear" w:color="auto" w:fill="auto"/>
            <w:hideMark/>
          </w:tcPr>
          <w:p w:rsidR="00CC75F2" w:rsidRPr="00CC75F2" w:rsidRDefault="00CC75F2" w:rsidP="009C23D6">
            <w:pPr>
              <w:jc w:val="center"/>
              <w:rPr>
                <w:rFonts w:cs="Arial"/>
                <w:color w:val="000000"/>
                <w:sz w:val="16"/>
                <w:szCs w:val="16"/>
              </w:rPr>
            </w:pPr>
            <w:r w:rsidRPr="00CC75F2">
              <w:rPr>
                <w:rFonts w:cs="Arial"/>
                <w:color w:val="000000"/>
                <w:sz w:val="16"/>
                <w:szCs w:val="16"/>
              </w:rPr>
              <w:t>C</w:t>
            </w:r>
            <w:r w:rsidR="009C23D6">
              <w:rPr>
                <w:rFonts w:cs="Arial"/>
                <w:color w:val="000000"/>
                <w:sz w:val="16"/>
                <w:szCs w:val="16"/>
              </w:rPr>
              <w:t>arlton North</w:t>
            </w:r>
          </w:p>
        </w:tc>
        <w:tc>
          <w:tcPr>
            <w:tcW w:w="1417" w:type="dxa"/>
            <w:tcBorders>
              <w:top w:val="nil"/>
              <w:left w:val="nil"/>
              <w:bottom w:val="single" w:sz="4" w:space="0" w:color="auto"/>
              <w:right w:val="single" w:sz="4" w:space="0" w:color="auto"/>
            </w:tcBorders>
            <w:shd w:val="clear" w:color="auto" w:fill="auto"/>
            <w:hideMark/>
          </w:tcPr>
          <w:p w:rsidR="00CC75F2" w:rsidRPr="00CC75F2" w:rsidRDefault="00CC75F2" w:rsidP="009C23D6">
            <w:pPr>
              <w:jc w:val="center"/>
              <w:rPr>
                <w:rFonts w:cs="Arial"/>
                <w:color w:val="000000"/>
                <w:sz w:val="16"/>
                <w:szCs w:val="16"/>
              </w:rPr>
            </w:pPr>
            <w:r w:rsidRPr="00CC75F2">
              <w:rPr>
                <w:rFonts w:cs="Arial"/>
                <w:color w:val="000000"/>
                <w:sz w:val="16"/>
                <w:szCs w:val="16"/>
              </w:rPr>
              <w:t>C</w:t>
            </w:r>
            <w:r w:rsidR="009C23D6">
              <w:rPr>
                <w:rFonts w:cs="Arial"/>
                <w:color w:val="000000"/>
                <w:sz w:val="16"/>
                <w:szCs w:val="16"/>
              </w:rPr>
              <w:t>hild Care Centre</w:t>
            </w:r>
            <w:r w:rsidRPr="00CC75F2">
              <w:rPr>
                <w:rFonts w:cs="Arial"/>
                <w:color w:val="000000"/>
                <w:sz w:val="16"/>
                <w:szCs w:val="16"/>
              </w:rPr>
              <w:t xml:space="preserve"> </w:t>
            </w:r>
          </w:p>
        </w:tc>
        <w:tc>
          <w:tcPr>
            <w:tcW w:w="1276" w:type="dxa"/>
            <w:tcBorders>
              <w:top w:val="nil"/>
              <w:left w:val="nil"/>
              <w:bottom w:val="single" w:sz="4" w:space="0" w:color="auto"/>
              <w:right w:val="single" w:sz="4" w:space="0" w:color="auto"/>
            </w:tcBorders>
            <w:shd w:val="clear" w:color="auto" w:fill="auto"/>
            <w:hideMark/>
          </w:tcPr>
          <w:p w:rsidR="00CC75F2" w:rsidRPr="00CC75F2" w:rsidRDefault="00CC75F2" w:rsidP="00CC75F2">
            <w:pPr>
              <w:jc w:val="center"/>
              <w:rPr>
                <w:rFonts w:cs="Arial"/>
                <w:color w:val="000000"/>
                <w:sz w:val="16"/>
                <w:szCs w:val="16"/>
              </w:rPr>
            </w:pPr>
            <w:r w:rsidRPr="00CC75F2">
              <w:rPr>
                <w:rFonts w:cs="Arial"/>
                <w:color w:val="000000"/>
                <w:sz w:val="16"/>
                <w:szCs w:val="16"/>
              </w:rPr>
              <w:t>North Carlton Precinct</w:t>
            </w:r>
          </w:p>
        </w:tc>
        <w:tc>
          <w:tcPr>
            <w:tcW w:w="1134" w:type="dxa"/>
            <w:tcBorders>
              <w:top w:val="nil"/>
              <w:left w:val="nil"/>
              <w:bottom w:val="single" w:sz="4" w:space="0" w:color="auto"/>
              <w:right w:val="single" w:sz="4" w:space="0" w:color="auto"/>
            </w:tcBorders>
            <w:shd w:val="clear" w:color="auto" w:fill="auto"/>
            <w:hideMark/>
          </w:tcPr>
          <w:p w:rsidR="00CC75F2" w:rsidRPr="00CC75F2" w:rsidRDefault="00CC75F2" w:rsidP="00CC75F2">
            <w:pPr>
              <w:jc w:val="center"/>
              <w:rPr>
                <w:rFonts w:cs="Arial"/>
                <w:color w:val="000000"/>
                <w:sz w:val="16"/>
                <w:szCs w:val="16"/>
              </w:rPr>
            </w:pPr>
            <w:r w:rsidRPr="00CC75F2">
              <w:rPr>
                <w:rFonts w:cs="Arial"/>
                <w:color w:val="000000"/>
                <w:sz w:val="16"/>
                <w:szCs w:val="16"/>
              </w:rPr>
              <w:t>HO326</w:t>
            </w:r>
          </w:p>
        </w:tc>
        <w:tc>
          <w:tcPr>
            <w:tcW w:w="992" w:type="dxa"/>
            <w:tcBorders>
              <w:top w:val="nil"/>
              <w:left w:val="nil"/>
              <w:bottom w:val="single" w:sz="4" w:space="0" w:color="auto"/>
              <w:right w:val="single" w:sz="4" w:space="0" w:color="auto"/>
            </w:tcBorders>
            <w:shd w:val="clear" w:color="auto" w:fill="auto"/>
            <w:hideMark/>
          </w:tcPr>
          <w:p w:rsidR="00CC75F2" w:rsidRPr="00CC75F2" w:rsidRDefault="00CC75F2" w:rsidP="00CC75F2">
            <w:pPr>
              <w:jc w:val="center"/>
              <w:rPr>
                <w:rFonts w:cs="Arial"/>
                <w:color w:val="000000"/>
                <w:sz w:val="16"/>
                <w:szCs w:val="16"/>
              </w:rPr>
            </w:pPr>
            <w:r w:rsidRPr="00CC75F2">
              <w:rPr>
                <w:rFonts w:cs="Arial"/>
                <w:color w:val="000000"/>
                <w:sz w:val="16"/>
                <w:szCs w:val="16"/>
              </w:rPr>
              <w:t>N/A</w:t>
            </w:r>
          </w:p>
        </w:tc>
        <w:tc>
          <w:tcPr>
            <w:tcW w:w="1134" w:type="dxa"/>
            <w:tcBorders>
              <w:top w:val="nil"/>
              <w:left w:val="nil"/>
              <w:bottom w:val="single" w:sz="4" w:space="0" w:color="auto"/>
              <w:right w:val="single" w:sz="4" w:space="0" w:color="auto"/>
            </w:tcBorders>
            <w:shd w:val="clear" w:color="auto" w:fill="auto"/>
            <w:hideMark/>
          </w:tcPr>
          <w:p w:rsidR="00CC75F2" w:rsidRPr="00CC75F2" w:rsidRDefault="00CC75F2" w:rsidP="00373B8F">
            <w:pPr>
              <w:jc w:val="center"/>
              <w:rPr>
                <w:rFonts w:cs="Arial"/>
                <w:color w:val="000000"/>
                <w:sz w:val="16"/>
                <w:szCs w:val="16"/>
              </w:rPr>
            </w:pPr>
            <w:r w:rsidRPr="00CC75F2">
              <w:rPr>
                <w:rFonts w:cs="Arial"/>
                <w:color w:val="000000"/>
                <w:sz w:val="16"/>
                <w:szCs w:val="16"/>
              </w:rPr>
              <w:t>Precinct</w:t>
            </w:r>
          </w:p>
        </w:tc>
        <w:tc>
          <w:tcPr>
            <w:tcW w:w="1276" w:type="dxa"/>
            <w:tcBorders>
              <w:top w:val="nil"/>
              <w:left w:val="nil"/>
              <w:bottom w:val="single" w:sz="4" w:space="0" w:color="auto"/>
              <w:right w:val="single" w:sz="4" w:space="0" w:color="auto"/>
            </w:tcBorders>
            <w:shd w:val="clear" w:color="auto" w:fill="auto"/>
            <w:hideMark/>
          </w:tcPr>
          <w:p w:rsidR="00CC75F2" w:rsidRPr="00CC75F2" w:rsidRDefault="00CC75F2" w:rsidP="00CC75F2">
            <w:pPr>
              <w:jc w:val="center"/>
              <w:rPr>
                <w:rFonts w:cs="Arial"/>
                <w:color w:val="000000"/>
                <w:sz w:val="16"/>
                <w:szCs w:val="16"/>
              </w:rPr>
            </w:pPr>
            <w:r w:rsidRPr="00CC75F2">
              <w:rPr>
                <w:rFonts w:cs="Arial"/>
                <w:color w:val="000000"/>
                <w:sz w:val="16"/>
                <w:szCs w:val="16"/>
              </w:rPr>
              <w:t>Contributory</w:t>
            </w:r>
          </w:p>
        </w:tc>
        <w:tc>
          <w:tcPr>
            <w:tcW w:w="2835" w:type="dxa"/>
            <w:tcBorders>
              <w:top w:val="nil"/>
              <w:left w:val="nil"/>
              <w:bottom w:val="single" w:sz="4" w:space="0" w:color="auto"/>
              <w:right w:val="single" w:sz="4" w:space="0" w:color="auto"/>
            </w:tcBorders>
            <w:shd w:val="clear" w:color="auto" w:fill="auto"/>
            <w:hideMark/>
          </w:tcPr>
          <w:p w:rsidR="00CC75F2" w:rsidRPr="00CC75F2" w:rsidRDefault="00CC75F2" w:rsidP="00CC75F2">
            <w:pPr>
              <w:jc w:val="left"/>
              <w:rPr>
                <w:rFonts w:cs="Arial"/>
                <w:color w:val="000000"/>
                <w:sz w:val="16"/>
                <w:szCs w:val="16"/>
              </w:rPr>
            </w:pPr>
            <w:r w:rsidRPr="00CC75F2">
              <w:rPr>
                <w:rFonts w:cs="Arial"/>
                <w:color w:val="000000"/>
                <w:sz w:val="16"/>
                <w:szCs w:val="16"/>
              </w:rPr>
              <w:t>External controls over building and land, no internal controls, no external paint controls and no tree controls</w:t>
            </w:r>
          </w:p>
        </w:tc>
        <w:tc>
          <w:tcPr>
            <w:tcW w:w="2693" w:type="dxa"/>
            <w:tcBorders>
              <w:top w:val="nil"/>
              <w:left w:val="nil"/>
              <w:bottom w:val="single" w:sz="4" w:space="0" w:color="auto"/>
              <w:right w:val="single" w:sz="4" w:space="0" w:color="auto"/>
            </w:tcBorders>
            <w:shd w:val="clear" w:color="auto" w:fill="auto"/>
            <w:hideMark/>
          </w:tcPr>
          <w:p w:rsidR="00CC75F2" w:rsidRPr="00CC75F2" w:rsidRDefault="00CC75F2" w:rsidP="00CC75F2">
            <w:pPr>
              <w:jc w:val="left"/>
              <w:rPr>
                <w:rFonts w:cs="Arial"/>
                <w:color w:val="000000"/>
                <w:sz w:val="16"/>
                <w:szCs w:val="16"/>
              </w:rPr>
            </w:pPr>
            <w:r w:rsidRPr="00CC75F2">
              <w:rPr>
                <w:rFonts w:cs="Arial"/>
                <w:color w:val="000000"/>
                <w:sz w:val="16"/>
                <w:szCs w:val="16"/>
              </w:rPr>
              <w:t> </w:t>
            </w:r>
          </w:p>
        </w:tc>
      </w:tr>
      <w:tr w:rsidR="008B0CE7" w:rsidRPr="00CC75F2" w:rsidTr="00EA18F9">
        <w:trPr>
          <w:cantSplit/>
          <w:trHeight w:val="720"/>
        </w:trPr>
        <w:tc>
          <w:tcPr>
            <w:tcW w:w="1433" w:type="dxa"/>
            <w:tcBorders>
              <w:top w:val="nil"/>
              <w:left w:val="single" w:sz="4" w:space="0" w:color="auto"/>
              <w:bottom w:val="single" w:sz="4" w:space="0" w:color="auto"/>
              <w:right w:val="single" w:sz="4" w:space="0" w:color="auto"/>
            </w:tcBorders>
            <w:shd w:val="clear" w:color="auto" w:fill="auto"/>
            <w:hideMark/>
          </w:tcPr>
          <w:p w:rsidR="00CC75F2" w:rsidRPr="00CC75F2" w:rsidRDefault="00CC75F2" w:rsidP="00CC75F2">
            <w:pPr>
              <w:jc w:val="left"/>
              <w:rPr>
                <w:rFonts w:cs="Arial"/>
                <w:color w:val="000000"/>
                <w:sz w:val="16"/>
                <w:szCs w:val="16"/>
              </w:rPr>
            </w:pPr>
            <w:r w:rsidRPr="00CC75F2">
              <w:rPr>
                <w:rFonts w:cs="Arial"/>
                <w:color w:val="000000"/>
                <w:sz w:val="16"/>
                <w:szCs w:val="16"/>
              </w:rPr>
              <w:t xml:space="preserve">Charles Street 57-59 </w:t>
            </w:r>
          </w:p>
        </w:tc>
        <w:tc>
          <w:tcPr>
            <w:tcW w:w="1134" w:type="dxa"/>
            <w:tcBorders>
              <w:top w:val="nil"/>
              <w:left w:val="nil"/>
              <w:bottom w:val="single" w:sz="4" w:space="0" w:color="auto"/>
              <w:right w:val="single" w:sz="4" w:space="0" w:color="auto"/>
            </w:tcBorders>
            <w:shd w:val="clear" w:color="auto" w:fill="auto"/>
            <w:hideMark/>
          </w:tcPr>
          <w:p w:rsidR="00CC75F2" w:rsidRPr="00CC75F2" w:rsidRDefault="00373B8F" w:rsidP="00CC75F2">
            <w:pPr>
              <w:jc w:val="center"/>
              <w:rPr>
                <w:rFonts w:cs="Arial"/>
                <w:color w:val="000000"/>
                <w:sz w:val="16"/>
                <w:szCs w:val="16"/>
              </w:rPr>
            </w:pPr>
            <w:r w:rsidRPr="00CC75F2">
              <w:rPr>
                <w:rFonts w:cs="Arial"/>
                <w:color w:val="000000"/>
                <w:sz w:val="16"/>
                <w:szCs w:val="16"/>
              </w:rPr>
              <w:t>F</w:t>
            </w:r>
            <w:r>
              <w:rPr>
                <w:rFonts w:cs="Arial"/>
                <w:color w:val="000000"/>
                <w:sz w:val="16"/>
                <w:szCs w:val="16"/>
              </w:rPr>
              <w:t>itzroy</w:t>
            </w:r>
          </w:p>
        </w:tc>
        <w:tc>
          <w:tcPr>
            <w:tcW w:w="1417" w:type="dxa"/>
            <w:tcBorders>
              <w:top w:val="nil"/>
              <w:left w:val="nil"/>
              <w:bottom w:val="single" w:sz="4" w:space="0" w:color="auto"/>
              <w:right w:val="single" w:sz="4" w:space="0" w:color="auto"/>
            </w:tcBorders>
            <w:shd w:val="clear" w:color="auto" w:fill="auto"/>
            <w:hideMark/>
          </w:tcPr>
          <w:p w:rsidR="00CC75F2" w:rsidRPr="00CC75F2" w:rsidRDefault="00CC75F2" w:rsidP="009C23D6">
            <w:pPr>
              <w:jc w:val="center"/>
              <w:rPr>
                <w:rFonts w:cs="Arial"/>
                <w:color w:val="000000"/>
                <w:sz w:val="16"/>
                <w:szCs w:val="16"/>
              </w:rPr>
            </w:pPr>
            <w:r w:rsidRPr="00CC75F2">
              <w:rPr>
                <w:rFonts w:cs="Arial"/>
                <w:color w:val="000000"/>
                <w:sz w:val="16"/>
                <w:szCs w:val="16"/>
              </w:rPr>
              <w:t>V</w:t>
            </w:r>
            <w:r w:rsidR="009C23D6">
              <w:rPr>
                <w:rFonts w:cs="Arial"/>
                <w:color w:val="000000"/>
                <w:sz w:val="16"/>
                <w:szCs w:val="16"/>
              </w:rPr>
              <w:t>acant Land</w:t>
            </w:r>
            <w:r w:rsidRPr="00CC75F2">
              <w:rPr>
                <w:rFonts w:cs="Arial"/>
                <w:color w:val="000000"/>
                <w:sz w:val="16"/>
                <w:szCs w:val="16"/>
              </w:rPr>
              <w:t xml:space="preserve"> </w:t>
            </w:r>
          </w:p>
        </w:tc>
        <w:tc>
          <w:tcPr>
            <w:tcW w:w="1276" w:type="dxa"/>
            <w:tcBorders>
              <w:top w:val="nil"/>
              <w:left w:val="nil"/>
              <w:bottom w:val="single" w:sz="4" w:space="0" w:color="auto"/>
              <w:right w:val="single" w:sz="4" w:space="0" w:color="auto"/>
            </w:tcBorders>
            <w:shd w:val="clear" w:color="auto" w:fill="auto"/>
            <w:hideMark/>
          </w:tcPr>
          <w:p w:rsidR="00CC75F2" w:rsidRPr="00CC75F2" w:rsidRDefault="00CC75F2" w:rsidP="00CC75F2">
            <w:pPr>
              <w:jc w:val="center"/>
              <w:rPr>
                <w:rFonts w:cs="Arial"/>
                <w:color w:val="000000"/>
                <w:sz w:val="16"/>
                <w:szCs w:val="16"/>
              </w:rPr>
            </w:pPr>
            <w:r w:rsidRPr="00CC75F2">
              <w:rPr>
                <w:rFonts w:cs="Arial"/>
                <w:color w:val="000000"/>
                <w:sz w:val="16"/>
                <w:szCs w:val="16"/>
              </w:rPr>
              <w:t>South Fitzroy Precinct</w:t>
            </w:r>
          </w:p>
        </w:tc>
        <w:tc>
          <w:tcPr>
            <w:tcW w:w="1134" w:type="dxa"/>
            <w:tcBorders>
              <w:top w:val="nil"/>
              <w:left w:val="nil"/>
              <w:bottom w:val="single" w:sz="4" w:space="0" w:color="auto"/>
              <w:right w:val="single" w:sz="4" w:space="0" w:color="auto"/>
            </w:tcBorders>
            <w:shd w:val="clear" w:color="auto" w:fill="auto"/>
            <w:hideMark/>
          </w:tcPr>
          <w:p w:rsidR="00CC75F2" w:rsidRPr="00CC75F2" w:rsidRDefault="00CC75F2" w:rsidP="00CC75F2">
            <w:pPr>
              <w:jc w:val="center"/>
              <w:rPr>
                <w:rFonts w:cs="Arial"/>
                <w:color w:val="000000"/>
                <w:sz w:val="16"/>
                <w:szCs w:val="16"/>
              </w:rPr>
            </w:pPr>
            <w:r w:rsidRPr="00CC75F2">
              <w:rPr>
                <w:rFonts w:cs="Arial"/>
                <w:color w:val="000000"/>
                <w:sz w:val="16"/>
                <w:szCs w:val="16"/>
              </w:rPr>
              <w:t>HO334</w:t>
            </w:r>
          </w:p>
        </w:tc>
        <w:tc>
          <w:tcPr>
            <w:tcW w:w="992" w:type="dxa"/>
            <w:tcBorders>
              <w:top w:val="nil"/>
              <w:left w:val="nil"/>
              <w:bottom w:val="single" w:sz="4" w:space="0" w:color="auto"/>
              <w:right w:val="single" w:sz="4" w:space="0" w:color="auto"/>
            </w:tcBorders>
            <w:shd w:val="clear" w:color="auto" w:fill="auto"/>
            <w:hideMark/>
          </w:tcPr>
          <w:p w:rsidR="00CC75F2" w:rsidRPr="00CC75F2" w:rsidRDefault="00CC75F2" w:rsidP="00CC75F2">
            <w:pPr>
              <w:jc w:val="center"/>
              <w:rPr>
                <w:rFonts w:cs="Arial"/>
                <w:color w:val="000000"/>
                <w:sz w:val="16"/>
                <w:szCs w:val="16"/>
              </w:rPr>
            </w:pPr>
            <w:r w:rsidRPr="00CC75F2">
              <w:rPr>
                <w:rFonts w:cs="Arial"/>
                <w:color w:val="000000"/>
                <w:sz w:val="16"/>
                <w:szCs w:val="16"/>
              </w:rPr>
              <w:t>N/A</w:t>
            </w:r>
          </w:p>
        </w:tc>
        <w:tc>
          <w:tcPr>
            <w:tcW w:w="1134" w:type="dxa"/>
            <w:tcBorders>
              <w:top w:val="nil"/>
              <w:left w:val="nil"/>
              <w:bottom w:val="single" w:sz="4" w:space="0" w:color="auto"/>
              <w:right w:val="single" w:sz="4" w:space="0" w:color="auto"/>
            </w:tcBorders>
            <w:shd w:val="clear" w:color="auto" w:fill="auto"/>
            <w:hideMark/>
          </w:tcPr>
          <w:p w:rsidR="00CC75F2" w:rsidRPr="00CC75F2" w:rsidRDefault="00CC75F2" w:rsidP="00373B8F">
            <w:pPr>
              <w:jc w:val="center"/>
              <w:rPr>
                <w:rFonts w:cs="Arial"/>
                <w:color w:val="000000"/>
                <w:sz w:val="16"/>
                <w:szCs w:val="16"/>
              </w:rPr>
            </w:pPr>
            <w:r w:rsidRPr="00CC75F2">
              <w:rPr>
                <w:rFonts w:cs="Arial"/>
                <w:color w:val="000000"/>
                <w:sz w:val="16"/>
                <w:szCs w:val="16"/>
              </w:rPr>
              <w:t>Precinct</w:t>
            </w:r>
          </w:p>
        </w:tc>
        <w:tc>
          <w:tcPr>
            <w:tcW w:w="1276" w:type="dxa"/>
            <w:tcBorders>
              <w:top w:val="nil"/>
              <w:left w:val="nil"/>
              <w:bottom w:val="single" w:sz="4" w:space="0" w:color="auto"/>
              <w:right w:val="single" w:sz="4" w:space="0" w:color="auto"/>
            </w:tcBorders>
            <w:shd w:val="clear" w:color="auto" w:fill="auto"/>
            <w:hideMark/>
          </w:tcPr>
          <w:p w:rsidR="00CC75F2" w:rsidRPr="00CC75F2" w:rsidRDefault="00CC75F2" w:rsidP="00CC75F2">
            <w:pPr>
              <w:jc w:val="center"/>
              <w:rPr>
                <w:rFonts w:cs="Arial"/>
                <w:color w:val="000000"/>
                <w:sz w:val="16"/>
                <w:szCs w:val="16"/>
              </w:rPr>
            </w:pPr>
            <w:r w:rsidRPr="00CC75F2">
              <w:rPr>
                <w:rFonts w:cs="Arial"/>
                <w:color w:val="000000"/>
                <w:sz w:val="16"/>
                <w:szCs w:val="16"/>
              </w:rPr>
              <w:t>Contributory</w:t>
            </w:r>
          </w:p>
        </w:tc>
        <w:tc>
          <w:tcPr>
            <w:tcW w:w="2835" w:type="dxa"/>
            <w:tcBorders>
              <w:top w:val="nil"/>
              <w:left w:val="nil"/>
              <w:bottom w:val="single" w:sz="4" w:space="0" w:color="auto"/>
              <w:right w:val="single" w:sz="4" w:space="0" w:color="auto"/>
            </w:tcBorders>
            <w:shd w:val="clear" w:color="auto" w:fill="auto"/>
            <w:hideMark/>
          </w:tcPr>
          <w:p w:rsidR="00CC75F2" w:rsidRPr="00CC75F2" w:rsidRDefault="00CC75F2" w:rsidP="00CC75F2">
            <w:pPr>
              <w:jc w:val="left"/>
              <w:rPr>
                <w:rFonts w:cs="Arial"/>
                <w:color w:val="000000"/>
                <w:sz w:val="16"/>
                <w:szCs w:val="16"/>
              </w:rPr>
            </w:pPr>
            <w:r w:rsidRPr="00CC75F2">
              <w:rPr>
                <w:rFonts w:cs="Arial"/>
                <w:color w:val="000000"/>
                <w:sz w:val="16"/>
                <w:szCs w:val="16"/>
              </w:rPr>
              <w:t>External controls over the land, no internal controls, no external paint controls and no tree controls</w:t>
            </w:r>
          </w:p>
        </w:tc>
        <w:tc>
          <w:tcPr>
            <w:tcW w:w="2693" w:type="dxa"/>
            <w:tcBorders>
              <w:top w:val="nil"/>
              <w:left w:val="nil"/>
              <w:bottom w:val="single" w:sz="4" w:space="0" w:color="auto"/>
              <w:right w:val="single" w:sz="4" w:space="0" w:color="auto"/>
            </w:tcBorders>
            <w:shd w:val="clear" w:color="auto" w:fill="auto"/>
            <w:hideMark/>
          </w:tcPr>
          <w:p w:rsidR="00CC75F2" w:rsidRPr="00CC75F2" w:rsidRDefault="00CC75F2" w:rsidP="00CC75F2">
            <w:pPr>
              <w:jc w:val="left"/>
              <w:rPr>
                <w:rFonts w:cs="Arial"/>
                <w:color w:val="000000"/>
                <w:sz w:val="16"/>
                <w:szCs w:val="16"/>
              </w:rPr>
            </w:pPr>
            <w:r w:rsidRPr="00CC75F2">
              <w:rPr>
                <w:rFonts w:cs="Arial"/>
                <w:color w:val="000000"/>
                <w:sz w:val="16"/>
                <w:szCs w:val="16"/>
              </w:rPr>
              <w:t>Address is also 197 George St.  The property is identified as 'contributory' with the George Street address.  This property is not shown as a vacant block on the current aerial photograph.</w:t>
            </w:r>
          </w:p>
        </w:tc>
      </w:tr>
      <w:tr w:rsidR="008B0CE7" w:rsidRPr="00CC75F2" w:rsidTr="00EA18F9">
        <w:trPr>
          <w:cantSplit/>
          <w:trHeight w:val="480"/>
        </w:trPr>
        <w:tc>
          <w:tcPr>
            <w:tcW w:w="1433" w:type="dxa"/>
            <w:tcBorders>
              <w:top w:val="nil"/>
              <w:left w:val="single" w:sz="4" w:space="0" w:color="auto"/>
              <w:bottom w:val="single" w:sz="4" w:space="0" w:color="auto"/>
              <w:right w:val="single" w:sz="4" w:space="0" w:color="auto"/>
            </w:tcBorders>
            <w:shd w:val="clear" w:color="auto" w:fill="auto"/>
            <w:hideMark/>
          </w:tcPr>
          <w:p w:rsidR="00CC75F2" w:rsidRPr="00CC75F2" w:rsidRDefault="00CC75F2" w:rsidP="00CC75F2">
            <w:pPr>
              <w:jc w:val="left"/>
              <w:rPr>
                <w:rFonts w:cs="Arial"/>
                <w:color w:val="000000"/>
                <w:sz w:val="16"/>
                <w:szCs w:val="16"/>
              </w:rPr>
            </w:pPr>
            <w:r w:rsidRPr="00CC75F2">
              <w:rPr>
                <w:rFonts w:cs="Arial"/>
                <w:color w:val="000000"/>
                <w:sz w:val="16"/>
                <w:szCs w:val="16"/>
              </w:rPr>
              <w:t>Charlotte Street 4-6</w:t>
            </w:r>
          </w:p>
        </w:tc>
        <w:tc>
          <w:tcPr>
            <w:tcW w:w="1134" w:type="dxa"/>
            <w:tcBorders>
              <w:top w:val="nil"/>
              <w:left w:val="nil"/>
              <w:bottom w:val="single" w:sz="4" w:space="0" w:color="auto"/>
              <w:right w:val="single" w:sz="4" w:space="0" w:color="auto"/>
            </w:tcBorders>
            <w:shd w:val="clear" w:color="auto" w:fill="auto"/>
            <w:hideMark/>
          </w:tcPr>
          <w:p w:rsidR="00CC75F2" w:rsidRPr="00CC75F2" w:rsidRDefault="008B0CE7" w:rsidP="00CC75F2">
            <w:pPr>
              <w:jc w:val="center"/>
              <w:rPr>
                <w:rFonts w:cs="Arial"/>
                <w:color w:val="000000"/>
                <w:sz w:val="16"/>
                <w:szCs w:val="16"/>
              </w:rPr>
            </w:pPr>
            <w:r w:rsidRPr="00CC75F2">
              <w:rPr>
                <w:rFonts w:cs="Arial"/>
                <w:color w:val="000000"/>
                <w:sz w:val="16"/>
                <w:szCs w:val="16"/>
              </w:rPr>
              <w:t>R</w:t>
            </w:r>
            <w:r>
              <w:rPr>
                <w:rFonts w:cs="Arial"/>
                <w:color w:val="000000"/>
                <w:sz w:val="16"/>
                <w:szCs w:val="16"/>
              </w:rPr>
              <w:t>ichmond</w:t>
            </w:r>
          </w:p>
        </w:tc>
        <w:tc>
          <w:tcPr>
            <w:tcW w:w="1417" w:type="dxa"/>
            <w:tcBorders>
              <w:top w:val="nil"/>
              <w:left w:val="nil"/>
              <w:bottom w:val="single" w:sz="4" w:space="0" w:color="auto"/>
              <w:right w:val="single" w:sz="4" w:space="0" w:color="auto"/>
            </w:tcBorders>
            <w:shd w:val="clear" w:color="auto" w:fill="auto"/>
            <w:hideMark/>
          </w:tcPr>
          <w:p w:rsidR="00CC75F2" w:rsidRPr="00CC75F2" w:rsidRDefault="00CC75F2" w:rsidP="009C23D6">
            <w:pPr>
              <w:jc w:val="center"/>
              <w:rPr>
                <w:rFonts w:cs="Arial"/>
                <w:color w:val="000000"/>
                <w:sz w:val="16"/>
                <w:szCs w:val="16"/>
              </w:rPr>
            </w:pPr>
            <w:r w:rsidRPr="00CC75F2">
              <w:rPr>
                <w:rFonts w:cs="Arial"/>
                <w:color w:val="000000"/>
                <w:sz w:val="16"/>
                <w:szCs w:val="16"/>
              </w:rPr>
              <w:t>L</w:t>
            </w:r>
            <w:r w:rsidR="005E5635">
              <w:rPr>
                <w:rFonts w:cs="Arial"/>
                <w:color w:val="000000"/>
                <w:sz w:val="16"/>
                <w:szCs w:val="16"/>
              </w:rPr>
              <w:t>ibrary Carp</w:t>
            </w:r>
            <w:r w:rsidR="009C23D6">
              <w:rPr>
                <w:rFonts w:cs="Arial"/>
                <w:color w:val="000000"/>
                <w:sz w:val="16"/>
                <w:szCs w:val="16"/>
              </w:rPr>
              <w:t>ark</w:t>
            </w:r>
            <w:r w:rsidRPr="00CC75F2">
              <w:rPr>
                <w:rFonts w:cs="Arial"/>
                <w:color w:val="000000"/>
                <w:sz w:val="16"/>
                <w:szCs w:val="16"/>
              </w:rPr>
              <w:t xml:space="preserve"> </w:t>
            </w:r>
          </w:p>
        </w:tc>
        <w:tc>
          <w:tcPr>
            <w:tcW w:w="1276" w:type="dxa"/>
            <w:tcBorders>
              <w:top w:val="nil"/>
              <w:left w:val="nil"/>
              <w:bottom w:val="single" w:sz="4" w:space="0" w:color="auto"/>
              <w:right w:val="single" w:sz="4" w:space="0" w:color="auto"/>
            </w:tcBorders>
            <w:shd w:val="clear" w:color="auto" w:fill="auto"/>
            <w:hideMark/>
          </w:tcPr>
          <w:p w:rsidR="00CC75F2" w:rsidRPr="00CC75F2" w:rsidRDefault="00CC75F2" w:rsidP="00CC75F2">
            <w:pPr>
              <w:jc w:val="center"/>
              <w:rPr>
                <w:rFonts w:cs="Arial"/>
                <w:color w:val="000000"/>
                <w:sz w:val="16"/>
                <w:szCs w:val="16"/>
              </w:rPr>
            </w:pPr>
            <w:r w:rsidRPr="00CC75F2">
              <w:rPr>
                <w:rFonts w:cs="Arial"/>
                <w:color w:val="000000"/>
                <w:sz w:val="16"/>
                <w:szCs w:val="16"/>
              </w:rPr>
              <w:t>Elm Grove Precinct</w:t>
            </w:r>
          </w:p>
        </w:tc>
        <w:tc>
          <w:tcPr>
            <w:tcW w:w="1134" w:type="dxa"/>
            <w:tcBorders>
              <w:top w:val="nil"/>
              <w:left w:val="nil"/>
              <w:bottom w:val="single" w:sz="4" w:space="0" w:color="auto"/>
              <w:right w:val="single" w:sz="4" w:space="0" w:color="auto"/>
            </w:tcBorders>
            <w:shd w:val="clear" w:color="auto" w:fill="auto"/>
            <w:hideMark/>
          </w:tcPr>
          <w:p w:rsidR="00CC75F2" w:rsidRPr="00CC75F2" w:rsidRDefault="00CC75F2" w:rsidP="00CC75F2">
            <w:pPr>
              <w:jc w:val="center"/>
              <w:rPr>
                <w:rFonts w:cs="Arial"/>
                <w:color w:val="000000"/>
                <w:sz w:val="16"/>
                <w:szCs w:val="16"/>
              </w:rPr>
            </w:pPr>
            <w:r w:rsidRPr="00CC75F2">
              <w:rPr>
                <w:rFonts w:cs="Arial"/>
                <w:color w:val="000000"/>
                <w:sz w:val="16"/>
                <w:szCs w:val="16"/>
              </w:rPr>
              <w:t>HO319</w:t>
            </w:r>
          </w:p>
        </w:tc>
        <w:tc>
          <w:tcPr>
            <w:tcW w:w="992" w:type="dxa"/>
            <w:tcBorders>
              <w:top w:val="nil"/>
              <w:left w:val="nil"/>
              <w:bottom w:val="single" w:sz="4" w:space="0" w:color="auto"/>
              <w:right w:val="single" w:sz="4" w:space="0" w:color="auto"/>
            </w:tcBorders>
            <w:shd w:val="clear" w:color="auto" w:fill="auto"/>
            <w:hideMark/>
          </w:tcPr>
          <w:p w:rsidR="00CC75F2" w:rsidRPr="00CC75F2" w:rsidRDefault="00CC75F2" w:rsidP="00CC75F2">
            <w:pPr>
              <w:jc w:val="center"/>
              <w:rPr>
                <w:rFonts w:cs="Arial"/>
                <w:color w:val="000000"/>
                <w:sz w:val="16"/>
                <w:szCs w:val="16"/>
              </w:rPr>
            </w:pPr>
            <w:r w:rsidRPr="00CC75F2">
              <w:rPr>
                <w:rFonts w:cs="Arial"/>
                <w:color w:val="000000"/>
                <w:sz w:val="16"/>
                <w:szCs w:val="16"/>
              </w:rPr>
              <w:t>N/A</w:t>
            </w:r>
          </w:p>
        </w:tc>
        <w:tc>
          <w:tcPr>
            <w:tcW w:w="1134" w:type="dxa"/>
            <w:tcBorders>
              <w:top w:val="nil"/>
              <w:left w:val="nil"/>
              <w:bottom w:val="single" w:sz="4" w:space="0" w:color="auto"/>
              <w:right w:val="single" w:sz="4" w:space="0" w:color="auto"/>
            </w:tcBorders>
            <w:shd w:val="clear" w:color="auto" w:fill="auto"/>
            <w:hideMark/>
          </w:tcPr>
          <w:p w:rsidR="00CC75F2" w:rsidRPr="00CC75F2" w:rsidRDefault="00CC75F2" w:rsidP="00373B8F">
            <w:pPr>
              <w:jc w:val="center"/>
              <w:rPr>
                <w:rFonts w:cs="Arial"/>
                <w:color w:val="000000"/>
                <w:sz w:val="16"/>
                <w:szCs w:val="16"/>
              </w:rPr>
            </w:pPr>
            <w:r w:rsidRPr="00CC75F2">
              <w:rPr>
                <w:rFonts w:cs="Arial"/>
                <w:color w:val="000000"/>
                <w:sz w:val="16"/>
                <w:szCs w:val="16"/>
              </w:rPr>
              <w:t>Precinct</w:t>
            </w:r>
          </w:p>
        </w:tc>
        <w:tc>
          <w:tcPr>
            <w:tcW w:w="1276" w:type="dxa"/>
            <w:tcBorders>
              <w:top w:val="nil"/>
              <w:left w:val="nil"/>
              <w:bottom w:val="single" w:sz="4" w:space="0" w:color="auto"/>
              <w:right w:val="single" w:sz="4" w:space="0" w:color="auto"/>
            </w:tcBorders>
            <w:shd w:val="clear" w:color="auto" w:fill="auto"/>
            <w:hideMark/>
          </w:tcPr>
          <w:p w:rsidR="00CC75F2" w:rsidRPr="00CC75F2" w:rsidRDefault="00CC75F2" w:rsidP="00CC75F2">
            <w:pPr>
              <w:jc w:val="center"/>
              <w:rPr>
                <w:rFonts w:cs="Arial"/>
                <w:color w:val="000000"/>
                <w:sz w:val="16"/>
                <w:szCs w:val="16"/>
              </w:rPr>
            </w:pPr>
            <w:r w:rsidRPr="00CC75F2">
              <w:rPr>
                <w:rFonts w:cs="Arial"/>
                <w:color w:val="000000"/>
                <w:sz w:val="16"/>
                <w:szCs w:val="16"/>
              </w:rPr>
              <w:t>Not contributory</w:t>
            </w:r>
          </w:p>
        </w:tc>
        <w:tc>
          <w:tcPr>
            <w:tcW w:w="2835" w:type="dxa"/>
            <w:tcBorders>
              <w:top w:val="nil"/>
              <w:left w:val="nil"/>
              <w:bottom w:val="single" w:sz="4" w:space="0" w:color="auto"/>
              <w:right w:val="single" w:sz="4" w:space="0" w:color="auto"/>
            </w:tcBorders>
            <w:shd w:val="clear" w:color="auto" w:fill="auto"/>
            <w:hideMark/>
          </w:tcPr>
          <w:p w:rsidR="00CC75F2" w:rsidRPr="00CC75F2" w:rsidRDefault="00CC75F2" w:rsidP="00CC75F2">
            <w:pPr>
              <w:jc w:val="left"/>
              <w:rPr>
                <w:rFonts w:cs="Arial"/>
                <w:color w:val="000000"/>
                <w:sz w:val="16"/>
                <w:szCs w:val="16"/>
              </w:rPr>
            </w:pPr>
            <w:r w:rsidRPr="00CC75F2">
              <w:rPr>
                <w:rFonts w:cs="Arial"/>
                <w:color w:val="000000"/>
                <w:sz w:val="16"/>
                <w:szCs w:val="16"/>
              </w:rPr>
              <w:t>External controls over land, no internal controls, no external paint controls and no tree controls apply</w:t>
            </w:r>
          </w:p>
        </w:tc>
        <w:tc>
          <w:tcPr>
            <w:tcW w:w="2693" w:type="dxa"/>
            <w:tcBorders>
              <w:top w:val="nil"/>
              <w:left w:val="nil"/>
              <w:bottom w:val="single" w:sz="4" w:space="0" w:color="auto"/>
              <w:right w:val="single" w:sz="4" w:space="0" w:color="auto"/>
            </w:tcBorders>
            <w:shd w:val="clear" w:color="auto" w:fill="auto"/>
            <w:hideMark/>
          </w:tcPr>
          <w:p w:rsidR="00CC75F2" w:rsidRPr="00CC75F2" w:rsidRDefault="00CC75F2" w:rsidP="00CC75F2">
            <w:pPr>
              <w:jc w:val="left"/>
              <w:rPr>
                <w:rFonts w:cs="Arial"/>
                <w:color w:val="000000"/>
                <w:sz w:val="16"/>
                <w:szCs w:val="16"/>
              </w:rPr>
            </w:pPr>
            <w:r w:rsidRPr="00CC75F2">
              <w:rPr>
                <w:rFonts w:cs="Arial"/>
                <w:color w:val="000000"/>
                <w:sz w:val="16"/>
                <w:szCs w:val="16"/>
              </w:rPr>
              <w:t> </w:t>
            </w:r>
          </w:p>
        </w:tc>
      </w:tr>
      <w:tr w:rsidR="008B0CE7" w:rsidRPr="00CC75F2" w:rsidTr="00EA18F9">
        <w:trPr>
          <w:cantSplit/>
          <w:trHeight w:val="720"/>
        </w:trPr>
        <w:tc>
          <w:tcPr>
            <w:tcW w:w="1433" w:type="dxa"/>
            <w:tcBorders>
              <w:top w:val="nil"/>
              <w:left w:val="single" w:sz="4" w:space="0" w:color="auto"/>
              <w:bottom w:val="single" w:sz="4" w:space="0" w:color="auto"/>
              <w:right w:val="single" w:sz="4" w:space="0" w:color="auto"/>
            </w:tcBorders>
            <w:shd w:val="clear" w:color="auto" w:fill="auto"/>
            <w:hideMark/>
          </w:tcPr>
          <w:p w:rsidR="00CC75F2" w:rsidRPr="00CC75F2" w:rsidRDefault="00CC75F2" w:rsidP="00CC75F2">
            <w:pPr>
              <w:jc w:val="left"/>
              <w:rPr>
                <w:rFonts w:cs="Arial"/>
                <w:color w:val="000000"/>
                <w:sz w:val="16"/>
                <w:szCs w:val="16"/>
              </w:rPr>
            </w:pPr>
            <w:r w:rsidRPr="00CC75F2">
              <w:rPr>
                <w:rFonts w:cs="Arial"/>
                <w:color w:val="000000"/>
                <w:sz w:val="16"/>
                <w:szCs w:val="16"/>
              </w:rPr>
              <w:t>Clauscen Street 173</w:t>
            </w:r>
          </w:p>
        </w:tc>
        <w:tc>
          <w:tcPr>
            <w:tcW w:w="1134" w:type="dxa"/>
            <w:tcBorders>
              <w:top w:val="nil"/>
              <w:left w:val="nil"/>
              <w:bottom w:val="single" w:sz="4" w:space="0" w:color="auto"/>
              <w:right w:val="single" w:sz="4" w:space="0" w:color="auto"/>
            </w:tcBorders>
            <w:shd w:val="clear" w:color="auto" w:fill="auto"/>
            <w:hideMark/>
          </w:tcPr>
          <w:p w:rsidR="00CC75F2" w:rsidRPr="00CC75F2" w:rsidRDefault="00373B8F" w:rsidP="009C23D6">
            <w:pPr>
              <w:jc w:val="center"/>
              <w:rPr>
                <w:rFonts w:cs="Arial"/>
                <w:color w:val="000000"/>
                <w:sz w:val="16"/>
                <w:szCs w:val="16"/>
              </w:rPr>
            </w:pPr>
            <w:r w:rsidRPr="00CC75F2">
              <w:rPr>
                <w:rFonts w:cs="Arial"/>
                <w:color w:val="000000"/>
                <w:sz w:val="16"/>
                <w:szCs w:val="16"/>
              </w:rPr>
              <w:t>F</w:t>
            </w:r>
            <w:r>
              <w:rPr>
                <w:rFonts w:cs="Arial"/>
                <w:color w:val="000000"/>
                <w:sz w:val="16"/>
                <w:szCs w:val="16"/>
              </w:rPr>
              <w:t>itzroy</w:t>
            </w:r>
            <w:r w:rsidR="00CC75F2" w:rsidRPr="00CC75F2">
              <w:rPr>
                <w:rFonts w:cs="Arial"/>
                <w:color w:val="000000"/>
                <w:sz w:val="16"/>
                <w:szCs w:val="16"/>
              </w:rPr>
              <w:t xml:space="preserve"> N</w:t>
            </w:r>
            <w:r w:rsidR="009C23D6">
              <w:rPr>
                <w:rFonts w:cs="Arial"/>
                <w:color w:val="000000"/>
                <w:sz w:val="16"/>
                <w:szCs w:val="16"/>
              </w:rPr>
              <w:t>orth</w:t>
            </w:r>
          </w:p>
        </w:tc>
        <w:tc>
          <w:tcPr>
            <w:tcW w:w="1417" w:type="dxa"/>
            <w:tcBorders>
              <w:top w:val="nil"/>
              <w:left w:val="nil"/>
              <w:bottom w:val="single" w:sz="4" w:space="0" w:color="auto"/>
              <w:right w:val="single" w:sz="4" w:space="0" w:color="auto"/>
            </w:tcBorders>
            <w:shd w:val="clear" w:color="auto" w:fill="auto"/>
            <w:hideMark/>
          </w:tcPr>
          <w:p w:rsidR="00CC75F2" w:rsidRPr="00CC75F2" w:rsidRDefault="00CC75F2" w:rsidP="009C23D6">
            <w:pPr>
              <w:jc w:val="center"/>
              <w:rPr>
                <w:rFonts w:cs="Arial"/>
                <w:color w:val="000000"/>
                <w:sz w:val="16"/>
                <w:szCs w:val="16"/>
              </w:rPr>
            </w:pPr>
            <w:r w:rsidRPr="00CC75F2">
              <w:rPr>
                <w:rFonts w:cs="Arial"/>
                <w:color w:val="000000"/>
                <w:sz w:val="16"/>
                <w:szCs w:val="16"/>
              </w:rPr>
              <w:t>N</w:t>
            </w:r>
            <w:r w:rsidR="009C23D6">
              <w:rPr>
                <w:rFonts w:cs="Arial"/>
                <w:color w:val="000000"/>
                <w:sz w:val="16"/>
                <w:szCs w:val="16"/>
              </w:rPr>
              <w:t>orth Fitzroy Child Co-op</w:t>
            </w:r>
            <w:r w:rsidRPr="00CC75F2">
              <w:rPr>
                <w:rFonts w:cs="Arial"/>
                <w:color w:val="000000"/>
                <w:sz w:val="16"/>
                <w:szCs w:val="16"/>
              </w:rPr>
              <w:t xml:space="preserve"> </w:t>
            </w:r>
          </w:p>
        </w:tc>
        <w:tc>
          <w:tcPr>
            <w:tcW w:w="1276" w:type="dxa"/>
            <w:tcBorders>
              <w:top w:val="nil"/>
              <w:left w:val="nil"/>
              <w:bottom w:val="single" w:sz="4" w:space="0" w:color="auto"/>
              <w:right w:val="single" w:sz="4" w:space="0" w:color="auto"/>
            </w:tcBorders>
            <w:shd w:val="clear" w:color="auto" w:fill="auto"/>
            <w:hideMark/>
          </w:tcPr>
          <w:p w:rsidR="00CC75F2" w:rsidRPr="00CC75F2" w:rsidRDefault="00CC75F2" w:rsidP="00CC75F2">
            <w:pPr>
              <w:jc w:val="center"/>
              <w:rPr>
                <w:rFonts w:cs="Arial"/>
                <w:color w:val="000000"/>
                <w:sz w:val="16"/>
                <w:szCs w:val="16"/>
              </w:rPr>
            </w:pPr>
            <w:r w:rsidRPr="00CC75F2">
              <w:rPr>
                <w:rFonts w:cs="Arial"/>
                <w:color w:val="000000"/>
                <w:sz w:val="16"/>
                <w:szCs w:val="16"/>
              </w:rPr>
              <w:t>North Fitzroy Precinct</w:t>
            </w:r>
          </w:p>
        </w:tc>
        <w:tc>
          <w:tcPr>
            <w:tcW w:w="1134" w:type="dxa"/>
            <w:tcBorders>
              <w:top w:val="nil"/>
              <w:left w:val="nil"/>
              <w:bottom w:val="single" w:sz="4" w:space="0" w:color="auto"/>
              <w:right w:val="single" w:sz="4" w:space="0" w:color="auto"/>
            </w:tcBorders>
            <w:shd w:val="clear" w:color="auto" w:fill="auto"/>
            <w:hideMark/>
          </w:tcPr>
          <w:p w:rsidR="00CC75F2" w:rsidRPr="00CC75F2" w:rsidRDefault="00CC75F2" w:rsidP="00CC75F2">
            <w:pPr>
              <w:jc w:val="center"/>
              <w:rPr>
                <w:rFonts w:cs="Arial"/>
                <w:color w:val="000000"/>
                <w:sz w:val="16"/>
                <w:szCs w:val="16"/>
              </w:rPr>
            </w:pPr>
            <w:r w:rsidRPr="00CC75F2">
              <w:rPr>
                <w:rFonts w:cs="Arial"/>
                <w:color w:val="000000"/>
                <w:sz w:val="16"/>
                <w:szCs w:val="16"/>
              </w:rPr>
              <w:t>HO327</w:t>
            </w:r>
          </w:p>
        </w:tc>
        <w:tc>
          <w:tcPr>
            <w:tcW w:w="992" w:type="dxa"/>
            <w:tcBorders>
              <w:top w:val="nil"/>
              <w:left w:val="nil"/>
              <w:bottom w:val="single" w:sz="4" w:space="0" w:color="auto"/>
              <w:right w:val="single" w:sz="4" w:space="0" w:color="auto"/>
            </w:tcBorders>
            <w:shd w:val="clear" w:color="auto" w:fill="auto"/>
            <w:hideMark/>
          </w:tcPr>
          <w:p w:rsidR="00CC75F2" w:rsidRPr="00CC75F2" w:rsidRDefault="00CC75F2" w:rsidP="00CC75F2">
            <w:pPr>
              <w:jc w:val="center"/>
              <w:rPr>
                <w:rFonts w:cs="Arial"/>
                <w:color w:val="000000"/>
                <w:sz w:val="16"/>
                <w:szCs w:val="16"/>
              </w:rPr>
            </w:pPr>
            <w:r w:rsidRPr="00CC75F2">
              <w:rPr>
                <w:rFonts w:cs="Arial"/>
                <w:color w:val="000000"/>
                <w:sz w:val="16"/>
                <w:szCs w:val="16"/>
              </w:rPr>
              <w:t>N/A</w:t>
            </w:r>
          </w:p>
        </w:tc>
        <w:tc>
          <w:tcPr>
            <w:tcW w:w="1134" w:type="dxa"/>
            <w:tcBorders>
              <w:top w:val="nil"/>
              <w:left w:val="nil"/>
              <w:bottom w:val="single" w:sz="4" w:space="0" w:color="auto"/>
              <w:right w:val="single" w:sz="4" w:space="0" w:color="auto"/>
            </w:tcBorders>
            <w:shd w:val="clear" w:color="auto" w:fill="auto"/>
            <w:hideMark/>
          </w:tcPr>
          <w:p w:rsidR="00CC75F2" w:rsidRPr="00CC75F2" w:rsidRDefault="00CC75F2" w:rsidP="00373B8F">
            <w:pPr>
              <w:jc w:val="center"/>
              <w:rPr>
                <w:rFonts w:cs="Arial"/>
                <w:color w:val="000000"/>
                <w:sz w:val="16"/>
                <w:szCs w:val="16"/>
              </w:rPr>
            </w:pPr>
            <w:r w:rsidRPr="00CC75F2">
              <w:rPr>
                <w:rFonts w:cs="Arial"/>
                <w:color w:val="000000"/>
                <w:sz w:val="16"/>
                <w:szCs w:val="16"/>
              </w:rPr>
              <w:t>Precinct</w:t>
            </w:r>
          </w:p>
        </w:tc>
        <w:tc>
          <w:tcPr>
            <w:tcW w:w="1276" w:type="dxa"/>
            <w:tcBorders>
              <w:top w:val="nil"/>
              <w:left w:val="nil"/>
              <w:bottom w:val="single" w:sz="4" w:space="0" w:color="auto"/>
              <w:right w:val="single" w:sz="4" w:space="0" w:color="auto"/>
            </w:tcBorders>
            <w:shd w:val="clear" w:color="auto" w:fill="auto"/>
            <w:hideMark/>
          </w:tcPr>
          <w:p w:rsidR="00CC75F2" w:rsidRPr="00CC75F2" w:rsidRDefault="00CC75F2" w:rsidP="00CC75F2">
            <w:pPr>
              <w:jc w:val="center"/>
              <w:rPr>
                <w:rFonts w:cs="Arial"/>
                <w:color w:val="000000"/>
                <w:sz w:val="16"/>
                <w:szCs w:val="16"/>
              </w:rPr>
            </w:pPr>
            <w:r w:rsidRPr="00CC75F2">
              <w:rPr>
                <w:rFonts w:cs="Arial"/>
                <w:color w:val="000000"/>
                <w:sz w:val="16"/>
                <w:szCs w:val="16"/>
              </w:rPr>
              <w:t>Contributory</w:t>
            </w:r>
          </w:p>
        </w:tc>
        <w:tc>
          <w:tcPr>
            <w:tcW w:w="2835" w:type="dxa"/>
            <w:tcBorders>
              <w:top w:val="nil"/>
              <w:left w:val="nil"/>
              <w:bottom w:val="single" w:sz="4" w:space="0" w:color="auto"/>
              <w:right w:val="single" w:sz="4" w:space="0" w:color="auto"/>
            </w:tcBorders>
            <w:shd w:val="clear" w:color="auto" w:fill="auto"/>
            <w:hideMark/>
          </w:tcPr>
          <w:p w:rsidR="00CC75F2" w:rsidRPr="00CC75F2" w:rsidRDefault="00CC75F2" w:rsidP="00CC75F2">
            <w:pPr>
              <w:jc w:val="left"/>
              <w:rPr>
                <w:rFonts w:cs="Arial"/>
                <w:color w:val="000000"/>
                <w:sz w:val="16"/>
                <w:szCs w:val="16"/>
              </w:rPr>
            </w:pPr>
            <w:r w:rsidRPr="00CC75F2">
              <w:rPr>
                <w:rFonts w:cs="Arial"/>
                <w:color w:val="000000"/>
                <w:sz w:val="16"/>
                <w:szCs w:val="16"/>
              </w:rPr>
              <w:t>External controls over building and land, no internal controls, no external paint controls and no tree controls</w:t>
            </w:r>
          </w:p>
        </w:tc>
        <w:tc>
          <w:tcPr>
            <w:tcW w:w="2693" w:type="dxa"/>
            <w:tcBorders>
              <w:top w:val="nil"/>
              <w:left w:val="nil"/>
              <w:bottom w:val="single" w:sz="4" w:space="0" w:color="auto"/>
              <w:right w:val="single" w:sz="4" w:space="0" w:color="auto"/>
            </w:tcBorders>
            <w:shd w:val="clear" w:color="auto" w:fill="auto"/>
            <w:hideMark/>
          </w:tcPr>
          <w:p w:rsidR="00CC75F2" w:rsidRPr="00CC75F2" w:rsidRDefault="00CC75F2" w:rsidP="00CC75F2">
            <w:pPr>
              <w:jc w:val="left"/>
              <w:rPr>
                <w:rFonts w:cs="Arial"/>
                <w:color w:val="000000"/>
                <w:sz w:val="16"/>
                <w:szCs w:val="16"/>
              </w:rPr>
            </w:pPr>
            <w:r w:rsidRPr="00CC75F2">
              <w:rPr>
                <w:rFonts w:cs="Arial"/>
                <w:color w:val="000000"/>
                <w:sz w:val="16"/>
                <w:szCs w:val="16"/>
              </w:rPr>
              <w:t> </w:t>
            </w:r>
          </w:p>
        </w:tc>
      </w:tr>
      <w:tr w:rsidR="008B0CE7" w:rsidRPr="00CC75F2" w:rsidTr="00EA18F9">
        <w:trPr>
          <w:cantSplit/>
          <w:trHeight w:val="720"/>
        </w:trPr>
        <w:tc>
          <w:tcPr>
            <w:tcW w:w="1433" w:type="dxa"/>
            <w:tcBorders>
              <w:top w:val="nil"/>
              <w:left w:val="single" w:sz="4" w:space="0" w:color="auto"/>
              <w:bottom w:val="single" w:sz="4" w:space="0" w:color="auto"/>
              <w:right w:val="single" w:sz="4" w:space="0" w:color="auto"/>
            </w:tcBorders>
            <w:shd w:val="clear" w:color="auto" w:fill="auto"/>
            <w:hideMark/>
          </w:tcPr>
          <w:p w:rsidR="00CC75F2" w:rsidRPr="00CC75F2" w:rsidRDefault="00CC75F2" w:rsidP="00CC75F2">
            <w:pPr>
              <w:jc w:val="left"/>
              <w:rPr>
                <w:rFonts w:cs="Arial"/>
                <w:color w:val="000000"/>
                <w:sz w:val="16"/>
                <w:szCs w:val="16"/>
              </w:rPr>
            </w:pPr>
            <w:r w:rsidRPr="00CC75F2">
              <w:rPr>
                <w:rFonts w:cs="Arial"/>
                <w:color w:val="000000"/>
                <w:sz w:val="16"/>
                <w:szCs w:val="16"/>
              </w:rPr>
              <w:t>Clifton Street 2</w:t>
            </w:r>
          </w:p>
        </w:tc>
        <w:tc>
          <w:tcPr>
            <w:tcW w:w="1134" w:type="dxa"/>
            <w:tcBorders>
              <w:top w:val="nil"/>
              <w:left w:val="nil"/>
              <w:bottom w:val="single" w:sz="4" w:space="0" w:color="auto"/>
              <w:right w:val="single" w:sz="4" w:space="0" w:color="auto"/>
            </w:tcBorders>
            <w:shd w:val="clear" w:color="auto" w:fill="auto"/>
            <w:hideMark/>
          </w:tcPr>
          <w:p w:rsidR="00CC75F2" w:rsidRPr="00CC75F2" w:rsidRDefault="00CC75F2" w:rsidP="009C23D6">
            <w:pPr>
              <w:jc w:val="center"/>
              <w:rPr>
                <w:rFonts w:cs="Arial"/>
                <w:color w:val="000000"/>
                <w:sz w:val="16"/>
                <w:szCs w:val="16"/>
              </w:rPr>
            </w:pPr>
            <w:r w:rsidRPr="00CC75F2">
              <w:rPr>
                <w:rFonts w:cs="Arial"/>
                <w:color w:val="000000"/>
                <w:sz w:val="16"/>
                <w:szCs w:val="16"/>
              </w:rPr>
              <w:t>C</w:t>
            </w:r>
            <w:r w:rsidR="009C23D6">
              <w:rPr>
                <w:rFonts w:cs="Arial"/>
                <w:color w:val="000000"/>
                <w:sz w:val="16"/>
                <w:szCs w:val="16"/>
              </w:rPr>
              <w:t>lifton Hill</w:t>
            </w:r>
          </w:p>
        </w:tc>
        <w:tc>
          <w:tcPr>
            <w:tcW w:w="1417" w:type="dxa"/>
            <w:tcBorders>
              <w:top w:val="nil"/>
              <w:left w:val="nil"/>
              <w:bottom w:val="single" w:sz="4" w:space="0" w:color="auto"/>
              <w:right w:val="single" w:sz="4" w:space="0" w:color="auto"/>
            </w:tcBorders>
            <w:shd w:val="clear" w:color="auto" w:fill="auto"/>
            <w:hideMark/>
          </w:tcPr>
          <w:p w:rsidR="00CC75F2" w:rsidRPr="00CC75F2" w:rsidRDefault="009C23D6" w:rsidP="00CC75F2">
            <w:pPr>
              <w:jc w:val="center"/>
              <w:rPr>
                <w:rFonts w:cs="Arial"/>
                <w:color w:val="000000"/>
                <w:sz w:val="16"/>
                <w:szCs w:val="16"/>
              </w:rPr>
            </w:pPr>
            <w:r>
              <w:rPr>
                <w:rFonts w:cs="Arial"/>
                <w:color w:val="000000"/>
                <w:sz w:val="16"/>
                <w:szCs w:val="16"/>
              </w:rPr>
              <w:t>Reserve</w:t>
            </w:r>
          </w:p>
        </w:tc>
        <w:tc>
          <w:tcPr>
            <w:tcW w:w="1276" w:type="dxa"/>
            <w:tcBorders>
              <w:top w:val="nil"/>
              <w:left w:val="nil"/>
              <w:bottom w:val="single" w:sz="4" w:space="0" w:color="auto"/>
              <w:right w:val="single" w:sz="4" w:space="0" w:color="auto"/>
            </w:tcBorders>
            <w:shd w:val="clear" w:color="auto" w:fill="auto"/>
            <w:hideMark/>
          </w:tcPr>
          <w:p w:rsidR="00CC75F2" w:rsidRPr="00CC75F2" w:rsidRDefault="00CC75F2" w:rsidP="00CC75F2">
            <w:pPr>
              <w:jc w:val="center"/>
              <w:rPr>
                <w:rFonts w:cs="Arial"/>
                <w:color w:val="000000"/>
                <w:sz w:val="16"/>
                <w:szCs w:val="16"/>
              </w:rPr>
            </w:pPr>
            <w:r w:rsidRPr="00CC75F2">
              <w:rPr>
                <w:rFonts w:cs="Arial"/>
                <w:color w:val="000000"/>
                <w:sz w:val="16"/>
                <w:szCs w:val="16"/>
              </w:rPr>
              <w:t>Clifton Hill Eastern Precinct</w:t>
            </w:r>
          </w:p>
        </w:tc>
        <w:tc>
          <w:tcPr>
            <w:tcW w:w="1134" w:type="dxa"/>
            <w:tcBorders>
              <w:top w:val="nil"/>
              <w:left w:val="nil"/>
              <w:bottom w:val="single" w:sz="4" w:space="0" w:color="auto"/>
              <w:right w:val="single" w:sz="4" w:space="0" w:color="auto"/>
            </w:tcBorders>
            <w:shd w:val="clear" w:color="auto" w:fill="auto"/>
            <w:hideMark/>
          </w:tcPr>
          <w:p w:rsidR="00CC75F2" w:rsidRPr="00CC75F2" w:rsidRDefault="00CC75F2" w:rsidP="00CC75F2">
            <w:pPr>
              <w:jc w:val="center"/>
              <w:rPr>
                <w:rFonts w:cs="Arial"/>
                <w:color w:val="000000"/>
                <w:sz w:val="16"/>
                <w:szCs w:val="16"/>
              </w:rPr>
            </w:pPr>
            <w:r w:rsidRPr="00CC75F2">
              <w:rPr>
                <w:rFonts w:cs="Arial"/>
                <w:color w:val="000000"/>
                <w:sz w:val="16"/>
                <w:szCs w:val="16"/>
              </w:rPr>
              <w:t>HO316</w:t>
            </w:r>
          </w:p>
        </w:tc>
        <w:tc>
          <w:tcPr>
            <w:tcW w:w="992" w:type="dxa"/>
            <w:tcBorders>
              <w:top w:val="nil"/>
              <w:left w:val="nil"/>
              <w:bottom w:val="single" w:sz="4" w:space="0" w:color="auto"/>
              <w:right w:val="single" w:sz="4" w:space="0" w:color="auto"/>
            </w:tcBorders>
            <w:shd w:val="clear" w:color="auto" w:fill="auto"/>
            <w:hideMark/>
          </w:tcPr>
          <w:p w:rsidR="00CC75F2" w:rsidRPr="00CC75F2" w:rsidRDefault="00CC75F2" w:rsidP="00CC75F2">
            <w:pPr>
              <w:jc w:val="center"/>
              <w:rPr>
                <w:rFonts w:cs="Arial"/>
                <w:color w:val="000000"/>
                <w:sz w:val="16"/>
                <w:szCs w:val="16"/>
              </w:rPr>
            </w:pPr>
            <w:r w:rsidRPr="00CC75F2">
              <w:rPr>
                <w:rFonts w:cs="Arial"/>
                <w:color w:val="000000"/>
                <w:sz w:val="16"/>
                <w:szCs w:val="16"/>
              </w:rPr>
              <w:t>N/A</w:t>
            </w:r>
          </w:p>
        </w:tc>
        <w:tc>
          <w:tcPr>
            <w:tcW w:w="1134" w:type="dxa"/>
            <w:tcBorders>
              <w:top w:val="nil"/>
              <w:left w:val="nil"/>
              <w:bottom w:val="single" w:sz="4" w:space="0" w:color="auto"/>
              <w:right w:val="single" w:sz="4" w:space="0" w:color="auto"/>
            </w:tcBorders>
            <w:shd w:val="clear" w:color="auto" w:fill="auto"/>
            <w:hideMark/>
          </w:tcPr>
          <w:p w:rsidR="00CC75F2" w:rsidRPr="00CC75F2" w:rsidRDefault="00CC75F2" w:rsidP="00373B8F">
            <w:pPr>
              <w:jc w:val="center"/>
              <w:rPr>
                <w:rFonts w:cs="Arial"/>
                <w:color w:val="000000"/>
                <w:sz w:val="16"/>
                <w:szCs w:val="16"/>
              </w:rPr>
            </w:pPr>
            <w:r w:rsidRPr="00CC75F2">
              <w:rPr>
                <w:rFonts w:cs="Arial"/>
                <w:color w:val="000000"/>
                <w:sz w:val="16"/>
                <w:szCs w:val="16"/>
              </w:rPr>
              <w:t>Precinct</w:t>
            </w:r>
          </w:p>
        </w:tc>
        <w:tc>
          <w:tcPr>
            <w:tcW w:w="1276" w:type="dxa"/>
            <w:tcBorders>
              <w:top w:val="nil"/>
              <w:left w:val="nil"/>
              <w:bottom w:val="single" w:sz="4" w:space="0" w:color="auto"/>
              <w:right w:val="single" w:sz="4" w:space="0" w:color="auto"/>
            </w:tcBorders>
            <w:shd w:val="clear" w:color="auto" w:fill="auto"/>
            <w:hideMark/>
          </w:tcPr>
          <w:p w:rsidR="00CC75F2" w:rsidRPr="00CC75F2" w:rsidRDefault="00CC75F2" w:rsidP="00CC75F2">
            <w:pPr>
              <w:jc w:val="center"/>
              <w:rPr>
                <w:rFonts w:cs="Arial"/>
                <w:color w:val="000000"/>
                <w:sz w:val="16"/>
                <w:szCs w:val="16"/>
              </w:rPr>
            </w:pPr>
            <w:r w:rsidRPr="00CC75F2">
              <w:rPr>
                <w:rFonts w:cs="Arial"/>
                <w:color w:val="000000"/>
                <w:sz w:val="16"/>
                <w:szCs w:val="16"/>
              </w:rPr>
              <w:t>Contributory</w:t>
            </w:r>
          </w:p>
        </w:tc>
        <w:tc>
          <w:tcPr>
            <w:tcW w:w="2835" w:type="dxa"/>
            <w:tcBorders>
              <w:top w:val="nil"/>
              <w:left w:val="nil"/>
              <w:bottom w:val="single" w:sz="4" w:space="0" w:color="auto"/>
              <w:right w:val="single" w:sz="4" w:space="0" w:color="auto"/>
            </w:tcBorders>
            <w:shd w:val="clear" w:color="auto" w:fill="auto"/>
            <w:hideMark/>
          </w:tcPr>
          <w:p w:rsidR="00CC75F2" w:rsidRPr="00CC75F2" w:rsidRDefault="00CC75F2" w:rsidP="00CC75F2">
            <w:pPr>
              <w:jc w:val="left"/>
              <w:rPr>
                <w:rFonts w:cs="Arial"/>
                <w:color w:val="000000"/>
                <w:sz w:val="16"/>
                <w:szCs w:val="16"/>
              </w:rPr>
            </w:pPr>
            <w:r w:rsidRPr="00CC75F2">
              <w:rPr>
                <w:rFonts w:cs="Arial"/>
                <w:color w:val="000000"/>
                <w:sz w:val="16"/>
                <w:szCs w:val="16"/>
              </w:rPr>
              <w:t>External controls over buildings and land, no internal controls, no external paint controls and no tree controls</w:t>
            </w:r>
          </w:p>
        </w:tc>
        <w:tc>
          <w:tcPr>
            <w:tcW w:w="2693" w:type="dxa"/>
            <w:tcBorders>
              <w:top w:val="nil"/>
              <w:left w:val="nil"/>
              <w:bottom w:val="single" w:sz="4" w:space="0" w:color="auto"/>
              <w:right w:val="single" w:sz="4" w:space="0" w:color="auto"/>
            </w:tcBorders>
            <w:shd w:val="clear" w:color="auto" w:fill="auto"/>
            <w:hideMark/>
          </w:tcPr>
          <w:p w:rsidR="00CC75F2" w:rsidRPr="00CC75F2" w:rsidRDefault="00CC75F2" w:rsidP="00622DC3">
            <w:pPr>
              <w:jc w:val="left"/>
              <w:rPr>
                <w:rFonts w:cs="Arial"/>
                <w:color w:val="000000"/>
                <w:sz w:val="16"/>
                <w:szCs w:val="16"/>
              </w:rPr>
            </w:pPr>
            <w:r w:rsidRPr="00CC75F2">
              <w:rPr>
                <w:rFonts w:cs="Arial"/>
                <w:color w:val="000000"/>
                <w:sz w:val="16"/>
                <w:szCs w:val="16"/>
              </w:rPr>
              <w:t xml:space="preserve">Physical changes to the reserve would normally require approval under the Heritage Overlay from the </w:t>
            </w:r>
            <w:r w:rsidR="00622DC3" w:rsidRPr="00CC75F2">
              <w:rPr>
                <w:rFonts w:cs="Arial"/>
                <w:color w:val="000000"/>
                <w:sz w:val="16"/>
                <w:szCs w:val="16"/>
              </w:rPr>
              <w:t>Yarra</w:t>
            </w:r>
            <w:r w:rsidR="00622DC3">
              <w:rPr>
                <w:rFonts w:cs="Arial"/>
                <w:color w:val="000000"/>
                <w:sz w:val="16"/>
                <w:szCs w:val="16"/>
              </w:rPr>
              <w:t xml:space="preserve"> City Council</w:t>
            </w:r>
            <w:r w:rsidR="00622DC3" w:rsidRPr="00CC75F2">
              <w:rPr>
                <w:rFonts w:cs="Arial"/>
                <w:color w:val="000000"/>
                <w:sz w:val="16"/>
                <w:szCs w:val="16"/>
              </w:rPr>
              <w:t xml:space="preserve"> </w:t>
            </w:r>
            <w:r w:rsidR="00622DC3">
              <w:rPr>
                <w:rFonts w:cs="Arial"/>
                <w:color w:val="000000"/>
                <w:sz w:val="16"/>
                <w:szCs w:val="16"/>
              </w:rPr>
              <w:t>.</w:t>
            </w:r>
          </w:p>
        </w:tc>
      </w:tr>
      <w:tr w:rsidR="008B0CE7" w:rsidRPr="00CC75F2" w:rsidTr="00EA18F9">
        <w:trPr>
          <w:cantSplit/>
          <w:trHeight w:val="960"/>
        </w:trPr>
        <w:tc>
          <w:tcPr>
            <w:tcW w:w="1433" w:type="dxa"/>
            <w:tcBorders>
              <w:top w:val="nil"/>
              <w:left w:val="single" w:sz="4" w:space="0" w:color="auto"/>
              <w:bottom w:val="single" w:sz="4" w:space="0" w:color="auto"/>
              <w:right w:val="single" w:sz="4" w:space="0" w:color="auto"/>
            </w:tcBorders>
            <w:shd w:val="clear" w:color="auto" w:fill="auto"/>
            <w:hideMark/>
          </w:tcPr>
          <w:p w:rsidR="00CC75F2" w:rsidRPr="00CC75F2" w:rsidRDefault="00CC75F2" w:rsidP="00CC75F2">
            <w:pPr>
              <w:jc w:val="left"/>
              <w:rPr>
                <w:rFonts w:cs="Arial"/>
                <w:color w:val="000000"/>
                <w:sz w:val="16"/>
                <w:szCs w:val="16"/>
              </w:rPr>
            </w:pPr>
            <w:r w:rsidRPr="00CC75F2">
              <w:rPr>
                <w:rFonts w:cs="Arial"/>
                <w:color w:val="000000"/>
                <w:sz w:val="16"/>
                <w:szCs w:val="16"/>
              </w:rPr>
              <w:t>Coppin Street 98-104</w:t>
            </w:r>
          </w:p>
        </w:tc>
        <w:tc>
          <w:tcPr>
            <w:tcW w:w="1134" w:type="dxa"/>
            <w:tcBorders>
              <w:top w:val="nil"/>
              <w:left w:val="nil"/>
              <w:bottom w:val="single" w:sz="4" w:space="0" w:color="auto"/>
              <w:right w:val="single" w:sz="4" w:space="0" w:color="auto"/>
            </w:tcBorders>
            <w:shd w:val="clear" w:color="auto" w:fill="auto"/>
            <w:hideMark/>
          </w:tcPr>
          <w:p w:rsidR="00CC75F2" w:rsidRPr="00CC75F2" w:rsidRDefault="008B0CE7" w:rsidP="00CC75F2">
            <w:pPr>
              <w:jc w:val="center"/>
              <w:rPr>
                <w:rFonts w:cs="Arial"/>
                <w:color w:val="000000"/>
                <w:sz w:val="16"/>
                <w:szCs w:val="16"/>
              </w:rPr>
            </w:pPr>
            <w:r w:rsidRPr="00CC75F2">
              <w:rPr>
                <w:rFonts w:cs="Arial"/>
                <w:color w:val="000000"/>
                <w:sz w:val="16"/>
                <w:szCs w:val="16"/>
              </w:rPr>
              <w:t>R</w:t>
            </w:r>
            <w:r>
              <w:rPr>
                <w:rFonts w:cs="Arial"/>
                <w:color w:val="000000"/>
                <w:sz w:val="16"/>
                <w:szCs w:val="16"/>
              </w:rPr>
              <w:t>ichmond</w:t>
            </w:r>
          </w:p>
        </w:tc>
        <w:tc>
          <w:tcPr>
            <w:tcW w:w="1417" w:type="dxa"/>
            <w:tcBorders>
              <w:top w:val="nil"/>
              <w:left w:val="nil"/>
              <w:bottom w:val="single" w:sz="4" w:space="0" w:color="auto"/>
              <w:right w:val="single" w:sz="4" w:space="0" w:color="auto"/>
            </w:tcBorders>
            <w:shd w:val="clear" w:color="auto" w:fill="auto"/>
            <w:hideMark/>
          </w:tcPr>
          <w:p w:rsidR="00CC75F2" w:rsidRPr="00CC75F2" w:rsidRDefault="00CC75F2" w:rsidP="009C23D6">
            <w:pPr>
              <w:jc w:val="center"/>
              <w:rPr>
                <w:rFonts w:cs="Arial"/>
                <w:color w:val="000000"/>
                <w:sz w:val="16"/>
                <w:szCs w:val="16"/>
              </w:rPr>
            </w:pPr>
            <w:r w:rsidRPr="00CC75F2">
              <w:rPr>
                <w:rFonts w:cs="Arial"/>
                <w:color w:val="000000"/>
                <w:sz w:val="16"/>
                <w:szCs w:val="16"/>
              </w:rPr>
              <w:t>D</w:t>
            </w:r>
            <w:r w:rsidR="009C23D6">
              <w:rPr>
                <w:rFonts w:cs="Arial"/>
                <w:color w:val="000000"/>
                <w:sz w:val="16"/>
                <w:szCs w:val="16"/>
              </w:rPr>
              <w:t>ame Nellie Melba Park</w:t>
            </w:r>
            <w:r w:rsidRPr="00CC75F2">
              <w:rPr>
                <w:rFonts w:cs="Arial"/>
                <w:color w:val="000000"/>
                <w:sz w:val="16"/>
                <w:szCs w:val="16"/>
              </w:rPr>
              <w:t xml:space="preserve"> </w:t>
            </w:r>
          </w:p>
        </w:tc>
        <w:tc>
          <w:tcPr>
            <w:tcW w:w="1276" w:type="dxa"/>
            <w:tcBorders>
              <w:top w:val="nil"/>
              <w:left w:val="nil"/>
              <w:bottom w:val="single" w:sz="4" w:space="0" w:color="auto"/>
              <w:right w:val="single" w:sz="4" w:space="0" w:color="auto"/>
            </w:tcBorders>
            <w:shd w:val="clear" w:color="auto" w:fill="auto"/>
            <w:hideMark/>
          </w:tcPr>
          <w:p w:rsidR="00CC75F2" w:rsidRPr="00CC75F2" w:rsidRDefault="00CC75F2" w:rsidP="00CC75F2">
            <w:pPr>
              <w:jc w:val="center"/>
              <w:rPr>
                <w:rFonts w:cs="Arial"/>
                <w:color w:val="000000"/>
                <w:sz w:val="16"/>
                <w:szCs w:val="16"/>
              </w:rPr>
            </w:pPr>
            <w:r w:rsidRPr="00CC75F2">
              <w:rPr>
                <w:rFonts w:cs="Arial"/>
                <w:color w:val="000000"/>
                <w:sz w:val="16"/>
                <w:szCs w:val="16"/>
              </w:rPr>
              <w:t>Elm Grove Precinct (over a narrow west section of the property only)</w:t>
            </w:r>
          </w:p>
        </w:tc>
        <w:tc>
          <w:tcPr>
            <w:tcW w:w="1134" w:type="dxa"/>
            <w:tcBorders>
              <w:top w:val="nil"/>
              <w:left w:val="nil"/>
              <w:bottom w:val="single" w:sz="4" w:space="0" w:color="auto"/>
              <w:right w:val="single" w:sz="4" w:space="0" w:color="auto"/>
            </w:tcBorders>
            <w:shd w:val="clear" w:color="auto" w:fill="auto"/>
            <w:hideMark/>
          </w:tcPr>
          <w:p w:rsidR="00CC75F2" w:rsidRPr="00CC75F2" w:rsidRDefault="00CC75F2" w:rsidP="00CC75F2">
            <w:pPr>
              <w:jc w:val="center"/>
              <w:rPr>
                <w:rFonts w:cs="Arial"/>
                <w:color w:val="000000"/>
                <w:sz w:val="16"/>
                <w:szCs w:val="16"/>
              </w:rPr>
            </w:pPr>
            <w:r w:rsidRPr="00CC75F2">
              <w:rPr>
                <w:rFonts w:cs="Arial"/>
                <w:color w:val="000000"/>
                <w:sz w:val="16"/>
                <w:szCs w:val="16"/>
              </w:rPr>
              <w:t>HO319 (west section  only)</w:t>
            </w:r>
          </w:p>
        </w:tc>
        <w:tc>
          <w:tcPr>
            <w:tcW w:w="992" w:type="dxa"/>
            <w:tcBorders>
              <w:top w:val="nil"/>
              <w:left w:val="nil"/>
              <w:bottom w:val="single" w:sz="4" w:space="0" w:color="auto"/>
              <w:right w:val="single" w:sz="4" w:space="0" w:color="auto"/>
            </w:tcBorders>
            <w:shd w:val="clear" w:color="auto" w:fill="auto"/>
            <w:hideMark/>
          </w:tcPr>
          <w:p w:rsidR="00CC75F2" w:rsidRPr="00CC75F2" w:rsidRDefault="00CC75F2" w:rsidP="00CC75F2">
            <w:pPr>
              <w:jc w:val="center"/>
              <w:rPr>
                <w:rFonts w:cs="Arial"/>
                <w:color w:val="000000"/>
                <w:sz w:val="16"/>
                <w:szCs w:val="16"/>
              </w:rPr>
            </w:pPr>
            <w:r w:rsidRPr="00CC75F2">
              <w:rPr>
                <w:rFonts w:cs="Arial"/>
                <w:color w:val="000000"/>
                <w:sz w:val="16"/>
                <w:szCs w:val="16"/>
              </w:rPr>
              <w:t>N/A</w:t>
            </w:r>
          </w:p>
        </w:tc>
        <w:tc>
          <w:tcPr>
            <w:tcW w:w="1134" w:type="dxa"/>
            <w:tcBorders>
              <w:top w:val="nil"/>
              <w:left w:val="nil"/>
              <w:bottom w:val="single" w:sz="4" w:space="0" w:color="auto"/>
              <w:right w:val="single" w:sz="4" w:space="0" w:color="auto"/>
            </w:tcBorders>
            <w:shd w:val="clear" w:color="auto" w:fill="auto"/>
            <w:hideMark/>
          </w:tcPr>
          <w:p w:rsidR="00CC75F2" w:rsidRPr="00CC75F2" w:rsidRDefault="00CC75F2" w:rsidP="00373B8F">
            <w:pPr>
              <w:jc w:val="center"/>
              <w:rPr>
                <w:rFonts w:cs="Arial"/>
                <w:color w:val="000000"/>
                <w:sz w:val="16"/>
                <w:szCs w:val="16"/>
              </w:rPr>
            </w:pPr>
            <w:r w:rsidRPr="00CC75F2">
              <w:rPr>
                <w:rFonts w:cs="Arial"/>
                <w:color w:val="000000"/>
                <w:sz w:val="16"/>
                <w:szCs w:val="16"/>
              </w:rPr>
              <w:t>Precinct</w:t>
            </w:r>
          </w:p>
        </w:tc>
        <w:tc>
          <w:tcPr>
            <w:tcW w:w="1276" w:type="dxa"/>
            <w:tcBorders>
              <w:top w:val="nil"/>
              <w:left w:val="nil"/>
              <w:bottom w:val="single" w:sz="4" w:space="0" w:color="auto"/>
              <w:right w:val="single" w:sz="4" w:space="0" w:color="auto"/>
            </w:tcBorders>
            <w:shd w:val="clear" w:color="auto" w:fill="auto"/>
            <w:hideMark/>
          </w:tcPr>
          <w:p w:rsidR="00CC75F2" w:rsidRPr="00CC75F2" w:rsidRDefault="00CC75F2" w:rsidP="00CC75F2">
            <w:pPr>
              <w:jc w:val="center"/>
              <w:rPr>
                <w:rFonts w:cs="Arial"/>
                <w:color w:val="000000"/>
                <w:sz w:val="16"/>
                <w:szCs w:val="16"/>
              </w:rPr>
            </w:pPr>
            <w:r w:rsidRPr="00CC75F2">
              <w:rPr>
                <w:rFonts w:cs="Arial"/>
                <w:color w:val="000000"/>
                <w:sz w:val="16"/>
                <w:szCs w:val="16"/>
              </w:rPr>
              <w:t>Ungraded</w:t>
            </w:r>
          </w:p>
        </w:tc>
        <w:tc>
          <w:tcPr>
            <w:tcW w:w="2835" w:type="dxa"/>
            <w:tcBorders>
              <w:top w:val="nil"/>
              <w:left w:val="nil"/>
              <w:bottom w:val="single" w:sz="4" w:space="0" w:color="auto"/>
              <w:right w:val="single" w:sz="4" w:space="0" w:color="auto"/>
            </w:tcBorders>
            <w:shd w:val="clear" w:color="auto" w:fill="auto"/>
            <w:hideMark/>
          </w:tcPr>
          <w:p w:rsidR="00CC75F2" w:rsidRPr="00CC75F2" w:rsidRDefault="00CC75F2" w:rsidP="00CC75F2">
            <w:pPr>
              <w:jc w:val="left"/>
              <w:rPr>
                <w:rFonts w:cs="Arial"/>
                <w:color w:val="000000"/>
                <w:sz w:val="16"/>
                <w:szCs w:val="16"/>
              </w:rPr>
            </w:pPr>
            <w:r w:rsidRPr="00CC75F2">
              <w:rPr>
                <w:rFonts w:cs="Arial"/>
                <w:color w:val="000000"/>
                <w:sz w:val="16"/>
                <w:szCs w:val="16"/>
              </w:rPr>
              <w:t xml:space="preserve">External controls over the buildings and land, no internal controls, no external paint controls and no tree controls.  These controls only apply to the  narrow section covered by the Heritage Overlay </w:t>
            </w:r>
          </w:p>
        </w:tc>
        <w:tc>
          <w:tcPr>
            <w:tcW w:w="2693" w:type="dxa"/>
            <w:tcBorders>
              <w:top w:val="nil"/>
              <w:left w:val="nil"/>
              <w:bottom w:val="single" w:sz="4" w:space="0" w:color="auto"/>
              <w:right w:val="single" w:sz="4" w:space="0" w:color="auto"/>
            </w:tcBorders>
            <w:shd w:val="clear" w:color="auto" w:fill="auto"/>
            <w:hideMark/>
          </w:tcPr>
          <w:p w:rsidR="00CC75F2" w:rsidRPr="00CC75F2" w:rsidRDefault="00CC75F2" w:rsidP="00CC75F2">
            <w:pPr>
              <w:jc w:val="left"/>
              <w:rPr>
                <w:rFonts w:cs="Arial"/>
                <w:color w:val="000000"/>
                <w:sz w:val="16"/>
                <w:szCs w:val="16"/>
              </w:rPr>
            </w:pPr>
            <w:r w:rsidRPr="00CC75F2">
              <w:rPr>
                <w:rFonts w:cs="Arial"/>
                <w:color w:val="000000"/>
                <w:sz w:val="16"/>
                <w:szCs w:val="16"/>
              </w:rPr>
              <w:t>It is not clear why only a narrow section of the property is included in the Heritage Overlay and this may be a mapping error</w:t>
            </w:r>
            <w:r w:rsidR="00622DC3">
              <w:rPr>
                <w:rFonts w:cs="Arial"/>
                <w:color w:val="000000"/>
                <w:sz w:val="16"/>
                <w:szCs w:val="16"/>
              </w:rPr>
              <w:t>.</w:t>
            </w:r>
          </w:p>
        </w:tc>
      </w:tr>
      <w:tr w:rsidR="008B0CE7" w:rsidRPr="00CC75F2" w:rsidTr="00EA18F9">
        <w:trPr>
          <w:cantSplit/>
          <w:trHeight w:val="720"/>
        </w:trPr>
        <w:tc>
          <w:tcPr>
            <w:tcW w:w="1433" w:type="dxa"/>
            <w:tcBorders>
              <w:top w:val="nil"/>
              <w:left w:val="single" w:sz="4" w:space="0" w:color="auto"/>
              <w:bottom w:val="single" w:sz="4" w:space="0" w:color="auto"/>
              <w:right w:val="single" w:sz="4" w:space="0" w:color="auto"/>
            </w:tcBorders>
            <w:shd w:val="clear" w:color="auto" w:fill="auto"/>
            <w:hideMark/>
          </w:tcPr>
          <w:p w:rsidR="00CC75F2" w:rsidRPr="00CC75F2" w:rsidRDefault="00CC75F2" w:rsidP="00CC75F2">
            <w:pPr>
              <w:jc w:val="left"/>
              <w:rPr>
                <w:rFonts w:cs="Arial"/>
                <w:color w:val="000000"/>
                <w:sz w:val="16"/>
                <w:szCs w:val="16"/>
              </w:rPr>
            </w:pPr>
            <w:r w:rsidRPr="00CC75F2">
              <w:rPr>
                <w:rFonts w:cs="Arial"/>
                <w:color w:val="000000"/>
                <w:sz w:val="16"/>
                <w:szCs w:val="16"/>
              </w:rPr>
              <w:t>Docker Street 69-75</w:t>
            </w:r>
          </w:p>
        </w:tc>
        <w:tc>
          <w:tcPr>
            <w:tcW w:w="1134" w:type="dxa"/>
            <w:tcBorders>
              <w:top w:val="nil"/>
              <w:left w:val="nil"/>
              <w:bottom w:val="single" w:sz="4" w:space="0" w:color="auto"/>
              <w:right w:val="single" w:sz="4" w:space="0" w:color="auto"/>
            </w:tcBorders>
            <w:shd w:val="clear" w:color="auto" w:fill="auto"/>
            <w:hideMark/>
          </w:tcPr>
          <w:p w:rsidR="00CC75F2" w:rsidRPr="00CC75F2" w:rsidRDefault="008B0CE7" w:rsidP="00CC75F2">
            <w:pPr>
              <w:jc w:val="center"/>
              <w:rPr>
                <w:rFonts w:cs="Arial"/>
                <w:color w:val="000000"/>
                <w:sz w:val="16"/>
                <w:szCs w:val="16"/>
              </w:rPr>
            </w:pPr>
            <w:r w:rsidRPr="00CC75F2">
              <w:rPr>
                <w:rFonts w:cs="Arial"/>
                <w:color w:val="000000"/>
                <w:sz w:val="16"/>
                <w:szCs w:val="16"/>
              </w:rPr>
              <w:t>R</w:t>
            </w:r>
            <w:r>
              <w:rPr>
                <w:rFonts w:cs="Arial"/>
                <w:color w:val="000000"/>
                <w:sz w:val="16"/>
                <w:szCs w:val="16"/>
              </w:rPr>
              <w:t>ichmond</w:t>
            </w:r>
          </w:p>
        </w:tc>
        <w:tc>
          <w:tcPr>
            <w:tcW w:w="1417" w:type="dxa"/>
            <w:tcBorders>
              <w:top w:val="nil"/>
              <w:left w:val="nil"/>
              <w:bottom w:val="single" w:sz="4" w:space="0" w:color="auto"/>
              <w:right w:val="single" w:sz="4" w:space="0" w:color="auto"/>
            </w:tcBorders>
            <w:shd w:val="clear" w:color="auto" w:fill="auto"/>
            <w:hideMark/>
          </w:tcPr>
          <w:p w:rsidR="00CC75F2" w:rsidRPr="00CC75F2" w:rsidRDefault="00CC75F2" w:rsidP="009C23D6">
            <w:pPr>
              <w:jc w:val="center"/>
              <w:rPr>
                <w:rFonts w:cs="Arial"/>
                <w:color w:val="000000"/>
                <w:sz w:val="16"/>
                <w:szCs w:val="16"/>
              </w:rPr>
            </w:pPr>
            <w:r w:rsidRPr="00CC75F2">
              <w:rPr>
                <w:rFonts w:cs="Arial"/>
                <w:color w:val="000000"/>
                <w:sz w:val="16"/>
                <w:szCs w:val="16"/>
              </w:rPr>
              <w:t>C</w:t>
            </w:r>
            <w:r w:rsidR="005E5635">
              <w:rPr>
                <w:rFonts w:cs="Arial"/>
                <w:color w:val="000000"/>
                <w:sz w:val="16"/>
                <w:szCs w:val="16"/>
              </w:rPr>
              <w:t>arp</w:t>
            </w:r>
            <w:r w:rsidR="009C23D6">
              <w:rPr>
                <w:rFonts w:cs="Arial"/>
                <w:color w:val="000000"/>
                <w:sz w:val="16"/>
                <w:szCs w:val="16"/>
              </w:rPr>
              <w:t>ark &amp; Public Toilets</w:t>
            </w:r>
            <w:r w:rsidRPr="00CC75F2">
              <w:rPr>
                <w:rFonts w:cs="Arial"/>
                <w:color w:val="000000"/>
                <w:sz w:val="16"/>
                <w:szCs w:val="16"/>
              </w:rPr>
              <w:t xml:space="preserve"> </w:t>
            </w:r>
          </w:p>
        </w:tc>
        <w:tc>
          <w:tcPr>
            <w:tcW w:w="1276" w:type="dxa"/>
            <w:tcBorders>
              <w:top w:val="nil"/>
              <w:left w:val="nil"/>
              <w:bottom w:val="single" w:sz="4" w:space="0" w:color="auto"/>
              <w:right w:val="single" w:sz="4" w:space="0" w:color="auto"/>
            </w:tcBorders>
            <w:shd w:val="clear" w:color="auto" w:fill="auto"/>
            <w:hideMark/>
          </w:tcPr>
          <w:p w:rsidR="00CC75F2" w:rsidRPr="00CC75F2" w:rsidRDefault="00CC75F2" w:rsidP="00CC75F2">
            <w:pPr>
              <w:jc w:val="center"/>
              <w:rPr>
                <w:rFonts w:cs="Arial"/>
                <w:color w:val="000000"/>
                <w:sz w:val="16"/>
                <w:szCs w:val="16"/>
              </w:rPr>
            </w:pPr>
            <w:r w:rsidRPr="00CC75F2">
              <w:rPr>
                <w:rFonts w:cs="Arial"/>
                <w:color w:val="000000"/>
                <w:sz w:val="16"/>
                <w:szCs w:val="16"/>
              </w:rPr>
              <w:t>Richmond Hill Precinct</w:t>
            </w:r>
          </w:p>
        </w:tc>
        <w:tc>
          <w:tcPr>
            <w:tcW w:w="1134" w:type="dxa"/>
            <w:tcBorders>
              <w:top w:val="nil"/>
              <w:left w:val="nil"/>
              <w:bottom w:val="single" w:sz="4" w:space="0" w:color="auto"/>
              <w:right w:val="single" w:sz="4" w:space="0" w:color="auto"/>
            </w:tcBorders>
            <w:shd w:val="clear" w:color="auto" w:fill="auto"/>
            <w:hideMark/>
          </w:tcPr>
          <w:p w:rsidR="00CC75F2" w:rsidRPr="00CC75F2" w:rsidRDefault="00CC75F2" w:rsidP="00CC75F2">
            <w:pPr>
              <w:jc w:val="center"/>
              <w:rPr>
                <w:rFonts w:cs="Arial"/>
                <w:color w:val="000000"/>
                <w:sz w:val="16"/>
                <w:szCs w:val="16"/>
              </w:rPr>
            </w:pPr>
            <w:r w:rsidRPr="00CC75F2">
              <w:rPr>
                <w:rFonts w:cs="Arial"/>
                <w:color w:val="000000"/>
                <w:sz w:val="16"/>
                <w:szCs w:val="16"/>
              </w:rPr>
              <w:t>HO332</w:t>
            </w:r>
          </w:p>
        </w:tc>
        <w:tc>
          <w:tcPr>
            <w:tcW w:w="992" w:type="dxa"/>
            <w:tcBorders>
              <w:top w:val="nil"/>
              <w:left w:val="nil"/>
              <w:bottom w:val="single" w:sz="4" w:space="0" w:color="auto"/>
              <w:right w:val="single" w:sz="4" w:space="0" w:color="auto"/>
            </w:tcBorders>
            <w:shd w:val="clear" w:color="auto" w:fill="auto"/>
            <w:hideMark/>
          </w:tcPr>
          <w:p w:rsidR="00CC75F2" w:rsidRPr="00CC75F2" w:rsidRDefault="00CC75F2" w:rsidP="00CC75F2">
            <w:pPr>
              <w:jc w:val="center"/>
              <w:rPr>
                <w:rFonts w:cs="Arial"/>
                <w:color w:val="000000"/>
                <w:sz w:val="16"/>
                <w:szCs w:val="16"/>
              </w:rPr>
            </w:pPr>
            <w:r w:rsidRPr="00CC75F2">
              <w:rPr>
                <w:rFonts w:cs="Arial"/>
                <w:color w:val="000000"/>
                <w:sz w:val="16"/>
                <w:szCs w:val="16"/>
              </w:rPr>
              <w:t>N/A</w:t>
            </w:r>
          </w:p>
        </w:tc>
        <w:tc>
          <w:tcPr>
            <w:tcW w:w="1134" w:type="dxa"/>
            <w:tcBorders>
              <w:top w:val="nil"/>
              <w:left w:val="nil"/>
              <w:bottom w:val="single" w:sz="4" w:space="0" w:color="auto"/>
              <w:right w:val="single" w:sz="4" w:space="0" w:color="auto"/>
            </w:tcBorders>
            <w:shd w:val="clear" w:color="auto" w:fill="auto"/>
            <w:hideMark/>
          </w:tcPr>
          <w:p w:rsidR="00CC75F2" w:rsidRPr="00CC75F2" w:rsidRDefault="00CC75F2" w:rsidP="00373B8F">
            <w:pPr>
              <w:jc w:val="center"/>
              <w:rPr>
                <w:rFonts w:cs="Arial"/>
                <w:color w:val="000000"/>
                <w:sz w:val="16"/>
                <w:szCs w:val="16"/>
              </w:rPr>
            </w:pPr>
            <w:r w:rsidRPr="00CC75F2">
              <w:rPr>
                <w:rFonts w:cs="Arial"/>
                <w:color w:val="000000"/>
                <w:sz w:val="16"/>
                <w:szCs w:val="16"/>
              </w:rPr>
              <w:t>Precinct</w:t>
            </w:r>
          </w:p>
        </w:tc>
        <w:tc>
          <w:tcPr>
            <w:tcW w:w="1276" w:type="dxa"/>
            <w:tcBorders>
              <w:top w:val="nil"/>
              <w:left w:val="nil"/>
              <w:bottom w:val="single" w:sz="4" w:space="0" w:color="auto"/>
              <w:right w:val="single" w:sz="4" w:space="0" w:color="auto"/>
            </w:tcBorders>
            <w:shd w:val="clear" w:color="auto" w:fill="auto"/>
            <w:hideMark/>
          </w:tcPr>
          <w:p w:rsidR="00CC75F2" w:rsidRPr="00CC75F2" w:rsidRDefault="00CC75F2" w:rsidP="00CC75F2">
            <w:pPr>
              <w:jc w:val="center"/>
              <w:rPr>
                <w:rFonts w:cs="Arial"/>
                <w:color w:val="000000"/>
                <w:sz w:val="16"/>
                <w:szCs w:val="16"/>
              </w:rPr>
            </w:pPr>
            <w:r w:rsidRPr="00CC75F2">
              <w:rPr>
                <w:rFonts w:cs="Arial"/>
                <w:color w:val="000000"/>
                <w:sz w:val="16"/>
                <w:szCs w:val="16"/>
              </w:rPr>
              <w:t>Not contributory</w:t>
            </w:r>
          </w:p>
        </w:tc>
        <w:tc>
          <w:tcPr>
            <w:tcW w:w="2835" w:type="dxa"/>
            <w:tcBorders>
              <w:top w:val="nil"/>
              <w:left w:val="nil"/>
              <w:bottom w:val="single" w:sz="4" w:space="0" w:color="auto"/>
              <w:right w:val="single" w:sz="4" w:space="0" w:color="auto"/>
            </w:tcBorders>
            <w:shd w:val="clear" w:color="auto" w:fill="auto"/>
            <w:hideMark/>
          </w:tcPr>
          <w:p w:rsidR="00CC75F2" w:rsidRPr="00CC75F2" w:rsidRDefault="00CC75F2" w:rsidP="00CC75F2">
            <w:pPr>
              <w:jc w:val="left"/>
              <w:rPr>
                <w:rFonts w:cs="Arial"/>
                <w:color w:val="000000"/>
                <w:sz w:val="16"/>
                <w:szCs w:val="16"/>
              </w:rPr>
            </w:pPr>
            <w:r w:rsidRPr="00CC75F2">
              <w:rPr>
                <w:rFonts w:cs="Arial"/>
                <w:color w:val="000000"/>
                <w:sz w:val="16"/>
                <w:szCs w:val="16"/>
              </w:rPr>
              <w:t>External controls over building and land (demolition could be contemplated), no internal controls, no external paint controls and no tree controls</w:t>
            </w:r>
          </w:p>
        </w:tc>
        <w:tc>
          <w:tcPr>
            <w:tcW w:w="2693" w:type="dxa"/>
            <w:tcBorders>
              <w:top w:val="nil"/>
              <w:left w:val="nil"/>
              <w:bottom w:val="single" w:sz="4" w:space="0" w:color="auto"/>
              <w:right w:val="single" w:sz="4" w:space="0" w:color="auto"/>
            </w:tcBorders>
            <w:shd w:val="clear" w:color="auto" w:fill="auto"/>
            <w:hideMark/>
          </w:tcPr>
          <w:p w:rsidR="00CC75F2" w:rsidRPr="00CC75F2" w:rsidRDefault="00CC75F2" w:rsidP="00CC75F2">
            <w:pPr>
              <w:jc w:val="left"/>
              <w:rPr>
                <w:rFonts w:cs="Arial"/>
                <w:color w:val="000000"/>
                <w:sz w:val="16"/>
                <w:szCs w:val="16"/>
              </w:rPr>
            </w:pPr>
            <w:r w:rsidRPr="00CC75F2">
              <w:rPr>
                <w:rFonts w:cs="Arial"/>
                <w:color w:val="000000"/>
                <w:sz w:val="16"/>
                <w:szCs w:val="16"/>
              </w:rPr>
              <w:t> </w:t>
            </w:r>
          </w:p>
        </w:tc>
      </w:tr>
      <w:tr w:rsidR="008B0CE7" w:rsidRPr="00CC75F2" w:rsidTr="00EA18F9">
        <w:trPr>
          <w:cantSplit/>
          <w:trHeight w:val="1200"/>
        </w:trPr>
        <w:tc>
          <w:tcPr>
            <w:tcW w:w="1433" w:type="dxa"/>
            <w:tcBorders>
              <w:top w:val="nil"/>
              <w:left w:val="single" w:sz="4" w:space="0" w:color="auto"/>
              <w:bottom w:val="single" w:sz="4" w:space="0" w:color="auto"/>
              <w:right w:val="single" w:sz="4" w:space="0" w:color="auto"/>
            </w:tcBorders>
            <w:shd w:val="clear" w:color="auto" w:fill="auto"/>
            <w:hideMark/>
          </w:tcPr>
          <w:p w:rsidR="00CC75F2" w:rsidRPr="00CC75F2" w:rsidRDefault="00CC75F2" w:rsidP="00CC75F2">
            <w:pPr>
              <w:jc w:val="left"/>
              <w:rPr>
                <w:rFonts w:cs="Arial"/>
                <w:color w:val="000000"/>
                <w:sz w:val="16"/>
                <w:szCs w:val="16"/>
              </w:rPr>
            </w:pPr>
            <w:r w:rsidRPr="00CC75F2">
              <w:rPr>
                <w:rFonts w:cs="Arial"/>
                <w:color w:val="000000"/>
                <w:sz w:val="16"/>
                <w:szCs w:val="16"/>
              </w:rPr>
              <w:t>Duke Street 19-21</w:t>
            </w:r>
          </w:p>
        </w:tc>
        <w:tc>
          <w:tcPr>
            <w:tcW w:w="1134" w:type="dxa"/>
            <w:tcBorders>
              <w:top w:val="nil"/>
              <w:left w:val="nil"/>
              <w:bottom w:val="single" w:sz="4" w:space="0" w:color="auto"/>
              <w:right w:val="single" w:sz="4" w:space="0" w:color="auto"/>
            </w:tcBorders>
            <w:shd w:val="clear" w:color="auto" w:fill="auto"/>
            <w:hideMark/>
          </w:tcPr>
          <w:p w:rsidR="00CC75F2" w:rsidRPr="00CC75F2" w:rsidRDefault="008B0CE7" w:rsidP="00CC75F2">
            <w:pPr>
              <w:jc w:val="center"/>
              <w:rPr>
                <w:rFonts w:cs="Arial"/>
                <w:color w:val="000000"/>
                <w:sz w:val="16"/>
                <w:szCs w:val="16"/>
              </w:rPr>
            </w:pPr>
            <w:r w:rsidRPr="00CC75F2">
              <w:rPr>
                <w:rFonts w:cs="Arial"/>
                <w:color w:val="000000"/>
                <w:sz w:val="16"/>
                <w:szCs w:val="16"/>
              </w:rPr>
              <w:t>R</w:t>
            </w:r>
            <w:r>
              <w:rPr>
                <w:rFonts w:cs="Arial"/>
                <w:color w:val="000000"/>
                <w:sz w:val="16"/>
                <w:szCs w:val="16"/>
              </w:rPr>
              <w:t>ichmond</w:t>
            </w:r>
          </w:p>
        </w:tc>
        <w:tc>
          <w:tcPr>
            <w:tcW w:w="1417" w:type="dxa"/>
            <w:tcBorders>
              <w:top w:val="nil"/>
              <w:left w:val="nil"/>
              <w:bottom w:val="single" w:sz="4" w:space="0" w:color="auto"/>
              <w:right w:val="single" w:sz="4" w:space="0" w:color="auto"/>
            </w:tcBorders>
            <w:shd w:val="clear" w:color="auto" w:fill="auto"/>
            <w:hideMark/>
          </w:tcPr>
          <w:p w:rsidR="00CC75F2" w:rsidRPr="00CC75F2" w:rsidRDefault="00CC75F2" w:rsidP="009C23D6">
            <w:pPr>
              <w:jc w:val="center"/>
              <w:rPr>
                <w:rFonts w:cs="Arial"/>
                <w:color w:val="000000"/>
                <w:sz w:val="16"/>
                <w:szCs w:val="16"/>
              </w:rPr>
            </w:pPr>
            <w:r w:rsidRPr="00CC75F2">
              <w:rPr>
                <w:rFonts w:cs="Arial"/>
                <w:color w:val="000000"/>
                <w:sz w:val="16"/>
                <w:szCs w:val="16"/>
              </w:rPr>
              <w:t>S</w:t>
            </w:r>
            <w:r w:rsidR="009C23D6">
              <w:rPr>
                <w:rFonts w:cs="Arial"/>
                <w:color w:val="000000"/>
                <w:sz w:val="16"/>
                <w:szCs w:val="16"/>
              </w:rPr>
              <w:t>tables</w:t>
            </w:r>
          </w:p>
        </w:tc>
        <w:tc>
          <w:tcPr>
            <w:tcW w:w="1276" w:type="dxa"/>
            <w:tcBorders>
              <w:top w:val="nil"/>
              <w:left w:val="nil"/>
              <w:bottom w:val="single" w:sz="4" w:space="0" w:color="auto"/>
              <w:right w:val="single" w:sz="4" w:space="0" w:color="auto"/>
            </w:tcBorders>
            <w:shd w:val="clear" w:color="auto" w:fill="auto"/>
            <w:hideMark/>
          </w:tcPr>
          <w:p w:rsidR="00CC75F2" w:rsidRPr="00CC75F2" w:rsidRDefault="00CC75F2" w:rsidP="00CC75F2">
            <w:pPr>
              <w:jc w:val="center"/>
              <w:rPr>
                <w:rFonts w:cs="Arial"/>
                <w:color w:val="000000"/>
                <w:sz w:val="16"/>
                <w:szCs w:val="16"/>
              </w:rPr>
            </w:pPr>
            <w:r w:rsidRPr="00CC75F2">
              <w:rPr>
                <w:rFonts w:cs="Arial"/>
                <w:color w:val="000000"/>
                <w:sz w:val="16"/>
                <w:szCs w:val="16"/>
              </w:rPr>
              <w:t>19 Duke Street Richmond Former Council Stables (only applies to a section of the property)</w:t>
            </w:r>
          </w:p>
        </w:tc>
        <w:tc>
          <w:tcPr>
            <w:tcW w:w="1134" w:type="dxa"/>
            <w:tcBorders>
              <w:top w:val="nil"/>
              <w:left w:val="nil"/>
              <w:bottom w:val="single" w:sz="4" w:space="0" w:color="auto"/>
              <w:right w:val="single" w:sz="4" w:space="0" w:color="auto"/>
            </w:tcBorders>
            <w:shd w:val="clear" w:color="auto" w:fill="auto"/>
            <w:hideMark/>
          </w:tcPr>
          <w:p w:rsidR="00CC75F2" w:rsidRPr="00CC75F2" w:rsidRDefault="00CC75F2" w:rsidP="00CC75F2">
            <w:pPr>
              <w:jc w:val="center"/>
              <w:rPr>
                <w:rFonts w:cs="Arial"/>
                <w:color w:val="000000"/>
                <w:sz w:val="16"/>
                <w:szCs w:val="16"/>
              </w:rPr>
            </w:pPr>
            <w:r w:rsidRPr="00CC75F2">
              <w:rPr>
                <w:rFonts w:cs="Arial"/>
                <w:color w:val="000000"/>
                <w:sz w:val="16"/>
                <w:szCs w:val="16"/>
              </w:rPr>
              <w:t>HO254 (to a section of the property)</w:t>
            </w:r>
          </w:p>
        </w:tc>
        <w:tc>
          <w:tcPr>
            <w:tcW w:w="992" w:type="dxa"/>
            <w:tcBorders>
              <w:top w:val="nil"/>
              <w:left w:val="nil"/>
              <w:bottom w:val="single" w:sz="4" w:space="0" w:color="auto"/>
              <w:right w:val="single" w:sz="4" w:space="0" w:color="auto"/>
            </w:tcBorders>
            <w:shd w:val="clear" w:color="auto" w:fill="auto"/>
            <w:hideMark/>
          </w:tcPr>
          <w:p w:rsidR="00CC75F2" w:rsidRPr="00CC75F2" w:rsidRDefault="00CC75F2" w:rsidP="00CC75F2">
            <w:pPr>
              <w:jc w:val="center"/>
              <w:rPr>
                <w:rFonts w:cs="Arial"/>
                <w:color w:val="000000"/>
                <w:sz w:val="16"/>
                <w:szCs w:val="16"/>
              </w:rPr>
            </w:pPr>
            <w:r w:rsidRPr="00CC75F2">
              <w:rPr>
                <w:rFonts w:cs="Arial"/>
                <w:color w:val="000000"/>
                <w:sz w:val="16"/>
                <w:szCs w:val="16"/>
              </w:rPr>
              <w:t>N/A</w:t>
            </w:r>
          </w:p>
        </w:tc>
        <w:tc>
          <w:tcPr>
            <w:tcW w:w="1134" w:type="dxa"/>
            <w:tcBorders>
              <w:top w:val="nil"/>
              <w:left w:val="nil"/>
              <w:bottom w:val="single" w:sz="4" w:space="0" w:color="auto"/>
              <w:right w:val="single" w:sz="4" w:space="0" w:color="auto"/>
            </w:tcBorders>
            <w:shd w:val="clear" w:color="auto" w:fill="auto"/>
            <w:hideMark/>
          </w:tcPr>
          <w:p w:rsidR="00CC75F2" w:rsidRPr="00CC75F2" w:rsidRDefault="00CC75F2" w:rsidP="00373B8F">
            <w:pPr>
              <w:jc w:val="center"/>
              <w:rPr>
                <w:rFonts w:cs="Arial"/>
                <w:color w:val="000000"/>
                <w:sz w:val="16"/>
                <w:szCs w:val="16"/>
              </w:rPr>
            </w:pPr>
            <w:r w:rsidRPr="00CC75F2">
              <w:rPr>
                <w:rFonts w:cs="Arial"/>
                <w:color w:val="000000"/>
                <w:sz w:val="16"/>
                <w:szCs w:val="16"/>
              </w:rPr>
              <w:t>Individual</w:t>
            </w:r>
          </w:p>
        </w:tc>
        <w:tc>
          <w:tcPr>
            <w:tcW w:w="1276" w:type="dxa"/>
            <w:tcBorders>
              <w:top w:val="nil"/>
              <w:left w:val="nil"/>
              <w:bottom w:val="single" w:sz="4" w:space="0" w:color="auto"/>
              <w:right w:val="single" w:sz="4" w:space="0" w:color="auto"/>
            </w:tcBorders>
            <w:shd w:val="clear" w:color="auto" w:fill="auto"/>
            <w:hideMark/>
          </w:tcPr>
          <w:p w:rsidR="00CC75F2" w:rsidRPr="00CC75F2" w:rsidRDefault="00CC75F2" w:rsidP="00CC75F2">
            <w:pPr>
              <w:jc w:val="center"/>
              <w:rPr>
                <w:rFonts w:cs="Arial"/>
                <w:color w:val="000000"/>
                <w:sz w:val="16"/>
                <w:szCs w:val="16"/>
              </w:rPr>
            </w:pPr>
            <w:r w:rsidRPr="00CC75F2">
              <w:rPr>
                <w:rFonts w:cs="Arial"/>
                <w:color w:val="000000"/>
                <w:sz w:val="16"/>
                <w:szCs w:val="16"/>
              </w:rPr>
              <w:t>Individually significant</w:t>
            </w:r>
          </w:p>
        </w:tc>
        <w:tc>
          <w:tcPr>
            <w:tcW w:w="2835" w:type="dxa"/>
            <w:tcBorders>
              <w:top w:val="nil"/>
              <w:left w:val="nil"/>
              <w:bottom w:val="single" w:sz="4" w:space="0" w:color="auto"/>
              <w:right w:val="single" w:sz="4" w:space="0" w:color="auto"/>
            </w:tcBorders>
            <w:shd w:val="clear" w:color="auto" w:fill="auto"/>
            <w:hideMark/>
          </w:tcPr>
          <w:p w:rsidR="00CC75F2" w:rsidRPr="00CC75F2" w:rsidRDefault="00CC75F2" w:rsidP="00CC75F2">
            <w:pPr>
              <w:jc w:val="left"/>
              <w:rPr>
                <w:rFonts w:cs="Arial"/>
                <w:color w:val="000000"/>
                <w:sz w:val="16"/>
                <w:szCs w:val="16"/>
              </w:rPr>
            </w:pPr>
            <w:r w:rsidRPr="00CC75F2">
              <w:rPr>
                <w:rFonts w:cs="Arial"/>
                <w:color w:val="000000"/>
                <w:sz w:val="16"/>
                <w:szCs w:val="16"/>
              </w:rPr>
              <w:t>External controls apply to the building and land, external paint controls apply but there are no internal or tree controls</w:t>
            </w:r>
          </w:p>
        </w:tc>
        <w:tc>
          <w:tcPr>
            <w:tcW w:w="2693" w:type="dxa"/>
            <w:tcBorders>
              <w:top w:val="nil"/>
              <w:left w:val="nil"/>
              <w:bottom w:val="single" w:sz="4" w:space="0" w:color="auto"/>
              <w:right w:val="single" w:sz="4" w:space="0" w:color="auto"/>
            </w:tcBorders>
            <w:shd w:val="clear" w:color="auto" w:fill="auto"/>
            <w:hideMark/>
          </w:tcPr>
          <w:p w:rsidR="00CC75F2" w:rsidRPr="00CC75F2" w:rsidRDefault="00CC75F2" w:rsidP="00CC75F2">
            <w:pPr>
              <w:jc w:val="left"/>
              <w:rPr>
                <w:rFonts w:cs="Arial"/>
                <w:color w:val="000000"/>
                <w:sz w:val="16"/>
                <w:szCs w:val="16"/>
              </w:rPr>
            </w:pPr>
            <w:r w:rsidRPr="00CC75F2">
              <w:rPr>
                <w:rFonts w:cs="Arial"/>
                <w:color w:val="000000"/>
                <w:sz w:val="16"/>
                <w:szCs w:val="16"/>
              </w:rPr>
              <w:t xml:space="preserve">Only part of the site (to the north-west corner) is covered by the Heritage Overlay.  This appears to correspond to the red brick gable roof building on the site. </w:t>
            </w:r>
          </w:p>
        </w:tc>
      </w:tr>
      <w:tr w:rsidR="008B0CE7" w:rsidRPr="00CC75F2" w:rsidTr="00EA18F9">
        <w:trPr>
          <w:cantSplit/>
          <w:trHeight w:val="720"/>
        </w:trPr>
        <w:tc>
          <w:tcPr>
            <w:tcW w:w="1433" w:type="dxa"/>
            <w:tcBorders>
              <w:top w:val="nil"/>
              <w:left w:val="single" w:sz="4" w:space="0" w:color="auto"/>
              <w:bottom w:val="single" w:sz="4" w:space="0" w:color="auto"/>
              <w:right w:val="single" w:sz="4" w:space="0" w:color="auto"/>
            </w:tcBorders>
            <w:shd w:val="clear" w:color="auto" w:fill="auto"/>
            <w:hideMark/>
          </w:tcPr>
          <w:p w:rsidR="00CC75F2" w:rsidRPr="00CC75F2" w:rsidRDefault="00CC75F2" w:rsidP="00CC75F2">
            <w:pPr>
              <w:jc w:val="left"/>
              <w:rPr>
                <w:rFonts w:cs="Arial"/>
                <w:color w:val="000000"/>
                <w:sz w:val="16"/>
                <w:szCs w:val="16"/>
              </w:rPr>
            </w:pPr>
            <w:r w:rsidRPr="00CC75F2">
              <w:rPr>
                <w:rFonts w:cs="Arial"/>
                <w:color w:val="000000"/>
                <w:sz w:val="16"/>
                <w:szCs w:val="16"/>
              </w:rPr>
              <w:t>Eddy Court</w:t>
            </w:r>
          </w:p>
        </w:tc>
        <w:tc>
          <w:tcPr>
            <w:tcW w:w="1134" w:type="dxa"/>
            <w:tcBorders>
              <w:top w:val="nil"/>
              <w:left w:val="nil"/>
              <w:bottom w:val="single" w:sz="4" w:space="0" w:color="auto"/>
              <w:right w:val="single" w:sz="4" w:space="0" w:color="auto"/>
            </w:tcBorders>
            <w:shd w:val="clear" w:color="auto" w:fill="auto"/>
            <w:hideMark/>
          </w:tcPr>
          <w:p w:rsidR="00CC75F2" w:rsidRPr="00CC75F2" w:rsidRDefault="008B0CE7" w:rsidP="00CC75F2">
            <w:pPr>
              <w:jc w:val="center"/>
              <w:rPr>
                <w:rFonts w:cs="Arial"/>
                <w:color w:val="000000"/>
                <w:sz w:val="16"/>
                <w:szCs w:val="16"/>
              </w:rPr>
            </w:pPr>
            <w:r w:rsidRPr="00CC75F2">
              <w:rPr>
                <w:rFonts w:cs="Arial"/>
                <w:color w:val="000000"/>
                <w:sz w:val="16"/>
                <w:szCs w:val="16"/>
              </w:rPr>
              <w:t>A</w:t>
            </w:r>
            <w:r>
              <w:rPr>
                <w:rFonts w:cs="Arial"/>
                <w:color w:val="000000"/>
                <w:sz w:val="16"/>
                <w:szCs w:val="16"/>
              </w:rPr>
              <w:t>bbotsford</w:t>
            </w:r>
          </w:p>
        </w:tc>
        <w:tc>
          <w:tcPr>
            <w:tcW w:w="1417" w:type="dxa"/>
            <w:tcBorders>
              <w:top w:val="nil"/>
              <w:left w:val="nil"/>
              <w:bottom w:val="single" w:sz="4" w:space="0" w:color="auto"/>
              <w:right w:val="single" w:sz="4" w:space="0" w:color="auto"/>
            </w:tcBorders>
            <w:shd w:val="clear" w:color="auto" w:fill="auto"/>
            <w:hideMark/>
          </w:tcPr>
          <w:p w:rsidR="00CC75F2" w:rsidRPr="00CC75F2" w:rsidRDefault="005E5635" w:rsidP="009C23D6">
            <w:pPr>
              <w:jc w:val="center"/>
              <w:rPr>
                <w:rFonts w:cs="Arial"/>
                <w:color w:val="000000"/>
                <w:sz w:val="16"/>
                <w:szCs w:val="16"/>
              </w:rPr>
            </w:pPr>
            <w:r>
              <w:rPr>
                <w:rFonts w:cs="Arial"/>
                <w:color w:val="000000"/>
                <w:sz w:val="16"/>
                <w:szCs w:val="16"/>
              </w:rPr>
              <w:t>Gravel Carp</w:t>
            </w:r>
            <w:r w:rsidR="009C23D6">
              <w:rPr>
                <w:rFonts w:cs="Arial"/>
                <w:color w:val="000000"/>
                <w:sz w:val="16"/>
                <w:szCs w:val="16"/>
              </w:rPr>
              <w:t>ark</w:t>
            </w:r>
          </w:p>
        </w:tc>
        <w:tc>
          <w:tcPr>
            <w:tcW w:w="1276" w:type="dxa"/>
            <w:tcBorders>
              <w:top w:val="nil"/>
              <w:left w:val="nil"/>
              <w:bottom w:val="single" w:sz="4" w:space="0" w:color="auto"/>
              <w:right w:val="single" w:sz="4" w:space="0" w:color="auto"/>
            </w:tcBorders>
            <w:shd w:val="clear" w:color="auto" w:fill="auto"/>
            <w:hideMark/>
          </w:tcPr>
          <w:p w:rsidR="00CC75F2" w:rsidRPr="00CC75F2" w:rsidRDefault="00CC75F2" w:rsidP="00CC75F2">
            <w:pPr>
              <w:jc w:val="center"/>
              <w:rPr>
                <w:rFonts w:cs="Arial"/>
                <w:color w:val="000000"/>
                <w:sz w:val="16"/>
                <w:szCs w:val="16"/>
              </w:rPr>
            </w:pPr>
            <w:r w:rsidRPr="00CC75F2">
              <w:rPr>
                <w:rFonts w:cs="Arial"/>
                <w:color w:val="000000"/>
                <w:sz w:val="16"/>
                <w:szCs w:val="16"/>
              </w:rPr>
              <w:t>Charles Street Precinct</w:t>
            </w:r>
          </w:p>
        </w:tc>
        <w:tc>
          <w:tcPr>
            <w:tcW w:w="1134" w:type="dxa"/>
            <w:tcBorders>
              <w:top w:val="nil"/>
              <w:left w:val="nil"/>
              <w:bottom w:val="single" w:sz="4" w:space="0" w:color="auto"/>
              <w:right w:val="single" w:sz="4" w:space="0" w:color="auto"/>
            </w:tcBorders>
            <w:shd w:val="clear" w:color="auto" w:fill="auto"/>
            <w:hideMark/>
          </w:tcPr>
          <w:p w:rsidR="00CC75F2" w:rsidRPr="00CC75F2" w:rsidRDefault="00CC75F2" w:rsidP="00CC75F2">
            <w:pPr>
              <w:jc w:val="center"/>
              <w:rPr>
                <w:rFonts w:cs="Arial"/>
                <w:color w:val="000000"/>
                <w:sz w:val="16"/>
                <w:szCs w:val="16"/>
              </w:rPr>
            </w:pPr>
            <w:r w:rsidRPr="00CC75F2">
              <w:rPr>
                <w:rFonts w:cs="Arial"/>
                <w:color w:val="000000"/>
                <w:sz w:val="16"/>
                <w:szCs w:val="16"/>
              </w:rPr>
              <w:t>HO313</w:t>
            </w:r>
          </w:p>
        </w:tc>
        <w:tc>
          <w:tcPr>
            <w:tcW w:w="992" w:type="dxa"/>
            <w:tcBorders>
              <w:top w:val="nil"/>
              <w:left w:val="nil"/>
              <w:bottom w:val="single" w:sz="4" w:space="0" w:color="auto"/>
              <w:right w:val="single" w:sz="4" w:space="0" w:color="auto"/>
            </w:tcBorders>
            <w:shd w:val="clear" w:color="auto" w:fill="auto"/>
            <w:hideMark/>
          </w:tcPr>
          <w:p w:rsidR="00CC75F2" w:rsidRPr="00CC75F2" w:rsidRDefault="00CC75F2" w:rsidP="00CC75F2">
            <w:pPr>
              <w:jc w:val="center"/>
              <w:rPr>
                <w:rFonts w:cs="Arial"/>
                <w:color w:val="000000"/>
                <w:sz w:val="16"/>
                <w:szCs w:val="16"/>
              </w:rPr>
            </w:pPr>
            <w:r w:rsidRPr="00CC75F2">
              <w:rPr>
                <w:rFonts w:cs="Arial"/>
                <w:color w:val="000000"/>
                <w:sz w:val="16"/>
                <w:szCs w:val="16"/>
              </w:rPr>
              <w:t>N/A</w:t>
            </w:r>
          </w:p>
        </w:tc>
        <w:tc>
          <w:tcPr>
            <w:tcW w:w="1134" w:type="dxa"/>
            <w:tcBorders>
              <w:top w:val="nil"/>
              <w:left w:val="nil"/>
              <w:bottom w:val="single" w:sz="4" w:space="0" w:color="auto"/>
              <w:right w:val="single" w:sz="4" w:space="0" w:color="auto"/>
            </w:tcBorders>
            <w:shd w:val="clear" w:color="auto" w:fill="auto"/>
            <w:hideMark/>
          </w:tcPr>
          <w:p w:rsidR="00CC75F2" w:rsidRPr="00CC75F2" w:rsidRDefault="00CC75F2" w:rsidP="00373B8F">
            <w:pPr>
              <w:jc w:val="center"/>
              <w:rPr>
                <w:rFonts w:cs="Arial"/>
                <w:color w:val="000000"/>
                <w:sz w:val="16"/>
                <w:szCs w:val="16"/>
              </w:rPr>
            </w:pPr>
            <w:r w:rsidRPr="00CC75F2">
              <w:rPr>
                <w:rFonts w:cs="Arial"/>
                <w:color w:val="000000"/>
                <w:sz w:val="16"/>
                <w:szCs w:val="16"/>
              </w:rPr>
              <w:t>Precinct</w:t>
            </w:r>
          </w:p>
        </w:tc>
        <w:tc>
          <w:tcPr>
            <w:tcW w:w="1276" w:type="dxa"/>
            <w:tcBorders>
              <w:top w:val="nil"/>
              <w:left w:val="nil"/>
              <w:bottom w:val="single" w:sz="4" w:space="0" w:color="auto"/>
              <w:right w:val="single" w:sz="4" w:space="0" w:color="auto"/>
            </w:tcBorders>
            <w:shd w:val="clear" w:color="auto" w:fill="auto"/>
            <w:hideMark/>
          </w:tcPr>
          <w:p w:rsidR="00CC75F2" w:rsidRPr="00CC75F2" w:rsidRDefault="00CC75F2" w:rsidP="00CC75F2">
            <w:pPr>
              <w:jc w:val="center"/>
              <w:rPr>
                <w:rFonts w:cs="Arial"/>
                <w:color w:val="000000"/>
                <w:sz w:val="16"/>
                <w:szCs w:val="16"/>
              </w:rPr>
            </w:pPr>
            <w:r w:rsidRPr="00CC75F2">
              <w:rPr>
                <w:rFonts w:cs="Arial"/>
                <w:color w:val="000000"/>
                <w:sz w:val="16"/>
                <w:szCs w:val="16"/>
              </w:rPr>
              <w:t>Unknown</w:t>
            </w:r>
          </w:p>
        </w:tc>
        <w:tc>
          <w:tcPr>
            <w:tcW w:w="2835" w:type="dxa"/>
            <w:tcBorders>
              <w:top w:val="nil"/>
              <w:left w:val="nil"/>
              <w:bottom w:val="single" w:sz="4" w:space="0" w:color="auto"/>
              <w:right w:val="single" w:sz="4" w:space="0" w:color="auto"/>
            </w:tcBorders>
            <w:shd w:val="clear" w:color="auto" w:fill="auto"/>
            <w:hideMark/>
          </w:tcPr>
          <w:p w:rsidR="00CC75F2" w:rsidRPr="00CC75F2" w:rsidRDefault="00CC75F2" w:rsidP="00CC75F2">
            <w:pPr>
              <w:jc w:val="left"/>
              <w:rPr>
                <w:rFonts w:cs="Arial"/>
                <w:color w:val="000000"/>
                <w:sz w:val="16"/>
                <w:szCs w:val="16"/>
              </w:rPr>
            </w:pPr>
            <w:r w:rsidRPr="00CC75F2">
              <w:rPr>
                <w:rFonts w:cs="Arial"/>
                <w:color w:val="000000"/>
                <w:sz w:val="16"/>
                <w:szCs w:val="16"/>
              </w:rPr>
              <w:t>External controls apply to the land, no internal controls, no tree controls and no external paint controls apply</w:t>
            </w:r>
          </w:p>
        </w:tc>
        <w:tc>
          <w:tcPr>
            <w:tcW w:w="2693" w:type="dxa"/>
            <w:tcBorders>
              <w:top w:val="nil"/>
              <w:left w:val="nil"/>
              <w:bottom w:val="single" w:sz="4" w:space="0" w:color="auto"/>
              <w:right w:val="single" w:sz="4" w:space="0" w:color="auto"/>
            </w:tcBorders>
            <w:shd w:val="clear" w:color="auto" w:fill="auto"/>
            <w:hideMark/>
          </w:tcPr>
          <w:p w:rsidR="00CC75F2" w:rsidRPr="00CC75F2" w:rsidRDefault="00CC75F2" w:rsidP="00CC75F2">
            <w:pPr>
              <w:jc w:val="left"/>
              <w:rPr>
                <w:rFonts w:cs="Arial"/>
                <w:color w:val="000000"/>
                <w:sz w:val="16"/>
                <w:szCs w:val="16"/>
              </w:rPr>
            </w:pPr>
            <w:r w:rsidRPr="00CC75F2">
              <w:rPr>
                <w:rFonts w:cs="Arial"/>
                <w:color w:val="000000"/>
                <w:sz w:val="16"/>
                <w:szCs w:val="16"/>
              </w:rPr>
              <w:t> </w:t>
            </w:r>
          </w:p>
        </w:tc>
      </w:tr>
      <w:tr w:rsidR="008B0CE7" w:rsidRPr="00CC75F2" w:rsidTr="00EA18F9">
        <w:trPr>
          <w:cantSplit/>
          <w:trHeight w:val="720"/>
        </w:trPr>
        <w:tc>
          <w:tcPr>
            <w:tcW w:w="1433" w:type="dxa"/>
            <w:tcBorders>
              <w:top w:val="nil"/>
              <w:left w:val="single" w:sz="4" w:space="0" w:color="auto"/>
              <w:bottom w:val="single" w:sz="4" w:space="0" w:color="auto"/>
              <w:right w:val="single" w:sz="4" w:space="0" w:color="auto"/>
            </w:tcBorders>
            <w:shd w:val="clear" w:color="auto" w:fill="auto"/>
            <w:hideMark/>
          </w:tcPr>
          <w:p w:rsidR="00CC75F2" w:rsidRPr="00CC75F2" w:rsidRDefault="00CC75F2" w:rsidP="00CC75F2">
            <w:pPr>
              <w:jc w:val="left"/>
              <w:rPr>
                <w:rFonts w:cs="Arial"/>
                <w:color w:val="000000"/>
                <w:sz w:val="16"/>
                <w:szCs w:val="16"/>
              </w:rPr>
            </w:pPr>
            <w:r w:rsidRPr="00CC75F2">
              <w:rPr>
                <w:rFonts w:cs="Arial"/>
                <w:color w:val="000000"/>
                <w:sz w:val="16"/>
                <w:szCs w:val="16"/>
              </w:rPr>
              <w:t>Eddy Court 4</w:t>
            </w:r>
          </w:p>
        </w:tc>
        <w:tc>
          <w:tcPr>
            <w:tcW w:w="1134" w:type="dxa"/>
            <w:tcBorders>
              <w:top w:val="nil"/>
              <w:left w:val="nil"/>
              <w:bottom w:val="single" w:sz="4" w:space="0" w:color="auto"/>
              <w:right w:val="single" w:sz="4" w:space="0" w:color="auto"/>
            </w:tcBorders>
            <w:shd w:val="clear" w:color="auto" w:fill="auto"/>
            <w:hideMark/>
          </w:tcPr>
          <w:p w:rsidR="00CC75F2" w:rsidRPr="00CC75F2" w:rsidRDefault="008B0CE7" w:rsidP="00CC75F2">
            <w:pPr>
              <w:jc w:val="center"/>
              <w:rPr>
                <w:rFonts w:cs="Arial"/>
                <w:color w:val="000000"/>
                <w:sz w:val="16"/>
                <w:szCs w:val="16"/>
              </w:rPr>
            </w:pPr>
            <w:r w:rsidRPr="00CC75F2">
              <w:rPr>
                <w:rFonts w:cs="Arial"/>
                <w:color w:val="000000"/>
                <w:sz w:val="16"/>
                <w:szCs w:val="16"/>
              </w:rPr>
              <w:t>A</w:t>
            </w:r>
            <w:r>
              <w:rPr>
                <w:rFonts w:cs="Arial"/>
                <w:color w:val="000000"/>
                <w:sz w:val="16"/>
                <w:szCs w:val="16"/>
              </w:rPr>
              <w:t>bbotsford</w:t>
            </w:r>
          </w:p>
        </w:tc>
        <w:tc>
          <w:tcPr>
            <w:tcW w:w="1417" w:type="dxa"/>
            <w:tcBorders>
              <w:top w:val="nil"/>
              <w:left w:val="nil"/>
              <w:bottom w:val="single" w:sz="4" w:space="0" w:color="auto"/>
              <w:right w:val="single" w:sz="4" w:space="0" w:color="auto"/>
            </w:tcBorders>
            <w:shd w:val="clear" w:color="auto" w:fill="auto"/>
            <w:hideMark/>
          </w:tcPr>
          <w:p w:rsidR="00CC75F2" w:rsidRPr="00CC75F2" w:rsidRDefault="00CC75F2" w:rsidP="005E5635">
            <w:pPr>
              <w:jc w:val="center"/>
              <w:rPr>
                <w:rFonts w:cs="Arial"/>
                <w:color w:val="000000"/>
                <w:sz w:val="16"/>
                <w:szCs w:val="16"/>
              </w:rPr>
            </w:pPr>
            <w:r w:rsidRPr="00CC75F2">
              <w:rPr>
                <w:rFonts w:cs="Arial"/>
                <w:color w:val="000000"/>
                <w:sz w:val="16"/>
                <w:szCs w:val="16"/>
              </w:rPr>
              <w:t>S</w:t>
            </w:r>
            <w:r w:rsidR="009C23D6">
              <w:rPr>
                <w:rFonts w:cs="Arial"/>
                <w:color w:val="000000"/>
                <w:sz w:val="16"/>
                <w:szCs w:val="16"/>
              </w:rPr>
              <w:t>enior</w:t>
            </w:r>
            <w:r w:rsidR="005E5635">
              <w:rPr>
                <w:rFonts w:cs="Arial"/>
                <w:color w:val="000000"/>
                <w:sz w:val="16"/>
                <w:szCs w:val="16"/>
              </w:rPr>
              <w:t>s’ Hub</w:t>
            </w:r>
          </w:p>
        </w:tc>
        <w:tc>
          <w:tcPr>
            <w:tcW w:w="1276" w:type="dxa"/>
            <w:tcBorders>
              <w:top w:val="nil"/>
              <w:left w:val="nil"/>
              <w:bottom w:val="single" w:sz="4" w:space="0" w:color="auto"/>
              <w:right w:val="single" w:sz="4" w:space="0" w:color="auto"/>
            </w:tcBorders>
            <w:shd w:val="clear" w:color="auto" w:fill="auto"/>
            <w:hideMark/>
          </w:tcPr>
          <w:p w:rsidR="00CC75F2" w:rsidRPr="00CC75F2" w:rsidRDefault="00CC75F2" w:rsidP="00CC75F2">
            <w:pPr>
              <w:jc w:val="center"/>
              <w:rPr>
                <w:rFonts w:cs="Arial"/>
                <w:color w:val="000000"/>
                <w:sz w:val="16"/>
                <w:szCs w:val="16"/>
              </w:rPr>
            </w:pPr>
            <w:r w:rsidRPr="00CC75F2">
              <w:rPr>
                <w:rFonts w:cs="Arial"/>
                <w:color w:val="000000"/>
                <w:sz w:val="16"/>
                <w:szCs w:val="16"/>
              </w:rPr>
              <w:t>Charles Street Precinct</w:t>
            </w:r>
          </w:p>
        </w:tc>
        <w:tc>
          <w:tcPr>
            <w:tcW w:w="1134" w:type="dxa"/>
            <w:tcBorders>
              <w:top w:val="nil"/>
              <w:left w:val="nil"/>
              <w:bottom w:val="single" w:sz="4" w:space="0" w:color="auto"/>
              <w:right w:val="single" w:sz="4" w:space="0" w:color="auto"/>
            </w:tcBorders>
            <w:shd w:val="clear" w:color="auto" w:fill="auto"/>
            <w:hideMark/>
          </w:tcPr>
          <w:p w:rsidR="00CC75F2" w:rsidRPr="00CC75F2" w:rsidRDefault="00CC75F2" w:rsidP="00CC75F2">
            <w:pPr>
              <w:jc w:val="center"/>
              <w:rPr>
                <w:rFonts w:cs="Arial"/>
                <w:color w:val="000000"/>
                <w:sz w:val="16"/>
                <w:szCs w:val="16"/>
              </w:rPr>
            </w:pPr>
            <w:r w:rsidRPr="00CC75F2">
              <w:rPr>
                <w:rFonts w:cs="Arial"/>
                <w:color w:val="000000"/>
                <w:sz w:val="16"/>
                <w:szCs w:val="16"/>
              </w:rPr>
              <w:t>HO313</w:t>
            </w:r>
          </w:p>
        </w:tc>
        <w:tc>
          <w:tcPr>
            <w:tcW w:w="992" w:type="dxa"/>
            <w:tcBorders>
              <w:top w:val="nil"/>
              <w:left w:val="nil"/>
              <w:bottom w:val="single" w:sz="4" w:space="0" w:color="auto"/>
              <w:right w:val="single" w:sz="4" w:space="0" w:color="auto"/>
            </w:tcBorders>
            <w:shd w:val="clear" w:color="auto" w:fill="auto"/>
            <w:hideMark/>
          </w:tcPr>
          <w:p w:rsidR="00CC75F2" w:rsidRPr="00CC75F2" w:rsidRDefault="00CC75F2" w:rsidP="00CC75F2">
            <w:pPr>
              <w:jc w:val="center"/>
              <w:rPr>
                <w:rFonts w:cs="Arial"/>
                <w:color w:val="000000"/>
                <w:sz w:val="16"/>
                <w:szCs w:val="16"/>
              </w:rPr>
            </w:pPr>
            <w:r w:rsidRPr="00CC75F2">
              <w:rPr>
                <w:rFonts w:cs="Arial"/>
                <w:color w:val="000000"/>
                <w:sz w:val="16"/>
                <w:szCs w:val="16"/>
              </w:rPr>
              <w:t>N/A</w:t>
            </w:r>
          </w:p>
        </w:tc>
        <w:tc>
          <w:tcPr>
            <w:tcW w:w="1134" w:type="dxa"/>
            <w:tcBorders>
              <w:top w:val="nil"/>
              <w:left w:val="nil"/>
              <w:bottom w:val="single" w:sz="4" w:space="0" w:color="auto"/>
              <w:right w:val="single" w:sz="4" w:space="0" w:color="auto"/>
            </w:tcBorders>
            <w:shd w:val="clear" w:color="auto" w:fill="auto"/>
            <w:hideMark/>
          </w:tcPr>
          <w:p w:rsidR="00CC75F2" w:rsidRPr="00CC75F2" w:rsidRDefault="00CC75F2" w:rsidP="00373B8F">
            <w:pPr>
              <w:jc w:val="center"/>
              <w:rPr>
                <w:rFonts w:cs="Arial"/>
                <w:color w:val="000000"/>
                <w:sz w:val="16"/>
                <w:szCs w:val="16"/>
              </w:rPr>
            </w:pPr>
            <w:r w:rsidRPr="00CC75F2">
              <w:rPr>
                <w:rFonts w:cs="Arial"/>
                <w:color w:val="000000"/>
                <w:sz w:val="16"/>
                <w:szCs w:val="16"/>
              </w:rPr>
              <w:t>Precinct</w:t>
            </w:r>
          </w:p>
        </w:tc>
        <w:tc>
          <w:tcPr>
            <w:tcW w:w="1276" w:type="dxa"/>
            <w:tcBorders>
              <w:top w:val="nil"/>
              <w:left w:val="nil"/>
              <w:bottom w:val="single" w:sz="4" w:space="0" w:color="auto"/>
              <w:right w:val="single" w:sz="4" w:space="0" w:color="auto"/>
            </w:tcBorders>
            <w:shd w:val="clear" w:color="auto" w:fill="auto"/>
            <w:hideMark/>
          </w:tcPr>
          <w:p w:rsidR="00CC75F2" w:rsidRPr="00CC75F2" w:rsidRDefault="00CC75F2" w:rsidP="00CC75F2">
            <w:pPr>
              <w:jc w:val="center"/>
              <w:rPr>
                <w:rFonts w:cs="Arial"/>
                <w:color w:val="000000"/>
                <w:sz w:val="16"/>
                <w:szCs w:val="16"/>
              </w:rPr>
            </w:pPr>
            <w:r w:rsidRPr="00CC75F2">
              <w:rPr>
                <w:rFonts w:cs="Arial"/>
                <w:color w:val="000000"/>
                <w:sz w:val="16"/>
                <w:szCs w:val="16"/>
              </w:rPr>
              <w:t>Unknown</w:t>
            </w:r>
          </w:p>
        </w:tc>
        <w:tc>
          <w:tcPr>
            <w:tcW w:w="2835" w:type="dxa"/>
            <w:tcBorders>
              <w:top w:val="nil"/>
              <w:left w:val="nil"/>
              <w:bottom w:val="single" w:sz="4" w:space="0" w:color="auto"/>
              <w:right w:val="single" w:sz="4" w:space="0" w:color="auto"/>
            </w:tcBorders>
            <w:shd w:val="clear" w:color="auto" w:fill="auto"/>
            <w:hideMark/>
          </w:tcPr>
          <w:p w:rsidR="00CC75F2" w:rsidRPr="00CC75F2" w:rsidRDefault="00CC75F2" w:rsidP="00CC75F2">
            <w:pPr>
              <w:jc w:val="left"/>
              <w:rPr>
                <w:rFonts w:cs="Arial"/>
                <w:color w:val="000000"/>
                <w:sz w:val="16"/>
                <w:szCs w:val="16"/>
              </w:rPr>
            </w:pPr>
            <w:r w:rsidRPr="00CC75F2">
              <w:rPr>
                <w:rFonts w:cs="Arial"/>
                <w:color w:val="000000"/>
                <w:sz w:val="16"/>
                <w:szCs w:val="16"/>
              </w:rPr>
              <w:t>External controls apply to the land and building, no internal controls, no tree controls and no external paint controls apply</w:t>
            </w:r>
          </w:p>
        </w:tc>
        <w:tc>
          <w:tcPr>
            <w:tcW w:w="2693" w:type="dxa"/>
            <w:tcBorders>
              <w:top w:val="nil"/>
              <w:left w:val="nil"/>
              <w:bottom w:val="single" w:sz="4" w:space="0" w:color="auto"/>
              <w:right w:val="single" w:sz="4" w:space="0" w:color="auto"/>
            </w:tcBorders>
            <w:shd w:val="clear" w:color="auto" w:fill="auto"/>
            <w:hideMark/>
          </w:tcPr>
          <w:p w:rsidR="00CC75F2" w:rsidRPr="00CC75F2" w:rsidRDefault="00CC75F2" w:rsidP="00CC75F2">
            <w:pPr>
              <w:jc w:val="left"/>
              <w:rPr>
                <w:rFonts w:cs="Arial"/>
                <w:color w:val="000000"/>
                <w:sz w:val="16"/>
                <w:szCs w:val="16"/>
              </w:rPr>
            </w:pPr>
            <w:r w:rsidRPr="00CC75F2">
              <w:rPr>
                <w:rFonts w:cs="Arial"/>
                <w:color w:val="000000"/>
                <w:sz w:val="16"/>
                <w:szCs w:val="16"/>
              </w:rPr>
              <w:t> </w:t>
            </w:r>
          </w:p>
        </w:tc>
      </w:tr>
      <w:tr w:rsidR="008B0CE7" w:rsidRPr="00CC75F2" w:rsidTr="00EA18F9">
        <w:trPr>
          <w:cantSplit/>
          <w:trHeight w:val="720"/>
        </w:trPr>
        <w:tc>
          <w:tcPr>
            <w:tcW w:w="1433" w:type="dxa"/>
            <w:tcBorders>
              <w:top w:val="nil"/>
              <w:left w:val="single" w:sz="4" w:space="0" w:color="auto"/>
              <w:bottom w:val="single" w:sz="4" w:space="0" w:color="auto"/>
              <w:right w:val="single" w:sz="4" w:space="0" w:color="auto"/>
            </w:tcBorders>
            <w:shd w:val="clear" w:color="auto" w:fill="auto"/>
            <w:hideMark/>
          </w:tcPr>
          <w:p w:rsidR="00CC75F2" w:rsidRPr="00CC75F2" w:rsidRDefault="00CC75F2" w:rsidP="00CC75F2">
            <w:pPr>
              <w:jc w:val="left"/>
              <w:rPr>
                <w:rFonts w:cs="Arial"/>
                <w:color w:val="000000"/>
                <w:sz w:val="16"/>
                <w:szCs w:val="16"/>
              </w:rPr>
            </w:pPr>
            <w:r w:rsidRPr="00CC75F2">
              <w:rPr>
                <w:rFonts w:cs="Arial"/>
                <w:color w:val="000000"/>
                <w:sz w:val="16"/>
                <w:szCs w:val="16"/>
              </w:rPr>
              <w:t>Eddy Court 6</w:t>
            </w:r>
          </w:p>
        </w:tc>
        <w:tc>
          <w:tcPr>
            <w:tcW w:w="1134" w:type="dxa"/>
            <w:tcBorders>
              <w:top w:val="nil"/>
              <w:left w:val="nil"/>
              <w:bottom w:val="single" w:sz="4" w:space="0" w:color="auto"/>
              <w:right w:val="single" w:sz="4" w:space="0" w:color="auto"/>
            </w:tcBorders>
            <w:shd w:val="clear" w:color="auto" w:fill="auto"/>
            <w:hideMark/>
          </w:tcPr>
          <w:p w:rsidR="00CC75F2" w:rsidRPr="00CC75F2" w:rsidRDefault="008B0CE7" w:rsidP="00CC75F2">
            <w:pPr>
              <w:jc w:val="center"/>
              <w:rPr>
                <w:rFonts w:cs="Arial"/>
                <w:color w:val="000000"/>
                <w:sz w:val="16"/>
                <w:szCs w:val="16"/>
              </w:rPr>
            </w:pPr>
            <w:r w:rsidRPr="00CC75F2">
              <w:rPr>
                <w:rFonts w:cs="Arial"/>
                <w:color w:val="000000"/>
                <w:sz w:val="16"/>
                <w:szCs w:val="16"/>
              </w:rPr>
              <w:t>A</w:t>
            </w:r>
            <w:r>
              <w:rPr>
                <w:rFonts w:cs="Arial"/>
                <w:color w:val="000000"/>
                <w:sz w:val="16"/>
                <w:szCs w:val="16"/>
              </w:rPr>
              <w:t>bbotsford</w:t>
            </w:r>
          </w:p>
        </w:tc>
        <w:tc>
          <w:tcPr>
            <w:tcW w:w="1417" w:type="dxa"/>
            <w:tcBorders>
              <w:top w:val="nil"/>
              <w:left w:val="nil"/>
              <w:bottom w:val="single" w:sz="4" w:space="0" w:color="auto"/>
              <w:right w:val="single" w:sz="4" w:space="0" w:color="auto"/>
            </w:tcBorders>
            <w:shd w:val="clear" w:color="auto" w:fill="auto"/>
            <w:hideMark/>
          </w:tcPr>
          <w:p w:rsidR="00CC75F2" w:rsidRPr="00CC75F2" w:rsidRDefault="00CC75F2" w:rsidP="009C23D6">
            <w:pPr>
              <w:jc w:val="center"/>
              <w:rPr>
                <w:rFonts w:cs="Arial"/>
                <w:color w:val="000000"/>
                <w:sz w:val="16"/>
                <w:szCs w:val="16"/>
              </w:rPr>
            </w:pPr>
            <w:r w:rsidRPr="00CC75F2">
              <w:rPr>
                <w:rFonts w:cs="Arial"/>
                <w:color w:val="000000"/>
                <w:sz w:val="16"/>
                <w:szCs w:val="16"/>
              </w:rPr>
              <w:t>W</w:t>
            </w:r>
            <w:r w:rsidR="009C23D6">
              <w:rPr>
                <w:rFonts w:cs="Arial"/>
                <w:color w:val="000000"/>
                <w:sz w:val="16"/>
                <w:szCs w:val="16"/>
              </w:rPr>
              <w:t>illowview</w:t>
            </w:r>
            <w:r w:rsidR="005E5635">
              <w:rPr>
                <w:rFonts w:cs="Arial"/>
                <w:color w:val="000000"/>
                <w:sz w:val="16"/>
                <w:szCs w:val="16"/>
              </w:rPr>
              <w:t xml:space="preserve"> Centre</w:t>
            </w:r>
          </w:p>
        </w:tc>
        <w:tc>
          <w:tcPr>
            <w:tcW w:w="1276" w:type="dxa"/>
            <w:tcBorders>
              <w:top w:val="nil"/>
              <w:left w:val="nil"/>
              <w:bottom w:val="single" w:sz="4" w:space="0" w:color="auto"/>
              <w:right w:val="single" w:sz="4" w:space="0" w:color="auto"/>
            </w:tcBorders>
            <w:shd w:val="clear" w:color="auto" w:fill="auto"/>
            <w:hideMark/>
          </w:tcPr>
          <w:p w:rsidR="00CC75F2" w:rsidRPr="00CC75F2" w:rsidRDefault="00CC75F2" w:rsidP="00CC75F2">
            <w:pPr>
              <w:jc w:val="center"/>
              <w:rPr>
                <w:rFonts w:cs="Arial"/>
                <w:color w:val="000000"/>
                <w:sz w:val="16"/>
                <w:szCs w:val="16"/>
              </w:rPr>
            </w:pPr>
            <w:r w:rsidRPr="00CC75F2">
              <w:rPr>
                <w:rFonts w:cs="Arial"/>
                <w:color w:val="000000"/>
                <w:sz w:val="16"/>
                <w:szCs w:val="16"/>
              </w:rPr>
              <w:t>Charles Street Precinct</w:t>
            </w:r>
          </w:p>
        </w:tc>
        <w:tc>
          <w:tcPr>
            <w:tcW w:w="1134" w:type="dxa"/>
            <w:tcBorders>
              <w:top w:val="nil"/>
              <w:left w:val="nil"/>
              <w:bottom w:val="single" w:sz="4" w:space="0" w:color="auto"/>
              <w:right w:val="single" w:sz="4" w:space="0" w:color="auto"/>
            </w:tcBorders>
            <w:shd w:val="clear" w:color="auto" w:fill="auto"/>
            <w:hideMark/>
          </w:tcPr>
          <w:p w:rsidR="00CC75F2" w:rsidRPr="00CC75F2" w:rsidRDefault="00CC75F2" w:rsidP="00CC75F2">
            <w:pPr>
              <w:jc w:val="center"/>
              <w:rPr>
                <w:rFonts w:cs="Arial"/>
                <w:color w:val="000000"/>
                <w:sz w:val="16"/>
                <w:szCs w:val="16"/>
              </w:rPr>
            </w:pPr>
            <w:r w:rsidRPr="00CC75F2">
              <w:rPr>
                <w:rFonts w:cs="Arial"/>
                <w:color w:val="000000"/>
                <w:sz w:val="16"/>
                <w:szCs w:val="16"/>
              </w:rPr>
              <w:t>HO313</w:t>
            </w:r>
          </w:p>
        </w:tc>
        <w:tc>
          <w:tcPr>
            <w:tcW w:w="992" w:type="dxa"/>
            <w:tcBorders>
              <w:top w:val="nil"/>
              <w:left w:val="nil"/>
              <w:bottom w:val="single" w:sz="4" w:space="0" w:color="auto"/>
              <w:right w:val="single" w:sz="4" w:space="0" w:color="auto"/>
            </w:tcBorders>
            <w:shd w:val="clear" w:color="auto" w:fill="auto"/>
            <w:hideMark/>
          </w:tcPr>
          <w:p w:rsidR="00CC75F2" w:rsidRPr="00CC75F2" w:rsidRDefault="00CC75F2" w:rsidP="00CC75F2">
            <w:pPr>
              <w:jc w:val="center"/>
              <w:rPr>
                <w:rFonts w:cs="Arial"/>
                <w:color w:val="000000"/>
                <w:sz w:val="16"/>
                <w:szCs w:val="16"/>
              </w:rPr>
            </w:pPr>
            <w:r w:rsidRPr="00CC75F2">
              <w:rPr>
                <w:rFonts w:cs="Arial"/>
                <w:color w:val="000000"/>
                <w:sz w:val="16"/>
                <w:szCs w:val="16"/>
              </w:rPr>
              <w:t>N/A</w:t>
            </w:r>
          </w:p>
        </w:tc>
        <w:tc>
          <w:tcPr>
            <w:tcW w:w="1134" w:type="dxa"/>
            <w:tcBorders>
              <w:top w:val="nil"/>
              <w:left w:val="nil"/>
              <w:bottom w:val="single" w:sz="4" w:space="0" w:color="auto"/>
              <w:right w:val="single" w:sz="4" w:space="0" w:color="auto"/>
            </w:tcBorders>
            <w:shd w:val="clear" w:color="auto" w:fill="auto"/>
            <w:hideMark/>
          </w:tcPr>
          <w:p w:rsidR="00CC75F2" w:rsidRPr="00CC75F2" w:rsidRDefault="00CC75F2" w:rsidP="00373B8F">
            <w:pPr>
              <w:jc w:val="center"/>
              <w:rPr>
                <w:rFonts w:cs="Arial"/>
                <w:color w:val="000000"/>
                <w:sz w:val="16"/>
                <w:szCs w:val="16"/>
              </w:rPr>
            </w:pPr>
            <w:r w:rsidRPr="00CC75F2">
              <w:rPr>
                <w:rFonts w:cs="Arial"/>
                <w:color w:val="000000"/>
                <w:sz w:val="16"/>
                <w:szCs w:val="16"/>
              </w:rPr>
              <w:t>Precinct</w:t>
            </w:r>
          </w:p>
        </w:tc>
        <w:tc>
          <w:tcPr>
            <w:tcW w:w="1276" w:type="dxa"/>
            <w:tcBorders>
              <w:top w:val="nil"/>
              <w:left w:val="nil"/>
              <w:bottom w:val="single" w:sz="4" w:space="0" w:color="auto"/>
              <w:right w:val="single" w:sz="4" w:space="0" w:color="auto"/>
            </w:tcBorders>
            <w:shd w:val="clear" w:color="auto" w:fill="auto"/>
            <w:hideMark/>
          </w:tcPr>
          <w:p w:rsidR="00CC75F2" w:rsidRPr="00CC75F2" w:rsidRDefault="00CC75F2" w:rsidP="00CC75F2">
            <w:pPr>
              <w:jc w:val="center"/>
              <w:rPr>
                <w:rFonts w:cs="Arial"/>
                <w:color w:val="000000"/>
                <w:sz w:val="16"/>
                <w:szCs w:val="16"/>
              </w:rPr>
            </w:pPr>
            <w:r w:rsidRPr="00CC75F2">
              <w:rPr>
                <w:rFonts w:cs="Arial"/>
                <w:color w:val="000000"/>
                <w:sz w:val="16"/>
                <w:szCs w:val="16"/>
              </w:rPr>
              <w:t>Unknown</w:t>
            </w:r>
          </w:p>
        </w:tc>
        <w:tc>
          <w:tcPr>
            <w:tcW w:w="2835" w:type="dxa"/>
            <w:tcBorders>
              <w:top w:val="nil"/>
              <w:left w:val="nil"/>
              <w:bottom w:val="single" w:sz="4" w:space="0" w:color="auto"/>
              <w:right w:val="single" w:sz="4" w:space="0" w:color="auto"/>
            </w:tcBorders>
            <w:shd w:val="clear" w:color="auto" w:fill="auto"/>
            <w:hideMark/>
          </w:tcPr>
          <w:p w:rsidR="00CC75F2" w:rsidRPr="00CC75F2" w:rsidRDefault="00CC75F2" w:rsidP="00CC75F2">
            <w:pPr>
              <w:jc w:val="left"/>
              <w:rPr>
                <w:rFonts w:cs="Arial"/>
                <w:color w:val="000000"/>
                <w:sz w:val="16"/>
                <w:szCs w:val="16"/>
              </w:rPr>
            </w:pPr>
            <w:r w:rsidRPr="00CC75F2">
              <w:rPr>
                <w:rFonts w:cs="Arial"/>
                <w:color w:val="000000"/>
                <w:sz w:val="16"/>
                <w:szCs w:val="16"/>
              </w:rPr>
              <w:t>External controls apply to the land and building, no internal controls, no tree controls and no external paint controls apply</w:t>
            </w:r>
          </w:p>
        </w:tc>
        <w:tc>
          <w:tcPr>
            <w:tcW w:w="2693" w:type="dxa"/>
            <w:tcBorders>
              <w:top w:val="nil"/>
              <w:left w:val="nil"/>
              <w:bottom w:val="single" w:sz="4" w:space="0" w:color="auto"/>
              <w:right w:val="single" w:sz="4" w:space="0" w:color="auto"/>
            </w:tcBorders>
            <w:shd w:val="clear" w:color="auto" w:fill="auto"/>
            <w:hideMark/>
          </w:tcPr>
          <w:p w:rsidR="00CC75F2" w:rsidRPr="00CC75F2" w:rsidRDefault="00CC75F2" w:rsidP="00622DC3">
            <w:pPr>
              <w:jc w:val="left"/>
              <w:rPr>
                <w:rFonts w:cs="Arial"/>
                <w:color w:val="000000"/>
                <w:sz w:val="16"/>
                <w:szCs w:val="16"/>
              </w:rPr>
            </w:pPr>
            <w:r w:rsidRPr="00CC75F2">
              <w:rPr>
                <w:rFonts w:cs="Arial"/>
                <w:color w:val="000000"/>
                <w:sz w:val="16"/>
                <w:szCs w:val="16"/>
              </w:rPr>
              <w:t>Note</w:t>
            </w:r>
            <w:r w:rsidR="00622DC3">
              <w:rPr>
                <w:rFonts w:cs="Arial"/>
                <w:color w:val="000000"/>
                <w:sz w:val="16"/>
                <w:szCs w:val="16"/>
              </w:rPr>
              <w:t>:</w:t>
            </w:r>
            <w:r w:rsidRPr="00CC75F2">
              <w:rPr>
                <w:rFonts w:cs="Arial"/>
                <w:color w:val="000000"/>
                <w:sz w:val="16"/>
                <w:szCs w:val="16"/>
              </w:rPr>
              <w:t xml:space="preserve"> this property was not identified in the 2007 Review of Heritage Overlay Areas</w:t>
            </w:r>
            <w:r w:rsidR="005E5635">
              <w:rPr>
                <w:rFonts w:cs="Arial"/>
                <w:color w:val="000000"/>
                <w:sz w:val="16"/>
                <w:szCs w:val="16"/>
              </w:rPr>
              <w:t>.</w:t>
            </w:r>
          </w:p>
        </w:tc>
      </w:tr>
      <w:tr w:rsidR="008B0CE7" w:rsidRPr="00CC75F2" w:rsidTr="00EA18F9">
        <w:trPr>
          <w:cantSplit/>
          <w:trHeight w:val="720"/>
        </w:trPr>
        <w:tc>
          <w:tcPr>
            <w:tcW w:w="1433" w:type="dxa"/>
            <w:tcBorders>
              <w:top w:val="nil"/>
              <w:left w:val="single" w:sz="4" w:space="0" w:color="auto"/>
              <w:bottom w:val="single" w:sz="4" w:space="0" w:color="auto"/>
              <w:right w:val="single" w:sz="4" w:space="0" w:color="auto"/>
            </w:tcBorders>
            <w:shd w:val="clear" w:color="auto" w:fill="auto"/>
            <w:hideMark/>
          </w:tcPr>
          <w:p w:rsidR="00CC75F2" w:rsidRPr="00CC75F2" w:rsidRDefault="00CC75F2" w:rsidP="00CC75F2">
            <w:pPr>
              <w:jc w:val="left"/>
              <w:rPr>
                <w:rFonts w:cs="Arial"/>
                <w:color w:val="000000"/>
                <w:sz w:val="16"/>
                <w:szCs w:val="16"/>
              </w:rPr>
            </w:pPr>
            <w:r w:rsidRPr="00CC75F2">
              <w:rPr>
                <w:rFonts w:cs="Arial"/>
                <w:color w:val="000000"/>
                <w:sz w:val="16"/>
                <w:szCs w:val="16"/>
              </w:rPr>
              <w:t>Eddy Court 8</w:t>
            </w:r>
          </w:p>
        </w:tc>
        <w:tc>
          <w:tcPr>
            <w:tcW w:w="1134" w:type="dxa"/>
            <w:tcBorders>
              <w:top w:val="nil"/>
              <w:left w:val="nil"/>
              <w:bottom w:val="single" w:sz="4" w:space="0" w:color="auto"/>
              <w:right w:val="single" w:sz="4" w:space="0" w:color="auto"/>
            </w:tcBorders>
            <w:shd w:val="clear" w:color="auto" w:fill="auto"/>
            <w:hideMark/>
          </w:tcPr>
          <w:p w:rsidR="00CC75F2" w:rsidRPr="00CC75F2" w:rsidRDefault="008B0CE7" w:rsidP="00CC75F2">
            <w:pPr>
              <w:jc w:val="center"/>
              <w:rPr>
                <w:rFonts w:cs="Arial"/>
                <w:color w:val="000000"/>
                <w:sz w:val="16"/>
                <w:szCs w:val="16"/>
              </w:rPr>
            </w:pPr>
            <w:r w:rsidRPr="00CC75F2">
              <w:rPr>
                <w:rFonts w:cs="Arial"/>
                <w:color w:val="000000"/>
                <w:sz w:val="16"/>
                <w:szCs w:val="16"/>
              </w:rPr>
              <w:t>A</w:t>
            </w:r>
            <w:r>
              <w:rPr>
                <w:rFonts w:cs="Arial"/>
                <w:color w:val="000000"/>
                <w:sz w:val="16"/>
                <w:szCs w:val="16"/>
              </w:rPr>
              <w:t>bbotsford</w:t>
            </w:r>
          </w:p>
        </w:tc>
        <w:tc>
          <w:tcPr>
            <w:tcW w:w="1417" w:type="dxa"/>
            <w:tcBorders>
              <w:top w:val="nil"/>
              <w:left w:val="nil"/>
              <w:bottom w:val="single" w:sz="4" w:space="0" w:color="auto"/>
              <w:right w:val="single" w:sz="4" w:space="0" w:color="auto"/>
            </w:tcBorders>
            <w:shd w:val="clear" w:color="auto" w:fill="auto"/>
            <w:hideMark/>
          </w:tcPr>
          <w:p w:rsidR="00CC75F2" w:rsidRPr="00CC75F2" w:rsidRDefault="00CC75F2" w:rsidP="009C23D6">
            <w:pPr>
              <w:jc w:val="center"/>
              <w:rPr>
                <w:rFonts w:cs="Arial"/>
                <w:color w:val="000000"/>
                <w:sz w:val="16"/>
                <w:szCs w:val="16"/>
              </w:rPr>
            </w:pPr>
            <w:r w:rsidRPr="00CC75F2">
              <w:rPr>
                <w:rFonts w:cs="Arial"/>
                <w:color w:val="000000"/>
                <w:sz w:val="16"/>
                <w:szCs w:val="16"/>
              </w:rPr>
              <w:t>P</w:t>
            </w:r>
            <w:r w:rsidR="009C23D6">
              <w:rPr>
                <w:rFonts w:cs="Arial"/>
                <w:color w:val="000000"/>
                <w:sz w:val="16"/>
                <w:szCs w:val="16"/>
              </w:rPr>
              <w:t>ioneer Hall</w:t>
            </w:r>
          </w:p>
        </w:tc>
        <w:tc>
          <w:tcPr>
            <w:tcW w:w="1276" w:type="dxa"/>
            <w:tcBorders>
              <w:top w:val="nil"/>
              <w:left w:val="nil"/>
              <w:bottom w:val="single" w:sz="4" w:space="0" w:color="auto"/>
              <w:right w:val="single" w:sz="4" w:space="0" w:color="auto"/>
            </w:tcBorders>
            <w:shd w:val="clear" w:color="auto" w:fill="auto"/>
            <w:hideMark/>
          </w:tcPr>
          <w:p w:rsidR="00CC75F2" w:rsidRPr="00CC75F2" w:rsidRDefault="00CC75F2" w:rsidP="00CC75F2">
            <w:pPr>
              <w:jc w:val="center"/>
              <w:rPr>
                <w:rFonts w:cs="Arial"/>
                <w:color w:val="000000"/>
                <w:sz w:val="16"/>
                <w:szCs w:val="16"/>
              </w:rPr>
            </w:pPr>
            <w:r w:rsidRPr="00CC75F2">
              <w:rPr>
                <w:rFonts w:cs="Arial"/>
                <w:color w:val="000000"/>
                <w:sz w:val="16"/>
                <w:szCs w:val="16"/>
              </w:rPr>
              <w:t>Charles Street Precinct</w:t>
            </w:r>
          </w:p>
        </w:tc>
        <w:tc>
          <w:tcPr>
            <w:tcW w:w="1134" w:type="dxa"/>
            <w:tcBorders>
              <w:top w:val="nil"/>
              <w:left w:val="nil"/>
              <w:bottom w:val="single" w:sz="4" w:space="0" w:color="auto"/>
              <w:right w:val="single" w:sz="4" w:space="0" w:color="auto"/>
            </w:tcBorders>
            <w:shd w:val="clear" w:color="auto" w:fill="auto"/>
            <w:hideMark/>
          </w:tcPr>
          <w:p w:rsidR="00CC75F2" w:rsidRPr="00CC75F2" w:rsidRDefault="00CC75F2" w:rsidP="00CC75F2">
            <w:pPr>
              <w:jc w:val="center"/>
              <w:rPr>
                <w:rFonts w:cs="Arial"/>
                <w:color w:val="000000"/>
                <w:sz w:val="16"/>
                <w:szCs w:val="16"/>
              </w:rPr>
            </w:pPr>
            <w:r w:rsidRPr="00CC75F2">
              <w:rPr>
                <w:rFonts w:cs="Arial"/>
                <w:color w:val="000000"/>
                <w:sz w:val="16"/>
                <w:szCs w:val="16"/>
              </w:rPr>
              <w:t>HO313</w:t>
            </w:r>
          </w:p>
        </w:tc>
        <w:tc>
          <w:tcPr>
            <w:tcW w:w="992" w:type="dxa"/>
            <w:tcBorders>
              <w:top w:val="nil"/>
              <w:left w:val="nil"/>
              <w:bottom w:val="single" w:sz="4" w:space="0" w:color="auto"/>
              <w:right w:val="single" w:sz="4" w:space="0" w:color="auto"/>
            </w:tcBorders>
            <w:shd w:val="clear" w:color="auto" w:fill="auto"/>
            <w:hideMark/>
          </w:tcPr>
          <w:p w:rsidR="00CC75F2" w:rsidRPr="00CC75F2" w:rsidRDefault="00CC75F2" w:rsidP="00CC75F2">
            <w:pPr>
              <w:jc w:val="center"/>
              <w:rPr>
                <w:rFonts w:cs="Arial"/>
                <w:color w:val="000000"/>
                <w:sz w:val="16"/>
                <w:szCs w:val="16"/>
              </w:rPr>
            </w:pPr>
            <w:r w:rsidRPr="00CC75F2">
              <w:rPr>
                <w:rFonts w:cs="Arial"/>
                <w:color w:val="000000"/>
                <w:sz w:val="16"/>
                <w:szCs w:val="16"/>
              </w:rPr>
              <w:t>N/A</w:t>
            </w:r>
          </w:p>
        </w:tc>
        <w:tc>
          <w:tcPr>
            <w:tcW w:w="1134" w:type="dxa"/>
            <w:tcBorders>
              <w:top w:val="nil"/>
              <w:left w:val="nil"/>
              <w:bottom w:val="single" w:sz="4" w:space="0" w:color="auto"/>
              <w:right w:val="single" w:sz="4" w:space="0" w:color="auto"/>
            </w:tcBorders>
            <w:shd w:val="clear" w:color="auto" w:fill="auto"/>
            <w:hideMark/>
          </w:tcPr>
          <w:p w:rsidR="00CC75F2" w:rsidRPr="00CC75F2" w:rsidRDefault="00CC75F2" w:rsidP="00373B8F">
            <w:pPr>
              <w:jc w:val="center"/>
              <w:rPr>
                <w:rFonts w:cs="Arial"/>
                <w:color w:val="000000"/>
                <w:sz w:val="16"/>
                <w:szCs w:val="16"/>
              </w:rPr>
            </w:pPr>
            <w:r w:rsidRPr="00CC75F2">
              <w:rPr>
                <w:rFonts w:cs="Arial"/>
                <w:color w:val="000000"/>
                <w:sz w:val="16"/>
                <w:szCs w:val="16"/>
              </w:rPr>
              <w:t>Precinct</w:t>
            </w:r>
          </w:p>
        </w:tc>
        <w:tc>
          <w:tcPr>
            <w:tcW w:w="1276" w:type="dxa"/>
            <w:tcBorders>
              <w:top w:val="nil"/>
              <w:left w:val="nil"/>
              <w:bottom w:val="single" w:sz="4" w:space="0" w:color="auto"/>
              <w:right w:val="single" w:sz="4" w:space="0" w:color="auto"/>
            </w:tcBorders>
            <w:shd w:val="clear" w:color="auto" w:fill="auto"/>
            <w:hideMark/>
          </w:tcPr>
          <w:p w:rsidR="00CC75F2" w:rsidRPr="00CC75F2" w:rsidRDefault="00CC75F2" w:rsidP="00CC75F2">
            <w:pPr>
              <w:jc w:val="center"/>
              <w:rPr>
                <w:rFonts w:cs="Arial"/>
                <w:color w:val="000000"/>
                <w:sz w:val="16"/>
                <w:szCs w:val="16"/>
              </w:rPr>
            </w:pPr>
            <w:r w:rsidRPr="00CC75F2">
              <w:rPr>
                <w:rFonts w:cs="Arial"/>
                <w:color w:val="000000"/>
                <w:sz w:val="16"/>
                <w:szCs w:val="16"/>
              </w:rPr>
              <w:t>Individually significant</w:t>
            </w:r>
          </w:p>
        </w:tc>
        <w:tc>
          <w:tcPr>
            <w:tcW w:w="2835" w:type="dxa"/>
            <w:tcBorders>
              <w:top w:val="nil"/>
              <w:left w:val="nil"/>
              <w:bottom w:val="single" w:sz="4" w:space="0" w:color="auto"/>
              <w:right w:val="single" w:sz="4" w:space="0" w:color="auto"/>
            </w:tcBorders>
            <w:shd w:val="clear" w:color="auto" w:fill="auto"/>
            <w:hideMark/>
          </w:tcPr>
          <w:p w:rsidR="00CC75F2" w:rsidRPr="00CC75F2" w:rsidRDefault="00CC75F2" w:rsidP="00CC75F2">
            <w:pPr>
              <w:jc w:val="left"/>
              <w:rPr>
                <w:rFonts w:cs="Arial"/>
                <w:color w:val="000000"/>
                <w:sz w:val="16"/>
                <w:szCs w:val="16"/>
              </w:rPr>
            </w:pPr>
            <w:r w:rsidRPr="00CC75F2">
              <w:rPr>
                <w:rFonts w:cs="Arial"/>
                <w:color w:val="000000"/>
                <w:sz w:val="16"/>
                <w:szCs w:val="16"/>
              </w:rPr>
              <w:t>External controls apply to the land and building, no internal controls, no tree controls and no external paint controls apply</w:t>
            </w:r>
          </w:p>
        </w:tc>
        <w:tc>
          <w:tcPr>
            <w:tcW w:w="2693" w:type="dxa"/>
            <w:tcBorders>
              <w:top w:val="nil"/>
              <w:left w:val="nil"/>
              <w:bottom w:val="single" w:sz="4" w:space="0" w:color="auto"/>
              <w:right w:val="single" w:sz="4" w:space="0" w:color="auto"/>
            </w:tcBorders>
            <w:shd w:val="clear" w:color="auto" w:fill="auto"/>
            <w:hideMark/>
          </w:tcPr>
          <w:p w:rsidR="00CC75F2" w:rsidRPr="00CC75F2" w:rsidRDefault="00CC75F2" w:rsidP="00CC75F2">
            <w:pPr>
              <w:jc w:val="left"/>
              <w:rPr>
                <w:rFonts w:cs="Arial"/>
                <w:color w:val="000000"/>
                <w:sz w:val="16"/>
                <w:szCs w:val="16"/>
              </w:rPr>
            </w:pPr>
            <w:r w:rsidRPr="00CC75F2">
              <w:rPr>
                <w:rFonts w:cs="Arial"/>
                <w:color w:val="000000"/>
                <w:sz w:val="16"/>
                <w:szCs w:val="16"/>
              </w:rPr>
              <w:t> </w:t>
            </w:r>
          </w:p>
        </w:tc>
      </w:tr>
      <w:tr w:rsidR="008B0CE7" w:rsidRPr="00CC75F2" w:rsidTr="00EA18F9">
        <w:trPr>
          <w:cantSplit/>
          <w:trHeight w:val="720"/>
        </w:trPr>
        <w:tc>
          <w:tcPr>
            <w:tcW w:w="1433" w:type="dxa"/>
            <w:tcBorders>
              <w:top w:val="nil"/>
              <w:left w:val="single" w:sz="4" w:space="0" w:color="auto"/>
              <w:bottom w:val="single" w:sz="4" w:space="0" w:color="auto"/>
              <w:right w:val="single" w:sz="4" w:space="0" w:color="auto"/>
            </w:tcBorders>
            <w:shd w:val="clear" w:color="auto" w:fill="auto"/>
            <w:hideMark/>
          </w:tcPr>
          <w:p w:rsidR="00CC75F2" w:rsidRPr="00CC75F2" w:rsidRDefault="00CC75F2" w:rsidP="00CC75F2">
            <w:pPr>
              <w:jc w:val="left"/>
              <w:rPr>
                <w:rFonts w:cs="Arial"/>
                <w:color w:val="000000"/>
                <w:sz w:val="16"/>
                <w:szCs w:val="16"/>
              </w:rPr>
            </w:pPr>
            <w:r w:rsidRPr="00CC75F2">
              <w:rPr>
                <w:rFonts w:cs="Arial"/>
                <w:color w:val="000000"/>
                <w:sz w:val="16"/>
                <w:szCs w:val="16"/>
              </w:rPr>
              <w:t>Fairfield Park Drive 3</w:t>
            </w:r>
          </w:p>
        </w:tc>
        <w:tc>
          <w:tcPr>
            <w:tcW w:w="1134" w:type="dxa"/>
            <w:tcBorders>
              <w:top w:val="nil"/>
              <w:left w:val="nil"/>
              <w:bottom w:val="single" w:sz="4" w:space="0" w:color="auto"/>
              <w:right w:val="single" w:sz="4" w:space="0" w:color="auto"/>
            </w:tcBorders>
            <w:shd w:val="clear" w:color="auto" w:fill="auto"/>
            <w:hideMark/>
          </w:tcPr>
          <w:p w:rsidR="00CC75F2" w:rsidRPr="00CC75F2" w:rsidRDefault="00CC75F2" w:rsidP="009C23D6">
            <w:pPr>
              <w:jc w:val="center"/>
              <w:rPr>
                <w:rFonts w:cs="Arial"/>
                <w:color w:val="000000"/>
                <w:sz w:val="16"/>
                <w:szCs w:val="16"/>
              </w:rPr>
            </w:pPr>
            <w:r w:rsidRPr="00CC75F2">
              <w:rPr>
                <w:rFonts w:cs="Arial"/>
                <w:color w:val="000000"/>
                <w:sz w:val="16"/>
                <w:szCs w:val="16"/>
              </w:rPr>
              <w:t>F</w:t>
            </w:r>
            <w:r w:rsidR="009C23D6">
              <w:rPr>
                <w:rFonts w:cs="Arial"/>
                <w:color w:val="000000"/>
                <w:sz w:val="16"/>
                <w:szCs w:val="16"/>
              </w:rPr>
              <w:t>airfield</w:t>
            </w:r>
          </w:p>
        </w:tc>
        <w:tc>
          <w:tcPr>
            <w:tcW w:w="1417" w:type="dxa"/>
            <w:tcBorders>
              <w:top w:val="nil"/>
              <w:left w:val="nil"/>
              <w:bottom w:val="single" w:sz="4" w:space="0" w:color="auto"/>
              <w:right w:val="single" w:sz="4" w:space="0" w:color="auto"/>
            </w:tcBorders>
            <w:shd w:val="clear" w:color="auto" w:fill="auto"/>
            <w:hideMark/>
          </w:tcPr>
          <w:p w:rsidR="00CC75F2" w:rsidRPr="00CC75F2" w:rsidRDefault="00CC75F2" w:rsidP="009C23D6">
            <w:pPr>
              <w:jc w:val="center"/>
              <w:rPr>
                <w:rFonts w:cs="Arial"/>
                <w:color w:val="000000"/>
                <w:sz w:val="16"/>
                <w:szCs w:val="16"/>
              </w:rPr>
            </w:pPr>
            <w:r w:rsidRPr="00CC75F2">
              <w:rPr>
                <w:rFonts w:cs="Arial"/>
                <w:color w:val="000000"/>
                <w:sz w:val="16"/>
                <w:szCs w:val="16"/>
              </w:rPr>
              <w:t>C</w:t>
            </w:r>
            <w:r w:rsidR="009C23D6">
              <w:rPr>
                <w:rFonts w:cs="Arial"/>
                <w:color w:val="000000"/>
                <w:sz w:val="16"/>
                <w:szCs w:val="16"/>
              </w:rPr>
              <w:t>aretakers Residence</w:t>
            </w:r>
          </w:p>
        </w:tc>
        <w:tc>
          <w:tcPr>
            <w:tcW w:w="1276" w:type="dxa"/>
            <w:tcBorders>
              <w:top w:val="nil"/>
              <w:left w:val="nil"/>
              <w:bottom w:val="single" w:sz="4" w:space="0" w:color="auto"/>
              <w:right w:val="single" w:sz="4" w:space="0" w:color="auto"/>
            </w:tcBorders>
            <w:shd w:val="clear" w:color="auto" w:fill="auto"/>
            <w:hideMark/>
          </w:tcPr>
          <w:p w:rsidR="00CC75F2" w:rsidRPr="00CC75F2" w:rsidRDefault="00CC75F2" w:rsidP="00CC75F2">
            <w:pPr>
              <w:jc w:val="center"/>
              <w:rPr>
                <w:rFonts w:cs="Arial"/>
                <w:color w:val="000000"/>
                <w:sz w:val="16"/>
                <w:szCs w:val="16"/>
              </w:rPr>
            </w:pPr>
            <w:r w:rsidRPr="00CC75F2">
              <w:rPr>
                <w:rFonts w:cs="Arial"/>
                <w:color w:val="000000"/>
                <w:sz w:val="16"/>
                <w:szCs w:val="16"/>
              </w:rPr>
              <w:t>Fairfield Park Drive, Fairfield Park</w:t>
            </w:r>
          </w:p>
        </w:tc>
        <w:tc>
          <w:tcPr>
            <w:tcW w:w="1134" w:type="dxa"/>
            <w:tcBorders>
              <w:top w:val="nil"/>
              <w:left w:val="nil"/>
              <w:bottom w:val="single" w:sz="4" w:space="0" w:color="auto"/>
              <w:right w:val="single" w:sz="4" w:space="0" w:color="auto"/>
            </w:tcBorders>
            <w:shd w:val="clear" w:color="auto" w:fill="auto"/>
            <w:hideMark/>
          </w:tcPr>
          <w:p w:rsidR="00CC75F2" w:rsidRPr="00CC75F2" w:rsidRDefault="00CC75F2" w:rsidP="00CC75F2">
            <w:pPr>
              <w:jc w:val="center"/>
              <w:rPr>
                <w:rFonts w:cs="Arial"/>
                <w:color w:val="000000"/>
                <w:sz w:val="16"/>
                <w:szCs w:val="16"/>
              </w:rPr>
            </w:pPr>
            <w:r w:rsidRPr="00CC75F2">
              <w:rPr>
                <w:rFonts w:cs="Arial"/>
                <w:color w:val="000000"/>
                <w:sz w:val="16"/>
                <w:szCs w:val="16"/>
              </w:rPr>
              <w:t>HO147 (over whole park)</w:t>
            </w:r>
          </w:p>
        </w:tc>
        <w:tc>
          <w:tcPr>
            <w:tcW w:w="992" w:type="dxa"/>
            <w:tcBorders>
              <w:top w:val="nil"/>
              <w:left w:val="nil"/>
              <w:bottom w:val="single" w:sz="4" w:space="0" w:color="auto"/>
              <w:right w:val="single" w:sz="4" w:space="0" w:color="auto"/>
            </w:tcBorders>
            <w:shd w:val="clear" w:color="auto" w:fill="auto"/>
            <w:hideMark/>
          </w:tcPr>
          <w:p w:rsidR="00CC75F2" w:rsidRPr="00CC75F2" w:rsidRDefault="00CC75F2" w:rsidP="00CC75F2">
            <w:pPr>
              <w:jc w:val="center"/>
              <w:rPr>
                <w:rFonts w:cs="Arial"/>
                <w:color w:val="000000"/>
                <w:sz w:val="16"/>
                <w:szCs w:val="16"/>
              </w:rPr>
            </w:pPr>
            <w:r w:rsidRPr="00CC75F2">
              <w:rPr>
                <w:rFonts w:cs="Arial"/>
                <w:color w:val="000000"/>
                <w:sz w:val="16"/>
                <w:szCs w:val="16"/>
              </w:rPr>
              <w:t>N/A</w:t>
            </w:r>
          </w:p>
        </w:tc>
        <w:tc>
          <w:tcPr>
            <w:tcW w:w="1134" w:type="dxa"/>
            <w:tcBorders>
              <w:top w:val="nil"/>
              <w:left w:val="nil"/>
              <w:bottom w:val="single" w:sz="4" w:space="0" w:color="auto"/>
              <w:right w:val="single" w:sz="4" w:space="0" w:color="auto"/>
            </w:tcBorders>
            <w:shd w:val="clear" w:color="auto" w:fill="auto"/>
            <w:hideMark/>
          </w:tcPr>
          <w:p w:rsidR="00CC75F2" w:rsidRPr="00CC75F2" w:rsidRDefault="00CC75F2" w:rsidP="00373B8F">
            <w:pPr>
              <w:jc w:val="center"/>
              <w:rPr>
                <w:rFonts w:cs="Arial"/>
                <w:color w:val="000000"/>
                <w:sz w:val="16"/>
                <w:szCs w:val="16"/>
              </w:rPr>
            </w:pPr>
            <w:r w:rsidRPr="00CC75F2">
              <w:rPr>
                <w:rFonts w:cs="Arial"/>
                <w:color w:val="000000"/>
                <w:sz w:val="16"/>
                <w:szCs w:val="16"/>
              </w:rPr>
              <w:t>Individual</w:t>
            </w:r>
          </w:p>
        </w:tc>
        <w:tc>
          <w:tcPr>
            <w:tcW w:w="1276" w:type="dxa"/>
            <w:tcBorders>
              <w:top w:val="nil"/>
              <w:left w:val="nil"/>
              <w:bottom w:val="single" w:sz="4" w:space="0" w:color="auto"/>
              <w:right w:val="single" w:sz="4" w:space="0" w:color="auto"/>
            </w:tcBorders>
            <w:shd w:val="clear" w:color="auto" w:fill="auto"/>
            <w:hideMark/>
          </w:tcPr>
          <w:p w:rsidR="00CC75F2" w:rsidRPr="00CC75F2" w:rsidRDefault="00CC75F2" w:rsidP="00CC75F2">
            <w:pPr>
              <w:jc w:val="center"/>
              <w:rPr>
                <w:rFonts w:cs="Arial"/>
                <w:color w:val="000000"/>
                <w:sz w:val="16"/>
                <w:szCs w:val="16"/>
              </w:rPr>
            </w:pPr>
            <w:r w:rsidRPr="00CC75F2">
              <w:rPr>
                <w:rFonts w:cs="Arial"/>
                <w:color w:val="000000"/>
                <w:sz w:val="16"/>
                <w:szCs w:val="16"/>
              </w:rPr>
              <w:t>Individually significant</w:t>
            </w:r>
          </w:p>
        </w:tc>
        <w:tc>
          <w:tcPr>
            <w:tcW w:w="2835" w:type="dxa"/>
            <w:tcBorders>
              <w:top w:val="nil"/>
              <w:left w:val="nil"/>
              <w:bottom w:val="single" w:sz="4" w:space="0" w:color="auto"/>
              <w:right w:val="single" w:sz="4" w:space="0" w:color="auto"/>
            </w:tcBorders>
            <w:shd w:val="clear" w:color="auto" w:fill="auto"/>
            <w:hideMark/>
          </w:tcPr>
          <w:p w:rsidR="00CC75F2" w:rsidRPr="00CC75F2" w:rsidRDefault="00CC75F2" w:rsidP="00CC75F2">
            <w:pPr>
              <w:jc w:val="left"/>
              <w:rPr>
                <w:rFonts w:cs="Arial"/>
                <w:color w:val="000000"/>
                <w:sz w:val="16"/>
                <w:szCs w:val="16"/>
              </w:rPr>
            </w:pPr>
            <w:r w:rsidRPr="00CC75F2">
              <w:rPr>
                <w:rFonts w:cs="Arial"/>
                <w:color w:val="000000"/>
                <w:sz w:val="16"/>
                <w:szCs w:val="16"/>
              </w:rPr>
              <w:t>External controls apply to the buildings and land, tree controls apply, no internal and no external paint controls apply</w:t>
            </w:r>
          </w:p>
        </w:tc>
        <w:tc>
          <w:tcPr>
            <w:tcW w:w="2693" w:type="dxa"/>
            <w:tcBorders>
              <w:top w:val="nil"/>
              <w:left w:val="nil"/>
              <w:bottom w:val="single" w:sz="4" w:space="0" w:color="auto"/>
              <w:right w:val="single" w:sz="4" w:space="0" w:color="auto"/>
            </w:tcBorders>
            <w:shd w:val="clear" w:color="auto" w:fill="auto"/>
            <w:hideMark/>
          </w:tcPr>
          <w:p w:rsidR="00CC75F2" w:rsidRPr="00CC75F2" w:rsidRDefault="00CC75F2" w:rsidP="00CC75F2">
            <w:pPr>
              <w:jc w:val="left"/>
              <w:rPr>
                <w:rFonts w:cs="Arial"/>
                <w:color w:val="000000"/>
                <w:sz w:val="16"/>
                <w:szCs w:val="16"/>
              </w:rPr>
            </w:pPr>
            <w:r w:rsidRPr="00CC75F2">
              <w:rPr>
                <w:rFonts w:cs="Arial"/>
                <w:color w:val="000000"/>
                <w:sz w:val="16"/>
                <w:szCs w:val="16"/>
              </w:rPr>
              <w:t>The location of the caretaker's residence within the park is not known.  The HO control is over the whole park</w:t>
            </w:r>
            <w:r w:rsidR="005E5635">
              <w:rPr>
                <w:rFonts w:cs="Arial"/>
                <w:color w:val="000000"/>
                <w:sz w:val="16"/>
                <w:szCs w:val="16"/>
              </w:rPr>
              <w:t>.</w:t>
            </w:r>
          </w:p>
        </w:tc>
      </w:tr>
      <w:tr w:rsidR="008B0CE7" w:rsidRPr="00CC75F2" w:rsidTr="00EA18F9">
        <w:trPr>
          <w:cantSplit/>
          <w:trHeight w:val="720"/>
        </w:trPr>
        <w:tc>
          <w:tcPr>
            <w:tcW w:w="1433" w:type="dxa"/>
            <w:tcBorders>
              <w:top w:val="nil"/>
              <w:left w:val="single" w:sz="4" w:space="0" w:color="auto"/>
              <w:bottom w:val="single" w:sz="4" w:space="0" w:color="auto"/>
              <w:right w:val="single" w:sz="4" w:space="0" w:color="auto"/>
            </w:tcBorders>
            <w:shd w:val="clear" w:color="auto" w:fill="auto"/>
            <w:hideMark/>
          </w:tcPr>
          <w:p w:rsidR="00CC75F2" w:rsidRPr="00CC75F2" w:rsidRDefault="00CC75F2" w:rsidP="00CC75F2">
            <w:pPr>
              <w:jc w:val="left"/>
              <w:rPr>
                <w:rFonts w:cs="Arial"/>
                <w:color w:val="000000"/>
                <w:sz w:val="16"/>
                <w:szCs w:val="16"/>
              </w:rPr>
            </w:pPr>
            <w:r w:rsidRPr="00CC75F2">
              <w:rPr>
                <w:rFonts w:cs="Arial"/>
                <w:color w:val="000000"/>
                <w:sz w:val="16"/>
                <w:szCs w:val="16"/>
              </w:rPr>
              <w:t>George Street 1-3</w:t>
            </w:r>
          </w:p>
        </w:tc>
        <w:tc>
          <w:tcPr>
            <w:tcW w:w="1134" w:type="dxa"/>
            <w:tcBorders>
              <w:top w:val="nil"/>
              <w:left w:val="nil"/>
              <w:bottom w:val="single" w:sz="4" w:space="0" w:color="auto"/>
              <w:right w:val="single" w:sz="4" w:space="0" w:color="auto"/>
            </w:tcBorders>
            <w:shd w:val="clear" w:color="auto" w:fill="auto"/>
            <w:hideMark/>
          </w:tcPr>
          <w:p w:rsidR="00CC75F2" w:rsidRPr="00CC75F2" w:rsidRDefault="008B0CE7" w:rsidP="00CC75F2">
            <w:pPr>
              <w:jc w:val="center"/>
              <w:rPr>
                <w:rFonts w:cs="Arial"/>
                <w:color w:val="000000"/>
                <w:sz w:val="16"/>
                <w:szCs w:val="16"/>
              </w:rPr>
            </w:pPr>
            <w:r w:rsidRPr="00CC75F2">
              <w:rPr>
                <w:rFonts w:cs="Arial"/>
                <w:color w:val="000000"/>
                <w:sz w:val="16"/>
                <w:szCs w:val="16"/>
              </w:rPr>
              <w:t>R</w:t>
            </w:r>
            <w:r>
              <w:rPr>
                <w:rFonts w:cs="Arial"/>
                <w:color w:val="000000"/>
                <w:sz w:val="16"/>
                <w:szCs w:val="16"/>
              </w:rPr>
              <w:t>ichmond</w:t>
            </w:r>
          </w:p>
        </w:tc>
        <w:tc>
          <w:tcPr>
            <w:tcW w:w="1417" w:type="dxa"/>
            <w:tcBorders>
              <w:top w:val="nil"/>
              <w:left w:val="nil"/>
              <w:bottom w:val="single" w:sz="4" w:space="0" w:color="auto"/>
              <w:right w:val="single" w:sz="4" w:space="0" w:color="auto"/>
            </w:tcBorders>
            <w:shd w:val="clear" w:color="auto" w:fill="auto"/>
            <w:hideMark/>
          </w:tcPr>
          <w:p w:rsidR="00CC75F2" w:rsidRPr="00CC75F2" w:rsidRDefault="00CC75F2" w:rsidP="009C23D6">
            <w:pPr>
              <w:jc w:val="center"/>
              <w:rPr>
                <w:rFonts w:cs="Arial"/>
                <w:color w:val="000000"/>
                <w:sz w:val="16"/>
                <w:szCs w:val="16"/>
              </w:rPr>
            </w:pPr>
            <w:r w:rsidRPr="00CC75F2">
              <w:rPr>
                <w:rFonts w:cs="Arial"/>
                <w:color w:val="000000"/>
                <w:sz w:val="16"/>
                <w:szCs w:val="16"/>
              </w:rPr>
              <w:t>G</w:t>
            </w:r>
            <w:r w:rsidR="009C23D6">
              <w:rPr>
                <w:rFonts w:cs="Arial"/>
                <w:color w:val="000000"/>
                <w:sz w:val="16"/>
                <w:szCs w:val="16"/>
              </w:rPr>
              <w:t>eorge Street Reserve</w:t>
            </w:r>
          </w:p>
        </w:tc>
        <w:tc>
          <w:tcPr>
            <w:tcW w:w="1276" w:type="dxa"/>
            <w:tcBorders>
              <w:top w:val="nil"/>
              <w:left w:val="nil"/>
              <w:bottom w:val="single" w:sz="4" w:space="0" w:color="auto"/>
              <w:right w:val="single" w:sz="4" w:space="0" w:color="auto"/>
            </w:tcBorders>
            <w:shd w:val="clear" w:color="auto" w:fill="auto"/>
            <w:hideMark/>
          </w:tcPr>
          <w:p w:rsidR="00CC75F2" w:rsidRPr="00CC75F2" w:rsidRDefault="00CC75F2" w:rsidP="00CC75F2">
            <w:pPr>
              <w:jc w:val="center"/>
              <w:rPr>
                <w:rFonts w:cs="Arial"/>
                <w:color w:val="000000"/>
                <w:sz w:val="16"/>
                <w:szCs w:val="16"/>
              </w:rPr>
            </w:pPr>
            <w:r w:rsidRPr="00CC75F2">
              <w:rPr>
                <w:rFonts w:cs="Arial"/>
                <w:color w:val="000000"/>
                <w:sz w:val="16"/>
                <w:szCs w:val="16"/>
              </w:rPr>
              <w:t>Elm Grove Precinct</w:t>
            </w:r>
          </w:p>
        </w:tc>
        <w:tc>
          <w:tcPr>
            <w:tcW w:w="1134" w:type="dxa"/>
            <w:tcBorders>
              <w:top w:val="nil"/>
              <w:left w:val="nil"/>
              <w:bottom w:val="single" w:sz="4" w:space="0" w:color="auto"/>
              <w:right w:val="single" w:sz="4" w:space="0" w:color="auto"/>
            </w:tcBorders>
            <w:shd w:val="clear" w:color="auto" w:fill="auto"/>
            <w:hideMark/>
          </w:tcPr>
          <w:p w:rsidR="00CC75F2" w:rsidRPr="00CC75F2" w:rsidRDefault="00CC75F2" w:rsidP="00CC75F2">
            <w:pPr>
              <w:jc w:val="center"/>
              <w:rPr>
                <w:rFonts w:cs="Arial"/>
                <w:color w:val="000000"/>
                <w:sz w:val="16"/>
                <w:szCs w:val="16"/>
              </w:rPr>
            </w:pPr>
            <w:r w:rsidRPr="00CC75F2">
              <w:rPr>
                <w:rFonts w:cs="Arial"/>
                <w:color w:val="000000"/>
                <w:sz w:val="16"/>
                <w:szCs w:val="16"/>
              </w:rPr>
              <w:t>HO319</w:t>
            </w:r>
          </w:p>
        </w:tc>
        <w:tc>
          <w:tcPr>
            <w:tcW w:w="992" w:type="dxa"/>
            <w:tcBorders>
              <w:top w:val="nil"/>
              <w:left w:val="nil"/>
              <w:bottom w:val="single" w:sz="4" w:space="0" w:color="auto"/>
              <w:right w:val="single" w:sz="4" w:space="0" w:color="auto"/>
            </w:tcBorders>
            <w:shd w:val="clear" w:color="auto" w:fill="auto"/>
            <w:hideMark/>
          </w:tcPr>
          <w:p w:rsidR="00CC75F2" w:rsidRPr="00CC75F2" w:rsidRDefault="00CC75F2" w:rsidP="00CC75F2">
            <w:pPr>
              <w:jc w:val="center"/>
              <w:rPr>
                <w:rFonts w:cs="Arial"/>
                <w:color w:val="000000"/>
                <w:sz w:val="16"/>
                <w:szCs w:val="16"/>
              </w:rPr>
            </w:pPr>
            <w:r w:rsidRPr="00CC75F2">
              <w:rPr>
                <w:rFonts w:cs="Arial"/>
                <w:color w:val="000000"/>
                <w:sz w:val="16"/>
                <w:szCs w:val="16"/>
              </w:rPr>
              <w:t>N/A</w:t>
            </w:r>
          </w:p>
        </w:tc>
        <w:tc>
          <w:tcPr>
            <w:tcW w:w="1134" w:type="dxa"/>
            <w:tcBorders>
              <w:top w:val="nil"/>
              <w:left w:val="nil"/>
              <w:bottom w:val="single" w:sz="4" w:space="0" w:color="auto"/>
              <w:right w:val="single" w:sz="4" w:space="0" w:color="auto"/>
            </w:tcBorders>
            <w:shd w:val="clear" w:color="auto" w:fill="auto"/>
            <w:hideMark/>
          </w:tcPr>
          <w:p w:rsidR="00CC75F2" w:rsidRPr="00CC75F2" w:rsidRDefault="00CC75F2" w:rsidP="00373B8F">
            <w:pPr>
              <w:jc w:val="center"/>
              <w:rPr>
                <w:rFonts w:cs="Arial"/>
                <w:color w:val="000000"/>
                <w:sz w:val="16"/>
                <w:szCs w:val="16"/>
              </w:rPr>
            </w:pPr>
            <w:r w:rsidRPr="00CC75F2">
              <w:rPr>
                <w:rFonts w:cs="Arial"/>
                <w:color w:val="000000"/>
                <w:sz w:val="16"/>
                <w:szCs w:val="16"/>
              </w:rPr>
              <w:t>Precinct</w:t>
            </w:r>
          </w:p>
        </w:tc>
        <w:tc>
          <w:tcPr>
            <w:tcW w:w="1276" w:type="dxa"/>
            <w:tcBorders>
              <w:top w:val="nil"/>
              <w:left w:val="nil"/>
              <w:bottom w:val="single" w:sz="4" w:space="0" w:color="auto"/>
              <w:right w:val="single" w:sz="4" w:space="0" w:color="auto"/>
            </w:tcBorders>
            <w:shd w:val="clear" w:color="auto" w:fill="auto"/>
            <w:hideMark/>
          </w:tcPr>
          <w:p w:rsidR="00CC75F2" w:rsidRPr="00CC75F2" w:rsidRDefault="00CC75F2" w:rsidP="00CC75F2">
            <w:pPr>
              <w:jc w:val="center"/>
              <w:rPr>
                <w:rFonts w:cs="Arial"/>
                <w:color w:val="000000"/>
                <w:sz w:val="16"/>
                <w:szCs w:val="16"/>
              </w:rPr>
            </w:pPr>
            <w:r w:rsidRPr="00CC75F2">
              <w:rPr>
                <w:rFonts w:cs="Arial"/>
                <w:color w:val="000000"/>
                <w:sz w:val="16"/>
                <w:szCs w:val="16"/>
              </w:rPr>
              <w:t>Not contributory</w:t>
            </w:r>
          </w:p>
        </w:tc>
        <w:tc>
          <w:tcPr>
            <w:tcW w:w="2835" w:type="dxa"/>
            <w:tcBorders>
              <w:top w:val="nil"/>
              <w:left w:val="nil"/>
              <w:bottom w:val="single" w:sz="4" w:space="0" w:color="auto"/>
              <w:right w:val="single" w:sz="4" w:space="0" w:color="auto"/>
            </w:tcBorders>
            <w:shd w:val="clear" w:color="auto" w:fill="auto"/>
            <w:hideMark/>
          </w:tcPr>
          <w:p w:rsidR="00CC75F2" w:rsidRPr="00CC75F2" w:rsidRDefault="00CC75F2" w:rsidP="00CC75F2">
            <w:pPr>
              <w:jc w:val="left"/>
              <w:rPr>
                <w:rFonts w:cs="Arial"/>
                <w:color w:val="000000"/>
                <w:sz w:val="16"/>
                <w:szCs w:val="16"/>
              </w:rPr>
            </w:pPr>
            <w:r w:rsidRPr="00CC75F2">
              <w:rPr>
                <w:rFonts w:cs="Arial"/>
                <w:color w:val="000000"/>
                <w:sz w:val="16"/>
                <w:szCs w:val="16"/>
              </w:rPr>
              <w:t>External controls over buildings and land, no internal controls, no external paint controls and no tree controls</w:t>
            </w:r>
          </w:p>
        </w:tc>
        <w:tc>
          <w:tcPr>
            <w:tcW w:w="2693" w:type="dxa"/>
            <w:tcBorders>
              <w:top w:val="nil"/>
              <w:left w:val="nil"/>
              <w:bottom w:val="single" w:sz="4" w:space="0" w:color="auto"/>
              <w:right w:val="single" w:sz="4" w:space="0" w:color="auto"/>
            </w:tcBorders>
            <w:shd w:val="clear" w:color="auto" w:fill="auto"/>
            <w:hideMark/>
          </w:tcPr>
          <w:p w:rsidR="00CC75F2" w:rsidRPr="00CC75F2" w:rsidRDefault="00CC75F2" w:rsidP="00622DC3">
            <w:pPr>
              <w:jc w:val="left"/>
              <w:rPr>
                <w:rFonts w:cs="Arial"/>
                <w:color w:val="000000"/>
                <w:sz w:val="16"/>
                <w:szCs w:val="16"/>
              </w:rPr>
            </w:pPr>
            <w:r w:rsidRPr="00CC75F2">
              <w:rPr>
                <w:rFonts w:cs="Arial"/>
                <w:color w:val="000000"/>
                <w:sz w:val="16"/>
                <w:szCs w:val="16"/>
              </w:rPr>
              <w:t xml:space="preserve">Physical changes to the reserve would normally require approval under the Heritage Overlay from the </w:t>
            </w:r>
            <w:r w:rsidR="00622DC3" w:rsidRPr="00CC75F2">
              <w:rPr>
                <w:rFonts w:cs="Arial"/>
                <w:color w:val="000000"/>
                <w:sz w:val="16"/>
                <w:szCs w:val="16"/>
              </w:rPr>
              <w:t>Yarra</w:t>
            </w:r>
            <w:r w:rsidR="00622DC3">
              <w:rPr>
                <w:rFonts w:cs="Arial"/>
                <w:color w:val="000000"/>
                <w:sz w:val="16"/>
                <w:szCs w:val="16"/>
              </w:rPr>
              <w:t xml:space="preserve"> City Council.</w:t>
            </w:r>
          </w:p>
        </w:tc>
      </w:tr>
      <w:tr w:rsidR="008B0CE7" w:rsidRPr="00CC75F2" w:rsidTr="00EA18F9">
        <w:trPr>
          <w:cantSplit/>
          <w:trHeight w:val="720"/>
        </w:trPr>
        <w:tc>
          <w:tcPr>
            <w:tcW w:w="1433" w:type="dxa"/>
            <w:tcBorders>
              <w:top w:val="nil"/>
              <w:left w:val="single" w:sz="4" w:space="0" w:color="auto"/>
              <w:bottom w:val="single" w:sz="4" w:space="0" w:color="auto"/>
              <w:right w:val="single" w:sz="4" w:space="0" w:color="auto"/>
            </w:tcBorders>
            <w:shd w:val="clear" w:color="auto" w:fill="auto"/>
            <w:hideMark/>
          </w:tcPr>
          <w:p w:rsidR="00CC75F2" w:rsidRPr="00CC75F2" w:rsidRDefault="00CC75F2" w:rsidP="00CC75F2">
            <w:pPr>
              <w:jc w:val="left"/>
              <w:rPr>
                <w:rFonts w:cs="Arial"/>
                <w:color w:val="000000"/>
                <w:sz w:val="16"/>
                <w:szCs w:val="16"/>
              </w:rPr>
            </w:pPr>
            <w:r w:rsidRPr="00CC75F2">
              <w:rPr>
                <w:rFonts w:cs="Arial"/>
                <w:color w:val="000000"/>
                <w:sz w:val="16"/>
                <w:szCs w:val="16"/>
              </w:rPr>
              <w:t>George Street 138</w:t>
            </w:r>
          </w:p>
        </w:tc>
        <w:tc>
          <w:tcPr>
            <w:tcW w:w="1134" w:type="dxa"/>
            <w:tcBorders>
              <w:top w:val="nil"/>
              <w:left w:val="nil"/>
              <w:bottom w:val="single" w:sz="4" w:space="0" w:color="auto"/>
              <w:right w:val="single" w:sz="4" w:space="0" w:color="auto"/>
            </w:tcBorders>
            <w:shd w:val="clear" w:color="auto" w:fill="auto"/>
            <w:hideMark/>
          </w:tcPr>
          <w:p w:rsidR="00CC75F2" w:rsidRPr="00CC75F2" w:rsidRDefault="00373B8F" w:rsidP="00CC75F2">
            <w:pPr>
              <w:jc w:val="center"/>
              <w:rPr>
                <w:rFonts w:cs="Arial"/>
                <w:color w:val="000000"/>
                <w:sz w:val="16"/>
                <w:szCs w:val="16"/>
              </w:rPr>
            </w:pPr>
            <w:r w:rsidRPr="00CC75F2">
              <w:rPr>
                <w:rFonts w:cs="Arial"/>
                <w:color w:val="000000"/>
                <w:sz w:val="16"/>
                <w:szCs w:val="16"/>
              </w:rPr>
              <w:t>F</w:t>
            </w:r>
            <w:r>
              <w:rPr>
                <w:rFonts w:cs="Arial"/>
                <w:color w:val="000000"/>
                <w:sz w:val="16"/>
                <w:szCs w:val="16"/>
              </w:rPr>
              <w:t>itzroy</w:t>
            </w:r>
          </w:p>
        </w:tc>
        <w:tc>
          <w:tcPr>
            <w:tcW w:w="1417" w:type="dxa"/>
            <w:tcBorders>
              <w:top w:val="nil"/>
              <w:left w:val="nil"/>
              <w:bottom w:val="single" w:sz="4" w:space="0" w:color="auto"/>
              <w:right w:val="single" w:sz="4" w:space="0" w:color="auto"/>
            </w:tcBorders>
            <w:shd w:val="clear" w:color="auto" w:fill="auto"/>
            <w:hideMark/>
          </w:tcPr>
          <w:p w:rsidR="00CC75F2" w:rsidRPr="00CC75F2" w:rsidRDefault="00CC75F2" w:rsidP="008B0CE7">
            <w:pPr>
              <w:jc w:val="center"/>
              <w:rPr>
                <w:rFonts w:cs="Arial"/>
                <w:color w:val="000000"/>
                <w:sz w:val="16"/>
                <w:szCs w:val="16"/>
              </w:rPr>
            </w:pPr>
            <w:r w:rsidRPr="00CC75F2">
              <w:rPr>
                <w:rFonts w:cs="Arial"/>
                <w:color w:val="000000"/>
                <w:sz w:val="16"/>
                <w:szCs w:val="16"/>
              </w:rPr>
              <w:t>E</w:t>
            </w:r>
            <w:r w:rsidR="008B0CE7">
              <w:rPr>
                <w:rFonts w:cs="Arial"/>
                <w:color w:val="000000"/>
                <w:sz w:val="16"/>
                <w:szCs w:val="16"/>
              </w:rPr>
              <w:t>ast West Childcare Co-op</w:t>
            </w:r>
          </w:p>
        </w:tc>
        <w:tc>
          <w:tcPr>
            <w:tcW w:w="1276" w:type="dxa"/>
            <w:tcBorders>
              <w:top w:val="nil"/>
              <w:left w:val="nil"/>
              <w:bottom w:val="single" w:sz="4" w:space="0" w:color="auto"/>
              <w:right w:val="single" w:sz="4" w:space="0" w:color="auto"/>
            </w:tcBorders>
            <w:shd w:val="clear" w:color="auto" w:fill="auto"/>
            <w:hideMark/>
          </w:tcPr>
          <w:p w:rsidR="00CC75F2" w:rsidRPr="00CC75F2" w:rsidRDefault="00CC75F2" w:rsidP="00CC75F2">
            <w:pPr>
              <w:jc w:val="center"/>
              <w:rPr>
                <w:rFonts w:cs="Arial"/>
                <w:color w:val="000000"/>
                <w:sz w:val="16"/>
                <w:szCs w:val="16"/>
              </w:rPr>
            </w:pPr>
            <w:r w:rsidRPr="00CC75F2">
              <w:rPr>
                <w:rFonts w:cs="Arial"/>
                <w:color w:val="000000"/>
                <w:sz w:val="16"/>
                <w:szCs w:val="16"/>
              </w:rPr>
              <w:t>South Fitzroy Precinct</w:t>
            </w:r>
          </w:p>
        </w:tc>
        <w:tc>
          <w:tcPr>
            <w:tcW w:w="1134" w:type="dxa"/>
            <w:tcBorders>
              <w:top w:val="nil"/>
              <w:left w:val="nil"/>
              <w:bottom w:val="single" w:sz="4" w:space="0" w:color="auto"/>
              <w:right w:val="single" w:sz="4" w:space="0" w:color="auto"/>
            </w:tcBorders>
            <w:shd w:val="clear" w:color="auto" w:fill="auto"/>
            <w:hideMark/>
          </w:tcPr>
          <w:p w:rsidR="00CC75F2" w:rsidRPr="00CC75F2" w:rsidRDefault="00CC75F2" w:rsidP="00CC75F2">
            <w:pPr>
              <w:jc w:val="center"/>
              <w:rPr>
                <w:rFonts w:cs="Arial"/>
                <w:color w:val="000000"/>
                <w:sz w:val="16"/>
                <w:szCs w:val="16"/>
              </w:rPr>
            </w:pPr>
            <w:r w:rsidRPr="00CC75F2">
              <w:rPr>
                <w:rFonts w:cs="Arial"/>
                <w:color w:val="000000"/>
                <w:sz w:val="16"/>
                <w:szCs w:val="16"/>
              </w:rPr>
              <w:t>HO334</w:t>
            </w:r>
          </w:p>
        </w:tc>
        <w:tc>
          <w:tcPr>
            <w:tcW w:w="992" w:type="dxa"/>
            <w:tcBorders>
              <w:top w:val="nil"/>
              <w:left w:val="nil"/>
              <w:bottom w:val="single" w:sz="4" w:space="0" w:color="auto"/>
              <w:right w:val="single" w:sz="4" w:space="0" w:color="auto"/>
            </w:tcBorders>
            <w:shd w:val="clear" w:color="auto" w:fill="auto"/>
            <w:hideMark/>
          </w:tcPr>
          <w:p w:rsidR="00CC75F2" w:rsidRPr="00CC75F2" w:rsidRDefault="00CC75F2" w:rsidP="00CC75F2">
            <w:pPr>
              <w:jc w:val="center"/>
              <w:rPr>
                <w:rFonts w:cs="Arial"/>
                <w:color w:val="000000"/>
                <w:sz w:val="16"/>
                <w:szCs w:val="16"/>
              </w:rPr>
            </w:pPr>
            <w:r w:rsidRPr="00CC75F2">
              <w:rPr>
                <w:rFonts w:cs="Arial"/>
                <w:color w:val="000000"/>
                <w:sz w:val="16"/>
                <w:szCs w:val="16"/>
              </w:rPr>
              <w:t>N/A</w:t>
            </w:r>
          </w:p>
        </w:tc>
        <w:tc>
          <w:tcPr>
            <w:tcW w:w="1134" w:type="dxa"/>
            <w:tcBorders>
              <w:top w:val="nil"/>
              <w:left w:val="nil"/>
              <w:bottom w:val="single" w:sz="4" w:space="0" w:color="auto"/>
              <w:right w:val="single" w:sz="4" w:space="0" w:color="auto"/>
            </w:tcBorders>
            <w:shd w:val="clear" w:color="auto" w:fill="auto"/>
            <w:hideMark/>
          </w:tcPr>
          <w:p w:rsidR="00CC75F2" w:rsidRPr="00CC75F2" w:rsidRDefault="00CC75F2" w:rsidP="00373B8F">
            <w:pPr>
              <w:jc w:val="center"/>
              <w:rPr>
                <w:rFonts w:cs="Arial"/>
                <w:color w:val="000000"/>
                <w:sz w:val="16"/>
                <w:szCs w:val="16"/>
              </w:rPr>
            </w:pPr>
            <w:r w:rsidRPr="00CC75F2">
              <w:rPr>
                <w:rFonts w:cs="Arial"/>
                <w:color w:val="000000"/>
                <w:sz w:val="16"/>
                <w:szCs w:val="16"/>
              </w:rPr>
              <w:t>Precinct</w:t>
            </w:r>
          </w:p>
        </w:tc>
        <w:tc>
          <w:tcPr>
            <w:tcW w:w="1276" w:type="dxa"/>
            <w:tcBorders>
              <w:top w:val="nil"/>
              <w:left w:val="nil"/>
              <w:bottom w:val="single" w:sz="4" w:space="0" w:color="auto"/>
              <w:right w:val="single" w:sz="4" w:space="0" w:color="auto"/>
            </w:tcBorders>
            <w:shd w:val="clear" w:color="auto" w:fill="auto"/>
            <w:hideMark/>
          </w:tcPr>
          <w:p w:rsidR="00CC75F2" w:rsidRPr="00CC75F2" w:rsidRDefault="00CC75F2" w:rsidP="00CC75F2">
            <w:pPr>
              <w:jc w:val="center"/>
              <w:rPr>
                <w:rFonts w:cs="Arial"/>
                <w:color w:val="000000"/>
                <w:sz w:val="16"/>
                <w:szCs w:val="16"/>
              </w:rPr>
            </w:pPr>
            <w:r w:rsidRPr="00CC75F2">
              <w:rPr>
                <w:rFonts w:cs="Arial"/>
                <w:color w:val="000000"/>
                <w:sz w:val="16"/>
                <w:szCs w:val="16"/>
              </w:rPr>
              <w:t>Contributory</w:t>
            </w:r>
          </w:p>
        </w:tc>
        <w:tc>
          <w:tcPr>
            <w:tcW w:w="2835" w:type="dxa"/>
            <w:tcBorders>
              <w:top w:val="nil"/>
              <w:left w:val="nil"/>
              <w:bottom w:val="single" w:sz="4" w:space="0" w:color="auto"/>
              <w:right w:val="single" w:sz="4" w:space="0" w:color="auto"/>
            </w:tcBorders>
            <w:shd w:val="clear" w:color="auto" w:fill="auto"/>
            <w:hideMark/>
          </w:tcPr>
          <w:p w:rsidR="00CC75F2" w:rsidRPr="00CC75F2" w:rsidRDefault="00CC75F2" w:rsidP="00CC75F2">
            <w:pPr>
              <w:jc w:val="left"/>
              <w:rPr>
                <w:rFonts w:cs="Arial"/>
                <w:color w:val="000000"/>
                <w:sz w:val="16"/>
                <w:szCs w:val="16"/>
              </w:rPr>
            </w:pPr>
            <w:r w:rsidRPr="00CC75F2">
              <w:rPr>
                <w:rFonts w:cs="Arial"/>
                <w:color w:val="000000"/>
                <w:sz w:val="16"/>
                <w:szCs w:val="16"/>
              </w:rPr>
              <w:t>External controls over the building and land, no external paint controls, no tree controls and no internal controls apply</w:t>
            </w:r>
          </w:p>
        </w:tc>
        <w:tc>
          <w:tcPr>
            <w:tcW w:w="2693" w:type="dxa"/>
            <w:tcBorders>
              <w:top w:val="nil"/>
              <w:left w:val="nil"/>
              <w:bottom w:val="single" w:sz="4" w:space="0" w:color="auto"/>
              <w:right w:val="single" w:sz="4" w:space="0" w:color="auto"/>
            </w:tcBorders>
            <w:shd w:val="clear" w:color="auto" w:fill="auto"/>
            <w:hideMark/>
          </w:tcPr>
          <w:p w:rsidR="00CC75F2" w:rsidRPr="00CC75F2" w:rsidRDefault="00CC75F2" w:rsidP="00CC75F2">
            <w:pPr>
              <w:jc w:val="left"/>
              <w:rPr>
                <w:rFonts w:cs="Arial"/>
                <w:color w:val="000000"/>
                <w:sz w:val="16"/>
                <w:szCs w:val="16"/>
              </w:rPr>
            </w:pPr>
            <w:r w:rsidRPr="00CC75F2">
              <w:rPr>
                <w:rFonts w:cs="Arial"/>
                <w:color w:val="000000"/>
                <w:sz w:val="16"/>
                <w:szCs w:val="16"/>
              </w:rPr>
              <w:t> </w:t>
            </w:r>
          </w:p>
        </w:tc>
      </w:tr>
      <w:tr w:rsidR="008B0CE7" w:rsidRPr="00CC75F2" w:rsidTr="00EA18F9">
        <w:trPr>
          <w:cantSplit/>
          <w:trHeight w:val="720"/>
        </w:trPr>
        <w:tc>
          <w:tcPr>
            <w:tcW w:w="1433" w:type="dxa"/>
            <w:tcBorders>
              <w:top w:val="nil"/>
              <w:left w:val="single" w:sz="4" w:space="0" w:color="auto"/>
              <w:bottom w:val="single" w:sz="4" w:space="0" w:color="auto"/>
              <w:right w:val="single" w:sz="4" w:space="0" w:color="auto"/>
            </w:tcBorders>
            <w:shd w:val="clear" w:color="auto" w:fill="auto"/>
            <w:hideMark/>
          </w:tcPr>
          <w:p w:rsidR="00CC75F2" w:rsidRPr="00CC75F2" w:rsidRDefault="00CC75F2" w:rsidP="00CC75F2">
            <w:pPr>
              <w:jc w:val="left"/>
              <w:rPr>
                <w:rFonts w:cs="Arial"/>
                <w:color w:val="000000"/>
                <w:sz w:val="16"/>
                <w:szCs w:val="16"/>
              </w:rPr>
            </w:pPr>
            <w:r w:rsidRPr="00CC75F2">
              <w:rPr>
                <w:rFonts w:cs="Arial"/>
                <w:color w:val="000000"/>
                <w:sz w:val="16"/>
                <w:szCs w:val="16"/>
              </w:rPr>
              <w:t>Gleadell Street 11</w:t>
            </w:r>
          </w:p>
        </w:tc>
        <w:tc>
          <w:tcPr>
            <w:tcW w:w="1134" w:type="dxa"/>
            <w:tcBorders>
              <w:top w:val="nil"/>
              <w:left w:val="nil"/>
              <w:bottom w:val="single" w:sz="4" w:space="0" w:color="auto"/>
              <w:right w:val="single" w:sz="4" w:space="0" w:color="auto"/>
            </w:tcBorders>
            <w:shd w:val="clear" w:color="auto" w:fill="auto"/>
            <w:hideMark/>
          </w:tcPr>
          <w:p w:rsidR="00CC75F2" w:rsidRPr="00CC75F2" w:rsidRDefault="008B0CE7" w:rsidP="00CC75F2">
            <w:pPr>
              <w:jc w:val="center"/>
              <w:rPr>
                <w:rFonts w:cs="Arial"/>
                <w:color w:val="000000"/>
                <w:sz w:val="16"/>
                <w:szCs w:val="16"/>
              </w:rPr>
            </w:pPr>
            <w:r w:rsidRPr="00CC75F2">
              <w:rPr>
                <w:rFonts w:cs="Arial"/>
                <w:color w:val="000000"/>
                <w:sz w:val="16"/>
                <w:szCs w:val="16"/>
              </w:rPr>
              <w:t>R</w:t>
            </w:r>
            <w:r>
              <w:rPr>
                <w:rFonts w:cs="Arial"/>
                <w:color w:val="000000"/>
                <w:sz w:val="16"/>
                <w:szCs w:val="16"/>
              </w:rPr>
              <w:t>ichmond</w:t>
            </w:r>
          </w:p>
        </w:tc>
        <w:tc>
          <w:tcPr>
            <w:tcW w:w="1417" w:type="dxa"/>
            <w:tcBorders>
              <w:top w:val="nil"/>
              <w:left w:val="nil"/>
              <w:bottom w:val="single" w:sz="4" w:space="0" w:color="auto"/>
              <w:right w:val="single" w:sz="4" w:space="0" w:color="auto"/>
            </w:tcBorders>
            <w:shd w:val="clear" w:color="auto" w:fill="auto"/>
            <w:hideMark/>
          </w:tcPr>
          <w:p w:rsidR="00CC75F2" w:rsidRPr="00CC75F2" w:rsidRDefault="00CC75F2" w:rsidP="008B0CE7">
            <w:pPr>
              <w:jc w:val="center"/>
              <w:rPr>
                <w:rFonts w:cs="Arial"/>
                <w:color w:val="000000"/>
                <w:sz w:val="16"/>
                <w:szCs w:val="16"/>
              </w:rPr>
            </w:pPr>
            <w:r w:rsidRPr="00CC75F2">
              <w:rPr>
                <w:rFonts w:cs="Arial"/>
                <w:color w:val="000000"/>
                <w:sz w:val="16"/>
                <w:szCs w:val="16"/>
              </w:rPr>
              <w:t>C</w:t>
            </w:r>
            <w:r w:rsidR="008B0CE7">
              <w:rPr>
                <w:rFonts w:cs="Arial"/>
                <w:color w:val="000000"/>
                <w:sz w:val="16"/>
                <w:szCs w:val="16"/>
              </w:rPr>
              <w:t>ity Baths</w:t>
            </w:r>
          </w:p>
        </w:tc>
        <w:tc>
          <w:tcPr>
            <w:tcW w:w="1276" w:type="dxa"/>
            <w:tcBorders>
              <w:top w:val="nil"/>
              <w:left w:val="nil"/>
              <w:bottom w:val="single" w:sz="4" w:space="0" w:color="auto"/>
              <w:right w:val="single" w:sz="4" w:space="0" w:color="auto"/>
            </w:tcBorders>
            <w:shd w:val="clear" w:color="auto" w:fill="auto"/>
            <w:hideMark/>
          </w:tcPr>
          <w:p w:rsidR="00CC75F2" w:rsidRPr="00CC75F2" w:rsidRDefault="00CC75F2" w:rsidP="00CC75F2">
            <w:pPr>
              <w:jc w:val="center"/>
              <w:rPr>
                <w:rFonts w:cs="Arial"/>
                <w:color w:val="000000"/>
                <w:sz w:val="16"/>
                <w:szCs w:val="16"/>
              </w:rPr>
            </w:pPr>
            <w:r w:rsidRPr="00CC75F2">
              <w:rPr>
                <w:rFonts w:cs="Arial"/>
                <w:color w:val="000000"/>
                <w:sz w:val="16"/>
                <w:szCs w:val="16"/>
              </w:rPr>
              <w:t>3 Gleadell Street Richmond, Richmond Baths</w:t>
            </w:r>
          </w:p>
        </w:tc>
        <w:tc>
          <w:tcPr>
            <w:tcW w:w="1134" w:type="dxa"/>
            <w:tcBorders>
              <w:top w:val="nil"/>
              <w:left w:val="nil"/>
              <w:bottom w:val="single" w:sz="4" w:space="0" w:color="auto"/>
              <w:right w:val="single" w:sz="4" w:space="0" w:color="auto"/>
            </w:tcBorders>
            <w:shd w:val="clear" w:color="auto" w:fill="auto"/>
            <w:hideMark/>
          </w:tcPr>
          <w:p w:rsidR="00CC75F2" w:rsidRPr="00CC75F2" w:rsidRDefault="00CC75F2" w:rsidP="00CC75F2">
            <w:pPr>
              <w:jc w:val="center"/>
              <w:rPr>
                <w:rFonts w:cs="Arial"/>
                <w:color w:val="000000"/>
                <w:sz w:val="16"/>
                <w:szCs w:val="16"/>
              </w:rPr>
            </w:pPr>
            <w:r w:rsidRPr="00CC75F2">
              <w:rPr>
                <w:rFonts w:cs="Arial"/>
                <w:color w:val="000000"/>
                <w:sz w:val="16"/>
                <w:szCs w:val="16"/>
              </w:rPr>
              <w:t>HO261</w:t>
            </w:r>
          </w:p>
        </w:tc>
        <w:tc>
          <w:tcPr>
            <w:tcW w:w="992" w:type="dxa"/>
            <w:tcBorders>
              <w:top w:val="nil"/>
              <w:left w:val="nil"/>
              <w:bottom w:val="single" w:sz="4" w:space="0" w:color="auto"/>
              <w:right w:val="single" w:sz="4" w:space="0" w:color="auto"/>
            </w:tcBorders>
            <w:shd w:val="clear" w:color="auto" w:fill="auto"/>
            <w:hideMark/>
          </w:tcPr>
          <w:p w:rsidR="00CC75F2" w:rsidRPr="00CC75F2" w:rsidRDefault="00CC75F2" w:rsidP="00CC75F2">
            <w:pPr>
              <w:jc w:val="center"/>
              <w:rPr>
                <w:rFonts w:cs="Arial"/>
                <w:color w:val="000000"/>
                <w:sz w:val="16"/>
                <w:szCs w:val="16"/>
              </w:rPr>
            </w:pPr>
            <w:r w:rsidRPr="00CC75F2">
              <w:rPr>
                <w:rFonts w:cs="Arial"/>
                <w:color w:val="000000"/>
                <w:sz w:val="16"/>
                <w:szCs w:val="16"/>
              </w:rPr>
              <w:t>N/A</w:t>
            </w:r>
          </w:p>
        </w:tc>
        <w:tc>
          <w:tcPr>
            <w:tcW w:w="1134" w:type="dxa"/>
            <w:tcBorders>
              <w:top w:val="nil"/>
              <w:left w:val="nil"/>
              <w:bottom w:val="single" w:sz="4" w:space="0" w:color="auto"/>
              <w:right w:val="single" w:sz="4" w:space="0" w:color="auto"/>
            </w:tcBorders>
            <w:shd w:val="clear" w:color="auto" w:fill="auto"/>
            <w:hideMark/>
          </w:tcPr>
          <w:p w:rsidR="00CC75F2" w:rsidRPr="00CC75F2" w:rsidRDefault="00CC75F2" w:rsidP="00373B8F">
            <w:pPr>
              <w:jc w:val="center"/>
              <w:rPr>
                <w:rFonts w:cs="Arial"/>
                <w:color w:val="000000"/>
                <w:sz w:val="16"/>
                <w:szCs w:val="16"/>
              </w:rPr>
            </w:pPr>
            <w:r w:rsidRPr="00CC75F2">
              <w:rPr>
                <w:rFonts w:cs="Arial"/>
                <w:color w:val="000000"/>
                <w:sz w:val="16"/>
                <w:szCs w:val="16"/>
              </w:rPr>
              <w:t>Individual</w:t>
            </w:r>
          </w:p>
        </w:tc>
        <w:tc>
          <w:tcPr>
            <w:tcW w:w="1276" w:type="dxa"/>
            <w:tcBorders>
              <w:top w:val="nil"/>
              <w:left w:val="nil"/>
              <w:bottom w:val="single" w:sz="4" w:space="0" w:color="auto"/>
              <w:right w:val="single" w:sz="4" w:space="0" w:color="auto"/>
            </w:tcBorders>
            <w:shd w:val="clear" w:color="auto" w:fill="auto"/>
            <w:hideMark/>
          </w:tcPr>
          <w:p w:rsidR="00CC75F2" w:rsidRPr="00CC75F2" w:rsidRDefault="00CC75F2" w:rsidP="00CC75F2">
            <w:pPr>
              <w:jc w:val="center"/>
              <w:rPr>
                <w:rFonts w:cs="Arial"/>
                <w:color w:val="000000"/>
                <w:sz w:val="16"/>
                <w:szCs w:val="16"/>
              </w:rPr>
            </w:pPr>
            <w:r w:rsidRPr="00CC75F2">
              <w:rPr>
                <w:rFonts w:cs="Arial"/>
                <w:color w:val="000000"/>
                <w:sz w:val="16"/>
                <w:szCs w:val="16"/>
              </w:rPr>
              <w:t>Individually significant</w:t>
            </w:r>
          </w:p>
        </w:tc>
        <w:tc>
          <w:tcPr>
            <w:tcW w:w="2835" w:type="dxa"/>
            <w:tcBorders>
              <w:top w:val="nil"/>
              <w:left w:val="nil"/>
              <w:bottom w:val="single" w:sz="4" w:space="0" w:color="auto"/>
              <w:right w:val="single" w:sz="4" w:space="0" w:color="auto"/>
            </w:tcBorders>
            <w:shd w:val="clear" w:color="auto" w:fill="auto"/>
            <w:hideMark/>
          </w:tcPr>
          <w:p w:rsidR="00CC75F2" w:rsidRPr="00CC75F2" w:rsidRDefault="00CC75F2" w:rsidP="00CC75F2">
            <w:pPr>
              <w:jc w:val="left"/>
              <w:rPr>
                <w:rFonts w:cs="Arial"/>
                <w:color w:val="000000"/>
                <w:sz w:val="16"/>
                <w:szCs w:val="16"/>
              </w:rPr>
            </w:pPr>
            <w:r w:rsidRPr="00CC75F2">
              <w:rPr>
                <w:rFonts w:cs="Arial"/>
                <w:color w:val="000000"/>
                <w:sz w:val="16"/>
                <w:szCs w:val="16"/>
              </w:rPr>
              <w:t>External controls over the building and land. External paint controls apply but no internal controls and no tree controls apply</w:t>
            </w:r>
          </w:p>
        </w:tc>
        <w:tc>
          <w:tcPr>
            <w:tcW w:w="2693" w:type="dxa"/>
            <w:tcBorders>
              <w:top w:val="nil"/>
              <w:left w:val="nil"/>
              <w:bottom w:val="single" w:sz="4" w:space="0" w:color="auto"/>
              <w:right w:val="single" w:sz="4" w:space="0" w:color="auto"/>
            </w:tcBorders>
            <w:shd w:val="clear" w:color="auto" w:fill="auto"/>
            <w:hideMark/>
          </w:tcPr>
          <w:p w:rsidR="00CC75F2" w:rsidRPr="00CC75F2" w:rsidRDefault="00CC75F2" w:rsidP="00CC75F2">
            <w:pPr>
              <w:jc w:val="left"/>
              <w:rPr>
                <w:rFonts w:cs="Arial"/>
                <w:color w:val="000000"/>
                <w:sz w:val="16"/>
                <w:szCs w:val="16"/>
              </w:rPr>
            </w:pPr>
            <w:r w:rsidRPr="00CC75F2">
              <w:rPr>
                <w:rFonts w:cs="Arial"/>
                <w:color w:val="000000"/>
                <w:sz w:val="16"/>
                <w:szCs w:val="16"/>
              </w:rPr>
              <w:t> </w:t>
            </w:r>
          </w:p>
        </w:tc>
      </w:tr>
      <w:tr w:rsidR="008B0CE7" w:rsidRPr="00CC75F2" w:rsidTr="00EA18F9">
        <w:trPr>
          <w:cantSplit/>
          <w:trHeight w:val="960"/>
        </w:trPr>
        <w:tc>
          <w:tcPr>
            <w:tcW w:w="1433" w:type="dxa"/>
            <w:tcBorders>
              <w:top w:val="nil"/>
              <w:left w:val="single" w:sz="4" w:space="0" w:color="auto"/>
              <w:bottom w:val="single" w:sz="4" w:space="0" w:color="auto"/>
              <w:right w:val="single" w:sz="4" w:space="0" w:color="auto"/>
            </w:tcBorders>
            <w:shd w:val="clear" w:color="auto" w:fill="auto"/>
            <w:hideMark/>
          </w:tcPr>
          <w:p w:rsidR="00CC75F2" w:rsidRPr="00CC75F2" w:rsidRDefault="00CC75F2" w:rsidP="00CC75F2">
            <w:pPr>
              <w:jc w:val="left"/>
              <w:rPr>
                <w:rFonts w:cs="Arial"/>
                <w:color w:val="000000"/>
                <w:sz w:val="16"/>
                <w:szCs w:val="16"/>
              </w:rPr>
            </w:pPr>
            <w:r w:rsidRPr="00CC75F2">
              <w:rPr>
                <w:rFonts w:cs="Arial"/>
                <w:color w:val="000000"/>
                <w:sz w:val="16"/>
                <w:szCs w:val="16"/>
              </w:rPr>
              <w:t>Gold Street (cnr North Tce Hodgkinson Street)</w:t>
            </w:r>
          </w:p>
        </w:tc>
        <w:tc>
          <w:tcPr>
            <w:tcW w:w="1134" w:type="dxa"/>
            <w:tcBorders>
              <w:top w:val="nil"/>
              <w:left w:val="nil"/>
              <w:bottom w:val="single" w:sz="4" w:space="0" w:color="auto"/>
              <w:right w:val="single" w:sz="4" w:space="0" w:color="auto"/>
            </w:tcBorders>
            <w:shd w:val="clear" w:color="auto" w:fill="auto"/>
            <w:hideMark/>
          </w:tcPr>
          <w:p w:rsidR="00CC75F2" w:rsidRPr="00CC75F2" w:rsidRDefault="00CC75F2" w:rsidP="008B0CE7">
            <w:pPr>
              <w:jc w:val="center"/>
              <w:rPr>
                <w:rFonts w:cs="Arial"/>
                <w:color w:val="000000"/>
                <w:sz w:val="16"/>
                <w:szCs w:val="16"/>
              </w:rPr>
            </w:pPr>
            <w:r w:rsidRPr="00CC75F2">
              <w:rPr>
                <w:rFonts w:cs="Arial"/>
                <w:color w:val="000000"/>
                <w:sz w:val="16"/>
                <w:szCs w:val="16"/>
              </w:rPr>
              <w:t>C</w:t>
            </w:r>
            <w:r w:rsidR="008B0CE7">
              <w:rPr>
                <w:rFonts w:cs="Arial"/>
                <w:color w:val="000000"/>
                <w:sz w:val="16"/>
                <w:szCs w:val="16"/>
              </w:rPr>
              <w:t>lifton Hill</w:t>
            </w:r>
          </w:p>
        </w:tc>
        <w:tc>
          <w:tcPr>
            <w:tcW w:w="1417" w:type="dxa"/>
            <w:tcBorders>
              <w:top w:val="nil"/>
              <w:left w:val="nil"/>
              <w:bottom w:val="single" w:sz="4" w:space="0" w:color="auto"/>
              <w:right w:val="single" w:sz="4" w:space="0" w:color="auto"/>
            </w:tcBorders>
            <w:shd w:val="clear" w:color="auto" w:fill="auto"/>
            <w:hideMark/>
          </w:tcPr>
          <w:p w:rsidR="00CC75F2" w:rsidRPr="00CC75F2" w:rsidRDefault="00CC75F2" w:rsidP="008B0CE7">
            <w:pPr>
              <w:jc w:val="center"/>
              <w:rPr>
                <w:rFonts w:cs="Arial"/>
                <w:color w:val="000000"/>
                <w:sz w:val="16"/>
                <w:szCs w:val="16"/>
              </w:rPr>
            </w:pPr>
            <w:r w:rsidRPr="00CC75F2">
              <w:rPr>
                <w:rFonts w:cs="Arial"/>
                <w:color w:val="000000"/>
                <w:sz w:val="16"/>
                <w:szCs w:val="16"/>
              </w:rPr>
              <w:t>D</w:t>
            </w:r>
            <w:r w:rsidR="008B0CE7">
              <w:rPr>
                <w:rFonts w:cs="Arial"/>
                <w:color w:val="000000"/>
                <w:sz w:val="16"/>
                <w:szCs w:val="16"/>
              </w:rPr>
              <w:t>arling Gardens</w:t>
            </w:r>
          </w:p>
        </w:tc>
        <w:tc>
          <w:tcPr>
            <w:tcW w:w="1276" w:type="dxa"/>
            <w:tcBorders>
              <w:top w:val="nil"/>
              <w:left w:val="nil"/>
              <w:bottom w:val="single" w:sz="4" w:space="0" w:color="auto"/>
              <w:right w:val="single" w:sz="4" w:space="0" w:color="auto"/>
            </w:tcBorders>
            <w:shd w:val="clear" w:color="auto" w:fill="auto"/>
            <w:hideMark/>
          </w:tcPr>
          <w:p w:rsidR="00CC75F2" w:rsidRPr="00CC75F2" w:rsidRDefault="00CC75F2" w:rsidP="00CC75F2">
            <w:pPr>
              <w:jc w:val="center"/>
              <w:rPr>
                <w:rFonts w:cs="Arial"/>
                <w:color w:val="000000"/>
                <w:sz w:val="16"/>
                <w:szCs w:val="16"/>
              </w:rPr>
            </w:pPr>
            <w:r w:rsidRPr="00CC75F2">
              <w:rPr>
                <w:rFonts w:cs="Arial"/>
                <w:color w:val="000000"/>
                <w:sz w:val="16"/>
                <w:szCs w:val="16"/>
              </w:rPr>
              <w:t>Between North Terrace and South Terrace Clifton Hill, 'Darling Gardens'</w:t>
            </w:r>
          </w:p>
        </w:tc>
        <w:tc>
          <w:tcPr>
            <w:tcW w:w="1134" w:type="dxa"/>
            <w:tcBorders>
              <w:top w:val="nil"/>
              <w:left w:val="nil"/>
              <w:bottom w:val="single" w:sz="4" w:space="0" w:color="auto"/>
              <w:right w:val="single" w:sz="4" w:space="0" w:color="auto"/>
            </w:tcBorders>
            <w:shd w:val="clear" w:color="auto" w:fill="auto"/>
            <w:hideMark/>
          </w:tcPr>
          <w:p w:rsidR="00CC75F2" w:rsidRPr="00CC75F2" w:rsidRDefault="00CC75F2" w:rsidP="00CC75F2">
            <w:pPr>
              <w:jc w:val="center"/>
              <w:rPr>
                <w:rFonts w:cs="Arial"/>
                <w:color w:val="000000"/>
                <w:sz w:val="16"/>
                <w:szCs w:val="16"/>
              </w:rPr>
            </w:pPr>
            <w:r w:rsidRPr="00CC75F2">
              <w:rPr>
                <w:rFonts w:cs="Arial"/>
                <w:color w:val="000000"/>
                <w:sz w:val="16"/>
                <w:szCs w:val="16"/>
              </w:rPr>
              <w:t>HO94</w:t>
            </w:r>
          </w:p>
        </w:tc>
        <w:tc>
          <w:tcPr>
            <w:tcW w:w="992" w:type="dxa"/>
            <w:tcBorders>
              <w:top w:val="nil"/>
              <w:left w:val="nil"/>
              <w:bottom w:val="single" w:sz="4" w:space="0" w:color="auto"/>
              <w:right w:val="single" w:sz="4" w:space="0" w:color="auto"/>
            </w:tcBorders>
            <w:shd w:val="clear" w:color="auto" w:fill="auto"/>
            <w:hideMark/>
          </w:tcPr>
          <w:p w:rsidR="00CC75F2" w:rsidRPr="00CC75F2" w:rsidRDefault="00CC75F2" w:rsidP="00CC75F2">
            <w:pPr>
              <w:jc w:val="center"/>
              <w:rPr>
                <w:rFonts w:cs="Arial"/>
                <w:color w:val="000000"/>
                <w:sz w:val="16"/>
                <w:szCs w:val="16"/>
              </w:rPr>
            </w:pPr>
            <w:r w:rsidRPr="00CC75F2">
              <w:rPr>
                <w:rFonts w:cs="Arial"/>
                <w:color w:val="000000"/>
                <w:sz w:val="16"/>
                <w:szCs w:val="16"/>
              </w:rPr>
              <w:t>N/A</w:t>
            </w:r>
          </w:p>
        </w:tc>
        <w:tc>
          <w:tcPr>
            <w:tcW w:w="1134" w:type="dxa"/>
            <w:tcBorders>
              <w:top w:val="nil"/>
              <w:left w:val="nil"/>
              <w:bottom w:val="single" w:sz="4" w:space="0" w:color="auto"/>
              <w:right w:val="single" w:sz="4" w:space="0" w:color="auto"/>
            </w:tcBorders>
            <w:shd w:val="clear" w:color="auto" w:fill="auto"/>
            <w:hideMark/>
          </w:tcPr>
          <w:p w:rsidR="00CC75F2" w:rsidRPr="00CC75F2" w:rsidRDefault="00CC75F2" w:rsidP="00373B8F">
            <w:pPr>
              <w:jc w:val="center"/>
              <w:rPr>
                <w:rFonts w:cs="Arial"/>
                <w:color w:val="000000"/>
                <w:sz w:val="16"/>
                <w:szCs w:val="16"/>
              </w:rPr>
            </w:pPr>
            <w:r w:rsidRPr="00CC75F2">
              <w:rPr>
                <w:rFonts w:cs="Arial"/>
                <w:color w:val="000000"/>
                <w:sz w:val="16"/>
                <w:szCs w:val="16"/>
              </w:rPr>
              <w:t>Individual</w:t>
            </w:r>
          </w:p>
        </w:tc>
        <w:tc>
          <w:tcPr>
            <w:tcW w:w="1276" w:type="dxa"/>
            <w:tcBorders>
              <w:top w:val="nil"/>
              <w:left w:val="nil"/>
              <w:bottom w:val="single" w:sz="4" w:space="0" w:color="auto"/>
              <w:right w:val="single" w:sz="4" w:space="0" w:color="auto"/>
            </w:tcBorders>
            <w:shd w:val="clear" w:color="auto" w:fill="auto"/>
            <w:hideMark/>
          </w:tcPr>
          <w:p w:rsidR="00CC75F2" w:rsidRPr="00CC75F2" w:rsidRDefault="00CC75F2" w:rsidP="00CC75F2">
            <w:pPr>
              <w:jc w:val="center"/>
              <w:rPr>
                <w:rFonts w:cs="Arial"/>
                <w:color w:val="000000"/>
                <w:sz w:val="16"/>
                <w:szCs w:val="16"/>
              </w:rPr>
            </w:pPr>
            <w:r w:rsidRPr="00CC75F2">
              <w:rPr>
                <w:rFonts w:cs="Arial"/>
                <w:color w:val="000000"/>
                <w:sz w:val="16"/>
                <w:szCs w:val="16"/>
              </w:rPr>
              <w:t>Individually significant</w:t>
            </w:r>
          </w:p>
        </w:tc>
        <w:tc>
          <w:tcPr>
            <w:tcW w:w="2835" w:type="dxa"/>
            <w:tcBorders>
              <w:top w:val="nil"/>
              <w:left w:val="nil"/>
              <w:bottom w:val="single" w:sz="4" w:space="0" w:color="auto"/>
              <w:right w:val="single" w:sz="4" w:space="0" w:color="auto"/>
            </w:tcBorders>
            <w:shd w:val="clear" w:color="auto" w:fill="auto"/>
            <w:hideMark/>
          </w:tcPr>
          <w:p w:rsidR="00CC75F2" w:rsidRPr="00CC75F2" w:rsidRDefault="00CC75F2" w:rsidP="00CC75F2">
            <w:pPr>
              <w:jc w:val="left"/>
              <w:rPr>
                <w:rFonts w:cs="Arial"/>
                <w:color w:val="000000"/>
                <w:sz w:val="16"/>
                <w:szCs w:val="16"/>
              </w:rPr>
            </w:pPr>
            <w:r w:rsidRPr="00CC75F2">
              <w:rPr>
                <w:rFonts w:cs="Arial"/>
                <w:color w:val="000000"/>
                <w:sz w:val="16"/>
                <w:szCs w:val="16"/>
              </w:rPr>
              <w:t xml:space="preserve">External controls over the buildings and land, tree controls apply but there are no internal controls and no external paint controls. </w:t>
            </w:r>
          </w:p>
        </w:tc>
        <w:tc>
          <w:tcPr>
            <w:tcW w:w="2693" w:type="dxa"/>
            <w:tcBorders>
              <w:top w:val="nil"/>
              <w:left w:val="nil"/>
              <w:bottom w:val="single" w:sz="4" w:space="0" w:color="auto"/>
              <w:right w:val="single" w:sz="4" w:space="0" w:color="auto"/>
            </w:tcBorders>
            <w:shd w:val="clear" w:color="auto" w:fill="auto"/>
            <w:hideMark/>
          </w:tcPr>
          <w:p w:rsidR="00CC75F2" w:rsidRPr="00CC75F2" w:rsidRDefault="00CC75F2" w:rsidP="00CC75F2">
            <w:pPr>
              <w:jc w:val="left"/>
              <w:rPr>
                <w:rFonts w:cs="Arial"/>
                <w:color w:val="000000"/>
                <w:sz w:val="16"/>
                <w:szCs w:val="16"/>
              </w:rPr>
            </w:pPr>
            <w:r w:rsidRPr="00CC75F2">
              <w:rPr>
                <w:rFonts w:cs="Arial"/>
                <w:color w:val="000000"/>
                <w:sz w:val="16"/>
                <w:szCs w:val="16"/>
              </w:rPr>
              <w:t> </w:t>
            </w:r>
          </w:p>
        </w:tc>
      </w:tr>
      <w:tr w:rsidR="008B0CE7" w:rsidRPr="00CC75F2" w:rsidTr="00EA18F9">
        <w:trPr>
          <w:cantSplit/>
          <w:trHeight w:val="720"/>
        </w:trPr>
        <w:tc>
          <w:tcPr>
            <w:tcW w:w="1433" w:type="dxa"/>
            <w:tcBorders>
              <w:top w:val="nil"/>
              <w:left w:val="single" w:sz="4" w:space="0" w:color="auto"/>
              <w:bottom w:val="single" w:sz="4" w:space="0" w:color="auto"/>
              <w:right w:val="single" w:sz="4" w:space="0" w:color="auto"/>
            </w:tcBorders>
            <w:shd w:val="clear" w:color="auto" w:fill="auto"/>
            <w:hideMark/>
          </w:tcPr>
          <w:p w:rsidR="00CC75F2" w:rsidRPr="00CC75F2" w:rsidRDefault="00CC75F2" w:rsidP="00CC75F2">
            <w:pPr>
              <w:jc w:val="left"/>
              <w:rPr>
                <w:rFonts w:cs="Arial"/>
                <w:color w:val="000000"/>
                <w:sz w:val="16"/>
                <w:szCs w:val="16"/>
              </w:rPr>
            </w:pPr>
            <w:r w:rsidRPr="00CC75F2">
              <w:rPr>
                <w:rFonts w:cs="Arial"/>
                <w:color w:val="000000"/>
                <w:sz w:val="16"/>
                <w:szCs w:val="16"/>
              </w:rPr>
              <w:t>Gold Street 53</w:t>
            </w:r>
          </w:p>
        </w:tc>
        <w:tc>
          <w:tcPr>
            <w:tcW w:w="1134" w:type="dxa"/>
            <w:tcBorders>
              <w:top w:val="nil"/>
              <w:left w:val="nil"/>
              <w:bottom w:val="single" w:sz="4" w:space="0" w:color="auto"/>
              <w:right w:val="single" w:sz="4" w:space="0" w:color="auto"/>
            </w:tcBorders>
            <w:shd w:val="clear" w:color="auto" w:fill="auto"/>
            <w:hideMark/>
          </w:tcPr>
          <w:p w:rsidR="00CC75F2" w:rsidRPr="00CC75F2" w:rsidRDefault="00CC75F2" w:rsidP="008B0CE7">
            <w:pPr>
              <w:jc w:val="center"/>
              <w:rPr>
                <w:rFonts w:cs="Arial"/>
                <w:color w:val="000000"/>
                <w:sz w:val="16"/>
                <w:szCs w:val="16"/>
              </w:rPr>
            </w:pPr>
            <w:r w:rsidRPr="00CC75F2">
              <w:rPr>
                <w:rFonts w:cs="Arial"/>
                <w:color w:val="000000"/>
                <w:sz w:val="16"/>
                <w:szCs w:val="16"/>
              </w:rPr>
              <w:t>C</w:t>
            </w:r>
            <w:r w:rsidR="008B0CE7">
              <w:rPr>
                <w:rFonts w:cs="Arial"/>
                <w:color w:val="000000"/>
                <w:sz w:val="16"/>
                <w:szCs w:val="16"/>
              </w:rPr>
              <w:t>ollingwood</w:t>
            </w:r>
          </w:p>
        </w:tc>
        <w:tc>
          <w:tcPr>
            <w:tcW w:w="1417" w:type="dxa"/>
            <w:tcBorders>
              <w:top w:val="nil"/>
              <w:left w:val="nil"/>
              <w:bottom w:val="single" w:sz="4" w:space="0" w:color="auto"/>
              <w:right w:val="single" w:sz="4" w:space="0" w:color="auto"/>
            </w:tcBorders>
            <w:shd w:val="clear" w:color="auto" w:fill="auto"/>
            <w:hideMark/>
          </w:tcPr>
          <w:p w:rsidR="00CC75F2" w:rsidRPr="00CC75F2" w:rsidRDefault="008B0CE7" w:rsidP="00373B8F">
            <w:pPr>
              <w:jc w:val="center"/>
              <w:rPr>
                <w:rFonts w:cs="Arial"/>
                <w:color w:val="000000"/>
                <w:sz w:val="16"/>
                <w:szCs w:val="16"/>
              </w:rPr>
            </w:pPr>
            <w:r>
              <w:rPr>
                <w:rFonts w:cs="Arial"/>
                <w:color w:val="000000"/>
                <w:sz w:val="16"/>
                <w:szCs w:val="16"/>
              </w:rPr>
              <w:t>McNamara Reserve</w:t>
            </w:r>
          </w:p>
        </w:tc>
        <w:tc>
          <w:tcPr>
            <w:tcW w:w="1276" w:type="dxa"/>
            <w:tcBorders>
              <w:top w:val="nil"/>
              <w:left w:val="nil"/>
              <w:bottom w:val="single" w:sz="4" w:space="0" w:color="auto"/>
              <w:right w:val="single" w:sz="4" w:space="0" w:color="auto"/>
            </w:tcBorders>
            <w:shd w:val="clear" w:color="auto" w:fill="auto"/>
            <w:hideMark/>
          </w:tcPr>
          <w:p w:rsidR="00CC75F2" w:rsidRPr="00CC75F2" w:rsidRDefault="00CC75F2" w:rsidP="00CC75F2">
            <w:pPr>
              <w:jc w:val="center"/>
              <w:rPr>
                <w:rFonts w:cs="Arial"/>
                <w:color w:val="000000"/>
                <w:sz w:val="16"/>
                <w:szCs w:val="16"/>
              </w:rPr>
            </w:pPr>
            <w:r w:rsidRPr="00CC75F2">
              <w:rPr>
                <w:rFonts w:cs="Arial"/>
                <w:color w:val="000000"/>
                <w:sz w:val="16"/>
                <w:szCs w:val="16"/>
              </w:rPr>
              <w:t>Gold Street Precinct</w:t>
            </w:r>
          </w:p>
        </w:tc>
        <w:tc>
          <w:tcPr>
            <w:tcW w:w="1134" w:type="dxa"/>
            <w:tcBorders>
              <w:top w:val="nil"/>
              <w:left w:val="nil"/>
              <w:bottom w:val="single" w:sz="4" w:space="0" w:color="auto"/>
              <w:right w:val="single" w:sz="4" w:space="0" w:color="auto"/>
            </w:tcBorders>
            <w:shd w:val="clear" w:color="auto" w:fill="auto"/>
            <w:hideMark/>
          </w:tcPr>
          <w:p w:rsidR="00CC75F2" w:rsidRPr="00CC75F2" w:rsidRDefault="00CC75F2" w:rsidP="00CC75F2">
            <w:pPr>
              <w:jc w:val="center"/>
              <w:rPr>
                <w:rFonts w:cs="Arial"/>
                <w:color w:val="000000"/>
                <w:sz w:val="16"/>
                <w:szCs w:val="16"/>
              </w:rPr>
            </w:pPr>
            <w:r w:rsidRPr="00CC75F2">
              <w:rPr>
                <w:rFonts w:cs="Arial"/>
                <w:color w:val="000000"/>
                <w:sz w:val="16"/>
                <w:szCs w:val="16"/>
              </w:rPr>
              <w:t>HO321</w:t>
            </w:r>
          </w:p>
        </w:tc>
        <w:tc>
          <w:tcPr>
            <w:tcW w:w="992" w:type="dxa"/>
            <w:tcBorders>
              <w:top w:val="nil"/>
              <w:left w:val="nil"/>
              <w:bottom w:val="single" w:sz="4" w:space="0" w:color="auto"/>
              <w:right w:val="single" w:sz="4" w:space="0" w:color="auto"/>
            </w:tcBorders>
            <w:shd w:val="clear" w:color="auto" w:fill="auto"/>
            <w:hideMark/>
          </w:tcPr>
          <w:p w:rsidR="00CC75F2" w:rsidRPr="00CC75F2" w:rsidRDefault="00CC75F2" w:rsidP="00CC75F2">
            <w:pPr>
              <w:jc w:val="center"/>
              <w:rPr>
                <w:rFonts w:cs="Arial"/>
                <w:color w:val="000000"/>
                <w:sz w:val="16"/>
                <w:szCs w:val="16"/>
              </w:rPr>
            </w:pPr>
            <w:r w:rsidRPr="00CC75F2">
              <w:rPr>
                <w:rFonts w:cs="Arial"/>
                <w:color w:val="000000"/>
                <w:sz w:val="16"/>
                <w:szCs w:val="16"/>
              </w:rPr>
              <w:t>N/A</w:t>
            </w:r>
          </w:p>
        </w:tc>
        <w:tc>
          <w:tcPr>
            <w:tcW w:w="1134" w:type="dxa"/>
            <w:tcBorders>
              <w:top w:val="nil"/>
              <w:left w:val="nil"/>
              <w:bottom w:val="single" w:sz="4" w:space="0" w:color="auto"/>
              <w:right w:val="single" w:sz="4" w:space="0" w:color="auto"/>
            </w:tcBorders>
            <w:shd w:val="clear" w:color="auto" w:fill="auto"/>
            <w:hideMark/>
          </w:tcPr>
          <w:p w:rsidR="00CC75F2" w:rsidRPr="00CC75F2" w:rsidRDefault="00CC75F2" w:rsidP="00373B8F">
            <w:pPr>
              <w:jc w:val="center"/>
              <w:rPr>
                <w:rFonts w:cs="Arial"/>
                <w:color w:val="000000"/>
                <w:sz w:val="16"/>
                <w:szCs w:val="16"/>
              </w:rPr>
            </w:pPr>
            <w:r w:rsidRPr="00CC75F2">
              <w:rPr>
                <w:rFonts w:cs="Arial"/>
                <w:color w:val="000000"/>
                <w:sz w:val="16"/>
                <w:szCs w:val="16"/>
              </w:rPr>
              <w:t>Precinct</w:t>
            </w:r>
          </w:p>
        </w:tc>
        <w:tc>
          <w:tcPr>
            <w:tcW w:w="1276" w:type="dxa"/>
            <w:tcBorders>
              <w:top w:val="nil"/>
              <w:left w:val="nil"/>
              <w:bottom w:val="single" w:sz="4" w:space="0" w:color="auto"/>
              <w:right w:val="single" w:sz="4" w:space="0" w:color="auto"/>
            </w:tcBorders>
            <w:shd w:val="clear" w:color="auto" w:fill="auto"/>
            <w:hideMark/>
          </w:tcPr>
          <w:p w:rsidR="00CC75F2" w:rsidRPr="00CC75F2" w:rsidRDefault="00CC75F2" w:rsidP="00CC75F2">
            <w:pPr>
              <w:jc w:val="center"/>
              <w:rPr>
                <w:rFonts w:cs="Arial"/>
                <w:color w:val="000000"/>
                <w:sz w:val="16"/>
                <w:szCs w:val="16"/>
              </w:rPr>
            </w:pPr>
            <w:r w:rsidRPr="00CC75F2">
              <w:rPr>
                <w:rFonts w:cs="Arial"/>
                <w:color w:val="000000"/>
                <w:sz w:val="16"/>
                <w:szCs w:val="16"/>
              </w:rPr>
              <w:t>Not contributory</w:t>
            </w:r>
          </w:p>
        </w:tc>
        <w:tc>
          <w:tcPr>
            <w:tcW w:w="2835" w:type="dxa"/>
            <w:tcBorders>
              <w:top w:val="nil"/>
              <w:left w:val="nil"/>
              <w:bottom w:val="single" w:sz="4" w:space="0" w:color="auto"/>
              <w:right w:val="single" w:sz="4" w:space="0" w:color="auto"/>
            </w:tcBorders>
            <w:shd w:val="clear" w:color="auto" w:fill="auto"/>
            <w:hideMark/>
          </w:tcPr>
          <w:p w:rsidR="00CC75F2" w:rsidRPr="00CC75F2" w:rsidRDefault="00CC75F2" w:rsidP="00CC75F2">
            <w:pPr>
              <w:jc w:val="left"/>
              <w:rPr>
                <w:rFonts w:cs="Arial"/>
                <w:color w:val="000000"/>
                <w:sz w:val="16"/>
                <w:szCs w:val="16"/>
              </w:rPr>
            </w:pPr>
            <w:r w:rsidRPr="00CC75F2">
              <w:rPr>
                <w:rFonts w:cs="Arial"/>
                <w:color w:val="000000"/>
                <w:sz w:val="16"/>
                <w:szCs w:val="16"/>
              </w:rPr>
              <w:t>External controls apply to the buildings and land, no internal controls, no tree controls and no external paint controls apply</w:t>
            </w:r>
          </w:p>
        </w:tc>
        <w:tc>
          <w:tcPr>
            <w:tcW w:w="2693" w:type="dxa"/>
            <w:tcBorders>
              <w:top w:val="nil"/>
              <w:left w:val="nil"/>
              <w:bottom w:val="single" w:sz="4" w:space="0" w:color="auto"/>
              <w:right w:val="single" w:sz="4" w:space="0" w:color="auto"/>
            </w:tcBorders>
            <w:shd w:val="clear" w:color="auto" w:fill="auto"/>
            <w:hideMark/>
          </w:tcPr>
          <w:p w:rsidR="00CC75F2" w:rsidRPr="00CC75F2" w:rsidRDefault="00CC75F2" w:rsidP="00622DC3">
            <w:pPr>
              <w:jc w:val="left"/>
              <w:rPr>
                <w:rFonts w:cs="Arial"/>
                <w:color w:val="000000"/>
                <w:sz w:val="16"/>
                <w:szCs w:val="16"/>
              </w:rPr>
            </w:pPr>
            <w:r w:rsidRPr="00CC75F2">
              <w:rPr>
                <w:rFonts w:cs="Arial"/>
                <w:color w:val="000000"/>
                <w:sz w:val="16"/>
                <w:szCs w:val="16"/>
              </w:rPr>
              <w:t xml:space="preserve">Physical changes to the reserve would normally require approval under the Heritage Overlay from the </w:t>
            </w:r>
            <w:r w:rsidR="00622DC3" w:rsidRPr="00CC75F2">
              <w:rPr>
                <w:rFonts w:cs="Arial"/>
                <w:color w:val="000000"/>
                <w:sz w:val="16"/>
                <w:szCs w:val="16"/>
              </w:rPr>
              <w:t>Yarra</w:t>
            </w:r>
            <w:r w:rsidR="00622DC3">
              <w:rPr>
                <w:rFonts w:cs="Arial"/>
                <w:color w:val="000000"/>
                <w:sz w:val="16"/>
                <w:szCs w:val="16"/>
              </w:rPr>
              <w:t xml:space="preserve"> City Council</w:t>
            </w:r>
            <w:r w:rsidR="00622DC3" w:rsidRPr="00CC75F2">
              <w:rPr>
                <w:rFonts w:cs="Arial"/>
                <w:color w:val="000000"/>
                <w:sz w:val="16"/>
                <w:szCs w:val="16"/>
              </w:rPr>
              <w:t xml:space="preserve"> </w:t>
            </w:r>
            <w:r w:rsidR="00622DC3">
              <w:rPr>
                <w:rFonts w:cs="Arial"/>
                <w:color w:val="000000"/>
                <w:sz w:val="16"/>
                <w:szCs w:val="16"/>
              </w:rPr>
              <w:t>.</w:t>
            </w:r>
            <w:r w:rsidRPr="00CC75F2">
              <w:rPr>
                <w:rFonts w:cs="Arial"/>
                <w:color w:val="000000"/>
                <w:sz w:val="16"/>
                <w:szCs w:val="16"/>
              </w:rPr>
              <w:t xml:space="preserve"> Yarra.</w:t>
            </w:r>
          </w:p>
        </w:tc>
      </w:tr>
      <w:tr w:rsidR="008B0CE7" w:rsidRPr="00CC75F2" w:rsidTr="00EA18F9">
        <w:trPr>
          <w:cantSplit/>
          <w:trHeight w:val="720"/>
        </w:trPr>
        <w:tc>
          <w:tcPr>
            <w:tcW w:w="1433" w:type="dxa"/>
            <w:tcBorders>
              <w:top w:val="nil"/>
              <w:left w:val="single" w:sz="4" w:space="0" w:color="auto"/>
              <w:bottom w:val="single" w:sz="4" w:space="0" w:color="auto"/>
              <w:right w:val="single" w:sz="4" w:space="0" w:color="auto"/>
            </w:tcBorders>
            <w:shd w:val="clear" w:color="auto" w:fill="auto"/>
            <w:hideMark/>
          </w:tcPr>
          <w:p w:rsidR="00CC75F2" w:rsidRPr="00CC75F2" w:rsidRDefault="00CC75F2" w:rsidP="00CC75F2">
            <w:pPr>
              <w:jc w:val="left"/>
              <w:rPr>
                <w:rFonts w:cs="Arial"/>
                <w:color w:val="000000"/>
                <w:sz w:val="16"/>
                <w:szCs w:val="16"/>
              </w:rPr>
            </w:pPr>
            <w:r w:rsidRPr="00CC75F2">
              <w:rPr>
                <w:rFonts w:cs="Arial"/>
                <w:color w:val="000000"/>
                <w:sz w:val="16"/>
                <w:szCs w:val="16"/>
              </w:rPr>
              <w:t>Gold Street 64</w:t>
            </w:r>
          </w:p>
        </w:tc>
        <w:tc>
          <w:tcPr>
            <w:tcW w:w="1134" w:type="dxa"/>
            <w:tcBorders>
              <w:top w:val="nil"/>
              <w:left w:val="nil"/>
              <w:bottom w:val="single" w:sz="4" w:space="0" w:color="auto"/>
              <w:right w:val="single" w:sz="4" w:space="0" w:color="auto"/>
            </w:tcBorders>
            <w:shd w:val="clear" w:color="auto" w:fill="auto"/>
            <w:hideMark/>
          </w:tcPr>
          <w:p w:rsidR="00CC75F2" w:rsidRPr="00CC75F2" w:rsidRDefault="008B0CE7" w:rsidP="00CC75F2">
            <w:pPr>
              <w:jc w:val="center"/>
              <w:rPr>
                <w:rFonts w:cs="Arial"/>
                <w:color w:val="000000"/>
                <w:sz w:val="16"/>
                <w:szCs w:val="16"/>
              </w:rPr>
            </w:pPr>
            <w:r w:rsidRPr="00CC75F2">
              <w:rPr>
                <w:rFonts w:cs="Arial"/>
                <w:color w:val="000000"/>
                <w:sz w:val="16"/>
                <w:szCs w:val="16"/>
              </w:rPr>
              <w:t>C</w:t>
            </w:r>
            <w:r>
              <w:rPr>
                <w:rFonts w:cs="Arial"/>
                <w:color w:val="000000"/>
                <w:sz w:val="16"/>
                <w:szCs w:val="16"/>
              </w:rPr>
              <w:t>ollingwood</w:t>
            </w:r>
          </w:p>
        </w:tc>
        <w:tc>
          <w:tcPr>
            <w:tcW w:w="1417" w:type="dxa"/>
            <w:tcBorders>
              <w:top w:val="nil"/>
              <w:left w:val="nil"/>
              <w:bottom w:val="single" w:sz="4" w:space="0" w:color="auto"/>
              <w:right w:val="single" w:sz="4" w:space="0" w:color="auto"/>
            </w:tcBorders>
            <w:shd w:val="clear" w:color="auto" w:fill="auto"/>
            <w:hideMark/>
          </w:tcPr>
          <w:p w:rsidR="00CC75F2" w:rsidRPr="00CC75F2" w:rsidRDefault="00CC75F2" w:rsidP="008B0CE7">
            <w:pPr>
              <w:jc w:val="center"/>
              <w:rPr>
                <w:rFonts w:cs="Arial"/>
                <w:color w:val="000000"/>
                <w:sz w:val="16"/>
                <w:szCs w:val="16"/>
              </w:rPr>
            </w:pPr>
            <w:r w:rsidRPr="00CC75F2">
              <w:rPr>
                <w:rFonts w:cs="Arial"/>
                <w:color w:val="000000"/>
                <w:sz w:val="16"/>
                <w:szCs w:val="16"/>
              </w:rPr>
              <w:t>G</w:t>
            </w:r>
            <w:r w:rsidR="008B0CE7">
              <w:rPr>
                <w:rFonts w:cs="Arial"/>
                <w:color w:val="000000"/>
                <w:sz w:val="16"/>
                <w:szCs w:val="16"/>
              </w:rPr>
              <w:t>old Street Child Care Centre</w:t>
            </w:r>
          </w:p>
        </w:tc>
        <w:tc>
          <w:tcPr>
            <w:tcW w:w="1276" w:type="dxa"/>
            <w:tcBorders>
              <w:top w:val="nil"/>
              <w:left w:val="nil"/>
              <w:bottom w:val="single" w:sz="4" w:space="0" w:color="auto"/>
              <w:right w:val="single" w:sz="4" w:space="0" w:color="auto"/>
            </w:tcBorders>
            <w:shd w:val="clear" w:color="auto" w:fill="auto"/>
            <w:hideMark/>
          </w:tcPr>
          <w:p w:rsidR="00CC75F2" w:rsidRPr="00CC75F2" w:rsidRDefault="00CC75F2" w:rsidP="00CC75F2">
            <w:pPr>
              <w:jc w:val="center"/>
              <w:rPr>
                <w:rFonts w:cs="Arial"/>
                <w:color w:val="000000"/>
                <w:sz w:val="16"/>
                <w:szCs w:val="16"/>
              </w:rPr>
            </w:pPr>
            <w:r w:rsidRPr="00CC75F2">
              <w:rPr>
                <w:rFonts w:cs="Arial"/>
                <w:color w:val="000000"/>
                <w:sz w:val="16"/>
                <w:szCs w:val="16"/>
              </w:rPr>
              <w:t>Gold Street Precinct</w:t>
            </w:r>
          </w:p>
        </w:tc>
        <w:tc>
          <w:tcPr>
            <w:tcW w:w="1134" w:type="dxa"/>
            <w:tcBorders>
              <w:top w:val="nil"/>
              <w:left w:val="nil"/>
              <w:bottom w:val="single" w:sz="4" w:space="0" w:color="auto"/>
              <w:right w:val="single" w:sz="4" w:space="0" w:color="auto"/>
            </w:tcBorders>
            <w:shd w:val="clear" w:color="auto" w:fill="auto"/>
            <w:hideMark/>
          </w:tcPr>
          <w:p w:rsidR="00CC75F2" w:rsidRPr="00CC75F2" w:rsidRDefault="00CC75F2" w:rsidP="00CC75F2">
            <w:pPr>
              <w:jc w:val="center"/>
              <w:rPr>
                <w:rFonts w:cs="Arial"/>
                <w:color w:val="000000"/>
                <w:sz w:val="16"/>
                <w:szCs w:val="16"/>
              </w:rPr>
            </w:pPr>
            <w:r w:rsidRPr="00CC75F2">
              <w:rPr>
                <w:rFonts w:cs="Arial"/>
                <w:color w:val="000000"/>
                <w:sz w:val="16"/>
                <w:szCs w:val="16"/>
              </w:rPr>
              <w:t>HO321</w:t>
            </w:r>
          </w:p>
        </w:tc>
        <w:tc>
          <w:tcPr>
            <w:tcW w:w="992" w:type="dxa"/>
            <w:tcBorders>
              <w:top w:val="nil"/>
              <w:left w:val="nil"/>
              <w:bottom w:val="single" w:sz="4" w:space="0" w:color="auto"/>
              <w:right w:val="single" w:sz="4" w:space="0" w:color="auto"/>
            </w:tcBorders>
            <w:shd w:val="clear" w:color="auto" w:fill="auto"/>
            <w:hideMark/>
          </w:tcPr>
          <w:p w:rsidR="00CC75F2" w:rsidRPr="00CC75F2" w:rsidRDefault="00CC75F2" w:rsidP="00CC75F2">
            <w:pPr>
              <w:jc w:val="center"/>
              <w:rPr>
                <w:rFonts w:cs="Arial"/>
                <w:color w:val="000000"/>
                <w:sz w:val="16"/>
                <w:szCs w:val="16"/>
              </w:rPr>
            </w:pPr>
            <w:r w:rsidRPr="00CC75F2">
              <w:rPr>
                <w:rFonts w:cs="Arial"/>
                <w:color w:val="000000"/>
                <w:sz w:val="16"/>
                <w:szCs w:val="16"/>
              </w:rPr>
              <w:t>N/A</w:t>
            </w:r>
          </w:p>
        </w:tc>
        <w:tc>
          <w:tcPr>
            <w:tcW w:w="1134" w:type="dxa"/>
            <w:tcBorders>
              <w:top w:val="nil"/>
              <w:left w:val="nil"/>
              <w:bottom w:val="single" w:sz="4" w:space="0" w:color="auto"/>
              <w:right w:val="single" w:sz="4" w:space="0" w:color="auto"/>
            </w:tcBorders>
            <w:shd w:val="clear" w:color="auto" w:fill="auto"/>
            <w:hideMark/>
          </w:tcPr>
          <w:p w:rsidR="00CC75F2" w:rsidRPr="00CC75F2" w:rsidRDefault="00CC75F2" w:rsidP="00373B8F">
            <w:pPr>
              <w:jc w:val="center"/>
              <w:rPr>
                <w:rFonts w:cs="Arial"/>
                <w:color w:val="000000"/>
                <w:sz w:val="16"/>
                <w:szCs w:val="16"/>
              </w:rPr>
            </w:pPr>
            <w:r w:rsidRPr="00CC75F2">
              <w:rPr>
                <w:rFonts w:cs="Arial"/>
                <w:color w:val="000000"/>
                <w:sz w:val="16"/>
                <w:szCs w:val="16"/>
              </w:rPr>
              <w:t>Precinct</w:t>
            </w:r>
          </w:p>
        </w:tc>
        <w:tc>
          <w:tcPr>
            <w:tcW w:w="1276" w:type="dxa"/>
            <w:tcBorders>
              <w:top w:val="nil"/>
              <w:left w:val="nil"/>
              <w:bottom w:val="single" w:sz="4" w:space="0" w:color="auto"/>
              <w:right w:val="single" w:sz="4" w:space="0" w:color="auto"/>
            </w:tcBorders>
            <w:shd w:val="clear" w:color="auto" w:fill="auto"/>
            <w:hideMark/>
          </w:tcPr>
          <w:p w:rsidR="00CC75F2" w:rsidRPr="00CC75F2" w:rsidRDefault="00CC75F2" w:rsidP="00CC75F2">
            <w:pPr>
              <w:jc w:val="center"/>
              <w:rPr>
                <w:rFonts w:cs="Arial"/>
                <w:color w:val="000000"/>
                <w:sz w:val="16"/>
                <w:szCs w:val="16"/>
              </w:rPr>
            </w:pPr>
            <w:r w:rsidRPr="00CC75F2">
              <w:rPr>
                <w:rFonts w:cs="Arial"/>
                <w:color w:val="000000"/>
                <w:sz w:val="16"/>
                <w:szCs w:val="16"/>
              </w:rPr>
              <w:t>Not contributory</w:t>
            </w:r>
          </w:p>
        </w:tc>
        <w:tc>
          <w:tcPr>
            <w:tcW w:w="2835" w:type="dxa"/>
            <w:tcBorders>
              <w:top w:val="nil"/>
              <w:left w:val="nil"/>
              <w:bottom w:val="single" w:sz="4" w:space="0" w:color="auto"/>
              <w:right w:val="single" w:sz="4" w:space="0" w:color="auto"/>
            </w:tcBorders>
            <w:shd w:val="clear" w:color="auto" w:fill="auto"/>
            <w:hideMark/>
          </w:tcPr>
          <w:p w:rsidR="00CC75F2" w:rsidRPr="00CC75F2" w:rsidRDefault="00CC75F2" w:rsidP="00CC75F2">
            <w:pPr>
              <w:jc w:val="left"/>
              <w:rPr>
                <w:rFonts w:cs="Arial"/>
                <w:color w:val="000000"/>
                <w:sz w:val="16"/>
                <w:szCs w:val="16"/>
              </w:rPr>
            </w:pPr>
            <w:r w:rsidRPr="00CC75F2">
              <w:rPr>
                <w:rFonts w:cs="Arial"/>
                <w:color w:val="000000"/>
                <w:sz w:val="16"/>
                <w:szCs w:val="16"/>
              </w:rPr>
              <w:t>External controls apply to the building and land (demolition could be contemplated), no internal, tree or external paint controls apply</w:t>
            </w:r>
          </w:p>
        </w:tc>
        <w:tc>
          <w:tcPr>
            <w:tcW w:w="2693" w:type="dxa"/>
            <w:tcBorders>
              <w:top w:val="nil"/>
              <w:left w:val="nil"/>
              <w:bottom w:val="single" w:sz="4" w:space="0" w:color="auto"/>
              <w:right w:val="single" w:sz="4" w:space="0" w:color="auto"/>
            </w:tcBorders>
            <w:shd w:val="clear" w:color="auto" w:fill="auto"/>
            <w:hideMark/>
          </w:tcPr>
          <w:p w:rsidR="00CC75F2" w:rsidRPr="00CC75F2" w:rsidRDefault="00CC75F2" w:rsidP="00CC75F2">
            <w:pPr>
              <w:jc w:val="left"/>
              <w:rPr>
                <w:rFonts w:cs="Arial"/>
                <w:color w:val="000000"/>
                <w:sz w:val="16"/>
                <w:szCs w:val="16"/>
              </w:rPr>
            </w:pPr>
            <w:r w:rsidRPr="00CC75F2">
              <w:rPr>
                <w:rFonts w:cs="Arial"/>
                <w:color w:val="000000"/>
                <w:sz w:val="16"/>
                <w:szCs w:val="16"/>
              </w:rPr>
              <w:t> </w:t>
            </w:r>
          </w:p>
        </w:tc>
      </w:tr>
      <w:tr w:rsidR="008B0CE7" w:rsidRPr="00CC75F2" w:rsidTr="00EA18F9">
        <w:trPr>
          <w:cantSplit/>
          <w:trHeight w:val="960"/>
        </w:trPr>
        <w:tc>
          <w:tcPr>
            <w:tcW w:w="1433" w:type="dxa"/>
            <w:tcBorders>
              <w:top w:val="nil"/>
              <w:left w:val="single" w:sz="4" w:space="0" w:color="auto"/>
              <w:bottom w:val="single" w:sz="4" w:space="0" w:color="auto"/>
              <w:right w:val="single" w:sz="4" w:space="0" w:color="auto"/>
            </w:tcBorders>
            <w:shd w:val="clear" w:color="auto" w:fill="auto"/>
            <w:hideMark/>
          </w:tcPr>
          <w:p w:rsidR="00CC75F2" w:rsidRPr="00CC75F2" w:rsidRDefault="00CC75F2" w:rsidP="00CC75F2">
            <w:pPr>
              <w:jc w:val="left"/>
              <w:rPr>
                <w:rFonts w:cs="Arial"/>
                <w:color w:val="000000"/>
                <w:sz w:val="16"/>
                <w:szCs w:val="16"/>
              </w:rPr>
            </w:pPr>
            <w:r w:rsidRPr="00CC75F2">
              <w:rPr>
                <w:rFonts w:cs="Arial"/>
                <w:color w:val="000000"/>
                <w:sz w:val="16"/>
                <w:szCs w:val="16"/>
              </w:rPr>
              <w:t>Greeves Street 58</w:t>
            </w:r>
          </w:p>
        </w:tc>
        <w:tc>
          <w:tcPr>
            <w:tcW w:w="1134" w:type="dxa"/>
            <w:tcBorders>
              <w:top w:val="nil"/>
              <w:left w:val="nil"/>
              <w:bottom w:val="single" w:sz="4" w:space="0" w:color="auto"/>
              <w:right w:val="single" w:sz="4" w:space="0" w:color="auto"/>
            </w:tcBorders>
            <w:shd w:val="clear" w:color="auto" w:fill="auto"/>
            <w:hideMark/>
          </w:tcPr>
          <w:p w:rsidR="00CC75F2" w:rsidRPr="00CC75F2" w:rsidRDefault="00373B8F" w:rsidP="00CC75F2">
            <w:pPr>
              <w:jc w:val="center"/>
              <w:rPr>
                <w:rFonts w:cs="Arial"/>
                <w:color w:val="000000"/>
                <w:sz w:val="16"/>
                <w:szCs w:val="16"/>
              </w:rPr>
            </w:pPr>
            <w:r w:rsidRPr="00CC75F2">
              <w:rPr>
                <w:rFonts w:cs="Arial"/>
                <w:color w:val="000000"/>
                <w:sz w:val="16"/>
                <w:szCs w:val="16"/>
              </w:rPr>
              <w:t>F</w:t>
            </w:r>
            <w:r>
              <w:rPr>
                <w:rFonts w:cs="Arial"/>
                <w:color w:val="000000"/>
                <w:sz w:val="16"/>
                <w:szCs w:val="16"/>
              </w:rPr>
              <w:t>itzroy</w:t>
            </w:r>
          </w:p>
        </w:tc>
        <w:tc>
          <w:tcPr>
            <w:tcW w:w="1417" w:type="dxa"/>
            <w:tcBorders>
              <w:top w:val="nil"/>
              <w:left w:val="nil"/>
              <w:bottom w:val="single" w:sz="4" w:space="0" w:color="auto"/>
              <w:right w:val="single" w:sz="4" w:space="0" w:color="auto"/>
            </w:tcBorders>
            <w:shd w:val="clear" w:color="auto" w:fill="auto"/>
            <w:hideMark/>
          </w:tcPr>
          <w:p w:rsidR="00CC75F2" w:rsidRPr="00CC75F2" w:rsidRDefault="00CC75F2" w:rsidP="008B0CE7">
            <w:pPr>
              <w:jc w:val="center"/>
              <w:rPr>
                <w:rFonts w:cs="Arial"/>
                <w:color w:val="000000"/>
                <w:sz w:val="16"/>
                <w:szCs w:val="16"/>
              </w:rPr>
            </w:pPr>
            <w:r w:rsidRPr="00CC75F2">
              <w:rPr>
                <w:rFonts w:cs="Arial"/>
                <w:color w:val="000000"/>
                <w:sz w:val="16"/>
                <w:szCs w:val="16"/>
              </w:rPr>
              <w:t>M</w:t>
            </w:r>
            <w:r w:rsidR="008B0CE7">
              <w:rPr>
                <w:rFonts w:cs="Arial"/>
                <w:color w:val="000000"/>
                <w:sz w:val="16"/>
                <w:szCs w:val="16"/>
              </w:rPr>
              <w:t>ini Park</w:t>
            </w:r>
          </w:p>
        </w:tc>
        <w:tc>
          <w:tcPr>
            <w:tcW w:w="1276" w:type="dxa"/>
            <w:tcBorders>
              <w:top w:val="nil"/>
              <w:left w:val="nil"/>
              <w:bottom w:val="single" w:sz="4" w:space="0" w:color="auto"/>
              <w:right w:val="single" w:sz="4" w:space="0" w:color="auto"/>
            </w:tcBorders>
            <w:shd w:val="clear" w:color="auto" w:fill="auto"/>
            <w:hideMark/>
          </w:tcPr>
          <w:p w:rsidR="00CC75F2" w:rsidRPr="00CC75F2" w:rsidRDefault="00CC75F2" w:rsidP="00CC75F2">
            <w:pPr>
              <w:jc w:val="center"/>
              <w:rPr>
                <w:rFonts w:cs="Arial"/>
                <w:color w:val="000000"/>
                <w:sz w:val="16"/>
                <w:szCs w:val="16"/>
              </w:rPr>
            </w:pPr>
            <w:r w:rsidRPr="00CC75F2">
              <w:rPr>
                <w:rFonts w:cs="Arial"/>
                <w:color w:val="000000"/>
                <w:sz w:val="16"/>
                <w:szCs w:val="16"/>
              </w:rPr>
              <w:t>South Fitzroy Precinct</w:t>
            </w:r>
          </w:p>
        </w:tc>
        <w:tc>
          <w:tcPr>
            <w:tcW w:w="1134" w:type="dxa"/>
            <w:tcBorders>
              <w:top w:val="nil"/>
              <w:left w:val="nil"/>
              <w:bottom w:val="single" w:sz="4" w:space="0" w:color="auto"/>
              <w:right w:val="single" w:sz="4" w:space="0" w:color="auto"/>
            </w:tcBorders>
            <w:shd w:val="clear" w:color="auto" w:fill="auto"/>
            <w:hideMark/>
          </w:tcPr>
          <w:p w:rsidR="00CC75F2" w:rsidRPr="00CC75F2" w:rsidRDefault="00CC75F2" w:rsidP="00CC75F2">
            <w:pPr>
              <w:jc w:val="center"/>
              <w:rPr>
                <w:rFonts w:cs="Arial"/>
                <w:color w:val="000000"/>
                <w:sz w:val="16"/>
                <w:szCs w:val="16"/>
              </w:rPr>
            </w:pPr>
            <w:r w:rsidRPr="00CC75F2">
              <w:rPr>
                <w:rFonts w:cs="Arial"/>
                <w:color w:val="000000"/>
                <w:sz w:val="16"/>
                <w:szCs w:val="16"/>
              </w:rPr>
              <w:t>HO334</w:t>
            </w:r>
          </w:p>
        </w:tc>
        <w:tc>
          <w:tcPr>
            <w:tcW w:w="992" w:type="dxa"/>
            <w:tcBorders>
              <w:top w:val="nil"/>
              <w:left w:val="nil"/>
              <w:bottom w:val="single" w:sz="4" w:space="0" w:color="auto"/>
              <w:right w:val="single" w:sz="4" w:space="0" w:color="auto"/>
            </w:tcBorders>
            <w:shd w:val="clear" w:color="auto" w:fill="auto"/>
            <w:hideMark/>
          </w:tcPr>
          <w:p w:rsidR="00CC75F2" w:rsidRPr="00CC75F2" w:rsidRDefault="00CC75F2" w:rsidP="00CC75F2">
            <w:pPr>
              <w:jc w:val="center"/>
              <w:rPr>
                <w:rFonts w:cs="Arial"/>
                <w:color w:val="000000"/>
                <w:sz w:val="16"/>
                <w:szCs w:val="16"/>
              </w:rPr>
            </w:pPr>
            <w:r w:rsidRPr="00CC75F2">
              <w:rPr>
                <w:rFonts w:cs="Arial"/>
                <w:color w:val="000000"/>
                <w:sz w:val="16"/>
                <w:szCs w:val="16"/>
              </w:rPr>
              <w:t>N/A</w:t>
            </w:r>
          </w:p>
        </w:tc>
        <w:tc>
          <w:tcPr>
            <w:tcW w:w="1134" w:type="dxa"/>
            <w:tcBorders>
              <w:top w:val="nil"/>
              <w:left w:val="nil"/>
              <w:bottom w:val="single" w:sz="4" w:space="0" w:color="auto"/>
              <w:right w:val="single" w:sz="4" w:space="0" w:color="auto"/>
            </w:tcBorders>
            <w:shd w:val="clear" w:color="auto" w:fill="auto"/>
            <w:hideMark/>
          </w:tcPr>
          <w:p w:rsidR="00CC75F2" w:rsidRPr="00CC75F2" w:rsidRDefault="00CC75F2" w:rsidP="00373B8F">
            <w:pPr>
              <w:jc w:val="center"/>
              <w:rPr>
                <w:rFonts w:cs="Arial"/>
                <w:color w:val="000000"/>
                <w:sz w:val="16"/>
                <w:szCs w:val="16"/>
              </w:rPr>
            </w:pPr>
            <w:r w:rsidRPr="00CC75F2">
              <w:rPr>
                <w:rFonts w:cs="Arial"/>
                <w:color w:val="000000"/>
                <w:sz w:val="16"/>
                <w:szCs w:val="16"/>
              </w:rPr>
              <w:t>Precinct</w:t>
            </w:r>
          </w:p>
        </w:tc>
        <w:tc>
          <w:tcPr>
            <w:tcW w:w="1276" w:type="dxa"/>
            <w:tcBorders>
              <w:top w:val="nil"/>
              <w:left w:val="nil"/>
              <w:bottom w:val="single" w:sz="4" w:space="0" w:color="auto"/>
              <w:right w:val="single" w:sz="4" w:space="0" w:color="auto"/>
            </w:tcBorders>
            <w:shd w:val="clear" w:color="auto" w:fill="auto"/>
            <w:hideMark/>
          </w:tcPr>
          <w:p w:rsidR="00CC75F2" w:rsidRPr="00CC75F2" w:rsidRDefault="00CC75F2" w:rsidP="00CC75F2">
            <w:pPr>
              <w:jc w:val="center"/>
              <w:rPr>
                <w:rFonts w:cs="Arial"/>
                <w:color w:val="000000"/>
                <w:sz w:val="16"/>
                <w:szCs w:val="16"/>
              </w:rPr>
            </w:pPr>
            <w:r w:rsidRPr="00CC75F2">
              <w:rPr>
                <w:rFonts w:cs="Arial"/>
                <w:color w:val="000000"/>
                <w:sz w:val="16"/>
                <w:szCs w:val="16"/>
              </w:rPr>
              <w:t>Not contributory</w:t>
            </w:r>
          </w:p>
        </w:tc>
        <w:tc>
          <w:tcPr>
            <w:tcW w:w="2835" w:type="dxa"/>
            <w:tcBorders>
              <w:top w:val="nil"/>
              <w:left w:val="nil"/>
              <w:bottom w:val="single" w:sz="4" w:space="0" w:color="auto"/>
              <w:right w:val="single" w:sz="4" w:space="0" w:color="auto"/>
            </w:tcBorders>
            <w:shd w:val="clear" w:color="auto" w:fill="auto"/>
            <w:hideMark/>
          </w:tcPr>
          <w:p w:rsidR="00CC75F2" w:rsidRPr="00CC75F2" w:rsidRDefault="00CC75F2" w:rsidP="00CC75F2">
            <w:pPr>
              <w:jc w:val="left"/>
              <w:rPr>
                <w:rFonts w:cs="Arial"/>
                <w:color w:val="000000"/>
                <w:sz w:val="16"/>
                <w:szCs w:val="16"/>
              </w:rPr>
            </w:pPr>
            <w:r w:rsidRPr="00CC75F2">
              <w:rPr>
                <w:rFonts w:cs="Arial"/>
                <w:color w:val="000000"/>
                <w:sz w:val="16"/>
                <w:szCs w:val="16"/>
              </w:rPr>
              <w:t>External controls apply to the buildings and land, no internal controls, tree controls or external paint controls apply</w:t>
            </w:r>
          </w:p>
        </w:tc>
        <w:tc>
          <w:tcPr>
            <w:tcW w:w="2693" w:type="dxa"/>
            <w:tcBorders>
              <w:top w:val="nil"/>
              <w:left w:val="nil"/>
              <w:bottom w:val="single" w:sz="4" w:space="0" w:color="auto"/>
              <w:right w:val="single" w:sz="4" w:space="0" w:color="auto"/>
            </w:tcBorders>
            <w:shd w:val="clear" w:color="auto" w:fill="auto"/>
            <w:hideMark/>
          </w:tcPr>
          <w:p w:rsidR="00CC75F2" w:rsidRPr="00CC75F2" w:rsidRDefault="00CC75F2" w:rsidP="00622DC3">
            <w:pPr>
              <w:jc w:val="left"/>
              <w:rPr>
                <w:rFonts w:cs="Arial"/>
                <w:color w:val="000000"/>
                <w:sz w:val="16"/>
                <w:szCs w:val="16"/>
              </w:rPr>
            </w:pPr>
            <w:r w:rsidRPr="00CC75F2">
              <w:rPr>
                <w:rFonts w:cs="Arial"/>
                <w:color w:val="000000"/>
                <w:sz w:val="16"/>
                <w:szCs w:val="16"/>
              </w:rPr>
              <w:t xml:space="preserve">The park is listed as 242 Young St on the </w:t>
            </w:r>
            <w:r w:rsidR="00622DC3" w:rsidRPr="00CC75F2">
              <w:rPr>
                <w:rFonts w:cs="Arial"/>
                <w:color w:val="000000"/>
                <w:sz w:val="16"/>
                <w:szCs w:val="16"/>
              </w:rPr>
              <w:t>Yarra</w:t>
            </w:r>
            <w:r w:rsidR="00622DC3">
              <w:rPr>
                <w:rFonts w:cs="Arial"/>
                <w:color w:val="000000"/>
                <w:sz w:val="16"/>
                <w:szCs w:val="16"/>
              </w:rPr>
              <w:t xml:space="preserve"> City Council</w:t>
            </w:r>
            <w:r w:rsidR="00622DC3" w:rsidRPr="00CC75F2">
              <w:rPr>
                <w:rFonts w:cs="Arial"/>
                <w:color w:val="000000"/>
                <w:sz w:val="16"/>
                <w:szCs w:val="16"/>
              </w:rPr>
              <w:t xml:space="preserve"> </w:t>
            </w:r>
            <w:r w:rsidRPr="00CC75F2">
              <w:rPr>
                <w:rFonts w:cs="Arial"/>
                <w:color w:val="000000"/>
                <w:sz w:val="16"/>
                <w:szCs w:val="16"/>
              </w:rPr>
              <w:t xml:space="preserve">database and 2007 </w:t>
            </w:r>
            <w:r w:rsidRPr="00CC75F2">
              <w:rPr>
                <w:rFonts w:cs="Arial"/>
                <w:i/>
                <w:iCs/>
                <w:color w:val="000000"/>
                <w:sz w:val="16"/>
                <w:szCs w:val="16"/>
              </w:rPr>
              <w:t xml:space="preserve">Review </w:t>
            </w:r>
            <w:r w:rsidRPr="00CC75F2">
              <w:rPr>
                <w:rFonts w:cs="Arial"/>
                <w:color w:val="000000"/>
                <w:sz w:val="16"/>
                <w:szCs w:val="16"/>
              </w:rPr>
              <w:t xml:space="preserve">(there is no grade for 58 Greeves St).  Physical changes to the reserve would normally require approval under the Heritage Overlay from the </w:t>
            </w:r>
            <w:r w:rsidR="00622DC3" w:rsidRPr="00CC75F2">
              <w:rPr>
                <w:rFonts w:cs="Arial"/>
                <w:color w:val="000000"/>
                <w:sz w:val="16"/>
                <w:szCs w:val="16"/>
              </w:rPr>
              <w:t>Yarra</w:t>
            </w:r>
            <w:r w:rsidR="00622DC3">
              <w:rPr>
                <w:rFonts w:cs="Arial"/>
                <w:color w:val="000000"/>
                <w:sz w:val="16"/>
                <w:szCs w:val="16"/>
              </w:rPr>
              <w:t xml:space="preserve"> City Council.</w:t>
            </w:r>
          </w:p>
        </w:tc>
      </w:tr>
      <w:tr w:rsidR="008B0CE7" w:rsidRPr="00CC75F2" w:rsidTr="00EA18F9">
        <w:trPr>
          <w:cantSplit/>
          <w:trHeight w:val="960"/>
        </w:trPr>
        <w:tc>
          <w:tcPr>
            <w:tcW w:w="1433" w:type="dxa"/>
            <w:tcBorders>
              <w:top w:val="nil"/>
              <w:left w:val="single" w:sz="4" w:space="0" w:color="auto"/>
              <w:bottom w:val="single" w:sz="4" w:space="0" w:color="auto"/>
              <w:right w:val="single" w:sz="4" w:space="0" w:color="auto"/>
            </w:tcBorders>
            <w:shd w:val="clear" w:color="auto" w:fill="auto"/>
            <w:hideMark/>
          </w:tcPr>
          <w:p w:rsidR="00CC75F2" w:rsidRPr="00CC75F2" w:rsidRDefault="00CC75F2" w:rsidP="00CC75F2">
            <w:pPr>
              <w:jc w:val="left"/>
              <w:rPr>
                <w:rFonts w:cs="Arial"/>
                <w:color w:val="000000"/>
                <w:sz w:val="16"/>
                <w:szCs w:val="16"/>
              </w:rPr>
            </w:pPr>
            <w:r w:rsidRPr="00CC75F2">
              <w:rPr>
                <w:rFonts w:cs="Arial"/>
                <w:color w:val="000000"/>
                <w:sz w:val="16"/>
                <w:szCs w:val="16"/>
              </w:rPr>
              <w:t>Heidelberg Road 1</w:t>
            </w:r>
          </w:p>
        </w:tc>
        <w:tc>
          <w:tcPr>
            <w:tcW w:w="1134" w:type="dxa"/>
            <w:tcBorders>
              <w:top w:val="nil"/>
              <w:left w:val="nil"/>
              <w:bottom w:val="single" w:sz="4" w:space="0" w:color="auto"/>
              <w:right w:val="single" w:sz="4" w:space="0" w:color="auto"/>
            </w:tcBorders>
            <w:shd w:val="clear" w:color="auto" w:fill="auto"/>
            <w:hideMark/>
          </w:tcPr>
          <w:p w:rsidR="00CC75F2" w:rsidRPr="00CC75F2" w:rsidRDefault="008B0CE7" w:rsidP="00CC75F2">
            <w:pPr>
              <w:jc w:val="center"/>
              <w:rPr>
                <w:rFonts w:cs="Arial"/>
                <w:color w:val="000000"/>
                <w:sz w:val="16"/>
                <w:szCs w:val="16"/>
              </w:rPr>
            </w:pPr>
            <w:r w:rsidRPr="00CC75F2">
              <w:rPr>
                <w:rFonts w:cs="Arial"/>
                <w:color w:val="000000"/>
                <w:sz w:val="16"/>
                <w:szCs w:val="16"/>
              </w:rPr>
              <w:t>C</w:t>
            </w:r>
            <w:r>
              <w:rPr>
                <w:rFonts w:cs="Arial"/>
                <w:color w:val="000000"/>
                <w:sz w:val="16"/>
                <w:szCs w:val="16"/>
              </w:rPr>
              <w:t>lifton Hill</w:t>
            </w:r>
          </w:p>
        </w:tc>
        <w:tc>
          <w:tcPr>
            <w:tcW w:w="1417" w:type="dxa"/>
            <w:tcBorders>
              <w:top w:val="nil"/>
              <w:left w:val="nil"/>
              <w:bottom w:val="single" w:sz="4" w:space="0" w:color="auto"/>
              <w:right w:val="single" w:sz="4" w:space="0" w:color="auto"/>
            </w:tcBorders>
            <w:shd w:val="clear" w:color="auto" w:fill="auto"/>
            <w:hideMark/>
          </w:tcPr>
          <w:p w:rsidR="00CC75F2" w:rsidRPr="00CC75F2" w:rsidRDefault="00CC75F2" w:rsidP="009C23D6">
            <w:pPr>
              <w:jc w:val="center"/>
              <w:rPr>
                <w:rFonts w:cs="Arial"/>
                <w:color w:val="000000"/>
                <w:sz w:val="16"/>
                <w:szCs w:val="16"/>
              </w:rPr>
            </w:pPr>
            <w:r w:rsidRPr="00CC75F2">
              <w:rPr>
                <w:rFonts w:cs="Arial"/>
                <w:color w:val="000000"/>
                <w:sz w:val="16"/>
                <w:szCs w:val="16"/>
              </w:rPr>
              <w:t>M</w:t>
            </w:r>
            <w:r w:rsidR="009C23D6">
              <w:rPr>
                <w:rFonts w:cs="Arial"/>
                <w:color w:val="000000"/>
                <w:sz w:val="16"/>
                <w:szCs w:val="16"/>
              </w:rPr>
              <w:t>ayor’s Park / Tennis Pavilion</w:t>
            </w:r>
          </w:p>
        </w:tc>
        <w:tc>
          <w:tcPr>
            <w:tcW w:w="1276" w:type="dxa"/>
            <w:tcBorders>
              <w:top w:val="nil"/>
              <w:left w:val="nil"/>
              <w:bottom w:val="single" w:sz="4" w:space="0" w:color="auto"/>
              <w:right w:val="single" w:sz="4" w:space="0" w:color="auto"/>
            </w:tcBorders>
            <w:shd w:val="clear" w:color="auto" w:fill="auto"/>
            <w:hideMark/>
          </w:tcPr>
          <w:p w:rsidR="00CC75F2" w:rsidRPr="00CC75F2" w:rsidRDefault="00CC75F2" w:rsidP="00CC75F2">
            <w:pPr>
              <w:jc w:val="center"/>
              <w:rPr>
                <w:rFonts w:cs="Arial"/>
                <w:color w:val="000000"/>
                <w:sz w:val="16"/>
                <w:szCs w:val="16"/>
              </w:rPr>
            </w:pPr>
            <w:r w:rsidRPr="00CC75F2">
              <w:rPr>
                <w:rFonts w:cs="Arial"/>
                <w:color w:val="000000"/>
                <w:sz w:val="16"/>
                <w:szCs w:val="16"/>
              </w:rPr>
              <w:t>N/A</w:t>
            </w:r>
          </w:p>
        </w:tc>
        <w:tc>
          <w:tcPr>
            <w:tcW w:w="1134" w:type="dxa"/>
            <w:tcBorders>
              <w:top w:val="nil"/>
              <w:left w:val="nil"/>
              <w:bottom w:val="single" w:sz="4" w:space="0" w:color="auto"/>
              <w:right w:val="single" w:sz="4" w:space="0" w:color="auto"/>
            </w:tcBorders>
            <w:shd w:val="clear" w:color="auto" w:fill="auto"/>
            <w:hideMark/>
          </w:tcPr>
          <w:p w:rsidR="00CC75F2" w:rsidRPr="00CC75F2" w:rsidRDefault="00CC75F2" w:rsidP="00CC75F2">
            <w:pPr>
              <w:jc w:val="center"/>
              <w:rPr>
                <w:rFonts w:cs="Arial"/>
                <w:color w:val="000000"/>
                <w:sz w:val="16"/>
                <w:szCs w:val="16"/>
              </w:rPr>
            </w:pPr>
            <w:r w:rsidRPr="00CC75F2">
              <w:rPr>
                <w:rFonts w:cs="Arial"/>
                <w:color w:val="000000"/>
                <w:sz w:val="16"/>
                <w:szCs w:val="16"/>
              </w:rPr>
              <w:t>N/A</w:t>
            </w:r>
          </w:p>
        </w:tc>
        <w:tc>
          <w:tcPr>
            <w:tcW w:w="992" w:type="dxa"/>
            <w:tcBorders>
              <w:top w:val="nil"/>
              <w:left w:val="nil"/>
              <w:bottom w:val="single" w:sz="4" w:space="0" w:color="auto"/>
              <w:right w:val="single" w:sz="4" w:space="0" w:color="auto"/>
            </w:tcBorders>
            <w:shd w:val="clear" w:color="auto" w:fill="auto"/>
            <w:hideMark/>
          </w:tcPr>
          <w:p w:rsidR="00CC75F2" w:rsidRPr="00CC75F2" w:rsidRDefault="00CC75F2" w:rsidP="00CC75F2">
            <w:pPr>
              <w:jc w:val="center"/>
              <w:rPr>
                <w:rFonts w:cs="Arial"/>
                <w:color w:val="000000"/>
                <w:sz w:val="16"/>
                <w:szCs w:val="16"/>
              </w:rPr>
            </w:pPr>
            <w:r w:rsidRPr="00CC75F2">
              <w:rPr>
                <w:rFonts w:cs="Arial"/>
                <w:color w:val="000000"/>
                <w:sz w:val="16"/>
                <w:szCs w:val="16"/>
              </w:rPr>
              <w:t>N/A</w:t>
            </w:r>
          </w:p>
        </w:tc>
        <w:tc>
          <w:tcPr>
            <w:tcW w:w="1134" w:type="dxa"/>
            <w:tcBorders>
              <w:top w:val="nil"/>
              <w:left w:val="nil"/>
              <w:bottom w:val="single" w:sz="4" w:space="0" w:color="auto"/>
              <w:right w:val="single" w:sz="4" w:space="0" w:color="auto"/>
            </w:tcBorders>
            <w:shd w:val="clear" w:color="auto" w:fill="auto"/>
            <w:hideMark/>
          </w:tcPr>
          <w:p w:rsidR="00CC75F2" w:rsidRPr="00CC75F2" w:rsidRDefault="00CC75F2" w:rsidP="00373B8F">
            <w:pPr>
              <w:jc w:val="center"/>
              <w:rPr>
                <w:rFonts w:cs="Arial"/>
                <w:color w:val="000000"/>
                <w:sz w:val="16"/>
                <w:szCs w:val="16"/>
              </w:rPr>
            </w:pPr>
            <w:r w:rsidRPr="00CC75F2">
              <w:rPr>
                <w:rFonts w:cs="Arial"/>
                <w:color w:val="000000"/>
                <w:sz w:val="16"/>
                <w:szCs w:val="16"/>
              </w:rPr>
              <w:t>N/A</w:t>
            </w:r>
          </w:p>
        </w:tc>
        <w:tc>
          <w:tcPr>
            <w:tcW w:w="1276" w:type="dxa"/>
            <w:tcBorders>
              <w:top w:val="nil"/>
              <w:left w:val="nil"/>
              <w:bottom w:val="single" w:sz="4" w:space="0" w:color="auto"/>
              <w:right w:val="single" w:sz="4" w:space="0" w:color="auto"/>
            </w:tcBorders>
            <w:shd w:val="clear" w:color="auto" w:fill="auto"/>
            <w:hideMark/>
          </w:tcPr>
          <w:p w:rsidR="00CC75F2" w:rsidRPr="00CC75F2" w:rsidRDefault="00CC75F2" w:rsidP="00CC75F2">
            <w:pPr>
              <w:jc w:val="center"/>
              <w:rPr>
                <w:rFonts w:cs="Arial"/>
                <w:color w:val="000000"/>
                <w:sz w:val="16"/>
                <w:szCs w:val="16"/>
              </w:rPr>
            </w:pPr>
            <w:r w:rsidRPr="00CC75F2">
              <w:rPr>
                <w:rFonts w:cs="Arial"/>
                <w:color w:val="000000"/>
                <w:sz w:val="16"/>
                <w:szCs w:val="16"/>
              </w:rPr>
              <w:t>N/A</w:t>
            </w:r>
          </w:p>
        </w:tc>
        <w:tc>
          <w:tcPr>
            <w:tcW w:w="2835" w:type="dxa"/>
            <w:tcBorders>
              <w:top w:val="nil"/>
              <w:left w:val="nil"/>
              <w:bottom w:val="single" w:sz="4" w:space="0" w:color="auto"/>
              <w:right w:val="single" w:sz="4" w:space="0" w:color="auto"/>
            </w:tcBorders>
            <w:shd w:val="clear" w:color="auto" w:fill="auto"/>
            <w:hideMark/>
          </w:tcPr>
          <w:p w:rsidR="00CC75F2" w:rsidRPr="00CC75F2" w:rsidRDefault="00CC75F2" w:rsidP="00CC75F2">
            <w:pPr>
              <w:jc w:val="left"/>
              <w:rPr>
                <w:rFonts w:cs="Arial"/>
                <w:color w:val="000000"/>
                <w:sz w:val="16"/>
                <w:szCs w:val="16"/>
              </w:rPr>
            </w:pPr>
            <w:r w:rsidRPr="00CC75F2">
              <w:rPr>
                <w:rFonts w:cs="Arial"/>
                <w:color w:val="000000"/>
                <w:sz w:val="16"/>
                <w:szCs w:val="16"/>
              </w:rPr>
              <w:t>N/A</w:t>
            </w:r>
          </w:p>
        </w:tc>
        <w:tc>
          <w:tcPr>
            <w:tcW w:w="2693" w:type="dxa"/>
            <w:tcBorders>
              <w:top w:val="nil"/>
              <w:left w:val="nil"/>
              <w:bottom w:val="single" w:sz="4" w:space="0" w:color="auto"/>
              <w:right w:val="single" w:sz="4" w:space="0" w:color="auto"/>
            </w:tcBorders>
            <w:shd w:val="clear" w:color="auto" w:fill="auto"/>
            <w:hideMark/>
          </w:tcPr>
          <w:p w:rsidR="00CC75F2" w:rsidRPr="00CC75F2" w:rsidRDefault="00CC75F2" w:rsidP="00CC75F2">
            <w:pPr>
              <w:jc w:val="left"/>
              <w:rPr>
                <w:rFonts w:cs="Arial"/>
                <w:color w:val="000000"/>
                <w:sz w:val="16"/>
                <w:szCs w:val="16"/>
              </w:rPr>
            </w:pPr>
            <w:r w:rsidRPr="00CC75F2">
              <w:rPr>
                <w:rFonts w:cs="Arial"/>
                <w:color w:val="000000"/>
                <w:sz w:val="16"/>
                <w:szCs w:val="16"/>
              </w:rPr>
              <w:t>The tennis pavilion does not appear to be located at this address.  It appears to be located opposite, at 2-12 Turnbull Street, which is not included in a Heritage Overlay</w:t>
            </w:r>
            <w:r w:rsidR="00622DC3">
              <w:rPr>
                <w:rFonts w:cs="Arial"/>
                <w:color w:val="000000"/>
                <w:sz w:val="16"/>
                <w:szCs w:val="16"/>
              </w:rPr>
              <w:t>.</w:t>
            </w:r>
          </w:p>
        </w:tc>
      </w:tr>
      <w:tr w:rsidR="008B0CE7" w:rsidRPr="00CC75F2" w:rsidTr="00EA18F9">
        <w:trPr>
          <w:cantSplit/>
          <w:trHeight w:val="960"/>
        </w:trPr>
        <w:tc>
          <w:tcPr>
            <w:tcW w:w="1433" w:type="dxa"/>
            <w:tcBorders>
              <w:top w:val="nil"/>
              <w:left w:val="single" w:sz="4" w:space="0" w:color="auto"/>
              <w:bottom w:val="single" w:sz="4" w:space="0" w:color="auto"/>
              <w:right w:val="single" w:sz="4" w:space="0" w:color="auto"/>
            </w:tcBorders>
            <w:shd w:val="clear" w:color="auto" w:fill="auto"/>
            <w:hideMark/>
          </w:tcPr>
          <w:p w:rsidR="00CC75F2" w:rsidRPr="00CC75F2" w:rsidRDefault="00CC75F2" w:rsidP="00CC75F2">
            <w:pPr>
              <w:jc w:val="left"/>
              <w:rPr>
                <w:rFonts w:cs="Arial"/>
                <w:color w:val="000000"/>
                <w:sz w:val="16"/>
                <w:szCs w:val="16"/>
              </w:rPr>
            </w:pPr>
            <w:r w:rsidRPr="00CC75F2">
              <w:rPr>
                <w:rFonts w:cs="Arial"/>
                <w:color w:val="000000"/>
                <w:sz w:val="16"/>
                <w:szCs w:val="16"/>
              </w:rPr>
              <w:t>Heidelberg Road 280-350</w:t>
            </w:r>
          </w:p>
        </w:tc>
        <w:tc>
          <w:tcPr>
            <w:tcW w:w="1134" w:type="dxa"/>
            <w:tcBorders>
              <w:top w:val="nil"/>
              <w:left w:val="nil"/>
              <w:bottom w:val="single" w:sz="4" w:space="0" w:color="auto"/>
              <w:right w:val="single" w:sz="4" w:space="0" w:color="auto"/>
            </w:tcBorders>
            <w:shd w:val="clear" w:color="auto" w:fill="auto"/>
            <w:hideMark/>
          </w:tcPr>
          <w:p w:rsidR="00CC75F2" w:rsidRPr="00CC75F2" w:rsidRDefault="00CC75F2" w:rsidP="009C23D6">
            <w:pPr>
              <w:jc w:val="center"/>
              <w:rPr>
                <w:rFonts w:cs="Arial"/>
                <w:color w:val="000000"/>
                <w:sz w:val="16"/>
                <w:szCs w:val="16"/>
              </w:rPr>
            </w:pPr>
            <w:r w:rsidRPr="00CC75F2">
              <w:rPr>
                <w:rFonts w:cs="Arial"/>
                <w:color w:val="000000"/>
                <w:sz w:val="16"/>
                <w:szCs w:val="16"/>
              </w:rPr>
              <w:t>F</w:t>
            </w:r>
            <w:r w:rsidR="009C23D6">
              <w:rPr>
                <w:rFonts w:cs="Arial"/>
                <w:color w:val="000000"/>
                <w:sz w:val="16"/>
                <w:szCs w:val="16"/>
              </w:rPr>
              <w:t>airfield</w:t>
            </w:r>
          </w:p>
        </w:tc>
        <w:tc>
          <w:tcPr>
            <w:tcW w:w="1417" w:type="dxa"/>
            <w:tcBorders>
              <w:top w:val="nil"/>
              <w:left w:val="nil"/>
              <w:bottom w:val="single" w:sz="4" w:space="0" w:color="auto"/>
              <w:right w:val="single" w:sz="4" w:space="0" w:color="auto"/>
            </w:tcBorders>
            <w:shd w:val="clear" w:color="auto" w:fill="auto"/>
            <w:hideMark/>
          </w:tcPr>
          <w:p w:rsidR="00CC75F2" w:rsidRPr="00CC75F2" w:rsidRDefault="005E5635" w:rsidP="009C23D6">
            <w:pPr>
              <w:jc w:val="center"/>
              <w:rPr>
                <w:rFonts w:cs="Arial"/>
                <w:color w:val="000000"/>
                <w:sz w:val="16"/>
                <w:szCs w:val="16"/>
              </w:rPr>
            </w:pPr>
            <w:r>
              <w:rPr>
                <w:rFonts w:cs="Arial"/>
                <w:color w:val="000000"/>
                <w:sz w:val="16"/>
                <w:szCs w:val="16"/>
              </w:rPr>
              <w:t>Fairfield Park Reserves and</w:t>
            </w:r>
            <w:r w:rsidR="009C23D6">
              <w:rPr>
                <w:rFonts w:cs="Arial"/>
                <w:color w:val="000000"/>
                <w:sz w:val="16"/>
                <w:szCs w:val="16"/>
              </w:rPr>
              <w:t xml:space="preserve"> Pavilions</w:t>
            </w:r>
          </w:p>
        </w:tc>
        <w:tc>
          <w:tcPr>
            <w:tcW w:w="1276" w:type="dxa"/>
            <w:tcBorders>
              <w:top w:val="nil"/>
              <w:left w:val="nil"/>
              <w:bottom w:val="single" w:sz="4" w:space="0" w:color="auto"/>
              <w:right w:val="single" w:sz="4" w:space="0" w:color="auto"/>
            </w:tcBorders>
            <w:shd w:val="clear" w:color="auto" w:fill="auto"/>
            <w:hideMark/>
          </w:tcPr>
          <w:p w:rsidR="00CC75F2" w:rsidRPr="00CC75F2" w:rsidRDefault="00CC75F2" w:rsidP="005E5635">
            <w:pPr>
              <w:jc w:val="center"/>
              <w:rPr>
                <w:rFonts w:cs="Arial"/>
                <w:color w:val="000000"/>
                <w:sz w:val="16"/>
                <w:szCs w:val="16"/>
              </w:rPr>
            </w:pPr>
            <w:r w:rsidRPr="00CC75F2">
              <w:rPr>
                <w:rFonts w:cs="Arial"/>
                <w:color w:val="000000"/>
                <w:sz w:val="16"/>
                <w:szCs w:val="16"/>
              </w:rPr>
              <w:t xml:space="preserve">Fairfield </w:t>
            </w:r>
            <w:r w:rsidR="005E5635">
              <w:rPr>
                <w:rFonts w:cs="Arial"/>
                <w:color w:val="000000"/>
                <w:sz w:val="16"/>
                <w:szCs w:val="16"/>
              </w:rPr>
              <w:t>P</w:t>
            </w:r>
            <w:r w:rsidRPr="00CC75F2">
              <w:rPr>
                <w:rFonts w:cs="Arial"/>
                <w:color w:val="000000"/>
                <w:sz w:val="16"/>
                <w:szCs w:val="16"/>
              </w:rPr>
              <w:t>ark (HO147)  Fairfield Boat House (HO146</w:t>
            </w:r>
            <w:r w:rsidRPr="00CC75F2">
              <w:rPr>
                <w:rFonts w:cs="Arial"/>
                <w:sz w:val="16"/>
                <w:szCs w:val="16"/>
              </w:rPr>
              <w:t>)</w:t>
            </w:r>
          </w:p>
        </w:tc>
        <w:tc>
          <w:tcPr>
            <w:tcW w:w="1134" w:type="dxa"/>
            <w:tcBorders>
              <w:top w:val="nil"/>
              <w:left w:val="nil"/>
              <w:bottom w:val="single" w:sz="4" w:space="0" w:color="auto"/>
              <w:right w:val="single" w:sz="4" w:space="0" w:color="auto"/>
            </w:tcBorders>
            <w:shd w:val="clear" w:color="auto" w:fill="auto"/>
            <w:hideMark/>
          </w:tcPr>
          <w:p w:rsidR="00CC75F2" w:rsidRPr="00CC75F2" w:rsidRDefault="00CC75F2" w:rsidP="00CC75F2">
            <w:pPr>
              <w:jc w:val="center"/>
              <w:rPr>
                <w:rFonts w:cs="Arial"/>
                <w:color w:val="000000"/>
                <w:sz w:val="16"/>
                <w:szCs w:val="16"/>
              </w:rPr>
            </w:pPr>
            <w:r w:rsidRPr="00CC75F2">
              <w:rPr>
                <w:rFonts w:cs="Arial"/>
                <w:color w:val="000000"/>
                <w:sz w:val="16"/>
                <w:szCs w:val="16"/>
              </w:rPr>
              <w:t>HO147 (</w:t>
            </w:r>
            <w:r w:rsidRPr="00CC75F2">
              <w:rPr>
                <w:rFonts w:cs="Arial"/>
                <w:sz w:val="16"/>
                <w:szCs w:val="16"/>
              </w:rPr>
              <w:t>park) HO146 (boathouse)</w:t>
            </w:r>
          </w:p>
        </w:tc>
        <w:tc>
          <w:tcPr>
            <w:tcW w:w="992" w:type="dxa"/>
            <w:tcBorders>
              <w:top w:val="nil"/>
              <w:left w:val="nil"/>
              <w:bottom w:val="single" w:sz="4" w:space="0" w:color="auto"/>
              <w:right w:val="single" w:sz="4" w:space="0" w:color="auto"/>
            </w:tcBorders>
            <w:shd w:val="clear" w:color="auto" w:fill="auto"/>
            <w:hideMark/>
          </w:tcPr>
          <w:p w:rsidR="00CC75F2" w:rsidRPr="00CC75F2" w:rsidRDefault="00CC75F2" w:rsidP="00CC75F2">
            <w:pPr>
              <w:jc w:val="center"/>
              <w:rPr>
                <w:rFonts w:cs="Arial"/>
                <w:color w:val="000000"/>
                <w:sz w:val="16"/>
                <w:szCs w:val="16"/>
              </w:rPr>
            </w:pPr>
            <w:r w:rsidRPr="00CC75F2">
              <w:rPr>
                <w:rFonts w:cs="Arial"/>
                <w:color w:val="000000"/>
                <w:sz w:val="16"/>
                <w:szCs w:val="16"/>
              </w:rPr>
              <w:t>N/A</w:t>
            </w:r>
          </w:p>
        </w:tc>
        <w:tc>
          <w:tcPr>
            <w:tcW w:w="1134" w:type="dxa"/>
            <w:tcBorders>
              <w:top w:val="nil"/>
              <w:left w:val="nil"/>
              <w:bottom w:val="single" w:sz="4" w:space="0" w:color="auto"/>
              <w:right w:val="single" w:sz="4" w:space="0" w:color="auto"/>
            </w:tcBorders>
            <w:shd w:val="clear" w:color="auto" w:fill="auto"/>
            <w:hideMark/>
          </w:tcPr>
          <w:p w:rsidR="00CC75F2" w:rsidRPr="00CC75F2" w:rsidRDefault="00CC75F2" w:rsidP="00373B8F">
            <w:pPr>
              <w:jc w:val="center"/>
              <w:rPr>
                <w:rFonts w:cs="Arial"/>
                <w:color w:val="000000"/>
                <w:sz w:val="16"/>
                <w:szCs w:val="16"/>
              </w:rPr>
            </w:pPr>
            <w:r w:rsidRPr="00CC75F2">
              <w:rPr>
                <w:rFonts w:cs="Arial"/>
                <w:color w:val="000000"/>
                <w:sz w:val="16"/>
                <w:szCs w:val="16"/>
              </w:rPr>
              <w:t>Individual</w:t>
            </w:r>
          </w:p>
        </w:tc>
        <w:tc>
          <w:tcPr>
            <w:tcW w:w="1276" w:type="dxa"/>
            <w:tcBorders>
              <w:top w:val="nil"/>
              <w:left w:val="nil"/>
              <w:bottom w:val="single" w:sz="4" w:space="0" w:color="auto"/>
              <w:right w:val="single" w:sz="4" w:space="0" w:color="auto"/>
            </w:tcBorders>
            <w:shd w:val="clear" w:color="auto" w:fill="auto"/>
            <w:hideMark/>
          </w:tcPr>
          <w:p w:rsidR="00CC75F2" w:rsidRPr="00CC75F2" w:rsidRDefault="00CC75F2" w:rsidP="00CC75F2">
            <w:pPr>
              <w:jc w:val="center"/>
              <w:rPr>
                <w:rFonts w:cs="Arial"/>
                <w:color w:val="000000"/>
                <w:sz w:val="16"/>
                <w:szCs w:val="16"/>
              </w:rPr>
            </w:pPr>
            <w:r w:rsidRPr="00CC75F2">
              <w:rPr>
                <w:rFonts w:cs="Arial"/>
                <w:color w:val="000000"/>
                <w:sz w:val="16"/>
                <w:szCs w:val="16"/>
              </w:rPr>
              <w:t>Individually significant</w:t>
            </w:r>
          </w:p>
        </w:tc>
        <w:tc>
          <w:tcPr>
            <w:tcW w:w="2835" w:type="dxa"/>
            <w:tcBorders>
              <w:top w:val="nil"/>
              <w:left w:val="nil"/>
              <w:bottom w:val="single" w:sz="4" w:space="0" w:color="auto"/>
              <w:right w:val="single" w:sz="4" w:space="0" w:color="auto"/>
            </w:tcBorders>
            <w:shd w:val="clear" w:color="auto" w:fill="auto"/>
            <w:hideMark/>
          </w:tcPr>
          <w:p w:rsidR="00CC75F2" w:rsidRPr="00CC75F2" w:rsidRDefault="00CC75F2" w:rsidP="00CC75F2">
            <w:pPr>
              <w:jc w:val="left"/>
              <w:rPr>
                <w:rFonts w:cs="Arial"/>
                <w:color w:val="000000"/>
                <w:sz w:val="16"/>
                <w:szCs w:val="16"/>
              </w:rPr>
            </w:pPr>
            <w:r w:rsidRPr="00CC75F2">
              <w:rPr>
                <w:rFonts w:cs="Arial"/>
                <w:color w:val="000000"/>
                <w:sz w:val="16"/>
                <w:szCs w:val="16"/>
              </w:rPr>
              <w:t>External controls over the buildings and land. Tree controls apply but there are no internal controls and no external paint controls.  External</w:t>
            </w:r>
            <w:r w:rsidRPr="00CC75F2">
              <w:rPr>
                <w:rFonts w:cs="Arial"/>
                <w:sz w:val="16"/>
                <w:szCs w:val="16"/>
              </w:rPr>
              <w:t xml:space="preserve"> paint controls apply for the boathouse (HO146)</w:t>
            </w:r>
          </w:p>
        </w:tc>
        <w:tc>
          <w:tcPr>
            <w:tcW w:w="2693" w:type="dxa"/>
            <w:tcBorders>
              <w:top w:val="nil"/>
              <w:left w:val="nil"/>
              <w:bottom w:val="single" w:sz="4" w:space="0" w:color="auto"/>
              <w:right w:val="single" w:sz="4" w:space="0" w:color="auto"/>
            </w:tcBorders>
            <w:shd w:val="clear" w:color="auto" w:fill="auto"/>
            <w:hideMark/>
          </w:tcPr>
          <w:p w:rsidR="00CC75F2" w:rsidRPr="00CC75F2" w:rsidRDefault="00CC75F2" w:rsidP="00CC75F2">
            <w:pPr>
              <w:jc w:val="left"/>
              <w:rPr>
                <w:rFonts w:cs="Arial"/>
                <w:color w:val="000000"/>
                <w:sz w:val="16"/>
                <w:szCs w:val="16"/>
              </w:rPr>
            </w:pPr>
            <w:r w:rsidRPr="00CC75F2">
              <w:rPr>
                <w:rFonts w:cs="Arial"/>
                <w:color w:val="000000"/>
                <w:sz w:val="16"/>
                <w:szCs w:val="16"/>
              </w:rPr>
              <w:t>Note: The heritage overlay takes in the whole of the park.</w:t>
            </w:r>
          </w:p>
        </w:tc>
      </w:tr>
      <w:tr w:rsidR="008B0CE7" w:rsidRPr="00CC75F2" w:rsidTr="00EA18F9">
        <w:trPr>
          <w:cantSplit/>
          <w:trHeight w:val="960"/>
        </w:trPr>
        <w:tc>
          <w:tcPr>
            <w:tcW w:w="1433" w:type="dxa"/>
            <w:tcBorders>
              <w:top w:val="nil"/>
              <w:left w:val="single" w:sz="4" w:space="0" w:color="auto"/>
              <w:bottom w:val="single" w:sz="4" w:space="0" w:color="auto"/>
              <w:right w:val="single" w:sz="4" w:space="0" w:color="auto"/>
            </w:tcBorders>
            <w:shd w:val="clear" w:color="auto" w:fill="auto"/>
            <w:hideMark/>
          </w:tcPr>
          <w:p w:rsidR="00CC75F2" w:rsidRPr="00CC75F2" w:rsidRDefault="00CC75F2" w:rsidP="00CC75F2">
            <w:pPr>
              <w:jc w:val="left"/>
              <w:rPr>
                <w:rFonts w:cs="Arial"/>
                <w:color w:val="000000"/>
                <w:sz w:val="16"/>
                <w:szCs w:val="16"/>
              </w:rPr>
            </w:pPr>
            <w:r w:rsidRPr="00CC75F2">
              <w:rPr>
                <w:rFonts w:cs="Arial"/>
                <w:color w:val="000000"/>
                <w:sz w:val="16"/>
                <w:szCs w:val="16"/>
              </w:rPr>
              <w:t>Hoddle Street 140</w:t>
            </w:r>
          </w:p>
        </w:tc>
        <w:tc>
          <w:tcPr>
            <w:tcW w:w="1134" w:type="dxa"/>
            <w:tcBorders>
              <w:top w:val="nil"/>
              <w:left w:val="nil"/>
              <w:bottom w:val="single" w:sz="4" w:space="0" w:color="auto"/>
              <w:right w:val="single" w:sz="4" w:space="0" w:color="auto"/>
            </w:tcBorders>
            <w:shd w:val="clear" w:color="auto" w:fill="auto"/>
            <w:hideMark/>
          </w:tcPr>
          <w:p w:rsidR="00CC75F2" w:rsidRPr="00CC75F2" w:rsidRDefault="008B0CE7" w:rsidP="00CC75F2">
            <w:pPr>
              <w:jc w:val="center"/>
              <w:rPr>
                <w:rFonts w:cs="Arial"/>
                <w:color w:val="000000"/>
                <w:sz w:val="16"/>
                <w:szCs w:val="16"/>
              </w:rPr>
            </w:pPr>
            <w:r w:rsidRPr="00CC75F2">
              <w:rPr>
                <w:rFonts w:cs="Arial"/>
                <w:color w:val="000000"/>
                <w:sz w:val="16"/>
                <w:szCs w:val="16"/>
              </w:rPr>
              <w:t>A</w:t>
            </w:r>
            <w:r>
              <w:rPr>
                <w:rFonts w:cs="Arial"/>
                <w:color w:val="000000"/>
                <w:sz w:val="16"/>
                <w:szCs w:val="16"/>
              </w:rPr>
              <w:t>bbotsford</w:t>
            </w:r>
          </w:p>
        </w:tc>
        <w:tc>
          <w:tcPr>
            <w:tcW w:w="1417" w:type="dxa"/>
            <w:tcBorders>
              <w:top w:val="nil"/>
              <w:left w:val="nil"/>
              <w:bottom w:val="single" w:sz="4" w:space="0" w:color="auto"/>
              <w:right w:val="single" w:sz="4" w:space="0" w:color="auto"/>
            </w:tcBorders>
            <w:shd w:val="clear" w:color="auto" w:fill="auto"/>
            <w:hideMark/>
          </w:tcPr>
          <w:p w:rsidR="00CC75F2" w:rsidRPr="00CC75F2" w:rsidRDefault="00CC75F2" w:rsidP="008B0CE7">
            <w:pPr>
              <w:jc w:val="center"/>
              <w:rPr>
                <w:rFonts w:cs="Arial"/>
                <w:color w:val="000000"/>
                <w:sz w:val="16"/>
                <w:szCs w:val="16"/>
              </w:rPr>
            </w:pPr>
            <w:r w:rsidRPr="00CC75F2">
              <w:rPr>
                <w:rFonts w:cs="Arial"/>
                <w:color w:val="000000"/>
                <w:sz w:val="16"/>
                <w:szCs w:val="16"/>
              </w:rPr>
              <w:t>C</w:t>
            </w:r>
            <w:r w:rsidR="008B0CE7">
              <w:rPr>
                <w:rFonts w:cs="Arial"/>
                <w:color w:val="000000"/>
                <w:sz w:val="16"/>
                <w:szCs w:val="16"/>
              </w:rPr>
              <w:t>ollingwood Town Hall Offices</w:t>
            </w:r>
            <w:r w:rsidRPr="00CC75F2">
              <w:rPr>
                <w:rFonts w:cs="Arial"/>
                <w:color w:val="000000"/>
                <w:sz w:val="16"/>
                <w:szCs w:val="16"/>
              </w:rPr>
              <w:t xml:space="preserve"> </w:t>
            </w:r>
          </w:p>
        </w:tc>
        <w:tc>
          <w:tcPr>
            <w:tcW w:w="1276" w:type="dxa"/>
            <w:tcBorders>
              <w:top w:val="nil"/>
              <w:left w:val="nil"/>
              <w:bottom w:val="single" w:sz="4" w:space="0" w:color="auto"/>
              <w:right w:val="single" w:sz="4" w:space="0" w:color="auto"/>
            </w:tcBorders>
            <w:shd w:val="clear" w:color="auto" w:fill="auto"/>
            <w:hideMark/>
          </w:tcPr>
          <w:p w:rsidR="00CC75F2" w:rsidRPr="00CC75F2" w:rsidRDefault="00CC75F2" w:rsidP="00CC75F2">
            <w:pPr>
              <w:jc w:val="center"/>
              <w:rPr>
                <w:rFonts w:cs="Arial"/>
                <w:color w:val="000000"/>
                <w:sz w:val="16"/>
                <w:szCs w:val="16"/>
              </w:rPr>
            </w:pPr>
            <w:r w:rsidRPr="00CC75F2">
              <w:rPr>
                <w:rFonts w:cs="Arial"/>
                <w:color w:val="000000"/>
                <w:sz w:val="16"/>
                <w:szCs w:val="16"/>
              </w:rPr>
              <w:t>Collingwood Town Hall (HO17)                       Charles Street Precinct (HO313)</w:t>
            </w:r>
          </w:p>
        </w:tc>
        <w:tc>
          <w:tcPr>
            <w:tcW w:w="1134" w:type="dxa"/>
            <w:tcBorders>
              <w:top w:val="nil"/>
              <w:left w:val="nil"/>
              <w:bottom w:val="single" w:sz="4" w:space="0" w:color="auto"/>
              <w:right w:val="single" w:sz="4" w:space="0" w:color="auto"/>
            </w:tcBorders>
            <w:shd w:val="clear" w:color="auto" w:fill="auto"/>
            <w:hideMark/>
          </w:tcPr>
          <w:p w:rsidR="00CC75F2" w:rsidRPr="00CC75F2" w:rsidRDefault="00CC75F2" w:rsidP="00CC75F2">
            <w:pPr>
              <w:jc w:val="center"/>
              <w:rPr>
                <w:rFonts w:cs="Arial"/>
                <w:color w:val="000000"/>
                <w:sz w:val="16"/>
                <w:szCs w:val="16"/>
              </w:rPr>
            </w:pPr>
            <w:r w:rsidRPr="00CC75F2">
              <w:rPr>
                <w:rFonts w:cs="Arial"/>
                <w:color w:val="000000"/>
                <w:sz w:val="16"/>
                <w:szCs w:val="16"/>
              </w:rPr>
              <w:t>HO17 and HO313</w:t>
            </w:r>
          </w:p>
        </w:tc>
        <w:tc>
          <w:tcPr>
            <w:tcW w:w="992" w:type="dxa"/>
            <w:tcBorders>
              <w:top w:val="nil"/>
              <w:left w:val="nil"/>
              <w:bottom w:val="single" w:sz="4" w:space="0" w:color="auto"/>
              <w:right w:val="single" w:sz="4" w:space="0" w:color="auto"/>
            </w:tcBorders>
            <w:shd w:val="clear" w:color="auto" w:fill="auto"/>
            <w:hideMark/>
          </w:tcPr>
          <w:p w:rsidR="00CC75F2" w:rsidRPr="00CC75F2" w:rsidRDefault="00CC75F2" w:rsidP="00CC75F2">
            <w:pPr>
              <w:jc w:val="center"/>
              <w:rPr>
                <w:rFonts w:cs="Arial"/>
                <w:color w:val="000000"/>
                <w:sz w:val="16"/>
                <w:szCs w:val="16"/>
              </w:rPr>
            </w:pPr>
            <w:r w:rsidRPr="00CC75F2">
              <w:rPr>
                <w:rFonts w:cs="Arial"/>
                <w:color w:val="000000"/>
                <w:sz w:val="16"/>
                <w:szCs w:val="16"/>
              </w:rPr>
              <w:t>H0140</w:t>
            </w:r>
          </w:p>
        </w:tc>
        <w:tc>
          <w:tcPr>
            <w:tcW w:w="1134" w:type="dxa"/>
            <w:tcBorders>
              <w:top w:val="nil"/>
              <w:left w:val="nil"/>
              <w:bottom w:val="single" w:sz="4" w:space="0" w:color="auto"/>
              <w:right w:val="single" w:sz="4" w:space="0" w:color="auto"/>
            </w:tcBorders>
            <w:shd w:val="clear" w:color="auto" w:fill="auto"/>
            <w:hideMark/>
          </w:tcPr>
          <w:p w:rsidR="00CC75F2" w:rsidRPr="00CC75F2" w:rsidRDefault="00CC75F2" w:rsidP="00373B8F">
            <w:pPr>
              <w:jc w:val="center"/>
              <w:rPr>
                <w:rFonts w:cs="Arial"/>
                <w:color w:val="000000"/>
                <w:sz w:val="16"/>
                <w:szCs w:val="16"/>
              </w:rPr>
            </w:pPr>
            <w:r w:rsidRPr="00CC75F2">
              <w:rPr>
                <w:rFonts w:cs="Arial"/>
                <w:color w:val="000000"/>
                <w:sz w:val="16"/>
                <w:szCs w:val="16"/>
              </w:rPr>
              <w:t>Individual (state) Individual (local) Precinct</w:t>
            </w:r>
          </w:p>
        </w:tc>
        <w:tc>
          <w:tcPr>
            <w:tcW w:w="1276" w:type="dxa"/>
            <w:tcBorders>
              <w:top w:val="nil"/>
              <w:left w:val="nil"/>
              <w:bottom w:val="single" w:sz="4" w:space="0" w:color="auto"/>
              <w:right w:val="single" w:sz="4" w:space="0" w:color="auto"/>
            </w:tcBorders>
            <w:shd w:val="clear" w:color="auto" w:fill="auto"/>
            <w:hideMark/>
          </w:tcPr>
          <w:p w:rsidR="00CC75F2" w:rsidRPr="00CC75F2" w:rsidRDefault="00CC75F2" w:rsidP="00CC75F2">
            <w:pPr>
              <w:jc w:val="center"/>
              <w:rPr>
                <w:rFonts w:cs="Arial"/>
                <w:color w:val="000000"/>
                <w:sz w:val="16"/>
                <w:szCs w:val="16"/>
              </w:rPr>
            </w:pPr>
            <w:r w:rsidRPr="00CC75F2">
              <w:rPr>
                <w:rFonts w:cs="Arial"/>
                <w:color w:val="000000"/>
                <w:sz w:val="16"/>
                <w:szCs w:val="16"/>
              </w:rPr>
              <w:t>Individually significant</w:t>
            </w:r>
          </w:p>
        </w:tc>
        <w:tc>
          <w:tcPr>
            <w:tcW w:w="2835" w:type="dxa"/>
            <w:tcBorders>
              <w:top w:val="nil"/>
              <w:left w:val="nil"/>
              <w:bottom w:val="single" w:sz="4" w:space="0" w:color="auto"/>
              <w:right w:val="single" w:sz="4" w:space="0" w:color="auto"/>
            </w:tcBorders>
            <w:shd w:val="clear" w:color="auto" w:fill="auto"/>
            <w:hideMark/>
          </w:tcPr>
          <w:p w:rsidR="00CC75F2" w:rsidRPr="00CC75F2" w:rsidRDefault="00CC75F2" w:rsidP="00CC75F2">
            <w:pPr>
              <w:jc w:val="left"/>
              <w:rPr>
                <w:rFonts w:cs="Arial"/>
                <w:color w:val="000000"/>
                <w:sz w:val="16"/>
                <w:szCs w:val="16"/>
              </w:rPr>
            </w:pPr>
            <w:r w:rsidRPr="00CC75F2">
              <w:rPr>
                <w:rFonts w:cs="Arial"/>
                <w:color w:val="000000"/>
                <w:sz w:val="16"/>
                <w:szCs w:val="16"/>
              </w:rPr>
              <w:t>External and internal controls apply as a result of the Heritage Victoria registration.  A permit from Heritage Victoria will be required for works to the buildings and land.</w:t>
            </w:r>
          </w:p>
        </w:tc>
        <w:tc>
          <w:tcPr>
            <w:tcW w:w="2693" w:type="dxa"/>
            <w:tcBorders>
              <w:top w:val="nil"/>
              <w:left w:val="nil"/>
              <w:bottom w:val="single" w:sz="4" w:space="0" w:color="auto"/>
              <w:right w:val="single" w:sz="4" w:space="0" w:color="auto"/>
            </w:tcBorders>
            <w:shd w:val="clear" w:color="auto" w:fill="auto"/>
            <w:hideMark/>
          </w:tcPr>
          <w:p w:rsidR="00CC75F2" w:rsidRPr="00CC75F2" w:rsidRDefault="00CC75F2" w:rsidP="005E5635">
            <w:pPr>
              <w:jc w:val="left"/>
              <w:rPr>
                <w:rFonts w:cs="Arial"/>
                <w:color w:val="000000"/>
                <w:sz w:val="16"/>
                <w:szCs w:val="16"/>
              </w:rPr>
            </w:pPr>
            <w:r w:rsidRPr="00CC75F2">
              <w:rPr>
                <w:rFonts w:cs="Arial"/>
                <w:color w:val="000000"/>
                <w:sz w:val="16"/>
                <w:szCs w:val="16"/>
              </w:rPr>
              <w:t xml:space="preserve">The </w:t>
            </w:r>
            <w:r w:rsidR="005E5635">
              <w:rPr>
                <w:rFonts w:cs="Arial"/>
                <w:color w:val="000000"/>
                <w:sz w:val="16"/>
                <w:szCs w:val="16"/>
              </w:rPr>
              <w:t>Town Hall Complex includes the T</w:t>
            </w:r>
            <w:r w:rsidRPr="00CC75F2">
              <w:rPr>
                <w:rFonts w:cs="Arial"/>
                <w:color w:val="000000"/>
                <w:sz w:val="16"/>
                <w:szCs w:val="16"/>
              </w:rPr>
              <w:t xml:space="preserve">own </w:t>
            </w:r>
            <w:r w:rsidR="005E5635">
              <w:rPr>
                <w:rFonts w:cs="Arial"/>
                <w:color w:val="000000"/>
                <w:sz w:val="16"/>
                <w:szCs w:val="16"/>
              </w:rPr>
              <w:t>H</w:t>
            </w:r>
            <w:r w:rsidRPr="00CC75F2">
              <w:rPr>
                <w:rFonts w:cs="Arial"/>
                <w:color w:val="000000"/>
                <w:sz w:val="16"/>
                <w:szCs w:val="16"/>
              </w:rPr>
              <w:t xml:space="preserve">all, </w:t>
            </w:r>
            <w:r w:rsidR="005E5635">
              <w:rPr>
                <w:rFonts w:cs="Arial"/>
                <w:color w:val="000000"/>
                <w:sz w:val="16"/>
                <w:szCs w:val="16"/>
              </w:rPr>
              <w:t>L</w:t>
            </w:r>
            <w:r w:rsidRPr="00CC75F2">
              <w:rPr>
                <w:rFonts w:cs="Arial"/>
                <w:color w:val="000000"/>
                <w:sz w:val="16"/>
                <w:szCs w:val="16"/>
              </w:rPr>
              <w:t xml:space="preserve">ibrary, </w:t>
            </w:r>
            <w:r w:rsidR="005E5635">
              <w:rPr>
                <w:rFonts w:cs="Arial"/>
                <w:color w:val="000000"/>
                <w:sz w:val="16"/>
                <w:szCs w:val="16"/>
              </w:rPr>
              <w:t>M</w:t>
            </w:r>
            <w:r w:rsidRPr="00CC75F2">
              <w:rPr>
                <w:rFonts w:cs="Arial"/>
                <w:color w:val="000000"/>
                <w:sz w:val="16"/>
                <w:szCs w:val="16"/>
              </w:rPr>
              <w:t xml:space="preserve">unicipal </w:t>
            </w:r>
            <w:r w:rsidR="005E5635">
              <w:rPr>
                <w:rFonts w:cs="Arial"/>
                <w:color w:val="000000"/>
                <w:sz w:val="16"/>
                <w:szCs w:val="16"/>
              </w:rPr>
              <w:t>O</w:t>
            </w:r>
            <w:r w:rsidRPr="00CC75F2">
              <w:rPr>
                <w:rFonts w:cs="Arial"/>
                <w:color w:val="000000"/>
                <w:sz w:val="16"/>
                <w:szCs w:val="16"/>
              </w:rPr>
              <w:t xml:space="preserve">ffices, </w:t>
            </w:r>
            <w:r w:rsidR="005E5635">
              <w:rPr>
                <w:rFonts w:cs="Arial"/>
                <w:color w:val="000000"/>
                <w:sz w:val="16"/>
                <w:szCs w:val="16"/>
              </w:rPr>
              <w:t>C</w:t>
            </w:r>
            <w:r w:rsidRPr="00CC75F2">
              <w:rPr>
                <w:rFonts w:cs="Arial"/>
                <w:color w:val="000000"/>
                <w:sz w:val="16"/>
                <w:szCs w:val="16"/>
              </w:rPr>
              <w:t xml:space="preserve">ourthouse and </w:t>
            </w:r>
            <w:r w:rsidR="005E5635">
              <w:rPr>
                <w:rFonts w:cs="Arial"/>
                <w:color w:val="000000"/>
                <w:sz w:val="16"/>
                <w:szCs w:val="16"/>
              </w:rPr>
              <w:t>P</w:t>
            </w:r>
            <w:r w:rsidRPr="00CC75F2">
              <w:rPr>
                <w:rFonts w:cs="Arial"/>
                <w:color w:val="000000"/>
                <w:sz w:val="16"/>
                <w:szCs w:val="16"/>
              </w:rPr>
              <w:t xml:space="preserve">ost </w:t>
            </w:r>
            <w:r w:rsidR="00A65590">
              <w:rPr>
                <w:rFonts w:cs="Arial"/>
                <w:color w:val="000000"/>
                <w:sz w:val="16"/>
                <w:szCs w:val="16"/>
              </w:rPr>
              <w:t>O</w:t>
            </w:r>
            <w:r w:rsidRPr="00CC75F2">
              <w:rPr>
                <w:rFonts w:cs="Arial"/>
                <w:color w:val="000000"/>
                <w:sz w:val="16"/>
                <w:szCs w:val="16"/>
              </w:rPr>
              <w:t xml:space="preserve">ffice (as outlined in the HV statement of significance). </w:t>
            </w:r>
          </w:p>
        </w:tc>
      </w:tr>
      <w:tr w:rsidR="008B0CE7" w:rsidRPr="00CC75F2" w:rsidTr="00EA18F9">
        <w:trPr>
          <w:cantSplit/>
          <w:trHeight w:val="720"/>
        </w:trPr>
        <w:tc>
          <w:tcPr>
            <w:tcW w:w="1433" w:type="dxa"/>
            <w:tcBorders>
              <w:top w:val="nil"/>
              <w:left w:val="single" w:sz="4" w:space="0" w:color="auto"/>
              <w:bottom w:val="single" w:sz="4" w:space="0" w:color="auto"/>
              <w:right w:val="single" w:sz="4" w:space="0" w:color="auto"/>
            </w:tcBorders>
            <w:shd w:val="clear" w:color="auto" w:fill="auto"/>
            <w:hideMark/>
          </w:tcPr>
          <w:p w:rsidR="00CC75F2" w:rsidRPr="00CC75F2" w:rsidRDefault="00CC75F2" w:rsidP="00CC75F2">
            <w:pPr>
              <w:jc w:val="left"/>
              <w:rPr>
                <w:rFonts w:cs="Arial"/>
                <w:color w:val="000000"/>
                <w:sz w:val="16"/>
                <w:szCs w:val="16"/>
              </w:rPr>
            </w:pPr>
            <w:r w:rsidRPr="00CC75F2">
              <w:rPr>
                <w:rFonts w:cs="Arial"/>
                <w:color w:val="000000"/>
                <w:sz w:val="16"/>
                <w:szCs w:val="16"/>
              </w:rPr>
              <w:t>Hoddle Street 142</w:t>
            </w:r>
          </w:p>
        </w:tc>
        <w:tc>
          <w:tcPr>
            <w:tcW w:w="1134" w:type="dxa"/>
            <w:tcBorders>
              <w:top w:val="nil"/>
              <w:left w:val="nil"/>
              <w:bottom w:val="single" w:sz="4" w:space="0" w:color="auto"/>
              <w:right w:val="single" w:sz="4" w:space="0" w:color="auto"/>
            </w:tcBorders>
            <w:shd w:val="clear" w:color="auto" w:fill="auto"/>
            <w:hideMark/>
          </w:tcPr>
          <w:p w:rsidR="00CC75F2" w:rsidRPr="00CC75F2" w:rsidRDefault="008B0CE7" w:rsidP="00CC75F2">
            <w:pPr>
              <w:jc w:val="center"/>
              <w:rPr>
                <w:rFonts w:cs="Arial"/>
                <w:color w:val="000000"/>
                <w:sz w:val="16"/>
                <w:szCs w:val="16"/>
              </w:rPr>
            </w:pPr>
            <w:r w:rsidRPr="00CC75F2">
              <w:rPr>
                <w:rFonts w:cs="Arial"/>
                <w:color w:val="000000"/>
                <w:sz w:val="16"/>
                <w:szCs w:val="16"/>
              </w:rPr>
              <w:t>A</w:t>
            </w:r>
            <w:r>
              <w:rPr>
                <w:rFonts w:cs="Arial"/>
                <w:color w:val="000000"/>
                <w:sz w:val="16"/>
                <w:szCs w:val="16"/>
              </w:rPr>
              <w:t>bbotsford</w:t>
            </w:r>
          </w:p>
        </w:tc>
        <w:tc>
          <w:tcPr>
            <w:tcW w:w="1417" w:type="dxa"/>
            <w:tcBorders>
              <w:top w:val="nil"/>
              <w:left w:val="nil"/>
              <w:bottom w:val="single" w:sz="4" w:space="0" w:color="auto"/>
              <w:right w:val="single" w:sz="4" w:space="0" w:color="auto"/>
            </w:tcBorders>
            <w:shd w:val="clear" w:color="auto" w:fill="auto"/>
            <w:hideMark/>
          </w:tcPr>
          <w:p w:rsidR="00CC75F2" w:rsidRPr="00CC75F2" w:rsidRDefault="00CC75F2" w:rsidP="008B0CE7">
            <w:pPr>
              <w:jc w:val="center"/>
              <w:rPr>
                <w:rFonts w:cs="Arial"/>
                <w:color w:val="000000"/>
                <w:sz w:val="16"/>
                <w:szCs w:val="16"/>
              </w:rPr>
            </w:pPr>
            <w:r w:rsidRPr="00CC75F2">
              <w:rPr>
                <w:rFonts w:cs="Arial"/>
                <w:color w:val="000000"/>
                <w:sz w:val="16"/>
                <w:szCs w:val="16"/>
              </w:rPr>
              <w:t>St P</w:t>
            </w:r>
            <w:r w:rsidR="008B0CE7">
              <w:rPr>
                <w:rFonts w:cs="Arial"/>
                <w:color w:val="000000"/>
                <w:sz w:val="16"/>
                <w:szCs w:val="16"/>
              </w:rPr>
              <w:t>hillips Reserve</w:t>
            </w:r>
          </w:p>
        </w:tc>
        <w:tc>
          <w:tcPr>
            <w:tcW w:w="1276" w:type="dxa"/>
            <w:tcBorders>
              <w:top w:val="nil"/>
              <w:left w:val="nil"/>
              <w:bottom w:val="single" w:sz="4" w:space="0" w:color="auto"/>
              <w:right w:val="single" w:sz="4" w:space="0" w:color="auto"/>
            </w:tcBorders>
            <w:shd w:val="clear" w:color="auto" w:fill="auto"/>
            <w:hideMark/>
          </w:tcPr>
          <w:p w:rsidR="00CC75F2" w:rsidRPr="00CC75F2" w:rsidRDefault="00CC75F2" w:rsidP="00CC75F2">
            <w:pPr>
              <w:jc w:val="center"/>
              <w:rPr>
                <w:rFonts w:cs="Arial"/>
                <w:color w:val="000000"/>
                <w:sz w:val="16"/>
                <w:szCs w:val="16"/>
              </w:rPr>
            </w:pPr>
            <w:r w:rsidRPr="00CC75F2">
              <w:rPr>
                <w:rFonts w:cs="Arial"/>
                <w:color w:val="000000"/>
                <w:sz w:val="16"/>
                <w:szCs w:val="16"/>
              </w:rPr>
              <w:t>Charles Street Precinct</w:t>
            </w:r>
          </w:p>
        </w:tc>
        <w:tc>
          <w:tcPr>
            <w:tcW w:w="1134" w:type="dxa"/>
            <w:tcBorders>
              <w:top w:val="nil"/>
              <w:left w:val="nil"/>
              <w:bottom w:val="single" w:sz="4" w:space="0" w:color="auto"/>
              <w:right w:val="single" w:sz="4" w:space="0" w:color="auto"/>
            </w:tcBorders>
            <w:shd w:val="clear" w:color="auto" w:fill="auto"/>
            <w:hideMark/>
          </w:tcPr>
          <w:p w:rsidR="00CC75F2" w:rsidRPr="00CC75F2" w:rsidRDefault="00CC75F2" w:rsidP="00CC75F2">
            <w:pPr>
              <w:jc w:val="center"/>
              <w:rPr>
                <w:rFonts w:cs="Arial"/>
                <w:color w:val="000000"/>
                <w:sz w:val="16"/>
                <w:szCs w:val="16"/>
              </w:rPr>
            </w:pPr>
            <w:r w:rsidRPr="00CC75F2">
              <w:rPr>
                <w:rFonts w:cs="Arial"/>
                <w:color w:val="000000"/>
                <w:sz w:val="16"/>
                <w:szCs w:val="16"/>
              </w:rPr>
              <w:t>HO313</w:t>
            </w:r>
          </w:p>
        </w:tc>
        <w:tc>
          <w:tcPr>
            <w:tcW w:w="992" w:type="dxa"/>
            <w:tcBorders>
              <w:top w:val="nil"/>
              <w:left w:val="nil"/>
              <w:bottom w:val="single" w:sz="4" w:space="0" w:color="auto"/>
              <w:right w:val="single" w:sz="4" w:space="0" w:color="auto"/>
            </w:tcBorders>
            <w:shd w:val="clear" w:color="auto" w:fill="auto"/>
            <w:hideMark/>
          </w:tcPr>
          <w:p w:rsidR="00CC75F2" w:rsidRPr="00CC75F2" w:rsidRDefault="00CC75F2" w:rsidP="00CC75F2">
            <w:pPr>
              <w:jc w:val="center"/>
              <w:rPr>
                <w:rFonts w:cs="Arial"/>
                <w:color w:val="000000"/>
                <w:sz w:val="16"/>
                <w:szCs w:val="16"/>
              </w:rPr>
            </w:pPr>
            <w:r w:rsidRPr="00CC75F2">
              <w:rPr>
                <w:rFonts w:cs="Arial"/>
                <w:color w:val="000000"/>
                <w:sz w:val="16"/>
                <w:szCs w:val="16"/>
              </w:rPr>
              <w:t>N/A</w:t>
            </w:r>
          </w:p>
        </w:tc>
        <w:tc>
          <w:tcPr>
            <w:tcW w:w="1134" w:type="dxa"/>
            <w:tcBorders>
              <w:top w:val="nil"/>
              <w:left w:val="nil"/>
              <w:bottom w:val="single" w:sz="4" w:space="0" w:color="auto"/>
              <w:right w:val="single" w:sz="4" w:space="0" w:color="auto"/>
            </w:tcBorders>
            <w:shd w:val="clear" w:color="auto" w:fill="auto"/>
            <w:hideMark/>
          </w:tcPr>
          <w:p w:rsidR="00CC75F2" w:rsidRPr="00CC75F2" w:rsidRDefault="00CC75F2" w:rsidP="00373B8F">
            <w:pPr>
              <w:jc w:val="center"/>
              <w:rPr>
                <w:rFonts w:cs="Arial"/>
                <w:color w:val="000000"/>
                <w:sz w:val="16"/>
                <w:szCs w:val="16"/>
              </w:rPr>
            </w:pPr>
            <w:r w:rsidRPr="00CC75F2">
              <w:rPr>
                <w:rFonts w:cs="Arial"/>
                <w:color w:val="000000"/>
                <w:sz w:val="16"/>
                <w:szCs w:val="16"/>
              </w:rPr>
              <w:t>Precinct</w:t>
            </w:r>
          </w:p>
        </w:tc>
        <w:tc>
          <w:tcPr>
            <w:tcW w:w="1276" w:type="dxa"/>
            <w:tcBorders>
              <w:top w:val="nil"/>
              <w:left w:val="nil"/>
              <w:bottom w:val="single" w:sz="4" w:space="0" w:color="auto"/>
              <w:right w:val="single" w:sz="4" w:space="0" w:color="auto"/>
            </w:tcBorders>
            <w:shd w:val="clear" w:color="auto" w:fill="auto"/>
            <w:hideMark/>
          </w:tcPr>
          <w:p w:rsidR="00CC75F2" w:rsidRPr="00CC75F2" w:rsidRDefault="00CC75F2" w:rsidP="00CC75F2">
            <w:pPr>
              <w:jc w:val="center"/>
              <w:rPr>
                <w:rFonts w:cs="Arial"/>
                <w:color w:val="000000"/>
                <w:sz w:val="16"/>
                <w:szCs w:val="16"/>
              </w:rPr>
            </w:pPr>
            <w:r w:rsidRPr="00CC75F2">
              <w:rPr>
                <w:rFonts w:cs="Arial"/>
                <w:color w:val="000000"/>
                <w:sz w:val="16"/>
                <w:szCs w:val="16"/>
              </w:rPr>
              <w:t>Ungraded</w:t>
            </w:r>
          </w:p>
        </w:tc>
        <w:tc>
          <w:tcPr>
            <w:tcW w:w="2835" w:type="dxa"/>
            <w:tcBorders>
              <w:top w:val="nil"/>
              <w:left w:val="nil"/>
              <w:bottom w:val="single" w:sz="4" w:space="0" w:color="auto"/>
              <w:right w:val="single" w:sz="4" w:space="0" w:color="auto"/>
            </w:tcBorders>
            <w:shd w:val="clear" w:color="auto" w:fill="auto"/>
            <w:hideMark/>
          </w:tcPr>
          <w:p w:rsidR="00CC75F2" w:rsidRPr="00CC75F2" w:rsidRDefault="00CC75F2" w:rsidP="00CC75F2">
            <w:pPr>
              <w:jc w:val="left"/>
              <w:rPr>
                <w:rFonts w:cs="Arial"/>
                <w:color w:val="000000"/>
                <w:sz w:val="16"/>
                <w:szCs w:val="16"/>
              </w:rPr>
            </w:pPr>
            <w:r w:rsidRPr="00CC75F2">
              <w:rPr>
                <w:rFonts w:cs="Arial"/>
                <w:color w:val="000000"/>
                <w:sz w:val="16"/>
                <w:szCs w:val="16"/>
              </w:rPr>
              <w:t>External controls apply to the buildings and land, no internal controls, no tree controls and no external paint controls apply</w:t>
            </w:r>
          </w:p>
        </w:tc>
        <w:tc>
          <w:tcPr>
            <w:tcW w:w="2693" w:type="dxa"/>
            <w:tcBorders>
              <w:top w:val="nil"/>
              <w:left w:val="nil"/>
              <w:bottom w:val="single" w:sz="4" w:space="0" w:color="auto"/>
              <w:right w:val="single" w:sz="4" w:space="0" w:color="auto"/>
            </w:tcBorders>
            <w:shd w:val="clear" w:color="auto" w:fill="auto"/>
            <w:hideMark/>
          </w:tcPr>
          <w:p w:rsidR="00CC75F2" w:rsidRPr="00CC75F2" w:rsidRDefault="00CC75F2" w:rsidP="00CC75F2">
            <w:pPr>
              <w:jc w:val="left"/>
              <w:rPr>
                <w:rFonts w:cs="Arial"/>
                <w:color w:val="000000"/>
                <w:sz w:val="16"/>
                <w:szCs w:val="16"/>
              </w:rPr>
            </w:pPr>
            <w:r w:rsidRPr="00CC75F2">
              <w:rPr>
                <w:rFonts w:cs="Arial"/>
                <w:color w:val="000000"/>
                <w:sz w:val="16"/>
                <w:szCs w:val="16"/>
              </w:rPr>
              <w:t> </w:t>
            </w:r>
          </w:p>
        </w:tc>
      </w:tr>
      <w:tr w:rsidR="008B0CE7" w:rsidRPr="00CC75F2" w:rsidTr="00EA18F9">
        <w:trPr>
          <w:cantSplit/>
          <w:trHeight w:val="960"/>
        </w:trPr>
        <w:tc>
          <w:tcPr>
            <w:tcW w:w="1433" w:type="dxa"/>
            <w:tcBorders>
              <w:top w:val="nil"/>
              <w:left w:val="single" w:sz="4" w:space="0" w:color="auto"/>
              <w:bottom w:val="single" w:sz="4" w:space="0" w:color="auto"/>
              <w:right w:val="single" w:sz="4" w:space="0" w:color="auto"/>
            </w:tcBorders>
            <w:shd w:val="clear" w:color="auto" w:fill="auto"/>
            <w:hideMark/>
          </w:tcPr>
          <w:p w:rsidR="00CC75F2" w:rsidRPr="00CC75F2" w:rsidRDefault="00CC75F2" w:rsidP="00CC75F2">
            <w:pPr>
              <w:jc w:val="left"/>
              <w:rPr>
                <w:rFonts w:cs="Arial"/>
                <w:color w:val="000000"/>
                <w:sz w:val="16"/>
                <w:szCs w:val="16"/>
              </w:rPr>
            </w:pPr>
            <w:r w:rsidRPr="00CC75F2">
              <w:rPr>
                <w:rFonts w:cs="Arial"/>
                <w:color w:val="000000"/>
                <w:sz w:val="16"/>
                <w:szCs w:val="16"/>
              </w:rPr>
              <w:t>Hoddle Street 499</w:t>
            </w:r>
          </w:p>
        </w:tc>
        <w:tc>
          <w:tcPr>
            <w:tcW w:w="1134" w:type="dxa"/>
            <w:tcBorders>
              <w:top w:val="nil"/>
              <w:left w:val="nil"/>
              <w:bottom w:val="single" w:sz="4" w:space="0" w:color="auto"/>
              <w:right w:val="single" w:sz="4" w:space="0" w:color="auto"/>
            </w:tcBorders>
            <w:shd w:val="clear" w:color="auto" w:fill="auto"/>
            <w:hideMark/>
          </w:tcPr>
          <w:p w:rsidR="00CC75F2" w:rsidRPr="00CC75F2" w:rsidRDefault="00CC75F2" w:rsidP="008B0CE7">
            <w:pPr>
              <w:jc w:val="center"/>
              <w:rPr>
                <w:rFonts w:cs="Arial"/>
                <w:color w:val="000000"/>
                <w:sz w:val="16"/>
                <w:szCs w:val="16"/>
              </w:rPr>
            </w:pPr>
            <w:r w:rsidRPr="00CC75F2">
              <w:rPr>
                <w:rFonts w:cs="Arial"/>
                <w:color w:val="000000"/>
                <w:sz w:val="16"/>
                <w:szCs w:val="16"/>
              </w:rPr>
              <w:t>C</w:t>
            </w:r>
            <w:r w:rsidR="008B0CE7">
              <w:rPr>
                <w:rFonts w:cs="Arial"/>
                <w:color w:val="000000"/>
                <w:sz w:val="16"/>
                <w:szCs w:val="16"/>
              </w:rPr>
              <w:t>lifton Hill</w:t>
            </w:r>
          </w:p>
        </w:tc>
        <w:tc>
          <w:tcPr>
            <w:tcW w:w="1417" w:type="dxa"/>
            <w:tcBorders>
              <w:top w:val="nil"/>
              <w:left w:val="nil"/>
              <w:bottom w:val="single" w:sz="4" w:space="0" w:color="auto"/>
              <w:right w:val="single" w:sz="4" w:space="0" w:color="auto"/>
            </w:tcBorders>
            <w:shd w:val="clear" w:color="auto" w:fill="auto"/>
            <w:hideMark/>
          </w:tcPr>
          <w:p w:rsidR="00CC75F2" w:rsidRPr="00CC75F2" w:rsidRDefault="00CC75F2" w:rsidP="008B0CE7">
            <w:pPr>
              <w:jc w:val="center"/>
              <w:rPr>
                <w:rFonts w:cs="Arial"/>
                <w:color w:val="000000"/>
                <w:sz w:val="16"/>
                <w:szCs w:val="16"/>
              </w:rPr>
            </w:pPr>
            <w:r w:rsidRPr="00CC75F2">
              <w:rPr>
                <w:rFonts w:cs="Arial"/>
                <w:color w:val="000000"/>
                <w:sz w:val="16"/>
                <w:szCs w:val="16"/>
              </w:rPr>
              <w:t>D</w:t>
            </w:r>
            <w:r w:rsidR="008B0CE7">
              <w:rPr>
                <w:rFonts w:cs="Arial"/>
                <w:color w:val="000000"/>
                <w:sz w:val="16"/>
                <w:szCs w:val="16"/>
              </w:rPr>
              <w:t>arling Gardens Maternal Health Centre</w:t>
            </w:r>
          </w:p>
        </w:tc>
        <w:tc>
          <w:tcPr>
            <w:tcW w:w="1276" w:type="dxa"/>
            <w:tcBorders>
              <w:top w:val="nil"/>
              <w:left w:val="nil"/>
              <w:bottom w:val="single" w:sz="4" w:space="0" w:color="auto"/>
              <w:right w:val="single" w:sz="4" w:space="0" w:color="auto"/>
            </w:tcBorders>
            <w:shd w:val="clear" w:color="auto" w:fill="auto"/>
            <w:hideMark/>
          </w:tcPr>
          <w:p w:rsidR="00CC75F2" w:rsidRPr="00CC75F2" w:rsidRDefault="00CC75F2" w:rsidP="00CC75F2">
            <w:pPr>
              <w:jc w:val="center"/>
              <w:rPr>
                <w:rFonts w:cs="Arial"/>
                <w:color w:val="000000"/>
                <w:sz w:val="16"/>
                <w:szCs w:val="16"/>
              </w:rPr>
            </w:pPr>
            <w:r w:rsidRPr="00CC75F2">
              <w:rPr>
                <w:rFonts w:cs="Arial"/>
                <w:color w:val="000000"/>
                <w:sz w:val="16"/>
                <w:szCs w:val="16"/>
              </w:rPr>
              <w:t>Clifton Hill Western Precinct</w:t>
            </w:r>
          </w:p>
        </w:tc>
        <w:tc>
          <w:tcPr>
            <w:tcW w:w="1134" w:type="dxa"/>
            <w:tcBorders>
              <w:top w:val="nil"/>
              <w:left w:val="nil"/>
              <w:bottom w:val="single" w:sz="4" w:space="0" w:color="auto"/>
              <w:right w:val="single" w:sz="4" w:space="0" w:color="auto"/>
            </w:tcBorders>
            <w:shd w:val="clear" w:color="auto" w:fill="auto"/>
            <w:hideMark/>
          </w:tcPr>
          <w:p w:rsidR="00CC75F2" w:rsidRPr="00CC75F2" w:rsidRDefault="00CC75F2" w:rsidP="00CC75F2">
            <w:pPr>
              <w:jc w:val="center"/>
              <w:rPr>
                <w:rFonts w:cs="Arial"/>
                <w:color w:val="000000"/>
                <w:sz w:val="16"/>
                <w:szCs w:val="16"/>
              </w:rPr>
            </w:pPr>
            <w:r w:rsidRPr="00CC75F2">
              <w:rPr>
                <w:rFonts w:cs="Arial"/>
                <w:color w:val="000000"/>
                <w:sz w:val="16"/>
                <w:szCs w:val="16"/>
              </w:rPr>
              <w:t>HO317</w:t>
            </w:r>
          </w:p>
        </w:tc>
        <w:tc>
          <w:tcPr>
            <w:tcW w:w="992" w:type="dxa"/>
            <w:tcBorders>
              <w:top w:val="nil"/>
              <w:left w:val="nil"/>
              <w:bottom w:val="single" w:sz="4" w:space="0" w:color="auto"/>
              <w:right w:val="single" w:sz="4" w:space="0" w:color="auto"/>
            </w:tcBorders>
            <w:shd w:val="clear" w:color="auto" w:fill="auto"/>
            <w:hideMark/>
          </w:tcPr>
          <w:p w:rsidR="00CC75F2" w:rsidRPr="00CC75F2" w:rsidRDefault="00CC75F2" w:rsidP="00CC75F2">
            <w:pPr>
              <w:jc w:val="center"/>
              <w:rPr>
                <w:rFonts w:cs="Arial"/>
                <w:color w:val="000000"/>
                <w:sz w:val="16"/>
                <w:szCs w:val="16"/>
              </w:rPr>
            </w:pPr>
            <w:r w:rsidRPr="00CC75F2">
              <w:rPr>
                <w:rFonts w:cs="Arial"/>
                <w:color w:val="000000"/>
                <w:sz w:val="16"/>
                <w:szCs w:val="16"/>
              </w:rPr>
              <w:t>N/A</w:t>
            </w:r>
          </w:p>
        </w:tc>
        <w:tc>
          <w:tcPr>
            <w:tcW w:w="1134" w:type="dxa"/>
            <w:tcBorders>
              <w:top w:val="nil"/>
              <w:left w:val="nil"/>
              <w:bottom w:val="single" w:sz="4" w:space="0" w:color="auto"/>
              <w:right w:val="single" w:sz="4" w:space="0" w:color="auto"/>
            </w:tcBorders>
            <w:shd w:val="clear" w:color="auto" w:fill="auto"/>
            <w:hideMark/>
          </w:tcPr>
          <w:p w:rsidR="00CC75F2" w:rsidRPr="00CC75F2" w:rsidRDefault="00CC75F2" w:rsidP="00373B8F">
            <w:pPr>
              <w:jc w:val="center"/>
              <w:rPr>
                <w:rFonts w:cs="Arial"/>
                <w:color w:val="000000"/>
                <w:sz w:val="16"/>
                <w:szCs w:val="16"/>
              </w:rPr>
            </w:pPr>
            <w:r w:rsidRPr="00CC75F2">
              <w:rPr>
                <w:rFonts w:cs="Arial"/>
                <w:color w:val="000000"/>
                <w:sz w:val="16"/>
                <w:szCs w:val="16"/>
              </w:rPr>
              <w:t>Precinct</w:t>
            </w:r>
          </w:p>
        </w:tc>
        <w:tc>
          <w:tcPr>
            <w:tcW w:w="1276" w:type="dxa"/>
            <w:tcBorders>
              <w:top w:val="nil"/>
              <w:left w:val="nil"/>
              <w:bottom w:val="single" w:sz="4" w:space="0" w:color="auto"/>
              <w:right w:val="single" w:sz="4" w:space="0" w:color="auto"/>
            </w:tcBorders>
            <w:shd w:val="clear" w:color="auto" w:fill="auto"/>
            <w:hideMark/>
          </w:tcPr>
          <w:p w:rsidR="00CC75F2" w:rsidRPr="00CC75F2" w:rsidRDefault="00CC75F2" w:rsidP="00CC75F2">
            <w:pPr>
              <w:jc w:val="center"/>
              <w:rPr>
                <w:rFonts w:cs="Arial"/>
                <w:color w:val="000000"/>
                <w:sz w:val="16"/>
                <w:szCs w:val="16"/>
              </w:rPr>
            </w:pPr>
            <w:r w:rsidRPr="00CC75F2">
              <w:rPr>
                <w:rFonts w:cs="Arial"/>
                <w:color w:val="000000"/>
                <w:sz w:val="16"/>
                <w:szCs w:val="16"/>
              </w:rPr>
              <w:t>Individually significant</w:t>
            </w:r>
          </w:p>
        </w:tc>
        <w:tc>
          <w:tcPr>
            <w:tcW w:w="2835" w:type="dxa"/>
            <w:tcBorders>
              <w:top w:val="nil"/>
              <w:left w:val="nil"/>
              <w:bottom w:val="single" w:sz="4" w:space="0" w:color="auto"/>
              <w:right w:val="single" w:sz="4" w:space="0" w:color="auto"/>
            </w:tcBorders>
            <w:shd w:val="clear" w:color="auto" w:fill="auto"/>
            <w:hideMark/>
          </w:tcPr>
          <w:p w:rsidR="00CC75F2" w:rsidRPr="00CC75F2" w:rsidRDefault="00CC75F2" w:rsidP="00CC75F2">
            <w:pPr>
              <w:jc w:val="left"/>
              <w:rPr>
                <w:rFonts w:cs="Arial"/>
                <w:color w:val="000000"/>
                <w:sz w:val="16"/>
                <w:szCs w:val="16"/>
              </w:rPr>
            </w:pPr>
            <w:r w:rsidRPr="00CC75F2">
              <w:rPr>
                <w:rFonts w:cs="Arial"/>
                <w:color w:val="000000"/>
                <w:sz w:val="16"/>
                <w:szCs w:val="16"/>
              </w:rPr>
              <w:t>External controls apply to the building and land, no internal controls, no tree controls and no external paint controls apply</w:t>
            </w:r>
          </w:p>
        </w:tc>
        <w:tc>
          <w:tcPr>
            <w:tcW w:w="2693" w:type="dxa"/>
            <w:tcBorders>
              <w:top w:val="nil"/>
              <w:left w:val="nil"/>
              <w:bottom w:val="single" w:sz="4" w:space="0" w:color="auto"/>
              <w:right w:val="single" w:sz="4" w:space="0" w:color="auto"/>
            </w:tcBorders>
            <w:shd w:val="clear" w:color="auto" w:fill="auto"/>
            <w:hideMark/>
          </w:tcPr>
          <w:p w:rsidR="00CC75F2" w:rsidRPr="00CC75F2" w:rsidRDefault="00CC75F2" w:rsidP="00CC75F2">
            <w:pPr>
              <w:jc w:val="left"/>
              <w:rPr>
                <w:rFonts w:cs="Arial"/>
                <w:color w:val="000000"/>
                <w:sz w:val="16"/>
                <w:szCs w:val="16"/>
              </w:rPr>
            </w:pPr>
            <w:r w:rsidRPr="00CC75F2">
              <w:rPr>
                <w:rFonts w:cs="Arial"/>
                <w:color w:val="000000"/>
                <w:sz w:val="16"/>
                <w:szCs w:val="16"/>
              </w:rPr>
              <w:t>Note: This HO relates to the childcare centre.  Darling Gardens is listed  under its Gold Street address</w:t>
            </w:r>
          </w:p>
        </w:tc>
      </w:tr>
      <w:tr w:rsidR="008B0CE7" w:rsidRPr="00CC75F2" w:rsidTr="00EA18F9">
        <w:trPr>
          <w:cantSplit/>
          <w:trHeight w:val="720"/>
        </w:trPr>
        <w:tc>
          <w:tcPr>
            <w:tcW w:w="1433" w:type="dxa"/>
            <w:tcBorders>
              <w:top w:val="nil"/>
              <w:left w:val="single" w:sz="4" w:space="0" w:color="auto"/>
              <w:bottom w:val="single" w:sz="4" w:space="0" w:color="auto"/>
              <w:right w:val="single" w:sz="4" w:space="0" w:color="auto"/>
            </w:tcBorders>
            <w:shd w:val="clear" w:color="auto" w:fill="auto"/>
            <w:hideMark/>
          </w:tcPr>
          <w:p w:rsidR="00CC75F2" w:rsidRPr="00CC75F2" w:rsidRDefault="00CC75F2" w:rsidP="00CC75F2">
            <w:pPr>
              <w:jc w:val="left"/>
              <w:rPr>
                <w:rFonts w:cs="Arial"/>
                <w:color w:val="000000"/>
                <w:sz w:val="16"/>
                <w:szCs w:val="16"/>
              </w:rPr>
            </w:pPr>
            <w:r w:rsidRPr="00CC75F2">
              <w:rPr>
                <w:rFonts w:cs="Arial"/>
                <w:color w:val="000000"/>
                <w:sz w:val="16"/>
                <w:szCs w:val="16"/>
              </w:rPr>
              <w:t>Holden Street 118</w:t>
            </w:r>
          </w:p>
        </w:tc>
        <w:tc>
          <w:tcPr>
            <w:tcW w:w="1134" w:type="dxa"/>
            <w:tcBorders>
              <w:top w:val="nil"/>
              <w:left w:val="nil"/>
              <w:bottom w:val="single" w:sz="4" w:space="0" w:color="auto"/>
              <w:right w:val="single" w:sz="4" w:space="0" w:color="auto"/>
            </w:tcBorders>
            <w:shd w:val="clear" w:color="auto" w:fill="auto"/>
            <w:hideMark/>
          </w:tcPr>
          <w:p w:rsidR="00CC75F2" w:rsidRPr="00CC75F2" w:rsidRDefault="008B0CE7" w:rsidP="00CC75F2">
            <w:pPr>
              <w:jc w:val="center"/>
              <w:rPr>
                <w:rFonts w:cs="Arial"/>
                <w:color w:val="000000"/>
                <w:sz w:val="16"/>
                <w:szCs w:val="16"/>
              </w:rPr>
            </w:pPr>
            <w:r w:rsidRPr="00CC75F2">
              <w:rPr>
                <w:rFonts w:cs="Arial"/>
                <w:color w:val="000000"/>
                <w:sz w:val="16"/>
                <w:szCs w:val="16"/>
              </w:rPr>
              <w:t>F</w:t>
            </w:r>
            <w:r>
              <w:rPr>
                <w:rFonts w:cs="Arial"/>
                <w:color w:val="000000"/>
                <w:sz w:val="16"/>
                <w:szCs w:val="16"/>
              </w:rPr>
              <w:t>itzroy</w:t>
            </w:r>
            <w:r w:rsidRPr="00CC75F2">
              <w:rPr>
                <w:rFonts w:cs="Arial"/>
                <w:color w:val="000000"/>
                <w:sz w:val="16"/>
                <w:szCs w:val="16"/>
              </w:rPr>
              <w:t xml:space="preserve"> N</w:t>
            </w:r>
            <w:r>
              <w:rPr>
                <w:rFonts w:cs="Arial"/>
                <w:color w:val="000000"/>
                <w:sz w:val="16"/>
                <w:szCs w:val="16"/>
              </w:rPr>
              <w:t>orth</w:t>
            </w:r>
          </w:p>
        </w:tc>
        <w:tc>
          <w:tcPr>
            <w:tcW w:w="1417" w:type="dxa"/>
            <w:tcBorders>
              <w:top w:val="nil"/>
              <w:left w:val="nil"/>
              <w:bottom w:val="single" w:sz="4" w:space="0" w:color="auto"/>
              <w:right w:val="single" w:sz="4" w:space="0" w:color="auto"/>
            </w:tcBorders>
            <w:shd w:val="clear" w:color="auto" w:fill="auto"/>
            <w:hideMark/>
          </w:tcPr>
          <w:p w:rsidR="00CC75F2" w:rsidRPr="00CC75F2" w:rsidRDefault="00CC75F2" w:rsidP="008B0CE7">
            <w:pPr>
              <w:jc w:val="center"/>
              <w:rPr>
                <w:rFonts w:cs="Arial"/>
                <w:color w:val="000000"/>
                <w:sz w:val="16"/>
                <w:szCs w:val="16"/>
              </w:rPr>
            </w:pPr>
            <w:r w:rsidRPr="00CC75F2">
              <w:rPr>
                <w:rFonts w:cs="Arial"/>
                <w:color w:val="000000"/>
                <w:sz w:val="16"/>
                <w:szCs w:val="16"/>
              </w:rPr>
              <w:t>N</w:t>
            </w:r>
            <w:r w:rsidR="008B0CE7">
              <w:rPr>
                <w:rFonts w:cs="Arial"/>
                <w:color w:val="000000"/>
                <w:sz w:val="16"/>
                <w:szCs w:val="16"/>
              </w:rPr>
              <w:t>ot Provided</w:t>
            </w:r>
          </w:p>
        </w:tc>
        <w:tc>
          <w:tcPr>
            <w:tcW w:w="1276" w:type="dxa"/>
            <w:tcBorders>
              <w:top w:val="nil"/>
              <w:left w:val="nil"/>
              <w:bottom w:val="single" w:sz="4" w:space="0" w:color="auto"/>
              <w:right w:val="single" w:sz="4" w:space="0" w:color="auto"/>
            </w:tcBorders>
            <w:shd w:val="clear" w:color="auto" w:fill="auto"/>
            <w:hideMark/>
          </w:tcPr>
          <w:p w:rsidR="00CC75F2" w:rsidRPr="00CC75F2" w:rsidRDefault="00CC75F2" w:rsidP="00CC75F2">
            <w:pPr>
              <w:jc w:val="center"/>
              <w:rPr>
                <w:rFonts w:cs="Arial"/>
                <w:color w:val="000000"/>
                <w:sz w:val="16"/>
                <w:szCs w:val="16"/>
              </w:rPr>
            </w:pPr>
            <w:r w:rsidRPr="00CC75F2">
              <w:rPr>
                <w:rFonts w:cs="Arial"/>
                <w:color w:val="000000"/>
                <w:sz w:val="16"/>
                <w:szCs w:val="16"/>
              </w:rPr>
              <w:t>North Fitzroy Precinct</w:t>
            </w:r>
          </w:p>
        </w:tc>
        <w:tc>
          <w:tcPr>
            <w:tcW w:w="1134" w:type="dxa"/>
            <w:tcBorders>
              <w:top w:val="nil"/>
              <w:left w:val="nil"/>
              <w:bottom w:val="single" w:sz="4" w:space="0" w:color="auto"/>
              <w:right w:val="single" w:sz="4" w:space="0" w:color="auto"/>
            </w:tcBorders>
            <w:shd w:val="clear" w:color="auto" w:fill="auto"/>
            <w:hideMark/>
          </w:tcPr>
          <w:p w:rsidR="00CC75F2" w:rsidRPr="00CC75F2" w:rsidRDefault="00CC75F2" w:rsidP="00CC75F2">
            <w:pPr>
              <w:jc w:val="center"/>
              <w:rPr>
                <w:rFonts w:cs="Arial"/>
                <w:color w:val="000000"/>
                <w:sz w:val="16"/>
                <w:szCs w:val="16"/>
              </w:rPr>
            </w:pPr>
            <w:r w:rsidRPr="00CC75F2">
              <w:rPr>
                <w:rFonts w:cs="Arial"/>
                <w:color w:val="000000"/>
                <w:sz w:val="16"/>
                <w:szCs w:val="16"/>
              </w:rPr>
              <w:t>HO327</w:t>
            </w:r>
          </w:p>
        </w:tc>
        <w:tc>
          <w:tcPr>
            <w:tcW w:w="992" w:type="dxa"/>
            <w:tcBorders>
              <w:top w:val="nil"/>
              <w:left w:val="nil"/>
              <w:bottom w:val="single" w:sz="4" w:space="0" w:color="auto"/>
              <w:right w:val="single" w:sz="4" w:space="0" w:color="auto"/>
            </w:tcBorders>
            <w:shd w:val="clear" w:color="auto" w:fill="auto"/>
            <w:hideMark/>
          </w:tcPr>
          <w:p w:rsidR="00CC75F2" w:rsidRPr="00CC75F2" w:rsidRDefault="00CC75F2" w:rsidP="00CC75F2">
            <w:pPr>
              <w:jc w:val="center"/>
              <w:rPr>
                <w:rFonts w:cs="Arial"/>
                <w:color w:val="000000"/>
                <w:sz w:val="16"/>
                <w:szCs w:val="16"/>
              </w:rPr>
            </w:pPr>
            <w:r w:rsidRPr="00CC75F2">
              <w:rPr>
                <w:rFonts w:cs="Arial"/>
                <w:color w:val="000000"/>
                <w:sz w:val="16"/>
                <w:szCs w:val="16"/>
              </w:rPr>
              <w:t>N/A</w:t>
            </w:r>
          </w:p>
        </w:tc>
        <w:tc>
          <w:tcPr>
            <w:tcW w:w="1134" w:type="dxa"/>
            <w:tcBorders>
              <w:top w:val="nil"/>
              <w:left w:val="nil"/>
              <w:bottom w:val="single" w:sz="4" w:space="0" w:color="auto"/>
              <w:right w:val="single" w:sz="4" w:space="0" w:color="auto"/>
            </w:tcBorders>
            <w:shd w:val="clear" w:color="auto" w:fill="auto"/>
            <w:hideMark/>
          </w:tcPr>
          <w:p w:rsidR="00CC75F2" w:rsidRPr="00CC75F2" w:rsidRDefault="00CC75F2" w:rsidP="00373B8F">
            <w:pPr>
              <w:jc w:val="center"/>
              <w:rPr>
                <w:rFonts w:cs="Arial"/>
                <w:color w:val="000000"/>
                <w:sz w:val="16"/>
                <w:szCs w:val="16"/>
              </w:rPr>
            </w:pPr>
            <w:r w:rsidRPr="00CC75F2">
              <w:rPr>
                <w:rFonts w:cs="Arial"/>
                <w:color w:val="000000"/>
                <w:sz w:val="16"/>
                <w:szCs w:val="16"/>
              </w:rPr>
              <w:t>Precinct</w:t>
            </w:r>
          </w:p>
        </w:tc>
        <w:tc>
          <w:tcPr>
            <w:tcW w:w="1276" w:type="dxa"/>
            <w:tcBorders>
              <w:top w:val="nil"/>
              <w:left w:val="nil"/>
              <w:bottom w:val="single" w:sz="4" w:space="0" w:color="auto"/>
              <w:right w:val="single" w:sz="4" w:space="0" w:color="auto"/>
            </w:tcBorders>
            <w:shd w:val="clear" w:color="auto" w:fill="auto"/>
            <w:hideMark/>
          </w:tcPr>
          <w:p w:rsidR="00CC75F2" w:rsidRPr="00CC75F2" w:rsidRDefault="00CC75F2" w:rsidP="00CC75F2">
            <w:pPr>
              <w:jc w:val="center"/>
              <w:rPr>
                <w:rFonts w:cs="Arial"/>
                <w:color w:val="000000"/>
                <w:sz w:val="16"/>
                <w:szCs w:val="16"/>
              </w:rPr>
            </w:pPr>
            <w:r w:rsidRPr="00CC75F2">
              <w:rPr>
                <w:rFonts w:cs="Arial"/>
                <w:color w:val="000000"/>
                <w:sz w:val="16"/>
                <w:szCs w:val="16"/>
              </w:rPr>
              <w:t>No grading identified</w:t>
            </w:r>
          </w:p>
        </w:tc>
        <w:tc>
          <w:tcPr>
            <w:tcW w:w="2835" w:type="dxa"/>
            <w:tcBorders>
              <w:top w:val="nil"/>
              <w:left w:val="nil"/>
              <w:bottom w:val="single" w:sz="4" w:space="0" w:color="auto"/>
              <w:right w:val="single" w:sz="4" w:space="0" w:color="auto"/>
            </w:tcBorders>
            <w:shd w:val="clear" w:color="auto" w:fill="auto"/>
            <w:hideMark/>
          </w:tcPr>
          <w:p w:rsidR="00CC75F2" w:rsidRPr="00CC75F2" w:rsidRDefault="00CC75F2" w:rsidP="00CC75F2">
            <w:pPr>
              <w:jc w:val="left"/>
              <w:rPr>
                <w:rFonts w:cs="Arial"/>
                <w:color w:val="000000"/>
                <w:sz w:val="16"/>
                <w:szCs w:val="16"/>
              </w:rPr>
            </w:pPr>
            <w:r w:rsidRPr="00CC75F2">
              <w:rPr>
                <w:rFonts w:cs="Arial"/>
                <w:color w:val="000000"/>
                <w:sz w:val="16"/>
                <w:szCs w:val="16"/>
              </w:rPr>
              <w:t>External controls apply to the building and land, no internal controls, no tree controls and no external paint controls apply</w:t>
            </w:r>
          </w:p>
        </w:tc>
        <w:tc>
          <w:tcPr>
            <w:tcW w:w="2693" w:type="dxa"/>
            <w:tcBorders>
              <w:top w:val="nil"/>
              <w:left w:val="nil"/>
              <w:bottom w:val="single" w:sz="4" w:space="0" w:color="auto"/>
              <w:right w:val="single" w:sz="4" w:space="0" w:color="auto"/>
            </w:tcBorders>
            <w:shd w:val="clear" w:color="auto" w:fill="auto"/>
            <w:hideMark/>
          </w:tcPr>
          <w:p w:rsidR="00CC75F2" w:rsidRPr="00CC75F2" w:rsidRDefault="00CC75F2" w:rsidP="00CC75F2">
            <w:pPr>
              <w:jc w:val="left"/>
              <w:rPr>
                <w:rFonts w:cs="Arial"/>
                <w:color w:val="000000"/>
                <w:sz w:val="16"/>
                <w:szCs w:val="16"/>
              </w:rPr>
            </w:pPr>
            <w:r w:rsidRPr="00CC75F2">
              <w:rPr>
                <w:rFonts w:cs="Arial"/>
                <w:color w:val="000000"/>
                <w:sz w:val="16"/>
                <w:szCs w:val="16"/>
              </w:rPr>
              <w:t> </w:t>
            </w:r>
          </w:p>
        </w:tc>
      </w:tr>
      <w:tr w:rsidR="008B0CE7" w:rsidRPr="00CC75F2" w:rsidTr="00EA18F9">
        <w:trPr>
          <w:cantSplit/>
          <w:trHeight w:val="720"/>
        </w:trPr>
        <w:tc>
          <w:tcPr>
            <w:tcW w:w="1433" w:type="dxa"/>
            <w:tcBorders>
              <w:top w:val="nil"/>
              <w:left w:val="single" w:sz="4" w:space="0" w:color="auto"/>
              <w:bottom w:val="single" w:sz="4" w:space="0" w:color="auto"/>
              <w:right w:val="single" w:sz="4" w:space="0" w:color="auto"/>
            </w:tcBorders>
            <w:shd w:val="clear" w:color="auto" w:fill="auto"/>
            <w:hideMark/>
          </w:tcPr>
          <w:p w:rsidR="00CC75F2" w:rsidRPr="00CC75F2" w:rsidRDefault="00CC75F2" w:rsidP="00CC75F2">
            <w:pPr>
              <w:jc w:val="left"/>
              <w:rPr>
                <w:rFonts w:cs="Arial"/>
                <w:color w:val="000000"/>
                <w:sz w:val="16"/>
                <w:szCs w:val="16"/>
              </w:rPr>
            </w:pPr>
            <w:r w:rsidRPr="00CC75F2">
              <w:rPr>
                <w:rFonts w:cs="Arial"/>
                <w:color w:val="000000"/>
                <w:sz w:val="16"/>
                <w:szCs w:val="16"/>
              </w:rPr>
              <w:t>Holden Street 128</w:t>
            </w:r>
          </w:p>
        </w:tc>
        <w:tc>
          <w:tcPr>
            <w:tcW w:w="1134" w:type="dxa"/>
            <w:tcBorders>
              <w:top w:val="nil"/>
              <w:left w:val="nil"/>
              <w:bottom w:val="single" w:sz="4" w:space="0" w:color="auto"/>
              <w:right w:val="single" w:sz="4" w:space="0" w:color="auto"/>
            </w:tcBorders>
            <w:shd w:val="clear" w:color="auto" w:fill="auto"/>
            <w:hideMark/>
          </w:tcPr>
          <w:p w:rsidR="00CC75F2" w:rsidRPr="00CC75F2" w:rsidRDefault="00373B8F" w:rsidP="008B0CE7">
            <w:pPr>
              <w:jc w:val="center"/>
              <w:rPr>
                <w:rFonts w:cs="Arial"/>
                <w:color w:val="000000"/>
                <w:sz w:val="16"/>
                <w:szCs w:val="16"/>
              </w:rPr>
            </w:pPr>
            <w:r w:rsidRPr="00CC75F2">
              <w:rPr>
                <w:rFonts w:cs="Arial"/>
                <w:color w:val="000000"/>
                <w:sz w:val="16"/>
                <w:szCs w:val="16"/>
              </w:rPr>
              <w:t>F</w:t>
            </w:r>
            <w:r>
              <w:rPr>
                <w:rFonts w:cs="Arial"/>
                <w:color w:val="000000"/>
                <w:sz w:val="16"/>
                <w:szCs w:val="16"/>
              </w:rPr>
              <w:t>itzroy</w:t>
            </w:r>
            <w:r w:rsidR="00CC75F2" w:rsidRPr="00CC75F2">
              <w:rPr>
                <w:rFonts w:cs="Arial"/>
                <w:color w:val="000000"/>
                <w:sz w:val="16"/>
                <w:szCs w:val="16"/>
              </w:rPr>
              <w:t xml:space="preserve"> N</w:t>
            </w:r>
            <w:r w:rsidR="008B0CE7">
              <w:rPr>
                <w:rFonts w:cs="Arial"/>
                <w:color w:val="000000"/>
                <w:sz w:val="16"/>
                <w:szCs w:val="16"/>
              </w:rPr>
              <w:t>orth</w:t>
            </w:r>
          </w:p>
        </w:tc>
        <w:tc>
          <w:tcPr>
            <w:tcW w:w="1417" w:type="dxa"/>
            <w:tcBorders>
              <w:top w:val="nil"/>
              <w:left w:val="nil"/>
              <w:bottom w:val="single" w:sz="4" w:space="0" w:color="auto"/>
              <w:right w:val="single" w:sz="4" w:space="0" w:color="auto"/>
            </w:tcBorders>
            <w:shd w:val="clear" w:color="auto" w:fill="auto"/>
            <w:hideMark/>
          </w:tcPr>
          <w:p w:rsidR="00CC75F2" w:rsidRPr="00CC75F2" w:rsidRDefault="00CC75F2" w:rsidP="008B0CE7">
            <w:pPr>
              <w:jc w:val="center"/>
              <w:rPr>
                <w:rFonts w:cs="Arial"/>
                <w:color w:val="000000"/>
                <w:sz w:val="16"/>
                <w:szCs w:val="16"/>
              </w:rPr>
            </w:pPr>
            <w:r w:rsidRPr="00CC75F2">
              <w:rPr>
                <w:rFonts w:cs="Arial"/>
                <w:color w:val="000000"/>
                <w:sz w:val="16"/>
                <w:szCs w:val="16"/>
              </w:rPr>
              <w:t>N</w:t>
            </w:r>
            <w:r w:rsidR="008B0CE7">
              <w:rPr>
                <w:rFonts w:cs="Arial"/>
                <w:color w:val="000000"/>
                <w:sz w:val="16"/>
                <w:szCs w:val="16"/>
              </w:rPr>
              <w:t>eighbourhood House</w:t>
            </w:r>
          </w:p>
        </w:tc>
        <w:tc>
          <w:tcPr>
            <w:tcW w:w="1276" w:type="dxa"/>
            <w:tcBorders>
              <w:top w:val="nil"/>
              <w:left w:val="nil"/>
              <w:bottom w:val="single" w:sz="4" w:space="0" w:color="auto"/>
              <w:right w:val="single" w:sz="4" w:space="0" w:color="auto"/>
            </w:tcBorders>
            <w:shd w:val="clear" w:color="auto" w:fill="auto"/>
            <w:hideMark/>
          </w:tcPr>
          <w:p w:rsidR="00CC75F2" w:rsidRPr="00CC75F2" w:rsidRDefault="00CC75F2" w:rsidP="00CC75F2">
            <w:pPr>
              <w:jc w:val="center"/>
              <w:rPr>
                <w:rFonts w:cs="Arial"/>
                <w:color w:val="000000"/>
                <w:sz w:val="16"/>
                <w:szCs w:val="16"/>
              </w:rPr>
            </w:pPr>
            <w:r w:rsidRPr="00CC75F2">
              <w:rPr>
                <w:rFonts w:cs="Arial"/>
                <w:color w:val="000000"/>
                <w:sz w:val="16"/>
                <w:szCs w:val="16"/>
              </w:rPr>
              <w:t>North Fitzroy Precinct</w:t>
            </w:r>
          </w:p>
        </w:tc>
        <w:tc>
          <w:tcPr>
            <w:tcW w:w="1134" w:type="dxa"/>
            <w:tcBorders>
              <w:top w:val="nil"/>
              <w:left w:val="nil"/>
              <w:bottom w:val="single" w:sz="4" w:space="0" w:color="auto"/>
              <w:right w:val="single" w:sz="4" w:space="0" w:color="auto"/>
            </w:tcBorders>
            <w:shd w:val="clear" w:color="auto" w:fill="auto"/>
            <w:hideMark/>
          </w:tcPr>
          <w:p w:rsidR="00CC75F2" w:rsidRPr="00CC75F2" w:rsidRDefault="00CC75F2" w:rsidP="00CC75F2">
            <w:pPr>
              <w:jc w:val="center"/>
              <w:rPr>
                <w:rFonts w:cs="Arial"/>
                <w:color w:val="000000"/>
                <w:sz w:val="16"/>
                <w:szCs w:val="16"/>
              </w:rPr>
            </w:pPr>
            <w:r w:rsidRPr="00CC75F2">
              <w:rPr>
                <w:rFonts w:cs="Arial"/>
                <w:color w:val="000000"/>
                <w:sz w:val="16"/>
                <w:szCs w:val="16"/>
              </w:rPr>
              <w:t>HO327</w:t>
            </w:r>
          </w:p>
        </w:tc>
        <w:tc>
          <w:tcPr>
            <w:tcW w:w="992" w:type="dxa"/>
            <w:tcBorders>
              <w:top w:val="nil"/>
              <w:left w:val="nil"/>
              <w:bottom w:val="single" w:sz="4" w:space="0" w:color="auto"/>
              <w:right w:val="single" w:sz="4" w:space="0" w:color="auto"/>
            </w:tcBorders>
            <w:shd w:val="clear" w:color="auto" w:fill="auto"/>
            <w:hideMark/>
          </w:tcPr>
          <w:p w:rsidR="00CC75F2" w:rsidRPr="00CC75F2" w:rsidRDefault="00CC75F2" w:rsidP="00CC75F2">
            <w:pPr>
              <w:jc w:val="center"/>
              <w:rPr>
                <w:rFonts w:cs="Arial"/>
                <w:color w:val="000000"/>
                <w:sz w:val="16"/>
                <w:szCs w:val="16"/>
              </w:rPr>
            </w:pPr>
            <w:r w:rsidRPr="00CC75F2">
              <w:rPr>
                <w:rFonts w:cs="Arial"/>
                <w:color w:val="000000"/>
                <w:sz w:val="16"/>
                <w:szCs w:val="16"/>
              </w:rPr>
              <w:t>N/A</w:t>
            </w:r>
          </w:p>
        </w:tc>
        <w:tc>
          <w:tcPr>
            <w:tcW w:w="1134" w:type="dxa"/>
            <w:tcBorders>
              <w:top w:val="nil"/>
              <w:left w:val="nil"/>
              <w:bottom w:val="single" w:sz="4" w:space="0" w:color="auto"/>
              <w:right w:val="single" w:sz="4" w:space="0" w:color="auto"/>
            </w:tcBorders>
            <w:shd w:val="clear" w:color="auto" w:fill="auto"/>
            <w:hideMark/>
          </w:tcPr>
          <w:p w:rsidR="00CC75F2" w:rsidRPr="00CC75F2" w:rsidRDefault="00CC75F2" w:rsidP="00373B8F">
            <w:pPr>
              <w:jc w:val="center"/>
              <w:rPr>
                <w:rFonts w:cs="Arial"/>
                <w:color w:val="000000"/>
                <w:sz w:val="16"/>
                <w:szCs w:val="16"/>
              </w:rPr>
            </w:pPr>
            <w:r w:rsidRPr="00CC75F2">
              <w:rPr>
                <w:rFonts w:cs="Arial"/>
                <w:color w:val="000000"/>
                <w:sz w:val="16"/>
                <w:szCs w:val="16"/>
              </w:rPr>
              <w:t>Precinct</w:t>
            </w:r>
          </w:p>
        </w:tc>
        <w:tc>
          <w:tcPr>
            <w:tcW w:w="1276" w:type="dxa"/>
            <w:tcBorders>
              <w:top w:val="nil"/>
              <w:left w:val="nil"/>
              <w:bottom w:val="single" w:sz="4" w:space="0" w:color="auto"/>
              <w:right w:val="single" w:sz="4" w:space="0" w:color="auto"/>
            </w:tcBorders>
            <w:shd w:val="clear" w:color="auto" w:fill="auto"/>
            <w:hideMark/>
          </w:tcPr>
          <w:p w:rsidR="00CC75F2" w:rsidRPr="00CC75F2" w:rsidRDefault="00CC75F2" w:rsidP="00CC75F2">
            <w:pPr>
              <w:jc w:val="center"/>
              <w:rPr>
                <w:rFonts w:cs="Arial"/>
                <w:color w:val="000000"/>
                <w:sz w:val="16"/>
                <w:szCs w:val="16"/>
              </w:rPr>
            </w:pPr>
            <w:r w:rsidRPr="00CC75F2">
              <w:rPr>
                <w:rFonts w:cs="Arial"/>
                <w:color w:val="000000"/>
                <w:sz w:val="16"/>
                <w:szCs w:val="16"/>
              </w:rPr>
              <w:t>Contributory</w:t>
            </w:r>
          </w:p>
        </w:tc>
        <w:tc>
          <w:tcPr>
            <w:tcW w:w="2835" w:type="dxa"/>
            <w:tcBorders>
              <w:top w:val="nil"/>
              <w:left w:val="nil"/>
              <w:bottom w:val="single" w:sz="4" w:space="0" w:color="auto"/>
              <w:right w:val="single" w:sz="4" w:space="0" w:color="auto"/>
            </w:tcBorders>
            <w:shd w:val="clear" w:color="auto" w:fill="auto"/>
            <w:hideMark/>
          </w:tcPr>
          <w:p w:rsidR="00CC75F2" w:rsidRPr="00CC75F2" w:rsidRDefault="00CC75F2" w:rsidP="00CC75F2">
            <w:pPr>
              <w:jc w:val="left"/>
              <w:rPr>
                <w:rFonts w:cs="Arial"/>
                <w:color w:val="000000"/>
                <w:sz w:val="16"/>
                <w:szCs w:val="16"/>
              </w:rPr>
            </w:pPr>
            <w:r w:rsidRPr="00CC75F2">
              <w:rPr>
                <w:rFonts w:cs="Arial"/>
                <w:color w:val="000000"/>
                <w:sz w:val="16"/>
                <w:szCs w:val="16"/>
              </w:rPr>
              <w:t>External controls apply to the building and land, no internal controls, no tree controls and no external paint controls apply</w:t>
            </w:r>
          </w:p>
        </w:tc>
        <w:tc>
          <w:tcPr>
            <w:tcW w:w="2693" w:type="dxa"/>
            <w:tcBorders>
              <w:top w:val="nil"/>
              <w:left w:val="nil"/>
              <w:bottom w:val="single" w:sz="4" w:space="0" w:color="auto"/>
              <w:right w:val="single" w:sz="4" w:space="0" w:color="auto"/>
            </w:tcBorders>
            <w:shd w:val="clear" w:color="auto" w:fill="auto"/>
            <w:hideMark/>
          </w:tcPr>
          <w:p w:rsidR="00CC75F2" w:rsidRPr="00CC75F2" w:rsidRDefault="00CC75F2" w:rsidP="00CC75F2">
            <w:pPr>
              <w:jc w:val="left"/>
              <w:rPr>
                <w:rFonts w:cs="Arial"/>
                <w:color w:val="000000"/>
                <w:sz w:val="16"/>
                <w:szCs w:val="16"/>
              </w:rPr>
            </w:pPr>
            <w:r w:rsidRPr="00CC75F2">
              <w:rPr>
                <w:rFonts w:cs="Arial"/>
                <w:color w:val="000000"/>
                <w:sz w:val="16"/>
                <w:szCs w:val="16"/>
              </w:rPr>
              <w:t> </w:t>
            </w:r>
          </w:p>
        </w:tc>
      </w:tr>
      <w:tr w:rsidR="008B0CE7" w:rsidRPr="00CC75F2" w:rsidTr="00EA18F9">
        <w:trPr>
          <w:cantSplit/>
          <w:trHeight w:val="960"/>
        </w:trPr>
        <w:tc>
          <w:tcPr>
            <w:tcW w:w="1433" w:type="dxa"/>
            <w:tcBorders>
              <w:top w:val="nil"/>
              <w:left w:val="single" w:sz="4" w:space="0" w:color="auto"/>
              <w:bottom w:val="single" w:sz="4" w:space="0" w:color="auto"/>
              <w:right w:val="single" w:sz="4" w:space="0" w:color="auto"/>
            </w:tcBorders>
            <w:shd w:val="clear" w:color="auto" w:fill="auto"/>
            <w:hideMark/>
          </w:tcPr>
          <w:p w:rsidR="00CC75F2" w:rsidRPr="00CC75F2" w:rsidRDefault="00CC75F2" w:rsidP="00CC75F2">
            <w:pPr>
              <w:jc w:val="left"/>
              <w:rPr>
                <w:rFonts w:cs="Arial"/>
                <w:color w:val="000000"/>
                <w:sz w:val="16"/>
                <w:szCs w:val="16"/>
              </w:rPr>
            </w:pPr>
            <w:r w:rsidRPr="00CC75F2">
              <w:rPr>
                <w:rFonts w:cs="Arial"/>
                <w:color w:val="000000"/>
                <w:sz w:val="16"/>
                <w:szCs w:val="16"/>
              </w:rPr>
              <w:t>John Street 23</w:t>
            </w:r>
          </w:p>
        </w:tc>
        <w:tc>
          <w:tcPr>
            <w:tcW w:w="1134" w:type="dxa"/>
            <w:tcBorders>
              <w:top w:val="nil"/>
              <w:left w:val="nil"/>
              <w:bottom w:val="single" w:sz="4" w:space="0" w:color="auto"/>
              <w:right w:val="single" w:sz="4" w:space="0" w:color="auto"/>
            </w:tcBorders>
            <w:shd w:val="clear" w:color="auto" w:fill="auto"/>
            <w:hideMark/>
          </w:tcPr>
          <w:p w:rsidR="00CC75F2" w:rsidRPr="00CC75F2" w:rsidRDefault="00373B8F" w:rsidP="00CC75F2">
            <w:pPr>
              <w:jc w:val="center"/>
              <w:rPr>
                <w:rFonts w:cs="Arial"/>
                <w:color w:val="000000"/>
                <w:sz w:val="16"/>
                <w:szCs w:val="16"/>
              </w:rPr>
            </w:pPr>
            <w:r w:rsidRPr="00CC75F2">
              <w:rPr>
                <w:rFonts w:cs="Arial"/>
                <w:color w:val="000000"/>
                <w:sz w:val="16"/>
                <w:szCs w:val="16"/>
              </w:rPr>
              <w:t>F</w:t>
            </w:r>
            <w:r>
              <w:rPr>
                <w:rFonts w:cs="Arial"/>
                <w:color w:val="000000"/>
                <w:sz w:val="16"/>
                <w:szCs w:val="16"/>
              </w:rPr>
              <w:t>itzroy</w:t>
            </w:r>
          </w:p>
        </w:tc>
        <w:tc>
          <w:tcPr>
            <w:tcW w:w="1417" w:type="dxa"/>
            <w:tcBorders>
              <w:top w:val="nil"/>
              <w:left w:val="nil"/>
              <w:bottom w:val="single" w:sz="4" w:space="0" w:color="auto"/>
              <w:right w:val="single" w:sz="4" w:space="0" w:color="auto"/>
            </w:tcBorders>
            <w:shd w:val="clear" w:color="auto" w:fill="auto"/>
            <w:hideMark/>
          </w:tcPr>
          <w:p w:rsidR="00CC75F2" w:rsidRPr="00CC75F2" w:rsidRDefault="00CC75F2" w:rsidP="008B0CE7">
            <w:pPr>
              <w:jc w:val="center"/>
              <w:rPr>
                <w:rFonts w:cs="Arial"/>
                <w:color w:val="000000"/>
                <w:sz w:val="16"/>
                <w:szCs w:val="16"/>
              </w:rPr>
            </w:pPr>
            <w:r w:rsidRPr="00CC75F2">
              <w:rPr>
                <w:rFonts w:cs="Arial"/>
                <w:color w:val="000000"/>
                <w:sz w:val="16"/>
                <w:szCs w:val="16"/>
              </w:rPr>
              <w:t>E</w:t>
            </w:r>
            <w:r w:rsidR="008B0CE7">
              <w:rPr>
                <w:rFonts w:cs="Arial"/>
                <w:color w:val="000000"/>
                <w:sz w:val="16"/>
                <w:szCs w:val="16"/>
              </w:rPr>
              <w:t>arly Childhood Co-op</w:t>
            </w:r>
          </w:p>
        </w:tc>
        <w:tc>
          <w:tcPr>
            <w:tcW w:w="1276" w:type="dxa"/>
            <w:tcBorders>
              <w:top w:val="nil"/>
              <w:left w:val="nil"/>
              <w:bottom w:val="single" w:sz="4" w:space="0" w:color="auto"/>
              <w:right w:val="single" w:sz="4" w:space="0" w:color="auto"/>
            </w:tcBorders>
            <w:shd w:val="clear" w:color="auto" w:fill="auto"/>
            <w:hideMark/>
          </w:tcPr>
          <w:p w:rsidR="00CC75F2" w:rsidRPr="00CC75F2" w:rsidRDefault="00CC75F2" w:rsidP="00CC75F2">
            <w:pPr>
              <w:jc w:val="center"/>
              <w:rPr>
                <w:rFonts w:cs="Arial"/>
                <w:color w:val="000000"/>
                <w:sz w:val="16"/>
                <w:szCs w:val="16"/>
              </w:rPr>
            </w:pPr>
            <w:r w:rsidRPr="00CC75F2">
              <w:rPr>
                <w:rFonts w:cs="Arial"/>
                <w:color w:val="000000"/>
                <w:sz w:val="16"/>
                <w:szCs w:val="16"/>
              </w:rPr>
              <w:t>South Fitzroy Precinct</w:t>
            </w:r>
          </w:p>
        </w:tc>
        <w:tc>
          <w:tcPr>
            <w:tcW w:w="1134" w:type="dxa"/>
            <w:tcBorders>
              <w:top w:val="nil"/>
              <w:left w:val="nil"/>
              <w:bottom w:val="single" w:sz="4" w:space="0" w:color="auto"/>
              <w:right w:val="single" w:sz="4" w:space="0" w:color="auto"/>
            </w:tcBorders>
            <w:shd w:val="clear" w:color="auto" w:fill="auto"/>
            <w:hideMark/>
          </w:tcPr>
          <w:p w:rsidR="00CC75F2" w:rsidRPr="00CC75F2" w:rsidRDefault="00CC75F2" w:rsidP="00CC75F2">
            <w:pPr>
              <w:jc w:val="center"/>
              <w:rPr>
                <w:rFonts w:cs="Arial"/>
                <w:color w:val="000000"/>
                <w:sz w:val="16"/>
                <w:szCs w:val="16"/>
              </w:rPr>
            </w:pPr>
            <w:r w:rsidRPr="00CC75F2">
              <w:rPr>
                <w:rFonts w:cs="Arial"/>
                <w:color w:val="000000"/>
                <w:sz w:val="16"/>
                <w:szCs w:val="16"/>
              </w:rPr>
              <w:t>HO334</w:t>
            </w:r>
          </w:p>
        </w:tc>
        <w:tc>
          <w:tcPr>
            <w:tcW w:w="992" w:type="dxa"/>
            <w:tcBorders>
              <w:top w:val="nil"/>
              <w:left w:val="nil"/>
              <w:bottom w:val="single" w:sz="4" w:space="0" w:color="auto"/>
              <w:right w:val="single" w:sz="4" w:space="0" w:color="auto"/>
            </w:tcBorders>
            <w:shd w:val="clear" w:color="auto" w:fill="auto"/>
            <w:hideMark/>
          </w:tcPr>
          <w:p w:rsidR="00CC75F2" w:rsidRPr="00CC75F2" w:rsidRDefault="00CC75F2" w:rsidP="00CC75F2">
            <w:pPr>
              <w:jc w:val="center"/>
              <w:rPr>
                <w:rFonts w:cs="Arial"/>
                <w:color w:val="000000"/>
                <w:sz w:val="16"/>
                <w:szCs w:val="16"/>
              </w:rPr>
            </w:pPr>
            <w:r w:rsidRPr="00CC75F2">
              <w:rPr>
                <w:rFonts w:cs="Arial"/>
                <w:color w:val="000000"/>
                <w:sz w:val="16"/>
                <w:szCs w:val="16"/>
              </w:rPr>
              <w:t>N/A</w:t>
            </w:r>
          </w:p>
        </w:tc>
        <w:tc>
          <w:tcPr>
            <w:tcW w:w="1134" w:type="dxa"/>
            <w:tcBorders>
              <w:top w:val="nil"/>
              <w:left w:val="nil"/>
              <w:bottom w:val="single" w:sz="4" w:space="0" w:color="auto"/>
              <w:right w:val="single" w:sz="4" w:space="0" w:color="auto"/>
            </w:tcBorders>
            <w:shd w:val="clear" w:color="auto" w:fill="auto"/>
            <w:hideMark/>
          </w:tcPr>
          <w:p w:rsidR="00CC75F2" w:rsidRPr="00CC75F2" w:rsidRDefault="00CC75F2" w:rsidP="00373B8F">
            <w:pPr>
              <w:jc w:val="center"/>
              <w:rPr>
                <w:rFonts w:cs="Arial"/>
                <w:color w:val="000000"/>
                <w:sz w:val="16"/>
                <w:szCs w:val="16"/>
              </w:rPr>
            </w:pPr>
            <w:r w:rsidRPr="00CC75F2">
              <w:rPr>
                <w:rFonts w:cs="Arial"/>
                <w:color w:val="000000"/>
                <w:sz w:val="16"/>
                <w:szCs w:val="16"/>
              </w:rPr>
              <w:t>Precinct</w:t>
            </w:r>
          </w:p>
        </w:tc>
        <w:tc>
          <w:tcPr>
            <w:tcW w:w="1276" w:type="dxa"/>
            <w:tcBorders>
              <w:top w:val="nil"/>
              <w:left w:val="nil"/>
              <w:bottom w:val="single" w:sz="4" w:space="0" w:color="auto"/>
              <w:right w:val="single" w:sz="4" w:space="0" w:color="auto"/>
            </w:tcBorders>
            <w:shd w:val="clear" w:color="auto" w:fill="auto"/>
            <w:hideMark/>
          </w:tcPr>
          <w:p w:rsidR="00CC75F2" w:rsidRPr="00CC75F2" w:rsidRDefault="00CC75F2" w:rsidP="00CC75F2">
            <w:pPr>
              <w:jc w:val="center"/>
              <w:rPr>
                <w:rFonts w:cs="Arial"/>
                <w:color w:val="000000"/>
                <w:sz w:val="16"/>
                <w:szCs w:val="16"/>
              </w:rPr>
            </w:pPr>
            <w:r w:rsidRPr="00CC75F2">
              <w:rPr>
                <w:rFonts w:cs="Arial"/>
                <w:color w:val="000000"/>
                <w:sz w:val="16"/>
                <w:szCs w:val="16"/>
              </w:rPr>
              <w:t>Not contributory</w:t>
            </w:r>
          </w:p>
        </w:tc>
        <w:tc>
          <w:tcPr>
            <w:tcW w:w="2835" w:type="dxa"/>
            <w:tcBorders>
              <w:top w:val="nil"/>
              <w:left w:val="nil"/>
              <w:bottom w:val="single" w:sz="4" w:space="0" w:color="auto"/>
              <w:right w:val="single" w:sz="4" w:space="0" w:color="auto"/>
            </w:tcBorders>
            <w:shd w:val="clear" w:color="auto" w:fill="auto"/>
            <w:hideMark/>
          </w:tcPr>
          <w:p w:rsidR="00CC75F2" w:rsidRPr="00CC75F2" w:rsidRDefault="00CC75F2" w:rsidP="00CC75F2">
            <w:pPr>
              <w:jc w:val="left"/>
              <w:rPr>
                <w:rFonts w:cs="Arial"/>
                <w:color w:val="000000"/>
                <w:sz w:val="16"/>
                <w:szCs w:val="16"/>
              </w:rPr>
            </w:pPr>
            <w:r w:rsidRPr="00CC75F2">
              <w:rPr>
                <w:rFonts w:cs="Arial"/>
                <w:color w:val="000000"/>
                <w:sz w:val="16"/>
                <w:szCs w:val="16"/>
              </w:rPr>
              <w:t>External controls apply to the building and land (demolition could be contemplated), no internal controls, no tree controls or external paint controls apply</w:t>
            </w:r>
          </w:p>
        </w:tc>
        <w:tc>
          <w:tcPr>
            <w:tcW w:w="2693" w:type="dxa"/>
            <w:tcBorders>
              <w:top w:val="nil"/>
              <w:left w:val="nil"/>
              <w:bottom w:val="single" w:sz="4" w:space="0" w:color="auto"/>
              <w:right w:val="single" w:sz="4" w:space="0" w:color="auto"/>
            </w:tcBorders>
            <w:shd w:val="clear" w:color="auto" w:fill="auto"/>
            <w:hideMark/>
          </w:tcPr>
          <w:p w:rsidR="00CC75F2" w:rsidRPr="00CC75F2" w:rsidRDefault="00CC75F2" w:rsidP="00CC75F2">
            <w:pPr>
              <w:jc w:val="left"/>
              <w:rPr>
                <w:rFonts w:cs="Arial"/>
                <w:color w:val="000000"/>
                <w:sz w:val="16"/>
                <w:szCs w:val="16"/>
              </w:rPr>
            </w:pPr>
            <w:r w:rsidRPr="00CC75F2">
              <w:rPr>
                <w:rFonts w:cs="Arial"/>
                <w:color w:val="000000"/>
                <w:sz w:val="16"/>
                <w:szCs w:val="16"/>
              </w:rPr>
              <w:t> </w:t>
            </w:r>
          </w:p>
        </w:tc>
      </w:tr>
      <w:tr w:rsidR="008B0CE7" w:rsidRPr="00CC75F2" w:rsidTr="00EA18F9">
        <w:trPr>
          <w:cantSplit/>
          <w:trHeight w:val="960"/>
        </w:trPr>
        <w:tc>
          <w:tcPr>
            <w:tcW w:w="1433" w:type="dxa"/>
            <w:tcBorders>
              <w:top w:val="nil"/>
              <w:left w:val="single" w:sz="4" w:space="0" w:color="auto"/>
              <w:bottom w:val="single" w:sz="4" w:space="0" w:color="auto"/>
              <w:right w:val="single" w:sz="4" w:space="0" w:color="auto"/>
            </w:tcBorders>
            <w:shd w:val="clear" w:color="auto" w:fill="auto"/>
            <w:hideMark/>
          </w:tcPr>
          <w:p w:rsidR="00CC75F2" w:rsidRPr="00CC75F2" w:rsidRDefault="00CC75F2" w:rsidP="00CC75F2">
            <w:pPr>
              <w:jc w:val="left"/>
              <w:rPr>
                <w:rFonts w:cs="Arial"/>
                <w:color w:val="000000"/>
                <w:sz w:val="16"/>
                <w:szCs w:val="16"/>
              </w:rPr>
            </w:pPr>
            <w:r w:rsidRPr="00CC75F2">
              <w:rPr>
                <w:rFonts w:cs="Arial"/>
                <w:color w:val="000000"/>
                <w:sz w:val="16"/>
                <w:szCs w:val="16"/>
              </w:rPr>
              <w:t>Keele Street 177</w:t>
            </w:r>
          </w:p>
        </w:tc>
        <w:tc>
          <w:tcPr>
            <w:tcW w:w="1134" w:type="dxa"/>
            <w:tcBorders>
              <w:top w:val="nil"/>
              <w:left w:val="nil"/>
              <w:bottom w:val="single" w:sz="4" w:space="0" w:color="auto"/>
              <w:right w:val="single" w:sz="4" w:space="0" w:color="auto"/>
            </w:tcBorders>
            <w:shd w:val="clear" w:color="auto" w:fill="auto"/>
            <w:hideMark/>
          </w:tcPr>
          <w:p w:rsidR="00CC75F2" w:rsidRPr="00CC75F2" w:rsidRDefault="00CC75F2" w:rsidP="008B0CE7">
            <w:pPr>
              <w:jc w:val="center"/>
              <w:rPr>
                <w:rFonts w:cs="Arial"/>
                <w:color w:val="000000"/>
                <w:sz w:val="16"/>
                <w:szCs w:val="16"/>
              </w:rPr>
            </w:pPr>
            <w:r w:rsidRPr="00CC75F2">
              <w:rPr>
                <w:rFonts w:cs="Arial"/>
                <w:color w:val="000000"/>
                <w:sz w:val="16"/>
                <w:szCs w:val="16"/>
              </w:rPr>
              <w:t>C</w:t>
            </w:r>
            <w:r w:rsidR="008B0CE7">
              <w:rPr>
                <w:rFonts w:cs="Arial"/>
                <w:color w:val="000000"/>
                <w:sz w:val="16"/>
                <w:szCs w:val="16"/>
              </w:rPr>
              <w:t>ollingwood</w:t>
            </w:r>
          </w:p>
        </w:tc>
        <w:tc>
          <w:tcPr>
            <w:tcW w:w="1417" w:type="dxa"/>
            <w:tcBorders>
              <w:top w:val="nil"/>
              <w:left w:val="nil"/>
              <w:bottom w:val="single" w:sz="4" w:space="0" w:color="auto"/>
              <w:right w:val="single" w:sz="4" w:space="0" w:color="auto"/>
            </w:tcBorders>
            <w:shd w:val="clear" w:color="auto" w:fill="auto"/>
            <w:hideMark/>
          </w:tcPr>
          <w:p w:rsidR="00CC75F2" w:rsidRPr="00CC75F2" w:rsidRDefault="008B0CE7" w:rsidP="00373B8F">
            <w:pPr>
              <w:jc w:val="center"/>
              <w:rPr>
                <w:rFonts w:cs="Arial"/>
                <w:color w:val="000000"/>
                <w:sz w:val="16"/>
                <w:szCs w:val="16"/>
              </w:rPr>
            </w:pPr>
            <w:r>
              <w:rPr>
                <w:rFonts w:cs="Arial"/>
                <w:color w:val="000000"/>
                <w:sz w:val="16"/>
                <w:szCs w:val="16"/>
              </w:rPr>
              <w:t>Child Care Centre</w:t>
            </w:r>
          </w:p>
        </w:tc>
        <w:tc>
          <w:tcPr>
            <w:tcW w:w="1276" w:type="dxa"/>
            <w:tcBorders>
              <w:top w:val="nil"/>
              <w:left w:val="nil"/>
              <w:bottom w:val="single" w:sz="4" w:space="0" w:color="auto"/>
              <w:right w:val="single" w:sz="4" w:space="0" w:color="auto"/>
            </w:tcBorders>
            <w:shd w:val="clear" w:color="auto" w:fill="auto"/>
            <w:hideMark/>
          </w:tcPr>
          <w:p w:rsidR="00CC75F2" w:rsidRPr="00CC75F2" w:rsidRDefault="00CC75F2" w:rsidP="00CC75F2">
            <w:pPr>
              <w:jc w:val="center"/>
              <w:rPr>
                <w:rFonts w:cs="Arial"/>
                <w:color w:val="000000"/>
                <w:sz w:val="16"/>
                <w:szCs w:val="16"/>
              </w:rPr>
            </w:pPr>
            <w:r w:rsidRPr="00CC75F2">
              <w:rPr>
                <w:rFonts w:cs="Arial"/>
                <w:color w:val="000000"/>
                <w:sz w:val="16"/>
                <w:szCs w:val="16"/>
              </w:rPr>
              <w:t>Gold Street Precinct</w:t>
            </w:r>
          </w:p>
        </w:tc>
        <w:tc>
          <w:tcPr>
            <w:tcW w:w="1134" w:type="dxa"/>
            <w:tcBorders>
              <w:top w:val="nil"/>
              <w:left w:val="nil"/>
              <w:bottom w:val="single" w:sz="4" w:space="0" w:color="auto"/>
              <w:right w:val="single" w:sz="4" w:space="0" w:color="auto"/>
            </w:tcBorders>
            <w:shd w:val="clear" w:color="auto" w:fill="auto"/>
            <w:hideMark/>
          </w:tcPr>
          <w:p w:rsidR="00CC75F2" w:rsidRPr="00CC75F2" w:rsidRDefault="00CC75F2" w:rsidP="00CC75F2">
            <w:pPr>
              <w:jc w:val="center"/>
              <w:rPr>
                <w:rFonts w:cs="Arial"/>
                <w:color w:val="000000"/>
                <w:sz w:val="16"/>
                <w:szCs w:val="16"/>
              </w:rPr>
            </w:pPr>
            <w:r w:rsidRPr="00CC75F2">
              <w:rPr>
                <w:rFonts w:cs="Arial"/>
                <w:color w:val="000000"/>
                <w:sz w:val="16"/>
                <w:szCs w:val="16"/>
              </w:rPr>
              <w:t>HO321</w:t>
            </w:r>
          </w:p>
        </w:tc>
        <w:tc>
          <w:tcPr>
            <w:tcW w:w="992" w:type="dxa"/>
            <w:tcBorders>
              <w:top w:val="nil"/>
              <w:left w:val="nil"/>
              <w:bottom w:val="single" w:sz="4" w:space="0" w:color="auto"/>
              <w:right w:val="single" w:sz="4" w:space="0" w:color="auto"/>
            </w:tcBorders>
            <w:shd w:val="clear" w:color="auto" w:fill="auto"/>
            <w:hideMark/>
          </w:tcPr>
          <w:p w:rsidR="00CC75F2" w:rsidRPr="00CC75F2" w:rsidRDefault="00CC75F2" w:rsidP="00CC75F2">
            <w:pPr>
              <w:jc w:val="center"/>
              <w:rPr>
                <w:rFonts w:cs="Arial"/>
                <w:color w:val="000000"/>
                <w:sz w:val="16"/>
                <w:szCs w:val="16"/>
              </w:rPr>
            </w:pPr>
            <w:r w:rsidRPr="00CC75F2">
              <w:rPr>
                <w:rFonts w:cs="Arial"/>
                <w:color w:val="000000"/>
                <w:sz w:val="16"/>
                <w:szCs w:val="16"/>
              </w:rPr>
              <w:t>N/A</w:t>
            </w:r>
          </w:p>
        </w:tc>
        <w:tc>
          <w:tcPr>
            <w:tcW w:w="1134" w:type="dxa"/>
            <w:tcBorders>
              <w:top w:val="nil"/>
              <w:left w:val="nil"/>
              <w:bottom w:val="single" w:sz="4" w:space="0" w:color="auto"/>
              <w:right w:val="single" w:sz="4" w:space="0" w:color="auto"/>
            </w:tcBorders>
            <w:shd w:val="clear" w:color="auto" w:fill="auto"/>
            <w:hideMark/>
          </w:tcPr>
          <w:p w:rsidR="00CC75F2" w:rsidRPr="00CC75F2" w:rsidRDefault="00CC75F2" w:rsidP="00373B8F">
            <w:pPr>
              <w:jc w:val="center"/>
              <w:rPr>
                <w:rFonts w:cs="Arial"/>
                <w:color w:val="000000"/>
                <w:sz w:val="16"/>
                <w:szCs w:val="16"/>
              </w:rPr>
            </w:pPr>
            <w:r w:rsidRPr="00CC75F2">
              <w:rPr>
                <w:rFonts w:cs="Arial"/>
                <w:color w:val="000000"/>
                <w:sz w:val="16"/>
                <w:szCs w:val="16"/>
              </w:rPr>
              <w:t>Precinct</w:t>
            </w:r>
          </w:p>
        </w:tc>
        <w:tc>
          <w:tcPr>
            <w:tcW w:w="1276" w:type="dxa"/>
            <w:tcBorders>
              <w:top w:val="nil"/>
              <w:left w:val="nil"/>
              <w:bottom w:val="single" w:sz="4" w:space="0" w:color="auto"/>
              <w:right w:val="single" w:sz="4" w:space="0" w:color="auto"/>
            </w:tcBorders>
            <w:shd w:val="clear" w:color="auto" w:fill="auto"/>
            <w:hideMark/>
          </w:tcPr>
          <w:p w:rsidR="00CC75F2" w:rsidRPr="00CC75F2" w:rsidRDefault="00CC75F2" w:rsidP="00CC75F2">
            <w:pPr>
              <w:jc w:val="center"/>
              <w:rPr>
                <w:rFonts w:cs="Arial"/>
                <w:color w:val="000000"/>
                <w:sz w:val="16"/>
                <w:szCs w:val="16"/>
              </w:rPr>
            </w:pPr>
            <w:r w:rsidRPr="00CC75F2">
              <w:rPr>
                <w:rFonts w:cs="Arial"/>
                <w:color w:val="000000"/>
                <w:sz w:val="16"/>
                <w:szCs w:val="16"/>
              </w:rPr>
              <w:t>Not contributory</w:t>
            </w:r>
          </w:p>
        </w:tc>
        <w:tc>
          <w:tcPr>
            <w:tcW w:w="2835" w:type="dxa"/>
            <w:tcBorders>
              <w:top w:val="nil"/>
              <w:left w:val="nil"/>
              <w:bottom w:val="single" w:sz="4" w:space="0" w:color="auto"/>
              <w:right w:val="single" w:sz="4" w:space="0" w:color="auto"/>
            </w:tcBorders>
            <w:shd w:val="clear" w:color="auto" w:fill="auto"/>
            <w:hideMark/>
          </w:tcPr>
          <w:p w:rsidR="00CC75F2" w:rsidRPr="00CC75F2" w:rsidRDefault="00CC75F2" w:rsidP="00CC75F2">
            <w:pPr>
              <w:jc w:val="left"/>
              <w:rPr>
                <w:rFonts w:cs="Arial"/>
                <w:color w:val="000000"/>
                <w:sz w:val="16"/>
                <w:szCs w:val="16"/>
              </w:rPr>
            </w:pPr>
            <w:r w:rsidRPr="00CC75F2">
              <w:rPr>
                <w:rFonts w:cs="Arial"/>
                <w:color w:val="000000"/>
                <w:sz w:val="16"/>
                <w:szCs w:val="16"/>
              </w:rPr>
              <w:t>External controls apply to the building and land (demolition could be contemplated), no internal controls, no tree controls or external paint controls apply</w:t>
            </w:r>
          </w:p>
        </w:tc>
        <w:tc>
          <w:tcPr>
            <w:tcW w:w="2693" w:type="dxa"/>
            <w:tcBorders>
              <w:top w:val="nil"/>
              <w:left w:val="nil"/>
              <w:bottom w:val="single" w:sz="4" w:space="0" w:color="auto"/>
              <w:right w:val="single" w:sz="4" w:space="0" w:color="auto"/>
            </w:tcBorders>
            <w:shd w:val="clear" w:color="auto" w:fill="auto"/>
            <w:hideMark/>
          </w:tcPr>
          <w:p w:rsidR="00CC75F2" w:rsidRPr="00CC75F2" w:rsidRDefault="00CC75F2" w:rsidP="00CC75F2">
            <w:pPr>
              <w:jc w:val="left"/>
              <w:rPr>
                <w:rFonts w:cs="Arial"/>
                <w:color w:val="000000"/>
                <w:sz w:val="16"/>
                <w:szCs w:val="16"/>
              </w:rPr>
            </w:pPr>
            <w:r w:rsidRPr="00CC75F2">
              <w:rPr>
                <w:rFonts w:cs="Arial"/>
                <w:color w:val="000000"/>
                <w:sz w:val="16"/>
                <w:szCs w:val="16"/>
              </w:rPr>
              <w:t> </w:t>
            </w:r>
          </w:p>
        </w:tc>
      </w:tr>
      <w:tr w:rsidR="008B0CE7" w:rsidRPr="00CC75F2" w:rsidTr="00EA18F9">
        <w:trPr>
          <w:cantSplit/>
          <w:trHeight w:val="720"/>
        </w:trPr>
        <w:tc>
          <w:tcPr>
            <w:tcW w:w="1433" w:type="dxa"/>
            <w:tcBorders>
              <w:top w:val="nil"/>
              <w:left w:val="single" w:sz="4" w:space="0" w:color="auto"/>
              <w:bottom w:val="single" w:sz="4" w:space="0" w:color="auto"/>
              <w:right w:val="single" w:sz="4" w:space="0" w:color="auto"/>
            </w:tcBorders>
            <w:shd w:val="clear" w:color="auto" w:fill="auto"/>
            <w:hideMark/>
          </w:tcPr>
          <w:p w:rsidR="00CC75F2" w:rsidRPr="00CC75F2" w:rsidRDefault="00CC75F2" w:rsidP="00CC75F2">
            <w:pPr>
              <w:jc w:val="left"/>
              <w:rPr>
                <w:rFonts w:cs="Arial"/>
                <w:color w:val="000000"/>
                <w:sz w:val="16"/>
                <w:szCs w:val="16"/>
              </w:rPr>
            </w:pPr>
            <w:r w:rsidRPr="00CC75F2">
              <w:rPr>
                <w:rFonts w:cs="Arial"/>
                <w:color w:val="000000"/>
                <w:sz w:val="16"/>
                <w:szCs w:val="16"/>
              </w:rPr>
              <w:t>King William Street 55</w:t>
            </w:r>
          </w:p>
        </w:tc>
        <w:tc>
          <w:tcPr>
            <w:tcW w:w="1134" w:type="dxa"/>
            <w:tcBorders>
              <w:top w:val="nil"/>
              <w:left w:val="nil"/>
              <w:bottom w:val="single" w:sz="4" w:space="0" w:color="auto"/>
              <w:right w:val="single" w:sz="4" w:space="0" w:color="auto"/>
            </w:tcBorders>
            <w:shd w:val="clear" w:color="auto" w:fill="auto"/>
            <w:hideMark/>
          </w:tcPr>
          <w:p w:rsidR="00CC75F2" w:rsidRPr="00CC75F2" w:rsidRDefault="00373B8F" w:rsidP="00CC75F2">
            <w:pPr>
              <w:jc w:val="center"/>
              <w:rPr>
                <w:rFonts w:cs="Arial"/>
                <w:color w:val="000000"/>
                <w:sz w:val="16"/>
                <w:szCs w:val="16"/>
              </w:rPr>
            </w:pPr>
            <w:r w:rsidRPr="00CC75F2">
              <w:rPr>
                <w:rFonts w:cs="Arial"/>
                <w:color w:val="000000"/>
                <w:sz w:val="16"/>
                <w:szCs w:val="16"/>
              </w:rPr>
              <w:t>F</w:t>
            </w:r>
            <w:r>
              <w:rPr>
                <w:rFonts w:cs="Arial"/>
                <w:color w:val="000000"/>
                <w:sz w:val="16"/>
                <w:szCs w:val="16"/>
              </w:rPr>
              <w:t>itzroy</w:t>
            </w:r>
          </w:p>
        </w:tc>
        <w:tc>
          <w:tcPr>
            <w:tcW w:w="1417" w:type="dxa"/>
            <w:tcBorders>
              <w:top w:val="nil"/>
              <w:left w:val="nil"/>
              <w:bottom w:val="single" w:sz="4" w:space="0" w:color="auto"/>
              <w:right w:val="single" w:sz="4" w:space="0" w:color="auto"/>
            </w:tcBorders>
            <w:shd w:val="clear" w:color="auto" w:fill="auto"/>
            <w:hideMark/>
          </w:tcPr>
          <w:p w:rsidR="00CC75F2" w:rsidRPr="00CC75F2" w:rsidRDefault="00CC75F2" w:rsidP="008B0CE7">
            <w:pPr>
              <w:jc w:val="center"/>
              <w:rPr>
                <w:rFonts w:cs="Arial"/>
                <w:color w:val="000000"/>
                <w:sz w:val="16"/>
                <w:szCs w:val="16"/>
              </w:rPr>
            </w:pPr>
            <w:r w:rsidRPr="00CC75F2">
              <w:rPr>
                <w:rFonts w:cs="Arial"/>
                <w:color w:val="000000"/>
                <w:sz w:val="16"/>
                <w:szCs w:val="16"/>
              </w:rPr>
              <w:t>P</w:t>
            </w:r>
            <w:r w:rsidR="008B0CE7">
              <w:rPr>
                <w:rFonts w:cs="Arial"/>
                <w:color w:val="000000"/>
                <w:sz w:val="16"/>
                <w:szCs w:val="16"/>
              </w:rPr>
              <w:t>eel Reserve</w:t>
            </w:r>
          </w:p>
        </w:tc>
        <w:tc>
          <w:tcPr>
            <w:tcW w:w="1276" w:type="dxa"/>
            <w:tcBorders>
              <w:top w:val="nil"/>
              <w:left w:val="nil"/>
              <w:bottom w:val="single" w:sz="4" w:space="0" w:color="auto"/>
              <w:right w:val="single" w:sz="4" w:space="0" w:color="auto"/>
            </w:tcBorders>
            <w:shd w:val="clear" w:color="auto" w:fill="auto"/>
            <w:hideMark/>
          </w:tcPr>
          <w:p w:rsidR="00CC75F2" w:rsidRPr="00CC75F2" w:rsidRDefault="00CC75F2" w:rsidP="00CC75F2">
            <w:pPr>
              <w:jc w:val="center"/>
              <w:rPr>
                <w:rFonts w:cs="Arial"/>
                <w:color w:val="000000"/>
                <w:sz w:val="16"/>
                <w:szCs w:val="16"/>
              </w:rPr>
            </w:pPr>
            <w:r w:rsidRPr="00CC75F2">
              <w:rPr>
                <w:rFonts w:cs="Arial"/>
                <w:color w:val="000000"/>
                <w:sz w:val="16"/>
                <w:szCs w:val="16"/>
              </w:rPr>
              <w:t>South Fitzroy Precinct</w:t>
            </w:r>
          </w:p>
        </w:tc>
        <w:tc>
          <w:tcPr>
            <w:tcW w:w="1134" w:type="dxa"/>
            <w:tcBorders>
              <w:top w:val="nil"/>
              <w:left w:val="nil"/>
              <w:bottom w:val="single" w:sz="4" w:space="0" w:color="auto"/>
              <w:right w:val="single" w:sz="4" w:space="0" w:color="auto"/>
            </w:tcBorders>
            <w:shd w:val="clear" w:color="auto" w:fill="auto"/>
            <w:hideMark/>
          </w:tcPr>
          <w:p w:rsidR="00CC75F2" w:rsidRPr="00CC75F2" w:rsidRDefault="00CC75F2" w:rsidP="00CC75F2">
            <w:pPr>
              <w:jc w:val="center"/>
              <w:rPr>
                <w:rFonts w:cs="Arial"/>
                <w:color w:val="000000"/>
                <w:sz w:val="16"/>
                <w:szCs w:val="16"/>
              </w:rPr>
            </w:pPr>
            <w:r w:rsidRPr="00CC75F2">
              <w:rPr>
                <w:rFonts w:cs="Arial"/>
                <w:color w:val="000000"/>
                <w:sz w:val="16"/>
                <w:szCs w:val="16"/>
              </w:rPr>
              <w:t>HO334</w:t>
            </w:r>
          </w:p>
        </w:tc>
        <w:tc>
          <w:tcPr>
            <w:tcW w:w="992" w:type="dxa"/>
            <w:tcBorders>
              <w:top w:val="nil"/>
              <w:left w:val="nil"/>
              <w:bottom w:val="single" w:sz="4" w:space="0" w:color="auto"/>
              <w:right w:val="single" w:sz="4" w:space="0" w:color="auto"/>
            </w:tcBorders>
            <w:shd w:val="clear" w:color="auto" w:fill="auto"/>
            <w:hideMark/>
          </w:tcPr>
          <w:p w:rsidR="00CC75F2" w:rsidRPr="00CC75F2" w:rsidRDefault="00CC75F2" w:rsidP="00CC75F2">
            <w:pPr>
              <w:jc w:val="center"/>
              <w:rPr>
                <w:rFonts w:cs="Arial"/>
                <w:color w:val="000000"/>
                <w:sz w:val="16"/>
                <w:szCs w:val="16"/>
              </w:rPr>
            </w:pPr>
            <w:r w:rsidRPr="00CC75F2">
              <w:rPr>
                <w:rFonts w:cs="Arial"/>
                <w:color w:val="000000"/>
                <w:sz w:val="16"/>
                <w:szCs w:val="16"/>
              </w:rPr>
              <w:t>N/A</w:t>
            </w:r>
          </w:p>
        </w:tc>
        <w:tc>
          <w:tcPr>
            <w:tcW w:w="1134" w:type="dxa"/>
            <w:tcBorders>
              <w:top w:val="nil"/>
              <w:left w:val="nil"/>
              <w:bottom w:val="single" w:sz="4" w:space="0" w:color="auto"/>
              <w:right w:val="single" w:sz="4" w:space="0" w:color="auto"/>
            </w:tcBorders>
            <w:shd w:val="clear" w:color="auto" w:fill="auto"/>
            <w:hideMark/>
          </w:tcPr>
          <w:p w:rsidR="00CC75F2" w:rsidRPr="00CC75F2" w:rsidRDefault="00CC75F2" w:rsidP="00373B8F">
            <w:pPr>
              <w:jc w:val="center"/>
              <w:rPr>
                <w:rFonts w:cs="Arial"/>
                <w:color w:val="000000"/>
                <w:sz w:val="16"/>
                <w:szCs w:val="16"/>
              </w:rPr>
            </w:pPr>
            <w:r w:rsidRPr="00CC75F2">
              <w:rPr>
                <w:rFonts w:cs="Arial"/>
                <w:color w:val="000000"/>
                <w:sz w:val="16"/>
                <w:szCs w:val="16"/>
              </w:rPr>
              <w:t>Precinct</w:t>
            </w:r>
          </w:p>
        </w:tc>
        <w:tc>
          <w:tcPr>
            <w:tcW w:w="1276" w:type="dxa"/>
            <w:tcBorders>
              <w:top w:val="nil"/>
              <w:left w:val="nil"/>
              <w:bottom w:val="single" w:sz="4" w:space="0" w:color="auto"/>
              <w:right w:val="single" w:sz="4" w:space="0" w:color="auto"/>
            </w:tcBorders>
            <w:shd w:val="clear" w:color="auto" w:fill="auto"/>
            <w:hideMark/>
          </w:tcPr>
          <w:p w:rsidR="00CC75F2" w:rsidRPr="00CC75F2" w:rsidRDefault="00CC75F2" w:rsidP="00CC75F2">
            <w:pPr>
              <w:jc w:val="center"/>
              <w:rPr>
                <w:rFonts w:cs="Arial"/>
                <w:color w:val="000000"/>
                <w:sz w:val="16"/>
                <w:szCs w:val="16"/>
              </w:rPr>
            </w:pPr>
            <w:r w:rsidRPr="00CC75F2">
              <w:rPr>
                <w:rFonts w:cs="Arial"/>
                <w:color w:val="000000"/>
                <w:sz w:val="16"/>
                <w:szCs w:val="16"/>
              </w:rPr>
              <w:t>Not contributory</w:t>
            </w:r>
          </w:p>
        </w:tc>
        <w:tc>
          <w:tcPr>
            <w:tcW w:w="2835" w:type="dxa"/>
            <w:tcBorders>
              <w:top w:val="nil"/>
              <w:left w:val="nil"/>
              <w:bottom w:val="single" w:sz="4" w:space="0" w:color="auto"/>
              <w:right w:val="single" w:sz="4" w:space="0" w:color="auto"/>
            </w:tcBorders>
            <w:shd w:val="clear" w:color="auto" w:fill="auto"/>
            <w:hideMark/>
          </w:tcPr>
          <w:p w:rsidR="00CC75F2" w:rsidRPr="00CC75F2" w:rsidRDefault="00CC75F2" w:rsidP="00CC75F2">
            <w:pPr>
              <w:jc w:val="left"/>
              <w:rPr>
                <w:rFonts w:cs="Arial"/>
                <w:color w:val="000000"/>
                <w:sz w:val="16"/>
                <w:szCs w:val="16"/>
              </w:rPr>
            </w:pPr>
            <w:r w:rsidRPr="00CC75F2">
              <w:rPr>
                <w:rFonts w:cs="Arial"/>
                <w:color w:val="000000"/>
                <w:sz w:val="16"/>
                <w:szCs w:val="16"/>
              </w:rPr>
              <w:t>External controls apply to the buildings and land  no internal controls, no tree controls and no external paint controls apply</w:t>
            </w:r>
          </w:p>
        </w:tc>
        <w:tc>
          <w:tcPr>
            <w:tcW w:w="2693" w:type="dxa"/>
            <w:tcBorders>
              <w:top w:val="nil"/>
              <w:left w:val="nil"/>
              <w:bottom w:val="single" w:sz="4" w:space="0" w:color="auto"/>
              <w:right w:val="single" w:sz="4" w:space="0" w:color="auto"/>
            </w:tcBorders>
            <w:shd w:val="clear" w:color="auto" w:fill="auto"/>
            <w:hideMark/>
          </w:tcPr>
          <w:p w:rsidR="00CC75F2" w:rsidRPr="00CC75F2" w:rsidRDefault="00CC75F2" w:rsidP="00622DC3">
            <w:pPr>
              <w:jc w:val="left"/>
              <w:rPr>
                <w:rFonts w:cs="Arial"/>
                <w:color w:val="000000"/>
                <w:sz w:val="16"/>
                <w:szCs w:val="16"/>
              </w:rPr>
            </w:pPr>
            <w:r w:rsidRPr="00CC75F2">
              <w:rPr>
                <w:rFonts w:cs="Arial"/>
                <w:color w:val="000000"/>
                <w:sz w:val="16"/>
                <w:szCs w:val="16"/>
              </w:rPr>
              <w:t>Physical changes to the reserve would normally require approval under the Heritage Overlay from the</w:t>
            </w:r>
            <w:r w:rsidR="00622DC3">
              <w:rPr>
                <w:rFonts w:cs="Arial"/>
                <w:color w:val="000000"/>
                <w:sz w:val="16"/>
                <w:szCs w:val="16"/>
              </w:rPr>
              <w:t xml:space="preserve"> </w:t>
            </w:r>
            <w:r w:rsidR="00622DC3" w:rsidRPr="00CC75F2">
              <w:rPr>
                <w:rFonts w:cs="Arial"/>
                <w:color w:val="000000"/>
                <w:sz w:val="16"/>
                <w:szCs w:val="16"/>
              </w:rPr>
              <w:t>Yarra</w:t>
            </w:r>
            <w:r w:rsidR="00622DC3">
              <w:rPr>
                <w:rFonts w:cs="Arial"/>
                <w:color w:val="000000"/>
                <w:sz w:val="16"/>
                <w:szCs w:val="16"/>
              </w:rPr>
              <w:t xml:space="preserve"> City Council.</w:t>
            </w:r>
          </w:p>
        </w:tc>
      </w:tr>
      <w:tr w:rsidR="008B0CE7" w:rsidRPr="00CC75F2" w:rsidTr="00EA18F9">
        <w:trPr>
          <w:cantSplit/>
          <w:trHeight w:val="720"/>
        </w:trPr>
        <w:tc>
          <w:tcPr>
            <w:tcW w:w="1433" w:type="dxa"/>
            <w:tcBorders>
              <w:top w:val="nil"/>
              <w:left w:val="single" w:sz="4" w:space="0" w:color="auto"/>
              <w:bottom w:val="single" w:sz="4" w:space="0" w:color="auto"/>
              <w:right w:val="single" w:sz="4" w:space="0" w:color="auto"/>
            </w:tcBorders>
            <w:shd w:val="clear" w:color="auto" w:fill="auto"/>
            <w:hideMark/>
          </w:tcPr>
          <w:p w:rsidR="00CC75F2" w:rsidRPr="00CC75F2" w:rsidRDefault="00CC75F2" w:rsidP="00CC75F2">
            <w:pPr>
              <w:jc w:val="left"/>
              <w:rPr>
                <w:rFonts w:cs="Arial"/>
                <w:color w:val="000000"/>
                <w:sz w:val="16"/>
                <w:szCs w:val="16"/>
              </w:rPr>
            </w:pPr>
            <w:r w:rsidRPr="00CC75F2">
              <w:rPr>
                <w:rFonts w:cs="Arial"/>
                <w:color w:val="000000"/>
                <w:sz w:val="16"/>
                <w:szCs w:val="16"/>
              </w:rPr>
              <w:t>Leicester Street 20-32</w:t>
            </w:r>
          </w:p>
        </w:tc>
        <w:tc>
          <w:tcPr>
            <w:tcW w:w="1134" w:type="dxa"/>
            <w:tcBorders>
              <w:top w:val="nil"/>
              <w:left w:val="nil"/>
              <w:bottom w:val="single" w:sz="4" w:space="0" w:color="auto"/>
              <w:right w:val="single" w:sz="4" w:space="0" w:color="auto"/>
            </w:tcBorders>
            <w:shd w:val="clear" w:color="auto" w:fill="auto"/>
            <w:hideMark/>
          </w:tcPr>
          <w:p w:rsidR="00CC75F2" w:rsidRPr="00CC75F2" w:rsidRDefault="00373B8F" w:rsidP="00CC75F2">
            <w:pPr>
              <w:jc w:val="center"/>
              <w:rPr>
                <w:rFonts w:cs="Arial"/>
                <w:color w:val="000000"/>
                <w:sz w:val="16"/>
                <w:szCs w:val="16"/>
              </w:rPr>
            </w:pPr>
            <w:r w:rsidRPr="00CC75F2">
              <w:rPr>
                <w:rFonts w:cs="Arial"/>
                <w:color w:val="000000"/>
                <w:sz w:val="16"/>
                <w:szCs w:val="16"/>
              </w:rPr>
              <w:t>F</w:t>
            </w:r>
            <w:r>
              <w:rPr>
                <w:rFonts w:cs="Arial"/>
                <w:color w:val="000000"/>
                <w:sz w:val="16"/>
                <w:szCs w:val="16"/>
              </w:rPr>
              <w:t>itzroy</w:t>
            </w:r>
          </w:p>
        </w:tc>
        <w:tc>
          <w:tcPr>
            <w:tcW w:w="1417" w:type="dxa"/>
            <w:tcBorders>
              <w:top w:val="nil"/>
              <w:left w:val="nil"/>
              <w:bottom w:val="single" w:sz="4" w:space="0" w:color="auto"/>
              <w:right w:val="single" w:sz="4" w:space="0" w:color="auto"/>
            </w:tcBorders>
            <w:shd w:val="clear" w:color="auto" w:fill="auto"/>
            <w:hideMark/>
          </w:tcPr>
          <w:p w:rsidR="00CC75F2" w:rsidRPr="00CC75F2" w:rsidRDefault="00CC75F2" w:rsidP="008B0CE7">
            <w:pPr>
              <w:jc w:val="center"/>
              <w:rPr>
                <w:rFonts w:cs="Arial"/>
                <w:color w:val="000000"/>
                <w:sz w:val="16"/>
                <w:szCs w:val="16"/>
              </w:rPr>
            </w:pPr>
            <w:r w:rsidRPr="00CC75F2">
              <w:rPr>
                <w:rFonts w:cs="Arial"/>
                <w:color w:val="000000"/>
                <w:sz w:val="16"/>
                <w:szCs w:val="16"/>
              </w:rPr>
              <w:t>G</w:t>
            </w:r>
            <w:r w:rsidR="008B0CE7">
              <w:rPr>
                <w:rFonts w:cs="Arial"/>
                <w:color w:val="000000"/>
                <w:sz w:val="16"/>
                <w:szCs w:val="16"/>
              </w:rPr>
              <w:t>arry Owen Park</w:t>
            </w:r>
          </w:p>
        </w:tc>
        <w:tc>
          <w:tcPr>
            <w:tcW w:w="1276" w:type="dxa"/>
            <w:tcBorders>
              <w:top w:val="nil"/>
              <w:left w:val="nil"/>
              <w:bottom w:val="single" w:sz="4" w:space="0" w:color="auto"/>
              <w:right w:val="single" w:sz="4" w:space="0" w:color="auto"/>
            </w:tcBorders>
            <w:shd w:val="clear" w:color="auto" w:fill="auto"/>
            <w:hideMark/>
          </w:tcPr>
          <w:p w:rsidR="00CC75F2" w:rsidRPr="00CC75F2" w:rsidRDefault="00CC75F2" w:rsidP="00CC75F2">
            <w:pPr>
              <w:jc w:val="center"/>
              <w:rPr>
                <w:rFonts w:cs="Arial"/>
                <w:color w:val="000000"/>
                <w:sz w:val="16"/>
                <w:szCs w:val="16"/>
              </w:rPr>
            </w:pPr>
            <w:r w:rsidRPr="00CC75F2">
              <w:rPr>
                <w:rFonts w:cs="Arial"/>
                <w:color w:val="000000"/>
                <w:sz w:val="16"/>
                <w:szCs w:val="16"/>
              </w:rPr>
              <w:t>South Fitzroy Precinct</w:t>
            </w:r>
          </w:p>
        </w:tc>
        <w:tc>
          <w:tcPr>
            <w:tcW w:w="1134" w:type="dxa"/>
            <w:tcBorders>
              <w:top w:val="nil"/>
              <w:left w:val="nil"/>
              <w:bottom w:val="single" w:sz="4" w:space="0" w:color="auto"/>
              <w:right w:val="single" w:sz="4" w:space="0" w:color="auto"/>
            </w:tcBorders>
            <w:shd w:val="clear" w:color="auto" w:fill="auto"/>
            <w:hideMark/>
          </w:tcPr>
          <w:p w:rsidR="00CC75F2" w:rsidRPr="00CC75F2" w:rsidRDefault="00CC75F2" w:rsidP="00CC75F2">
            <w:pPr>
              <w:jc w:val="center"/>
              <w:rPr>
                <w:rFonts w:cs="Arial"/>
                <w:color w:val="000000"/>
                <w:sz w:val="16"/>
                <w:szCs w:val="16"/>
              </w:rPr>
            </w:pPr>
            <w:r w:rsidRPr="00CC75F2">
              <w:rPr>
                <w:rFonts w:cs="Arial"/>
                <w:color w:val="000000"/>
                <w:sz w:val="16"/>
                <w:szCs w:val="16"/>
              </w:rPr>
              <w:t>HO334</w:t>
            </w:r>
          </w:p>
        </w:tc>
        <w:tc>
          <w:tcPr>
            <w:tcW w:w="992" w:type="dxa"/>
            <w:tcBorders>
              <w:top w:val="nil"/>
              <w:left w:val="nil"/>
              <w:bottom w:val="single" w:sz="4" w:space="0" w:color="auto"/>
              <w:right w:val="single" w:sz="4" w:space="0" w:color="auto"/>
            </w:tcBorders>
            <w:shd w:val="clear" w:color="auto" w:fill="auto"/>
            <w:hideMark/>
          </w:tcPr>
          <w:p w:rsidR="00CC75F2" w:rsidRPr="00CC75F2" w:rsidRDefault="00CC75F2" w:rsidP="00CC75F2">
            <w:pPr>
              <w:jc w:val="center"/>
              <w:rPr>
                <w:rFonts w:cs="Arial"/>
                <w:color w:val="000000"/>
                <w:sz w:val="16"/>
                <w:szCs w:val="16"/>
              </w:rPr>
            </w:pPr>
            <w:r w:rsidRPr="00CC75F2">
              <w:rPr>
                <w:rFonts w:cs="Arial"/>
                <w:color w:val="000000"/>
                <w:sz w:val="16"/>
                <w:szCs w:val="16"/>
              </w:rPr>
              <w:t>N/A</w:t>
            </w:r>
          </w:p>
        </w:tc>
        <w:tc>
          <w:tcPr>
            <w:tcW w:w="1134" w:type="dxa"/>
            <w:tcBorders>
              <w:top w:val="nil"/>
              <w:left w:val="nil"/>
              <w:bottom w:val="single" w:sz="4" w:space="0" w:color="auto"/>
              <w:right w:val="single" w:sz="4" w:space="0" w:color="auto"/>
            </w:tcBorders>
            <w:shd w:val="clear" w:color="auto" w:fill="auto"/>
            <w:hideMark/>
          </w:tcPr>
          <w:p w:rsidR="00CC75F2" w:rsidRPr="00CC75F2" w:rsidRDefault="00CC75F2" w:rsidP="00373B8F">
            <w:pPr>
              <w:jc w:val="center"/>
              <w:rPr>
                <w:rFonts w:cs="Arial"/>
                <w:color w:val="000000"/>
                <w:sz w:val="16"/>
                <w:szCs w:val="16"/>
              </w:rPr>
            </w:pPr>
            <w:r w:rsidRPr="00CC75F2">
              <w:rPr>
                <w:rFonts w:cs="Arial"/>
                <w:color w:val="000000"/>
                <w:sz w:val="16"/>
                <w:szCs w:val="16"/>
              </w:rPr>
              <w:t>Precinct</w:t>
            </w:r>
          </w:p>
        </w:tc>
        <w:tc>
          <w:tcPr>
            <w:tcW w:w="1276" w:type="dxa"/>
            <w:tcBorders>
              <w:top w:val="nil"/>
              <w:left w:val="nil"/>
              <w:bottom w:val="single" w:sz="4" w:space="0" w:color="auto"/>
              <w:right w:val="single" w:sz="4" w:space="0" w:color="auto"/>
            </w:tcBorders>
            <w:shd w:val="clear" w:color="auto" w:fill="auto"/>
            <w:hideMark/>
          </w:tcPr>
          <w:p w:rsidR="00CC75F2" w:rsidRPr="00CC75F2" w:rsidRDefault="00CC75F2" w:rsidP="00CC75F2">
            <w:pPr>
              <w:jc w:val="center"/>
              <w:rPr>
                <w:rFonts w:cs="Arial"/>
                <w:color w:val="000000"/>
                <w:sz w:val="16"/>
                <w:szCs w:val="16"/>
              </w:rPr>
            </w:pPr>
            <w:r w:rsidRPr="00CC75F2">
              <w:rPr>
                <w:rFonts w:cs="Arial"/>
                <w:color w:val="000000"/>
                <w:sz w:val="16"/>
                <w:szCs w:val="16"/>
              </w:rPr>
              <w:t>Not contributory</w:t>
            </w:r>
          </w:p>
        </w:tc>
        <w:tc>
          <w:tcPr>
            <w:tcW w:w="2835" w:type="dxa"/>
            <w:tcBorders>
              <w:top w:val="nil"/>
              <w:left w:val="nil"/>
              <w:bottom w:val="single" w:sz="4" w:space="0" w:color="auto"/>
              <w:right w:val="single" w:sz="4" w:space="0" w:color="auto"/>
            </w:tcBorders>
            <w:shd w:val="clear" w:color="auto" w:fill="auto"/>
            <w:hideMark/>
          </w:tcPr>
          <w:p w:rsidR="00CC75F2" w:rsidRPr="00CC75F2" w:rsidRDefault="00CC75F2" w:rsidP="00CC75F2">
            <w:pPr>
              <w:jc w:val="left"/>
              <w:rPr>
                <w:rFonts w:cs="Arial"/>
                <w:color w:val="000000"/>
                <w:sz w:val="16"/>
                <w:szCs w:val="16"/>
              </w:rPr>
            </w:pPr>
            <w:r w:rsidRPr="00CC75F2">
              <w:rPr>
                <w:rFonts w:cs="Arial"/>
                <w:color w:val="000000"/>
                <w:sz w:val="16"/>
                <w:szCs w:val="16"/>
              </w:rPr>
              <w:t>External controls apply to the building and land, no internal controls, no tree controls and no external paint controls apply</w:t>
            </w:r>
          </w:p>
        </w:tc>
        <w:tc>
          <w:tcPr>
            <w:tcW w:w="2693" w:type="dxa"/>
            <w:tcBorders>
              <w:top w:val="nil"/>
              <w:left w:val="nil"/>
              <w:bottom w:val="single" w:sz="4" w:space="0" w:color="auto"/>
              <w:right w:val="single" w:sz="4" w:space="0" w:color="auto"/>
            </w:tcBorders>
            <w:shd w:val="clear" w:color="auto" w:fill="auto"/>
            <w:hideMark/>
          </w:tcPr>
          <w:p w:rsidR="00CC75F2" w:rsidRPr="00CC75F2" w:rsidRDefault="00CC75F2" w:rsidP="00622DC3">
            <w:pPr>
              <w:jc w:val="left"/>
              <w:rPr>
                <w:rFonts w:cs="Arial"/>
                <w:color w:val="000000"/>
                <w:sz w:val="16"/>
                <w:szCs w:val="16"/>
              </w:rPr>
            </w:pPr>
            <w:r w:rsidRPr="00CC75F2">
              <w:rPr>
                <w:rFonts w:cs="Arial"/>
                <w:color w:val="000000"/>
                <w:sz w:val="16"/>
                <w:szCs w:val="16"/>
              </w:rPr>
              <w:t xml:space="preserve">Physical changes to the park would normally require approval under the Heritage Overlay from the </w:t>
            </w:r>
            <w:r w:rsidR="00622DC3" w:rsidRPr="00CC75F2">
              <w:rPr>
                <w:rFonts w:cs="Arial"/>
                <w:color w:val="000000"/>
                <w:sz w:val="16"/>
                <w:szCs w:val="16"/>
              </w:rPr>
              <w:t>Yarra</w:t>
            </w:r>
            <w:r w:rsidR="00622DC3">
              <w:rPr>
                <w:rFonts w:cs="Arial"/>
                <w:color w:val="000000"/>
                <w:sz w:val="16"/>
                <w:szCs w:val="16"/>
              </w:rPr>
              <w:t xml:space="preserve"> City Council</w:t>
            </w:r>
            <w:r w:rsidR="00622DC3" w:rsidRPr="00CC75F2">
              <w:rPr>
                <w:rFonts w:cs="Arial"/>
                <w:color w:val="000000"/>
                <w:sz w:val="16"/>
                <w:szCs w:val="16"/>
              </w:rPr>
              <w:t xml:space="preserve"> </w:t>
            </w:r>
            <w:r w:rsidR="00622DC3">
              <w:rPr>
                <w:rFonts w:cs="Arial"/>
                <w:color w:val="000000"/>
                <w:sz w:val="16"/>
                <w:szCs w:val="16"/>
              </w:rPr>
              <w:t>.</w:t>
            </w:r>
          </w:p>
        </w:tc>
      </w:tr>
      <w:tr w:rsidR="008B0CE7" w:rsidRPr="00CC75F2" w:rsidTr="00EA18F9">
        <w:trPr>
          <w:cantSplit/>
          <w:trHeight w:val="240"/>
        </w:trPr>
        <w:tc>
          <w:tcPr>
            <w:tcW w:w="1433" w:type="dxa"/>
            <w:tcBorders>
              <w:top w:val="nil"/>
              <w:left w:val="single" w:sz="4" w:space="0" w:color="auto"/>
              <w:bottom w:val="single" w:sz="4" w:space="0" w:color="auto"/>
              <w:right w:val="single" w:sz="4" w:space="0" w:color="auto"/>
            </w:tcBorders>
            <w:shd w:val="clear" w:color="auto" w:fill="auto"/>
            <w:hideMark/>
          </w:tcPr>
          <w:p w:rsidR="00CC75F2" w:rsidRPr="00CC75F2" w:rsidRDefault="00CC75F2" w:rsidP="00CC75F2">
            <w:pPr>
              <w:jc w:val="left"/>
              <w:rPr>
                <w:rFonts w:cs="Arial"/>
                <w:color w:val="000000"/>
                <w:sz w:val="16"/>
                <w:szCs w:val="16"/>
              </w:rPr>
            </w:pPr>
            <w:r w:rsidRPr="00CC75F2">
              <w:rPr>
                <w:rFonts w:cs="Arial"/>
                <w:color w:val="000000"/>
                <w:sz w:val="16"/>
                <w:szCs w:val="16"/>
              </w:rPr>
              <w:t>Lord Street 92</w:t>
            </w:r>
          </w:p>
        </w:tc>
        <w:tc>
          <w:tcPr>
            <w:tcW w:w="1134" w:type="dxa"/>
            <w:tcBorders>
              <w:top w:val="nil"/>
              <w:left w:val="nil"/>
              <w:bottom w:val="single" w:sz="4" w:space="0" w:color="auto"/>
              <w:right w:val="single" w:sz="4" w:space="0" w:color="auto"/>
            </w:tcBorders>
            <w:shd w:val="clear" w:color="auto" w:fill="auto"/>
            <w:hideMark/>
          </w:tcPr>
          <w:p w:rsidR="00CC75F2" w:rsidRPr="00CC75F2" w:rsidRDefault="008B0CE7" w:rsidP="00CC75F2">
            <w:pPr>
              <w:jc w:val="center"/>
              <w:rPr>
                <w:rFonts w:cs="Arial"/>
                <w:color w:val="000000"/>
                <w:sz w:val="16"/>
                <w:szCs w:val="16"/>
              </w:rPr>
            </w:pPr>
            <w:r w:rsidRPr="00CC75F2">
              <w:rPr>
                <w:rFonts w:cs="Arial"/>
                <w:color w:val="000000"/>
                <w:sz w:val="16"/>
                <w:szCs w:val="16"/>
              </w:rPr>
              <w:t>R</w:t>
            </w:r>
            <w:r>
              <w:rPr>
                <w:rFonts w:cs="Arial"/>
                <w:color w:val="000000"/>
                <w:sz w:val="16"/>
                <w:szCs w:val="16"/>
              </w:rPr>
              <w:t>ichmond</w:t>
            </w:r>
          </w:p>
        </w:tc>
        <w:tc>
          <w:tcPr>
            <w:tcW w:w="1417" w:type="dxa"/>
            <w:tcBorders>
              <w:top w:val="nil"/>
              <w:left w:val="nil"/>
              <w:bottom w:val="single" w:sz="4" w:space="0" w:color="auto"/>
              <w:right w:val="single" w:sz="4" w:space="0" w:color="auto"/>
            </w:tcBorders>
            <w:shd w:val="clear" w:color="auto" w:fill="auto"/>
            <w:hideMark/>
          </w:tcPr>
          <w:p w:rsidR="00CC75F2" w:rsidRPr="00CC75F2" w:rsidRDefault="00CC75F2" w:rsidP="00CC75F2">
            <w:pPr>
              <w:jc w:val="center"/>
              <w:rPr>
                <w:rFonts w:cs="Arial"/>
                <w:color w:val="000000"/>
                <w:sz w:val="16"/>
                <w:szCs w:val="16"/>
              </w:rPr>
            </w:pPr>
            <w:r w:rsidRPr="00CC75F2">
              <w:rPr>
                <w:rFonts w:cs="Arial"/>
                <w:color w:val="000000"/>
                <w:sz w:val="16"/>
                <w:szCs w:val="16"/>
              </w:rPr>
              <w:t>See note</w:t>
            </w:r>
          </w:p>
        </w:tc>
        <w:tc>
          <w:tcPr>
            <w:tcW w:w="1276" w:type="dxa"/>
            <w:tcBorders>
              <w:top w:val="nil"/>
              <w:left w:val="nil"/>
              <w:bottom w:val="single" w:sz="4" w:space="0" w:color="auto"/>
              <w:right w:val="single" w:sz="4" w:space="0" w:color="auto"/>
            </w:tcBorders>
            <w:shd w:val="clear" w:color="auto" w:fill="auto"/>
            <w:hideMark/>
          </w:tcPr>
          <w:p w:rsidR="00CC75F2" w:rsidRPr="00CC75F2" w:rsidRDefault="00CC75F2" w:rsidP="00CC75F2">
            <w:pPr>
              <w:jc w:val="center"/>
              <w:rPr>
                <w:rFonts w:cs="Arial"/>
                <w:color w:val="000000"/>
                <w:sz w:val="16"/>
                <w:szCs w:val="16"/>
              </w:rPr>
            </w:pPr>
            <w:r w:rsidRPr="00CC75F2">
              <w:rPr>
                <w:rFonts w:cs="Arial"/>
                <w:color w:val="000000"/>
                <w:sz w:val="16"/>
                <w:szCs w:val="16"/>
              </w:rPr>
              <w:t>See note</w:t>
            </w:r>
          </w:p>
        </w:tc>
        <w:tc>
          <w:tcPr>
            <w:tcW w:w="1134" w:type="dxa"/>
            <w:tcBorders>
              <w:top w:val="nil"/>
              <w:left w:val="nil"/>
              <w:bottom w:val="single" w:sz="4" w:space="0" w:color="auto"/>
              <w:right w:val="single" w:sz="4" w:space="0" w:color="auto"/>
            </w:tcBorders>
            <w:shd w:val="clear" w:color="auto" w:fill="auto"/>
            <w:hideMark/>
          </w:tcPr>
          <w:p w:rsidR="00CC75F2" w:rsidRPr="00CC75F2" w:rsidRDefault="00CC75F2" w:rsidP="00CC75F2">
            <w:pPr>
              <w:jc w:val="center"/>
              <w:rPr>
                <w:rFonts w:cs="Arial"/>
                <w:color w:val="000000"/>
                <w:sz w:val="16"/>
                <w:szCs w:val="16"/>
              </w:rPr>
            </w:pPr>
            <w:r w:rsidRPr="00CC75F2">
              <w:rPr>
                <w:rFonts w:cs="Arial"/>
                <w:color w:val="000000"/>
                <w:sz w:val="16"/>
                <w:szCs w:val="16"/>
              </w:rPr>
              <w:t>See note</w:t>
            </w:r>
          </w:p>
        </w:tc>
        <w:tc>
          <w:tcPr>
            <w:tcW w:w="992" w:type="dxa"/>
            <w:tcBorders>
              <w:top w:val="nil"/>
              <w:left w:val="nil"/>
              <w:bottom w:val="single" w:sz="4" w:space="0" w:color="auto"/>
              <w:right w:val="single" w:sz="4" w:space="0" w:color="auto"/>
            </w:tcBorders>
            <w:shd w:val="clear" w:color="auto" w:fill="auto"/>
            <w:hideMark/>
          </w:tcPr>
          <w:p w:rsidR="00CC75F2" w:rsidRPr="00CC75F2" w:rsidRDefault="00CC75F2" w:rsidP="00CC75F2">
            <w:pPr>
              <w:jc w:val="center"/>
              <w:rPr>
                <w:rFonts w:cs="Arial"/>
                <w:color w:val="000000"/>
                <w:sz w:val="16"/>
                <w:szCs w:val="16"/>
              </w:rPr>
            </w:pPr>
            <w:r w:rsidRPr="00CC75F2">
              <w:rPr>
                <w:rFonts w:cs="Arial"/>
                <w:color w:val="000000"/>
                <w:sz w:val="16"/>
                <w:szCs w:val="16"/>
              </w:rPr>
              <w:t>See note</w:t>
            </w:r>
          </w:p>
        </w:tc>
        <w:tc>
          <w:tcPr>
            <w:tcW w:w="1134" w:type="dxa"/>
            <w:tcBorders>
              <w:top w:val="nil"/>
              <w:left w:val="nil"/>
              <w:bottom w:val="single" w:sz="4" w:space="0" w:color="auto"/>
              <w:right w:val="single" w:sz="4" w:space="0" w:color="auto"/>
            </w:tcBorders>
            <w:shd w:val="clear" w:color="auto" w:fill="auto"/>
            <w:hideMark/>
          </w:tcPr>
          <w:p w:rsidR="00CC75F2" w:rsidRPr="00CC75F2" w:rsidRDefault="00CC75F2" w:rsidP="00373B8F">
            <w:pPr>
              <w:jc w:val="center"/>
              <w:rPr>
                <w:rFonts w:cs="Arial"/>
                <w:color w:val="000000"/>
                <w:sz w:val="16"/>
                <w:szCs w:val="16"/>
              </w:rPr>
            </w:pPr>
            <w:r w:rsidRPr="00CC75F2">
              <w:rPr>
                <w:rFonts w:cs="Arial"/>
                <w:color w:val="000000"/>
                <w:sz w:val="16"/>
                <w:szCs w:val="16"/>
              </w:rPr>
              <w:t>See note</w:t>
            </w:r>
          </w:p>
        </w:tc>
        <w:tc>
          <w:tcPr>
            <w:tcW w:w="1276" w:type="dxa"/>
            <w:tcBorders>
              <w:top w:val="nil"/>
              <w:left w:val="nil"/>
              <w:bottom w:val="single" w:sz="4" w:space="0" w:color="auto"/>
              <w:right w:val="single" w:sz="4" w:space="0" w:color="auto"/>
            </w:tcBorders>
            <w:shd w:val="clear" w:color="auto" w:fill="auto"/>
            <w:hideMark/>
          </w:tcPr>
          <w:p w:rsidR="00CC75F2" w:rsidRPr="00CC75F2" w:rsidRDefault="00CC75F2" w:rsidP="00CC75F2">
            <w:pPr>
              <w:jc w:val="center"/>
              <w:rPr>
                <w:rFonts w:cs="Arial"/>
                <w:color w:val="000000"/>
                <w:sz w:val="16"/>
                <w:szCs w:val="16"/>
              </w:rPr>
            </w:pPr>
            <w:r w:rsidRPr="00CC75F2">
              <w:rPr>
                <w:rFonts w:cs="Arial"/>
                <w:color w:val="000000"/>
                <w:sz w:val="16"/>
                <w:szCs w:val="16"/>
              </w:rPr>
              <w:t>See note</w:t>
            </w:r>
          </w:p>
        </w:tc>
        <w:tc>
          <w:tcPr>
            <w:tcW w:w="2835" w:type="dxa"/>
            <w:tcBorders>
              <w:top w:val="nil"/>
              <w:left w:val="nil"/>
              <w:bottom w:val="single" w:sz="4" w:space="0" w:color="auto"/>
              <w:right w:val="single" w:sz="4" w:space="0" w:color="auto"/>
            </w:tcBorders>
            <w:shd w:val="clear" w:color="auto" w:fill="auto"/>
            <w:hideMark/>
          </w:tcPr>
          <w:p w:rsidR="00CC75F2" w:rsidRPr="00CC75F2" w:rsidRDefault="00CC75F2" w:rsidP="00CC75F2">
            <w:pPr>
              <w:jc w:val="left"/>
              <w:rPr>
                <w:rFonts w:cs="Arial"/>
                <w:color w:val="000000"/>
                <w:sz w:val="16"/>
                <w:szCs w:val="16"/>
              </w:rPr>
            </w:pPr>
            <w:r w:rsidRPr="00CC75F2">
              <w:rPr>
                <w:rFonts w:cs="Arial"/>
                <w:color w:val="000000"/>
                <w:sz w:val="16"/>
                <w:szCs w:val="16"/>
              </w:rPr>
              <w:t>See note</w:t>
            </w:r>
          </w:p>
        </w:tc>
        <w:tc>
          <w:tcPr>
            <w:tcW w:w="2693" w:type="dxa"/>
            <w:tcBorders>
              <w:top w:val="nil"/>
              <w:left w:val="nil"/>
              <w:bottom w:val="single" w:sz="4" w:space="0" w:color="auto"/>
              <w:right w:val="single" w:sz="4" w:space="0" w:color="auto"/>
            </w:tcBorders>
            <w:shd w:val="clear" w:color="auto" w:fill="auto"/>
            <w:hideMark/>
          </w:tcPr>
          <w:p w:rsidR="00CC75F2" w:rsidRPr="00CC75F2" w:rsidRDefault="00CC75F2" w:rsidP="00CC75F2">
            <w:pPr>
              <w:jc w:val="left"/>
              <w:rPr>
                <w:rFonts w:cs="Arial"/>
                <w:color w:val="000000"/>
                <w:sz w:val="16"/>
                <w:szCs w:val="16"/>
              </w:rPr>
            </w:pPr>
            <w:r w:rsidRPr="00CC75F2">
              <w:rPr>
                <w:rFonts w:cs="Arial"/>
                <w:color w:val="000000"/>
                <w:sz w:val="16"/>
                <w:szCs w:val="16"/>
              </w:rPr>
              <w:t xml:space="preserve">See entry for 19-21 Duke Street (these are the same property) </w:t>
            </w:r>
          </w:p>
        </w:tc>
      </w:tr>
      <w:tr w:rsidR="008B0CE7" w:rsidRPr="00CC75F2" w:rsidTr="00EA18F9">
        <w:trPr>
          <w:cantSplit/>
          <w:trHeight w:val="2400"/>
        </w:trPr>
        <w:tc>
          <w:tcPr>
            <w:tcW w:w="1433" w:type="dxa"/>
            <w:tcBorders>
              <w:top w:val="nil"/>
              <w:left w:val="single" w:sz="4" w:space="0" w:color="auto"/>
              <w:bottom w:val="single" w:sz="4" w:space="0" w:color="auto"/>
              <w:right w:val="single" w:sz="4" w:space="0" w:color="auto"/>
            </w:tcBorders>
            <w:shd w:val="clear" w:color="auto" w:fill="auto"/>
            <w:hideMark/>
          </w:tcPr>
          <w:p w:rsidR="00CC75F2" w:rsidRPr="00CC75F2" w:rsidRDefault="00CC75F2" w:rsidP="00CC75F2">
            <w:pPr>
              <w:jc w:val="left"/>
              <w:rPr>
                <w:rFonts w:cs="Arial"/>
                <w:color w:val="000000"/>
                <w:sz w:val="16"/>
                <w:szCs w:val="16"/>
              </w:rPr>
            </w:pPr>
            <w:r w:rsidRPr="00CC75F2">
              <w:rPr>
                <w:rFonts w:cs="Arial"/>
                <w:color w:val="000000"/>
                <w:sz w:val="16"/>
                <w:szCs w:val="16"/>
              </w:rPr>
              <w:t> </w:t>
            </w:r>
          </w:p>
        </w:tc>
        <w:tc>
          <w:tcPr>
            <w:tcW w:w="1134" w:type="dxa"/>
            <w:tcBorders>
              <w:top w:val="nil"/>
              <w:left w:val="nil"/>
              <w:bottom w:val="single" w:sz="4" w:space="0" w:color="auto"/>
              <w:right w:val="single" w:sz="4" w:space="0" w:color="auto"/>
            </w:tcBorders>
            <w:shd w:val="clear" w:color="auto" w:fill="auto"/>
            <w:hideMark/>
          </w:tcPr>
          <w:p w:rsidR="00CC75F2" w:rsidRPr="00CC75F2" w:rsidRDefault="008B0CE7" w:rsidP="00CC75F2">
            <w:pPr>
              <w:jc w:val="center"/>
              <w:rPr>
                <w:rFonts w:cs="Arial"/>
                <w:color w:val="000000"/>
                <w:sz w:val="16"/>
                <w:szCs w:val="16"/>
              </w:rPr>
            </w:pPr>
            <w:r w:rsidRPr="00CC75F2">
              <w:rPr>
                <w:rFonts w:cs="Arial"/>
                <w:color w:val="000000"/>
                <w:sz w:val="16"/>
                <w:szCs w:val="16"/>
              </w:rPr>
              <w:t>A</w:t>
            </w:r>
            <w:r>
              <w:rPr>
                <w:rFonts w:cs="Arial"/>
                <w:color w:val="000000"/>
                <w:sz w:val="16"/>
                <w:szCs w:val="16"/>
              </w:rPr>
              <w:t>bbotsford</w:t>
            </w:r>
          </w:p>
        </w:tc>
        <w:tc>
          <w:tcPr>
            <w:tcW w:w="1417" w:type="dxa"/>
            <w:tcBorders>
              <w:top w:val="nil"/>
              <w:left w:val="nil"/>
              <w:bottom w:val="single" w:sz="4" w:space="0" w:color="auto"/>
              <w:right w:val="single" w:sz="4" w:space="0" w:color="auto"/>
            </w:tcBorders>
            <w:shd w:val="clear" w:color="auto" w:fill="auto"/>
            <w:hideMark/>
          </w:tcPr>
          <w:p w:rsidR="00CC75F2" w:rsidRPr="00CC75F2" w:rsidRDefault="00CC75F2" w:rsidP="00CC75F2">
            <w:pPr>
              <w:jc w:val="center"/>
              <w:rPr>
                <w:rFonts w:cs="Arial"/>
                <w:color w:val="000000"/>
                <w:sz w:val="16"/>
                <w:szCs w:val="16"/>
              </w:rPr>
            </w:pPr>
            <w:r w:rsidRPr="00CC75F2">
              <w:rPr>
                <w:rFonts w:cs="Arial"/>
                <w:color w:val="000000"/>
                <w:sz w:val="16"/>
                <w:szCs w:val="16"/>
              </w:rPr>
              <w:t>Victoria Park Oval</w:t>
            </w:r>
          </w:p>
        </w:tc>
        <w:tc>
          <w:tcPr>
            <w:tcW w:w="1276" w:type="dxa"/>
            <w:tcBorders>
              <w:top w:val="nil"/>
              <w:left w:val="nil"/>
              <w:bottom w:val="single" w:sz="4" w:space="0" w:color="auto"/>
              <w:right w:val="single" w:sz="4" w:space="0" w:color="auto"/>
            </w:tcBorders>
            <w:shd w:val="clear" w:color="auto" w:fill="auto"/>
            <w:hideMark/>
          </w:tcPr>
          <w:p w:rsidR="00CC75F2" w:rsidRPr="00CC75F2" w:rsidRDefault="00CC75F2" w:rsidP="00CC75F2">
            <w:pPr>
              <w:jc w:val="center"/>
              <w:rPr>
                <w:rFonts w:cs="Arial"/>
                <w:color w:val="000000"/>
                <w:sz w:val="16"/>
                <w:szCs w:val="16"/>
              </w:rPr>
            </w:pPr>
            <w:r w:rsidRPr="00CC75F2">
              <w:rPr>
                <w:rFonts w:cs="Arial"/>
                <w:color w:val="000000"/>
                <w:sz w:val="16"/>
                <w:szCs w:val="16"/>
              </w:rPr>
              <w:t>Victoria Park Precinct (HO337)                   Victoria Park Football Ground &amp; Grandstands, walls clubrooms (HO352)</w:t>
            </w:r>
          </w:p>
        </w:tc>
        <w:tc>
          <w:tcPr>
            <w:tcW w:w="1134" w:type="dxa"/>
            <w:tcBorders>
              <w:top w:val="nil"/>
              <w:left w:val="nil"/>
              <w:bottom w:val="single" w:sz="4" w:space="0" w:color="auto"/>
              <w:right w:val="single" w:sz="4" w:space="0" w:color="auto"/>
            </w:tcBorders>
            <w:shd w:val="clear" w:color="auto" w:fill="auto"/>
            <w:hideMark/>
          </w:tcPr>
          <w:p w:rsidR="00CC75F2" w:rsidRPr="00CC75F2" w:rsidRDefault="00CC75F2" w:rsidP="00CC75F2">
            <w:pPr>
              <w:jc w:val="center"/>
              <w:rPr>
                <w:rFonts w:cs="Arial"/>
                <w:color w:val="000000"/>
                <w:sz w:val="16"/>
                <w:szCs w:val="16"/>
              </w:rPr>
            </w:pPr>
            <w:r w:rsidRPr="00CC75F2">
              <w:rPr>
                <w:rFonts w:cs="Arial"/>
                <w:color w:val="000000"/>
                <w:sz w:val="16"/>
                <w:szCs w:val="16"/>
              </w:rPr>
              <w:t>HO352 and HO337</w:t>
            </w:r>
          </w:p>
        </w:tc>
        <w:tc>
          <w:tcPr>
            <w:tcW w:w="992" w:type="dxa"/>
            <w:tcBorders>
              <w:top w:val="nil"/>
              <w:left w:val="nil"/>
              <w:bottom w:val="single" w:sz="4" w:space="0" w:color="auto"/>
              <w:right w:val="single" w:sz="4" w:space="0" w:color="auto"/>
            </w:tcBorders>
            <w:shd w:val="clear" w:color="auto" w:fill="auto"/>
            <w:hideMark/>
          </w:tcPr>
          <w:p w:rsidR="00CC75F2" w:rsidRPr="00CC75F2" w:rsidRDefault="00CC75F2" w:rsidP="00CC75F2">
            <w:pPr>
              <w:jc w:val="center"/>
              <w:rPr>
                <w:rFonts w:cs="Arial"/>
                <w:color w:val="000000"/>
                <w:sz w:val="16"/>
                <w:szCs w:val="16"/>
              </w:rPr>
            </w:pPr>
            <w:r w:rsidRPr="00CC75F2">
              <w:rPr>
                <w:rFonts w:cs="Arial"/>
                <w:color w:val="000000"/>
                <w:sz w:val="16"/>
                <w:szCs w:val="16"/>
              </w:rPr>
              <w:t>H0075</w:t>
            </w:r>
          </w:p>
        </w:tc>
        <w:tc>
          <w:tcPr>
            <w:tcW w:w="1134" w:type="dxa"/>
            <w:tcBorders>
              <w:top w:val="nil"/>
              <w:left w:val="nil"/>
              <w:bottom w:val="single" w:sz="4" w:space="0" w:color="auto"/>
              <w:right w:val="single" w:sz="4" w:space="0" w:color="auto"/>
            </w:tcBorders>
            <w:shd w:val="clear" w:color="auto" w:fill="auto"/>
            <w:hideMark/>
          </w:tcPr>
          <w:p w:rsidR="00CC75F2" w:rsidRPr="00CC75F2" w:rsidRDefault="00CC75F2" w:rsidP="00373B8F">
            <w:pPr>
              <w:jc w:val="center"/>
              <w:rPr>
                <w:rFonts w:cs="Arial"/>
                <w:color w:val="000000"/>
                <w:sz w:val="16"/>
                <w:szCs w:val="16"/>
              </w:rPr>
            </w:pPr>
            <w:r w:rsidRPr="00CC75F2">
              <w:rPr>
                <w:rFonts w:cs="Arial"/>
                <w:color w:val="000000"/>
                <w:sz w:val="16"/>
                <w:szCs w:val="16"/>
              </w:rPr>
              <w:t>Individual (state), Individual (local)   Precinct</w:t>
            </w:r>
          </w:p>
        </w:tc>
        <w:tc>
          <w:tcPr>
            <w:tcW w:w="1276" w:type="dxa"/>
            <w:tcBorders>
              <w:top w:val="nil"/>
              <w:left w:val="nil"/>
              <w:bottom w:val="single" w:sz="4" w:space="0" w:color="auto"/>
              <w:right w:val="single" w:sz="4" w:space="0" w:color="auto"/>
            </w:tcBorders>
            <w:shd w:val="clear" w:color="auto" w:fill="auto"/>
            <w:hideMark/>
          </w:tcPr>
          <w:p w:rsidR="00CC75F2" w:rsidRPr="00CC75F2" w:rsidRDefault="00CC75F2" w:rsidP="00CC75F2">
            <w:pPr>
              <w:jc w:val="center"/>
              <w:rPr>
                <w:rFonts w:cs="Arial"/>
                <w:color w:val="000000"/>
                <w:sz w:val="16"/>
                <w:szCs w:val="16"/>
              </w:rPr>
            </w:pPr>
            <w:r w:rsidRPr="00CC75F2">
              <w:rPr>
                <w:rFonts w:cs="Arial"/>
                <w:color w:val="000000"/>
                <w:sz w:val="16"/>
                <w:szCs w:val="16"/>
              </w:rPr>
              <w:t>Individually significant</w:t>
            </w:r>
          </w:p>
        </w:tc>
        <w:tc>
          <w:tcPr>
            <w:tcW w:w="2835" w:type="dxa"/>
            <w:tcBorders>
              <w:top w:val="nil"/>
              <w:left w:val="nil"/>
              <w:bottom w:val="single" w:sz="4" w:space="0" w:color="auto"/>
              <w:right w:val="single" w:sz="4" w:space="0" w:color="auto"/>
            </w:tcBorders>
            <w:shd w:val="clear" w:color="auto" w:fill="auto"/>
            <w:hideMark/>
          </w:tcPr>
          <w:p w:rsidR="00CC75F2" w:rsidRPr="00CC75F2" w:rsidRDefault="00CC75F2" w:rsidP="00CC75F2">
            <w:pPr>
              <w:jc w:val="left"/>
              <w:rPr>
                <w:rFonts w:cs="Arial"/>
                <w:color w:val="000000"/>
                <w:sz w:val="16"/>
                <w:szCs w:val="16"/>
              </w:rPr>
            </w:pPr>
            <w:r w:rsidRPr="00CC75F2">
              <w:rPr>
                <w:rFonts w:cs="Arial"/>
                <w:color w:val="000000"/>
                <w:sz w:val="16"/>
                <w:szCs w:val="16"/>
              </w:rPr>
              <w:t>External and internal controls apply as a result of the Heritage Victoria registration.  A permit from Heritage Victoria will be required for works to the buildings and land.</w:t>
            </w:r>
          </w:p>
        </w:tc>
        <w:tc>
          <w:tcPr>
            <w:tcW w:w="2693" w:type="dxa"/>
            <w:tcBorders>
              <w:top w:val="nil"/>
              <w:left w:val="nil"/>
              <w:bottom w:val="single" w:sz="4" w:space="0" w:color="auto"/>
              <w:right w:val="single" w:sz="4" w:space="0" w:color="auto"/>
            </w:tcBorders>
            <w:shd w:val="clear" w:color="auto" w:fill="auto"/>
            <w:hideMark/>
          </w:tcPr>
          <w:p w:rsidR="00CC75F2" w:rsidRPr="00CC75F2" w:rsidRDefault="00CC75F2" w:rsidP="00CC75F2">
            <w:pPr>
              <w:jc w:val="left"/>
              <w:rPr>
                <w:rFonts w:cs="Arial"/>
                <w:color w:val="000000"/>
                <w:sz w:val="16"/>
                <w:szCs w:val="16"/>
              </w:rPr>
            </w:pPr>
            <w:r w:rsidRPr="00CC75F2">
              <w:rPr>
                <w:rFonts w:cs="Arial"/>
                <w:color w:val="000000"/>
                <w:sz w:val="16"/>
                <w:szCs w:val="16"/>
              </w:rPr>
              <w:t>The extent of registration includes the Jack Ryder Stand, Sherrin Stand, R</w:t>
            </w:r>
            <w:r w:rsidR="00622DC3">
              <w:rPr>
                <w:rFonts w:cs="Arial"/>
                <w:color w:val="000000"/>
                <w:sz w:val="16"/>
                <w:szCs w:val="16"/>
              </w:rPr>
              <w:t xml:space="preserve"> </w:t>
            </w:r>
            <w:r w:rsidRPr="00CC75F2">
              <w:rPr>
                <w:rFonts w:cs="Arial"/>
                <w:color w:val="000000"/>
                <w:sz w:val="16"/>
                <w:szCs w:val="16"/>
              </w:rPr>
              <w:t>T Rush Stand, the concrete wall along Bath and Turner Street, the brick perimeter wall along Abbott Street, the brick wa</w:t>
            </w:r>
            <w:r w:rsidR="00622DC3">
              <w:rPr>
                <w:rFonts w:cs="Arial"/>
                <w:color w:val="000000"/>
                <w:sz w:val="16"/>
                <w:szCs w:val="16"/>
              </w:rPr>
              <w:t xml:space="preserve">ll along Lulie Street (including </w:t>
            </w:r>
            <w:r w:rsidRPr="00CC75F2">
              <w:rPr>
                <w:rFonts w:cs="Arial"/>
                <w:color w:val="000000"/>
                <w:sz w:val="16"/>
                <w:szCs w:val="16"/>
              </w:rPr>
              <w:t>members entrance), Gates 5-8, the social club building and scoreboard.  A curtilage of land area enclosed by Abbot, Lulie, Turner and Bath Streets is also included in the registration.  Major works to the property will require a permit from Heritage Victoria although there is a suite of minor works that are permit exempt (as outlined in the Heritage Victoria permit policy).</w:t>
            </w:r>
          </w:p>
        </w:tc>
      </w:tr>
      <w:tr w:rsidR="008B0CE7" w:rsidRPr="00CC75F2" w:rsidTr="00EA18F9">
        <w:trPr>
          <w:cantSplit/>
          <w:trHeight w:val="960"/>
        </w:trPr>
        <w:tc>
          <w:tcPr>
            <w:tcW w:w="1433" w:type="dxa"/>
            <w:tcBorders>
              <w:top w:val="nil"/>
              <w:left w:val="single" w:sz="4" w:space="0" w:color="auto"/>
              <w:bottom w:val="single" w:sz="4" w:space="0" w:color="auto"/>
              <w:right w:val="single" w:sz="4" w:space="0" w:color="auto"/>
            </w:tcBorders>
            <w:shd w:val="clear" w:color="auto" w:fill="auto"/>
            <w:hideMark/>
          </w:tcPr>
          <w:p w:rsidR="00CC75F2" w:rsidRPr="00CC75F2" w:rsidRDefault="00CC75F2" w:rsidP="00CC75F2">
            <w:pPr>
              <w:jc w:val="left"/>
              <w:rPr>
                <w:rFonts w:cs="Arial"/>
                <w:color w:val="000000"/>
                <w:sz w:val="16"/>
                <w:szCs w:val="16"/>
              </w:rPr>
            </w:pPr>
            <w:r w:rsidRPr="00CC75F2">
              <w:rPr>
                <w:rFonts w:cs="Arial"/>
                <w:color w:val="000000"/>
                <w:sz w:val="16"/>
                <w:szCs w:val="16"/>
              </w:rPr>
              <w:t>Lulie Street</w:t>
            </w:r>
          </w:p>
        </w:tc>
        <w:tc>
          <w:tcPr>
            <w:tcW w:w="1134" w:type="dxa"/>
            <w:tcBorders>
              <w:top w:val="nil"/>
              <w:left w:val="nil"/>
              <w:bottom w:val="single" w:sz="4" w:space="0" w:color="auto"/>
              <w:right w:val="single" w:sz="4" w:space="0" w:color="auto"/>
            </w:tcBorders>
            <w:shd w:val="clear" w:color="auto" w:fill="auto"/>
            <w:hideMark/>
          </w:tcPr>
          <w:p w:rsidR="00CC75F2" w:rsidRPr="00CC75F2" w:rsidRDefault="008B0CE7" w:rsidP="00CC75F2">
            <w:pPr>
              <w:jc w:val="center"/>
              <w:rPr>
                <w:rFonts w:cs="Arial"/>
                <w:color w:val="000000"/>
                <w:sz w:val="16"/>
                <w:szCs w:val="16"/>
              </w:rPr>
            </w:pPr>
            <w:r w:rsidRPr="00CC75F2">
              <w:rPr>
                <w:rFonts w:cs="Arial"/>
                <w:color w:val="000000"/>
                <w:sz w:val="16"/>
                <w:szCs w:val="16"/>
              </w:rPr>
              <w:t>A</w:t>
            </w:r>
            <w:r>
              <w:rPr>
                <w:rFonts w:cs="Arial"/>
                <w:color w:val="000000"/>
                <w:sz w:val="16"/>
                <w:szCs w:val="16"/>
              </w:rPr>
              <w:t>bbotsford</w:t>
            </w:r>
          </w:p>
        </w:tc>
        <w:tc>
          <w:tcPr>
            <w:tcW w:w="1417" w:type="dxa"/>
            <w:tcBorders>
              <w:top w:val="nil"/>
              <w:left w:val="nil"/>
              <w:bottom w:val="single" w:sz="4" w:space="0" w:color="auto"/>
              <w:right w:val="single" w:sz="4" w:space="0" w:color="auto"/>
            </w:tcBorders>
            <w:shd w:val="clear" w:color="auto" w:fill="auto"/>
            <w:hideMark/>
          </w:tcPr>
          <w:p w:rsidR="00CC75F2" w:rsidRPr="00CC75F2" w:rsidRDefault="00CC75F2" w:rsidP="00CC75F2">
            <w:pPr>
              <w:jc w:val="center"/>
              <w:rPr>
                <w:rFonts w:cs="Arial"/>
                <w:color w:val="000000"/>
                <w:sz w:val="16"/>
                <w:szCs w:val="16"/>
              </w:rPr>
            </w:pPr>
            <w:r w:rsidRPr="00CC75F2">
              <w:rPr>
                <w:rFonts w:cs="Arial"/>
                <w:color w:val="000000"/>
                <w:sz w:val="16"/>
                <w:szCs w:val="16"/>
              </w:rPr>
              <w:t>Victoria Park Social Club</w:t>
            </w:r>
          </w:p>
        </w:tc>
        <w:tc>
          <w:tcPr>
            <w:tcW w:w="1276" w:type="dxa"/>
            <w:tcBorders>
              <w:top w:val="nil"/>
              <w:left w:val="nil"/>
              <w:bottom w:val="single" w:sz="4" w:space="0" w:color="auto"/>
              <w:right w:val="single" w:sz="4" w:space="0" w:color="auto"/>
            </w:tcBorders>
            <w:shd w:val="clear" w:color="auto" w:fill="auto"/>
            <w:hideMark/>
          </w:tcPr>
          <w:p w:rsidR="00CC75F2" w:rsidRPr="00CC75F2" w:rsidRDefault="00CC75F2" w:rsidP="00CC75F2">
            <w:pPr>
              <w:jc w:val="center"/>
              <w:rPr>
                <w:rFonts w:cs="Arial"/>
                <w:color w:val="000000"/>
                <w:sz w:val="16"/>
                <w:szCs w:val="16"/>
              </w:rPr>
            </w:pPr>
            <w:r w:rsidRPr="00CC75F2">
              <w:rPr>
                <w:rFonts w:cs="Arial"/>
                <w:color w:val="000000"/>
                <w:sz w:val="16"/>
                <w:szCs w:val="16"/>
              </w:rPr>
              <w:t>See Victoria Park (above)</w:t>
            </w:r>
          </w:p>
        </w:tc>
        <w:tc>
          <w:tcPr>
            <w:tcW w:w="1134" w:type="dxa"/>
            <w:tcBorders>
              <w:top w:val="nil"/>
              <w:left w:val="nil"/>
              <w:bottom w:val="single" w:sz="4" w:space="0" w:color="auto"/>
              <w:right w:val="single" w:sz="4" w:space="0" w:color="auto"/>
            </w:tcBorders>
            <w:shd w:val="clear" w:color="auto" w:fill="auto"/>
            <w:hideMark/>
          </w:tcPr>
          <w:p w:rsidR="00CC75F2" w:rsidRPr="00CC75F2" w:rsidRDefault="00CC75F2" w:rsidP="00CC75F2">
            <w:pPr>
              <w:jc w:val="center"/>
              <w:rPr>
                <w:rFonts w:cs="Arial"/>
                <w:color w:val="000000"/>
                <w:sz w:val="16"/>
                <w:szCs w:val="16"/>
              </w:rPr>
            </w:pPr>
            <w:r w:rsidRPr="00CC75F2">
              <w:rPr>
                <w:rFonts w:cs="Arial"/>
                <w:color w:val="000000"/>
                <w:sz w:val="16"/>
                <w:szCs w:val="16"/>
              </w:rPr>
              <w:t>See Victoria Park (above)</w:t>
            </w:r>
          </w:p>
        </w:tc>
        <w:tc>
          <w:tcPr>
            <w:tcW w:w="992" w:type="dxa"/>
            <w:tcBorders>
              <w:top w:val="nil"/>
              <w:left w:val="nil"/>
              <w:bottom w:val="single" w:sz="4" w:space="0" w:color="auto"/>
              <w:right w:val="single" w:sz="4" w:space="0" w:color="auto"/>
            </w:tcBorders>
            <w:shd w:val="clear" w:color="auto" w:fill="auto"/>
            <w:hideMark/>
          </w:tcPr>
          <w:p w:rsidR="00CC75F2" w:rsidRPr="00CC75F2" w:rsidRDefault="00CC75F2" w:rsidP="00CC75F2">
            <w:pPr>
              <w:jc w:val="center"/>
              <w:rPr>
                <w:rFonts w:cs="Arial"/>
                <w:color w:val="000000"/>
                <w:sz w:val="16"/>
                <w:szCs w:val="16"/>
              </w:rPr>
            </w:pPr>
            <w:r w:rsidRPr="00CC75F2">
              <w:rPr>
                <w:rFonts w:cs="Arial"/>
                <w:color w:val="000000"/>
                <w:sz w:val="16"/>
                <w:szCs w:val="16"/>
              </w:rPr>
              <w:t>See Victoria Park (above)</w:t>
            </w:r>
          </w:p>
        </w:tc>
        <w:tc>
          <w:tcPr>
            <w:tcW w:w="1134" w:type="dxa"/>
            <w:tcBorders>
              <w:top w:val="nil"/>
              <w:left w:val="nil"/>
              <w:bottom w:val="single" w:sz="4" w:space="0" w:color="auto"/>
              <w:right w:val="single" w:sz="4" w:space="0" w:color="auto"/>
            </w:tcBorders>
            <w:shd w:val="clear" w:color="auto" w:fill="auto"/>
            <w:hideMark/>
          </w:tcPr>
          <w:p w:rsidR="00CC75F2" w:rsidRPr="00CC75F2" w:rsidRDefault="00CC75F2" w:rsidP="00373B8F">
            <w:pPr>
              <w:jc w:val="center"/>
              <w:rPr>
                <w:rFonts w:cs="Arial"/>
                <w:color w:val="000000"/>
                <w:sz w:val="16"/>
                <w:szCs w:val="16"/>
              </w:rPr>
            </w:pPr>
            <w:r w:rsidRPr="00CC75F2">
              <w:rPr>
                <w:rFonts w:cs="Arial"/>
                <w:color w:val="000000"/>
                <w:sz w:val="16"/>
                <w:szCs w:val="16"/>
              </w:rPr>
              <w:t>See Victoria Park (above)</w:t>
            </w:r>
          </w:p>
        </w:tc>
        <w:tc>
          <w:tcPr>
            <w:tcW w:w="1276" w:type="dxa"/>
            <w:tcBorders>
              <w:top w:val="nil"/>
              <w:left w:val="nil"/>
              <w:bottom w:val="single" w:sz="4" w:space="0" w:color="auto"/>
              <w:right w:val="single" w:sz="4" w:space="0" w:color="auto"/>
            </w:tcBorders>
            <w:shd w:val="clear" w:color="auto" w:fill="auto"/>
            <w:hideMark/>
          </w:tcPr>
          <w:p w:rsidR="00CC75F2" w:rsidRPr="00CC75F2" w:rsidRDefault="00CC75F2" w:rsidP="00CC75F2">
            <w:pPr>
              <w:jc w:val="center"/>
              <w:rPr>
                <w:rFonts w:cs="Arial"/>
                <w:color w:val="000000"/>
                <w:sz w:val="16"/>
                <w:szCs w:val="16"/>
              </w:rPr>
            </w:pPr>
            <w:r w:rsidRPr="00CC75F2">
              <w:rPr>
                <w:rFonts w:cs="Arial"/>
                <w:color w:val="000000"/>
                <w:sz w:val="16"/>
                <w:szCs w:val="16"/>
              </w:rPr>
              <w:t>See Victoria Park (above)</w:t>
            </w:r>
          </w:p>
        </w:tc>
        <w:tc>
          <w:tcPr>
            <w:tcW w:w="2835" w:type="dxa"/>
            <w:tcBorders>
              <w:top w:val="nil"/>
              <w:left w:val="nil"/>
              <w:bottom w:val="single" w:sz="4" w:space="0" w:color="auto"/>
              <w:right w:val="single" w:sz="4" w:space="0" w:color="auto"/>
            </w:tcBorders>
            <w:shd w:val="clear" w:color="auto" w:fill="auto"/>
            <w:hideMark/>
          </w:tcPr>
          <w:p w:rsidR="00CC75F2" w:rsidRPr="00CC75F2" w:rsidRDefault="00CC75F2" w:rsidP="00CC75F2">
            <w:pPr>
              <w:jc w:val="left"/>
              <w:rPr>
                <w:rFonts w:cs="Arial"/>
                <w:color w:val="000000"/>
                <w:sz w:val="16"/>
                <w:szCs w:val="16"/>
              </w:rPr>
            </w:pPr>
            <w:r w:rsidRPr="00CC75F2">
              <w:rPr>
                <w:rFonts w:cs="Arial"/>
                <w:color w:val="000000"/>
                <w:sz w:val="16"/>
                <w:szCs w:val="16"/>
              </w:rPr>
              <w:t>See Victoria Park (above)</w:t>
            </w:r>
          </w:p>
        </w:tc>
        <w:tc>
          <w:tcPr>
            <w:tcW w:w="2693" w:type="dxa"/>
            <w:tcBorders>
              <w:top w:val="nil"/>
              <w:left w:val="nil"/>
              <w:bottom w:val="single" w:sz="4" w:space="0" w:color="auto"/>
              <w:right w:val="single" w:sz="4" w:space="0" w:color="auto"/>
            </w:tcBorders>
            <w:shd w:val="clear" w:color="auto" w:fill="auto"/>
            <w:hideMark/>
          </w:tcPr>
          <w:p w:rsidR="00CC75F2" w:rsidRPr="00CC75F2" w:rsidRDefault="00CC75F2" w:rsidP="00CC75F2">
            <w:pPr>
              <w:jc w:val="left"/>
              <w:rPr>
                <w:rFonts w:cs="Arial"/>
                <w:color w:val="000000"/>
                <w:sz w:val="16"/>
                <w:szCs w:val="16"/>
              </w:rPr>
            </w:pPr>
            <w:r w:rsidRPr="00CC75F2">
              <w:rPr>
                <w:rFonts w:cs="Arial"/>
                <w:color w:val="000000"/>
                <w:sz w:val="16"/>
                <w:szCs w:val="16"/>
              </w:rPr>
              <w:t> </w:t>
            </w:r>
          </w:p>
        </w:tc>
      </w:tr>
      <w:tr w:rsidR="008B0CE7" w:rsidRPr="00CC75F2" w:rsidTr="00EA18F9">
        <w:trPr>
          <w:cantSplit/>
          <w:trHeight w:val="720"/>
        </w:trPr>
        <w:tc>
          <w:tcPr>
            <w:tcW w:w="1433" w:type="dxa"/>
            <w:tcBorders>
              <w:top w:val="nil"/>
              <w:left w:val="single" w:sz="4" w:space="0" w:color="auto"/>
              <w:bottom w:val="single" w:sz="4" w:space="0" w:color="auto"/>
              <w:right w:val="single" w:sz="4" w:space="0" w:color="auto"/>
            </w:tcBorders>
            <w:shd w:val="clear" w:color="auto" w:fill="auto"/>
            <w:hideMark/>
          </w:tcPr>
          <w:p w:rsidR="00CC75F2" w:rsidRPr="00CC75F2" w:rsidRDefault="00CC75F2" w:rsidP="00CC75F2">
            <w:pPr>
              <w:jc w:val="left"/>
              <w:rPr>
                <w:rFonts w:cs="Arial"/>
                <w:color w:val="000000"/>
                <w:sz w:val="16"/>
                <w:szCs w:val="16"/>
              </w:rPr>
            </w:pPr>
            <w:r w:rsidRPr="00CC75F2">
              <w:rPr>
                <w:rFonts w:cs="Arial"/>
                <w:color w:val="000000"/>
                <w:sz w:val="16"/>
                <w:szCs w:val="16"/>
              </w:rPr>
              <w:t>Lyndhurst Street 92</w:t>
            </w:r>
          </w:p>
        </w:tc>
        <w:tc>
          <w:tcPr>
            <w:tcW w:w="1134" w:type="dxa"/>
            <w:tcBorders>
              <w:top w:val="nil"/>
              <w:left w:val="nil"/>
              <w:bottom w:val="single" w:sz="4" w:space="0" w:color="auto"/>
              <w:right w:val="single" w:sz="4" w:space="0" w:color="auto"/>
            </w:tcBorders>
            <w:shd w:val="clear" w:color="auto" w:fill="auto"/>
            <w:hideMark/>
          </w:tcPr>
          <w:p w:rsidR="00CC75F2" w:rsidRPr="00CC75F2" w:rsidRDefault="008B0CE7" w:rsidP="00CC75F2">
            <w:pPr>
              <w:jc w:val="center"/>
              <w:rPr>
                <w:rFonts w:cs="Arial"/>
                <w:color w:val="000000"/>
                <w:sz w:val="16"/>
                <w:szCs w:val="16"/>
              </w:rPr>
            </w:pPr>
            <w:r w:rsidRPr="00CC75F2">
              <w:rPr>
                <w:rFonts w:cs="Arial"/>
                <w:color w:val="000000"/>
                <w:sz w:val="16"/>
                <w:szCs w:val="16"/>
              </w:rPr>
              <w:t>R</w:t>
            </w:r>
            <w:r>
              <w:rPr>
                <w:rFonts w:cs="Arial"/>
                <w:color w:val="000000"/>
                <w:sz w:val="16"/>
                <w:szCs w:val="16"/>
              </w:rPr>
              <w:t>ichmond</w:t>
            </w:r>
          </w:p>
        </w:tc>
        <w:tc>
          <w:tcPr>
            <w:tcW w:w="1417" w:type="dxa"/>
            <w:tcBorders>
              <w:top w:val="nil"/>
              <w:left w:val="nil"/>
              <w:bottom w:val="single" w:sz="4" w:space="0" w:color="auto"/>
              <w:right w:val="single" w:sz="4" w:space="0" w:color="auto"/>
            </w:tcBorders>
            <w:shd w:val="clear" w:color="auto" w:fill="auto"/>
            <w:hideMark/>
          </w:tcPr>
          <w:p w:rsidR="00CC75F2" w:rsidRPr="00CC75F2" w:rsidRDefault="00CC75F2" w:rsidP="008B0CE7">
            <w:pPr>
              <w:jc w:val="center"/>
              <w:rPr>
                <w:rFonts w:cs="Arial"/>
                <w:color w:val="000000"/>
                <w:sz w:val="16"/>
                <w:szCs w:val="16"/>
              </w:rPr>
            </w:pPr>
            <w:r w:rsidRPr="00CC75F2">
              <w:rPr>
                <w:rFonts w:cs="Arial"/>
                <w:color w:val="000000"/>
                <w:sz w:val="16"/>
                <w:szCs w:val="16"/>
              </w:rPr>
              <w:t>P</w:t>
            </w:r>
            <w:r w:rsidR="008B0CE7">
              <w:rPr>
                <w:rFonts w:cs="Arial"/>
                <w:color w:val="000000"/>
                <w:sz w:val="16"/>
                <w:szCs w:val="16"/>
              </w:rPr>
              <w:t>layground Cairns Reserve</w:t>
            </w:r>
          </w:p>
        </w:tc>
        <w:tc>
          <w:tcPr>
            <w:tcW w:w="1276" w:type="dxa"/>
            <w:tcBorders>
              <w:top w:val="nil"/>
              <w:left w:val="nil"/>
              <w:bottom w:val="single" w:sz="4" w:space="0" w:color="auto"/>
              <w:right w:val="single" w:sz="4" w:space="0" w:color="auto"/>
            </w:tcBorders>
            <w:shd w:val="clear" w:color="auto" w:fill="auto"/>
            <w:hideMark/>
          </w:tcPr>
          <w:p w:rsidR="00CC75F2" w:rsidRPr="00CC75F2" w:rsidRDefault="00CC75F2" w:rsidP="00CC75F2">
            <w:pPr>
              <w:jc w:val="center"/>
              <w:rPr>
                <w:rFonts w:cs="Arial"/>
                <w:color w:val="000000"/>
                <w:sz w:val="16"/>
                <w:szCs w:val="16"/>
              </w:rPr>
            </w:pPr>
            <w:r w:rsidRPr="00CC75F2">
              <w:rPr>
                <w:rFonts w:cs="Arial"/>
                <w:color w:val="000000"/>
                <w:sz w:val="16"/>
                <w:szCs w:val="16"/>
              </w:rPr>
              <w:t>Elm Grove Precinct</w:t>
            </w:r>
          </w:p>
        </w:tc>
        <w:tc>
          <w:tcPr>
            <w:tcW w:w="1134" w:type="dxa"/>
            <w:tcBorders>
              <w:top w:val="nil"/>
              <w:left w:val="nil"/>
              <w:bottom w:val="single" w:sz="4" w:space="0" w:color="auto"/>
              <w:right w:val="single" w:sz="4" w:space="0" w:color="auto"/>
            </w:tcBorders>
            <w:shd w:val="clear" w:color="auto" w:fill="auto"/>
            <w:hideMark/>
          </w:tcPr>
          <w:p w:rsidR="00CC75F2" w:rsidRPr="00CC75F2" w:rsidRDefault="00CC75F2" w:rsidP="00CC75F2">
            <w:pPr>
              <w:jc w:val="center"/>
              <w:rPr>
                <w:rFonts w:cs="Arial"/>
                <w:color w:val="000000"/>
                <w:sz w:val="16"/>
                <w:szCs w:val="16"/>
              </w:rPr>
            </w:pPr>
            <w:r w:rsidRPr="00CC75F2">
              <w:rPr>
                <w:rFonts w:cs="Arial"/>
                <w:color w:val="000000"/>
                <w:sz w:val="16"/>
                <w:szCs w:val="16"/>
              </w:rPr>
              <w:t>HO319</w:t>
            </w:r>
          </w:p>
        </w:tc>
        <w:tc>
          <w:tcPr>
            <w:tcW w:w="992" w:type="dxa"/>
            <w:tcBorders>
              <w:top w:val="nil"/>
              <w:left w:val="nil"/>
              <w:bottom w:val="single" w:sz="4" w:space="0" w:color="auto"/>
              <w:right w:val="single" w:sz="4" w:space="0" w:color="auto"/>
            </w:tcBorders>
            <w:shd w:val="clear" w:color="auto" w:fill="auto"/>
            <w:hideMark/>
          </w:tcPr>
          <w:p w:rsidR="00CC75F2" w:rsidRPr="00CC75F2" w:rsidRDefault="00CC75F2" w:rsidP="00CC75F2">
            <w:pPr>
              <w:jc w:val="center"/>
              <w:rPr>
                <w:rFonts w:cs="Arial"/>
                <w:color w:val="000000"/>
                <w:sz w:val="16"/>
                <w:szCs w:val="16"/>
              </w:rPr>
            </w:pPr>
            <w:r w:rsidRPr="00CC75F2">
              <w:rPr>
                <w:rFonts w:cs="Arial"/>
                <w:color w:val="000000"/>
                <w:sz w:val="16"/>
                <w:szCs w:val="16"/>
              </w:rPr>
              <w:t>N/A</w:t>
            </w:r>
          </w:p>
        </w:tc>
        <w:tc>
          <w:tcPr>
            <w:tcW w:w="1134" w:type="dxa"/>
            <w:tcBorders>
              <w:top w:val="nil"/>
              <w:left w:val="nil"/>
              <w:bottom w:val="single" w:sz="4" w:space="0" w:color="auto"/>
              <w:right w:val="single" w:sz="4" w:space="0" w:color="auto"/>
            </w:tcBorders>
            <w:shd w:val="clear" w:color="auto" w:fill="auto"/>
            <w:hideMark/>
          </w:tcPr>
          <w:p w:rsidR="00CC75F2" w:rsidRPr="00CC75F2" w:rsidRDefault="00CC75F2" w:rsidP="00373B8F">
            <w:pPr>
              <w:jc w:val="center"/>
              <w:rPr>
                <w:rFonts w:cs="Arial"/>
                <w:color w:val="000000"/>
                <w:sz w:val="16"/>
                <w:szCs w:val="16"/>
              </w:rPr>
            </w:pPr>
            <w:r w:rsidRPr="00CC75F2">
              <w:rPr>
                <w:rFonts w:cs="Arial"/>
                <w:color w:val="000000"/>
                <w:sz w:val="16"/>
                <w:szCs w:val="16"/>
              </w:rPr>
              <w:t>Precinct</w:t>
            </w:r>
          </w:p>
        </w:tc>
        <w:tc>
          <w:tcPr>
            <w:tcW w:w="1276" w:type="dxa"/>
            <w:tcBorders>
              <w:top w:val="nil"/>
              <w:left w:val="nil"/>
              <w:bottom w:val="single" w:sz="4" w:space="0" w:color="auto"/>
              <w:right w:val="single" w:sz="4" w:space="0" w:color="auto"/>
            </w:tcBorders>
            <w:shd w:val="clear" w:color="auto" w:fill="auto"/>
            <w:hideMark/>
          </w:tcPr>
          <w:p w:rsidR="00CC75F2" w:rsidRPr="00CC75F2" w:rsidRDefault="00CC75F2" w:rsidP="00CC75F2">
            <w:pPr>
              <w:jc w:val="center"/>
              <w:rPr>
                <w:rFonts w:cs="Arial"/>
                <w:color w:val="000000"/>
                <w:sz w:val="16"/>
                <w:szCs w:val="16"/>
              </w:rPr>
            </w:pPr>
            <w:r w:rsidRPr="00CC75F2">
              <w:rPr>
                <w:rFonts w:cs="Arial"/>
                <w:color w:val="000000"/>
                <w:sz w:val="16"/>
                <w:szCs w:val="16"/>
              </w:rPr>
              <w:t>Not contributory</w:t>
            </w:r>
          </w:p>
        </w:tc>
        <w:tc>
          <w:tcPr>
            <w:tcW w:w="2835" w:type="dxa"/>
            <w:tcBorders>
              <w:top w:val="nil"/>
              <w:left w:val="nil"/>
              <w:bottom w:val="single" w:sz="4" w:space="0" w:color="auto"/>
              <w:right w:val="single" w:sz="4" w:space="0" w:color="auto"/>
            </w:tcBorders>
            <w:shd w:val="clear" w:color="auto" w:fill="auto"/>
            <w:hideMark/>
          </w:tcPr>
          <w:p w:rsidR="00CC75F2" w:rsidRPr="00CC75F2" w:rsidRDefault="00CC75F2" w:rsidP="00CC75F2">
            <w:pPr>
              <w:jc w:val="left"/>
              <w:rPr>
                <w:rFonts w:cs="Arial"/>
                <w:color w:val="000000"/>
                <w:sz w:val="16"/>
                <w:szCs w:val="16"/>
              </w:rPr>
            </w:pPr>
            <w:r w:rsidRPr="00CC75F2">
              <w:rPr>
                <w:rFonts w:cs="Arial"/>
                <w:color w:val="000000"/>
                <w:sz w:val="16"/>
                <w:szCs w:val="16"/>
              </w:rPr>
              <w:t>External controls apply to the buildings and land, no internal controls, no tree controls and no external paint controls apply</w:t>
            </w:r>
          </w:p>
        </w:tc>
        <w:tc>
          <w:tcPr>
            <w:tcW w:w="2693" w:type="dxa"/>
            <w:tcBorders>
              <w:top w:val="nil"/>
              <w:left w:val="nil"/>
              <w:bottom w:val="single" w:sz="4" w:space="0" w:color="auto"/>
              <w:right w:val="single" w:sz="4" w:space="0" w:color="auto"/>
            </w:tcBorders>
            <w:shd w:val="clear" w:color="auto" w:fill="auto"/>
            <w:hideMark/>
          </w:tcPr>
          <w:p w:rsidR="00CC75F2" w:rsidRPr="00CC75F2" w:rsidRDefault="00CC75F2" w:rsidP="00622DC3">
            <w:pPr>
              <w:jc w:val="left"/>
              <w:rPr>
                <w:rFonts w:cs="Arial"/>
                <w:color w:val="000000"/>
                <w:sz w:val="16"/>
                <w:szCs w:val="16"/>
              </w:rPr>
            </w:pPr>
            <w:r w:rsidRPr="00CC75F2">
              <w:rPr>
                <w:rFonts w:cs="Arial"/>
                <w:color w:val="000000"/>
                <w:sz w:val="16"/>
                <w:szCs w:val="16"/>
              </w:rPr>
              <w:t xml:space="preserve">Physical changes to the reserve would normally require approval under the Heritage Overlay from the </w:t>
            </w:r>
            <w:r w:rsidR="00622DC3" w:rsidRPr="00CC75F2">
              <w:rPr>
                <w:rFonts w:cs="Arial"/>
                <w:color w:val="000000"/>
                <w:sz w:val="16"/>
                <w:szCs w:val="16"/>
              </w:rPr>
              <w:t>Yarra</w:t>
            </w:r>
            <w:r w:rsidR="00622DC3">
              <w:rPr>
                <w:rFonts w:cs="Arial"/>
                <w:color w:val="000000"/>
                <w:sz w:val="16"/>
                <w:szCs w:val="16"/>
              </w:rPr>
              <w:t xml:space="preserve"> City Council.</w:t>
            </w:r>
          </w:p>
        </w:tc>
      </w:tr>
      <w:tr w:rsidR="008B0CE7" w:rsidRPr="00CC75F2" w:rsidTr="00EA18F9">
        <w:trPr>
          <w:cantSplit/>
          <w:trHeight w:val="720"/>
        </w:trPr>
        <w:tc>
          <w:tcPr>
            <w:tcW w:w="1433" w:type="dxa"/>
            <w:tcBorders>
              <w:top w:val="nil"/>
              <w:left w:val="single" w:sz="4" w:space="0" w:color="auto"/>
              <w:bottom w:val="single" w:sz="4" w:space="0" w:color="auto"/>
              <w:right w:val="single" w:sz="4" w:space="0" w:color="auto"/>
            </w:tcBorders>
            <w:shd w:val="clear" w:color="auto" w:fill="auto"/>
            <w:hideMark/>
          </w:tcPr>
          <w:p w:rsidR="00CC75F2" w:rsidRPr="00CC75F2" w:rsidRDefault="00CC75F2" w:rsidP="00CC75F2">
            <w:pPr>
              <w:jc w:val="left"/>
              <w:rPr>
                <w:rFonts w:cs="Arial"/>
                <w:color w:val="000000"/>
                <w:sz w:val="16"/>
                <w:szCs w:val="16"/>
              </w:rPr>
            </w:pPr>
            <w:r w:rsidRPr="00CC75F2">
              <w:rPr>
                <w:rFonts w:cs="Arial"/>
                <w:color w:val="000000"/>
                <w:sz w:val="16"/>
                <w:szCs w:val="16"/>
              </w:rPr>
              <w:t>Madden Gr 102</w:t>
            </w:r>
          </w:p>
        </w:tc>
        <w:tc>
          <w:tcPr>
            <w:tcW w:w="1134" w:type="dxa"/>
            <w:tcBorders>
              <w:top w:val="nil"/>
              <w:left w:val="nil"/>
              <w:bottom w:val="single" w:sz="4" w:space="0" w:color="auto"/>
              <w:right w:val="single" w:sz="4" w:space="0" w:color="auto"/>
            </w:tcBorders>
            <w:shd w:val="clear" w:color="auto" w:fill="auto"/>
            <w:hideMark/>
          </w:tcPr>
          <w:p w:rsidR="00CC75F2" w:rsidRPr="00CC75F2" w:rsidRDefault="00CC75F2" w:rsidP="008B0CE7">
            <w:pPr>
              <w:jc w:val="center"/>
              <w:rPr>
                <w:rFonts w:cs="Arial"/>
                <w:color w:val="000000"/>
                <w:sz w:val="16"/>
                <w:szCs w:val="16"/>
              </w:rPr>
            </w:pPr>
            <w:r w:rsidRPr="00CC75F2">
              <w:rPr>
                <w:rFonts w:cs="Arial"/>
                <w:color w:val="000000"/>
                <w:sz w:val="16"/>
                <w:szCs w:val="16"/>
              </w:rPr>
              <w:t>B</w:t>
            </w:r>
            <w:r w:rsidR="008B0CE7">
              <w:rPr>
                <w:rFonts w:cs="Arial"/>
                <w:color w:val="000000"/>
                <w:sz w:val="16"/>
                <w:szCs w:val="16"/>
              </w:rPr>
              <w:t>urnley</w:t>
            </w:r>
          </w:p>
        </w:tc>
        <w:tc>
          <w:tcPr>
            <w:tcW w:w="1417" w:type="dxa"/>
            <w:tcBorders>
              <w:top w:val="nil"/>
              <w:left w:val="nil"/>
              <w:bottom w:val="single" w:sz="4" w:space="0" w:color="auto"/>
              <w:right w:val="single" w:sz="4" w:space="0" w:color="auto"/>
            </w:tcBorders>
            <w:shd w:val="clear" w:color="auto" w:fill="auto"/>
            <w:hideMark/>
          </w:tcPr>
          <w:p w:rsidR="00CC75F2" w:rsidRPr="00CC75F2" w:rsidRDefault="00CC75F2" w:rsidP="008B0CE7">
            <w:pPr>
              <w:jc w:val="center"/>
              <w:rPr>
                <w:rFonts w:cs="Arial"/>
                <w:color w:val="000000"/>
                <w:sz w:val="16"/>
                <w:szCs w:val="16"/>
              </w:rPr>
            </w:pPr>
            <w:r w:rsidRPr="00CC75F2">
              <w:rPr>
                <w:rFonts w:cs="Arial"/>
                <w:color w:val="000000"/>
                <w:sz w:val="16"/>
                <w:szCs w:val="16"/>
              </w:rPr>
              <w:t>B</w:t>
            </w:r>
            <w:r w:rsidR="008B0CE7">
              <w:rPr>
                <w:rFonts w:cs="Arial"/>
                <w:color w:val="000000"/>
                <w:sz w:val="16"/>
                <w:szCs w:val="16"/>
              </w:rPr>
              <w:t>urnley Golf Course Residence</w:t>
            </w:r>
          </w:p>
        </w:tc>
        <w:tc>
          <w:tcPr>
            <w:tcW w:w="1276" w:type="dxa"/>
            <w:tcBorders>
              <w:top w:val="nil"/>
              <w:left w:val="nil"/>
              <w:bottom w:val="single" w:sz="4" w:space="0" w:color="auto"/>
              <w:right w:val="single" w:sz="4" w:space="0" w:color="auto"/>
            </w:tcBorders>
            <w:shd w:val="clear" w:color="auto" w:fill="auto"/>
            <w:hideMark/>
          </w:tcPr>
          <w:p w:rsidR="00CC75F2" w:rsidRPr="00CC75F2" w:rsidRDefault="00CC75F2" w:rsidP="00CC75F2">
            <w:pPr>
              <w:jc w:val="center"/>
              <w:rPr>
                <w:rFonts w:cs="Arial"/>
                <w:color w:val="000000"/>
                <w:sz w:val="16"/>
                <w:szCs w:val="16"/>
              </w:rPr>
            </w:pPr>
            <w:r w:rsidRPr="00CC75F2">
              <w:rPr>
                <w:rFonts w:cs="Arial"/>
                <w:color w:val="000000"/>
                <w:sz w:val="16"/>
                <w:szCs w:val="16"/>
              </w:rPr>
              <w:t>The Boulevard Parklands</w:t>
            </w:r>
          </w:p>
        </w:tc>
        <w:tc>
          <w:tcPr>
            <w:tcW w:w="1134" w:type="dxa"/>
            <w:tcBorders>
              <w:top w:val="nil"/>
              <w:left w:val="nil"/>
              <w:bottom w:val="single" w:sz="4" w:space="0" w:color="auto"/>
              <w:right w:val="single" w:sz="4" w:space="0" w:color="auto"/>
            </w:tcBorders>
            <w:shd w:val="clear" w:color="auto" w:fill="auto"/>
            <w:hideMark/>
          </w:tcPr>
          <w:p w:rsidR="00CC75F2" w:rsidRPr="00CC75F2" w:rsidRDefault="00CC75F2" w:rsidP="00CC75F2">
            <w:pPr>
              <w:jc w:val="center"/>
              <w:rPr>
                <w:rFonts w:cs="Arial"/>
                <w:color w:val="000000"/>
                <w:sz w:val="16"/>
                <w:szCs w:val="16"/>
              </w:rPr>
            </w:pPr>
            <w:r w:rsidRPr="00CC75F2">
              <w:rPr>
                <w:rFonts w:cs="Arial"/>
                <w:color w:val="000000"/>
                <w:sz w:val="16"/>
                <w:szCs w:val="16"/>
              </w:rPr>
              <w:t>HO299</w:t>
            </w:r>
          </w:p>
        </w:tc>
        <w:tc>
          <w:tcPr>
            <w:tcW w:w="992" w:type="dxa"/>
            <w:tcBorders>
              <w:top w:val="nil"/>
              <w:left w:val="nil"/>
              <w:bottom w:val="single" w:sz="4" w:space="0" w:color="auto"/>
              <w:right w:val="single" w:sz="4" w:space="0" w:color="auto"/>
            </w:tcBorders>
            <w:shd w:val="clear" w:color="auto" w:fill="auto"/>
            <w:hideMark/>
          </w:tcPr>
          <w:p w:rsidR="00CC75F2" w:rsidRPr="00CC75F2" w:rsidRDefault="00CC75F2" w:rsidP="00CC75F2">
            <w:pPr>
              <w:jc w:val="center"/>
              <w:rPr>
                <w:rFonts w:cs="Arial"/>
                <w:color w:val="000000"/>
                <w:sz w:val="16"/>
                <w:szCs w:val="16"/>
              </w:rPr>
            </w:pPr>
            <w:r w:rsidRPr="00CC75F2">
              <w:rPr>
                <w:rFonts w:cs="Arial"/>
                <w:color w:val="000000"/>
                <w:sz w:val="16"/>
                <w:szCs w:val="16"/>
              </w:rPr>
              <w:t>N/A</w:t>
            </w:r>
          </w:p>
        </w:tc>
        <w:tc>
          <w:tcPr>
            <w:tcW w:w="1134" w:type="dxa"/>
            <w:tcBorders>
              <w:top w:val="nil"/>
              <w:left w:val="nil"/>
              <w:bottom w:val="single" w:sz="4" w:space="0" w:color="auto"/>
              <w:right w:val="single" w:sz="4" w:space="0" w:color="auto"/>
            </w:tcBorders>
            <w:shd w:val="clear" w:color="auto" w:fill="auto"/>
            <w:hideMark/>
          </w:tcPr>
          <w:p w:rsidR="00CC75F2" w:rsidRPr="00CC75F2" w:rsidRDefault="00CC75F2" w:rsidP="00373B8F">
            <w:pPr>
              <w:jc w:val="center"/>
              <w:rPr>
                <w:rFonts w:cs="Arial"/>
                <w:color w:val="000000"/>
                <w:sz w:val="16"/>
                <w:szCs w:val="16"/>
              </w:rPr>
            </w:pPr>
            <w:r w:rsidRPr="00CC75F2">
              <w:rPr>
                <w:rFonts w:cs="Arial"/>
                <w:color w:val="000000"/>
                <w:sz w:val="16"/>
                <w:szCs w:val="16"/>
              </w:rPr>
              <w:t>Individual (see note)</w:t>
            </w:r>
          </w:p>
        </w:tc>
        <w:tc>
          <w:tcPr>
            <w:tcW w:w="1276" w:type="dxa"/>
            <w:tcBorders>
              <w:top w:val="nil"/>
              <w:left w:val="nil"/>
              <w:bottom w:val="single" w:sz="4" w:space="0" w:color="auto"/>
              <w:right w:val="single" w:sz="4" w:space="0" w:color="auto"/>
            </w:tcBorders>
            <w:shd w:val="clear" w:color="auto" w:fill="auto"/>
            <w:hideMark/>
          </w:tcPr>
          <w:p w:rsidR="00CC75F2" w:rsidRPr="00CC75F2" w:rsidRDefault="00CC75F2" w:rsidP="00CC75F2">
            <w:pPr>
              <w:jc w:val="center"/>
              <w:rPr>
                <w:rFonts w:cs="Arial"/>
                <w:color w:val="000000"/>
                <w:sz w:val="16"/>
                <w:szCs w:val="16"/>
              </w:rPr>
            </w:pPr>
            <w:r w:rsidRPr="00CC75F2">
              <w:rPr>
                <w:rFonts w:cs="Arial"/>
                <w:color w:val="000000"/>
                <w:sz w:val="16"/>
                <w:szCs w:val="16"/>
              </w:rPr>
              <w:t>Individually significant</w:t>
            </w:r>
          </w:p>
        </w:tc>
        <w:tc>
          <w:tcPr>
            <w:tcW w:w="2835" w:type="dxa"/>
            <w:tcBorders>
              <w:top w:val="nil"/>
              <w:left w:val="nil"/>
              <w:bottom w:val="single" w:sz="4" w:space="0" w:color="auto"/>
              <w:right w:val="single" w:sz="4" w:space="0" w:color="auto"/>
            </w:tcBorders>
            <w:shd w:val="clear" w:color="auto" w:fill="auto"/>
            <w:hideMark/>
          </w:tcPr>
          <w:p w:rsidR="00CC75F2" w:rsidRPr="00CC75F2" w:rsidRDefault="00CC75F2" w:rsidP="00CC75F2">
            <w:pPr>
              <w:jc w:val="left"/>
              <w:rPr>
                <w:rFonts w:cs="Arial"/>
                <w:color w:val="000000"/>
                <w:sz w:val="16"/>
                <w:szCs w:val="16"/>
              </w:rPr>
            </w:pPr>
            <w:r w:rsidRPr="00CC75F2">
              <w:rPr>
                <w:rFonts w:cs="Arial"/>
                <w:color w:val="000000"/>
                <w:sz w:val="16"/>
                <w:szCs w:val="16"/>
              </w:rPr>
              <w:t>External controls to the building and land. Tree controls apply but no internal and no external paint controls apply</w:t>
            </w:r>
          </w:p>
        </w:tc>
        <w:tc>
          <w:tcPr>
            <w:tcW w:w="2693" w:type="dxa"/>
            <w:tcBorders>
              <w:top w:val="nil"/>
              <w:left w:val="nil"/>
              <w:bottom w:val="single" w:sz="4" w:space="0" w:color="auto"/>
              <w:right w:val="single" w:sz="4" w:space="0" w:color="auto"/>
            </w:tcBorders>
            <w:shd w:val="clear" w:color="auto" w:fill="auto"/>
            <w:hideMark/>
          </w:tcPr>
          <w:p w:rsidR="00CC75F2" w:rsidRPr="00CC75F2" w:rsidRDefault="00CC75F2" w:rsidP="00CC75F2">
            <w:pPr>
              <w:jc w:val="left"/>
              <w:rPr>
                <w:rFonts w:cs="Arial"/>
                <w:color w:val="000000"/>
                <w:sz w:val="16"/>
                <w:szCs w:val="16"/>
              </w:rPr>
            </w:pPr>
            <w:r w:rsidRPr="00CC75F2">
              <w:rPr>
                <w:rFonts w:cs="Arial"/>
                <w:color w:val="000000"/>
                <w:sz w:val="16"/>
                <w:szCs w:val="16"/>
              </w:rPr>
              <w:t>The H</w:t>
            </w:r>
            <w:r w:rsidR="00622DC3">
              <w:rPr>
                <w:rFonts w:cs="Arial"/>
                <w:color w:val="000000"/>
                <w:sz w:val="16"/>
                <w:szCs w:val="16"/>
              </w:rPr>
              <w:t xml:space="preserve">eritage </w:t>
            </w:r>
            <w:r w:rsidRPr="00CC75F2">
              <w:rPr>
                <w:rFonts w:cs="Arial"/>
                <w:color w:val="000000"/>
                <w:sz w:val="16"/>
                <w:szCs w:val="16"/>
              </w:rPr>
              <w:t>O</w:t>
            </w:r>
            <w:r w:rsidR="00622DC3">
              <w:rPr>
                <w:rFonts w:cs="Arial"/>
                <w:color w:val="000000"/>
                <w:sz w:val="16"/>
                <w:szCs w:val="16"/>
              </w:rPr>
              <w:t>verlay</w:t>
            </w:r>
            <w:r w:rsidRPr="00CC75F2">
              <w:rPr>
                <w:rFonts w:cs="Arial"/>
                <w:color w:val="000000"/>
                <w:sz w:val="16"/>
                <w:szCs w:val="16"/>
              </w:rPr>
              <w:t xml:space="preserve"> covers the whole site.  The location of the Golf Course residence within the larger site is not known</w:t>
            </w:r>
            <w:r w:rsidR="00622DC3">
              <w:rPr>
                <w:rFonts w:cs="Arial"/>
                <w:color w:val="000000"/>
                <w:sz w:val="16"/>
                <w:szCs w:val="16"/>
              </w:rPr>
              <w:t>.</w:t>
            </w:r>
          </w:p>
        </w:tc>
      </w:tr>
      <w:tr w:rsidR="008B0CE7" w:rsidRPr="00CC75F2" w:rsidTr="00EA18F9">
        <w:trPr>
          <w:cantSplit/>
          <w:trHeight w:val="720"/>
        </w:trPr>
        <w:tc>
          <w:tcPr>
            <w:tcW w:w="1433" w:type="dxa"/>
            <w:tcBorders>
              <w:top w:val="nil"/>
              <w:left w:val="single" w:sz="4" w:space="0" w:color="auto"/>
              <w:bottom w:val="single" w:sz="4" w:space="0" w:color="auto"/>
              <w:right w:val="single" w:sz="4" w:space="0" w:color="auto"/>
            </w:tcBorders>
            <w:shd w:val="clear" w:color="auto" w:fill="auto"/>
            <w:hideMark/>
          </w:tcPr>
          <w:p w:rsidR="00CC75F2" w:rsidRPr="00CC75F2" w:rsidRDefault="00CC75F2" w:rsidP="00CC75F2">
            <w:pPr>
              <w:jc w:val="left"/>
              <w:rPr>
                <w:rFonts w:cs="Arial"/>
                <w:color w:val="000000"/>
                <w:sz w:val="16"/>
                <w:szCs w:val="16"/>
              </w:rPr>
            </w:pPr>
            <w:r w:rsidRPr="00CC75F2">
              <w:rPr>
                <w:rFonts w:cs="Arial"/>
                <w:color w:val="000000"/>
                <w:sz w:val="16"/>
                <w:szCs w:val="16"/>
              </w:rPr>
              <w:t>Mark Street 11</w:t>
            </w:r>
          </w:p>
        </w:tc>
        <w:tc>
          <w:tcPr>
            <w:tcW w:w="1134" w:type="dxa"/>
            <w:tcBorders>
              <w:top w:val="nil"/>
              <w:left w:val="nil"/>
              <w:bottom w:val="single" w:sz="4" w:space="0" w:color="auto"/>
              <w:right w:val="single" w:sz="4" w:space="0" w:color="auto"/>
            </w:tcBorders>
            <w:shd w:val="clear" w:color="auto" w:fill="auto"/>
            <w:hideMark/>
          </w:tcPr>
          <w:p w:rsidR="00CC75F2" w:rsidRPr="00CC75F2" w:rsidRDefault="00373B8F" w:rsidP="008B0CE7">
            <w:pPr>
              <w:jc w:val="center"/>
              <w:rPr>
                <w:rFonts w:cs="Arial"/>
                <w:color w:val="000000"/>
                <w:sz w:val="16"/>
                <w:szCs w:val="16"/>
              </w:rPr>
            </w:pPr>
            <w:r w:rsidRPr="00CC75F2">
              <w:rPr>
                <w:rFonts w:cs="Arial"/>
                <w:color w:val="000000"/>
                <w:sz w:val="16"/>
                <w:szCs w:val="16"/>
              </w:rPr>
              <w:t>F</w:t>
            </w:r>
            <w:r>
              <w:rPr>
                <w:rFonts w:cs="Arial"/>
                <w:color w:val="000000"/>
                <w:sz w:val="16"/>
                <w:szCs w:val="16"/>
              </w:rPr>
              <w:t>itzroy</w:t>
            </w:r>
            <w:r w:rsidR="00CC75F2" w:rsidRPr="00CC75F2">
              <w:rPr>
                <w:rFonts w:cs="Arial"/>
                <w:color w:val="000000"/>
                <w:sz w:val="16"/>
                <w:szCs w:val="16"/>
              </w:rPr>
              <w:t xml:space="preserve"> N</w:t>
            </w:r>
            <w:r w:rsidR="008B0CE7">
              <w:rPr>
                <w:rFonts w:cs="Arial"/>
                <w:color w:val="000000"/>
                <w:sz w:val="16"/>
                <w:szCs w:val="16"/>
              </w:rPr>
              <w:t>orth</w:t>
            </w:r>
          </w:p>
        </w:tc>
        <w:tc>
          <w:tcPr>
            <w:tcW w:w="1417" w:type="dxa"/>
            <w:tcBorders>
              <w:top w:val="nil"/>
              <w:left w:val="nil"/>
              <w:bottom w:val="single" w:sz="4" w:space="0" w:color="auto"/>
              <w:right w:val="single" w:sz="4" w:space="0" w:color="auto"/>
            </w:tcBorders>
            <w:shd w:val="clear" w:color="auto" w:fill="auto"/>
            <w:hideMark/>
          </w:tcPr>
          <w:p w:rsidR="00CC75F2" w:rsidRPr="00CC75F2" w:rsidRDefault="00CC75F2" w:rsidP="008B0CE7">
            <w:pPr>
              <w:jc w:val="center"/>
              <w:rPr>
                <w:rFonts w:cs="Arial"/>
                <w:color w:val="000000"/>
                <w:sz w:val="16"/>
                <w:szCs w:val="16"/>
              </w:rPr>
            </w:pPr>
            <w:r w:rsidRPr="00CC75F2">
              <w:rPr>
                <w:rFonts w:cs="Arial"/>
                <w:color w:val="000000"/>
                <w:sz w:val="16"/>
                <w:szCs w:val="16"/>
              </w:rPr>
              <w:t>H</w:t>
            </w:r>
            <w:r w:rsidR="008B0CE7">
              <w:rPr>
                <w:rFonts w:cs="Arial"/>
                <w:color w:val="000000"/>
                <w:sz w:val="16"/>
                <w:szCs w:val="16"/>
              </w:rPr>
              <w:t>all</w:t>
            </w:r>
          </w:p>
        </w:tc>
        <w:tc>
          <w:tcPr>
            <w:tcW w:w="1276" w:type="dxa"/>
            <w:tcBorders>
              <w:top w:val="nil"/>
              <w:left w:val="nil"/>
              <w:bottom w:val="single" w:sz="4" w:space="0" w:color="auto"/>
              <w:right w:val="single" w:sz="4" w:space="0" w:color="auto"/>
            </w:tcBorders>
            <w:shd w:val="clear" w:color="auto" w:fill="auto"/>
            <w:hideMark/>
          </w:tcPr>
          <w:p w:rsidR="00CC75F2" w:rsidRPr="00CC75F2" w:rsidRDefault="00CC75F2" w:rsidP="00CC75F2">
            <w:pPr>
              <w:jc w:val="center"/>
              <w:rPr>
                <w:rFonts w:cs="Arial"/>
                <w:color w:val="000000"/>
                <w:sz w:val="16"/>
                <w:szCs w:val="16"/>
              </w:rPr>
            </w:pPr>
            <w:r w:rsidRPr="00CC75F2">
              <w:rPr>
                <w:rFonts w:cs="Arial"/>
                <w:color w:val="000000"/>
                <w:sz w:val="16"/>
                <w:szCs w:val="16"/>
              </w:rPr>
              <w:t>North Fitzroy Precinct</w:t>
            </w:r>
          </w:p>
        </w:tc>
        <w:tc>
          <w:tcPr>
            <w:tcW w:w="1134" w:type="dxa"/>
            <w:tcBorders>
              <w:top w:val="nil"/>
              <w:left w:val="nil"/>
              <w:bottom w:val="single" w:sz="4" w:space="0" w:color="auto"/>
              <w:right w:val="single" w:sz="4" w:space="0" w:color="auto"/>
            </w:tcBorders>
            <w:shd w:val="clear" w:color="auto" w:fill="auto"/>
            <w:hideMark/>
          </w:tcPr>
          <w:p w:rsidR="00CC75F2" w:rsidRPr="00CC75F2" w:rsidRDefault="00CC75F2" w:rsidP="00CC75F2">
            <w:pPr>
              <w:jc w:val="center"/>
              <w:rPr>
                <w:rFonts w:cs="Arial"/>
                <w:color w:val="000000"/>
                <w:sz w:val="16"/>
                <w:szCs w:val="16"/>
              </w:rPr>
            </w:pPr>
            <w:r w:rsidRPr="00CC75F2">
              <w:rPr>
                <w:rFonts w:cs="Arial"/>
                <w:color w:val="000000"/>
                <w:sz w:val="16"/>
                <w:szCs w:val="16"/>
              </w:rPr>
              <w:t>HO327</w:t>
            </w:r>
          </w:p>
        </w:tc>
        <w:tc>
          <w:tcPr>
            <w:tcW w:w="992" w:type="dxa"/>
            <w:tcBorders>
              <w:top w:val="nil"/>
              <w:left w:val="nil"/>
              <w:bottom w:val="single" w:sz="4" w:space="0" w:color="auto"/>
              <w:right w:val="single" w:sz="4" w:space="0" w:color="auto"/>
            </w:tcBorders>
            <w:shd w:val="clear" w:color="auto" w:fill="auto"/>
            <w:hideMark/>
          </w:tcPr>
          <w:p w:rsidR="00CC75F2" w:rsidRPr="00CC75F2" w:rsidRDefault="00CC75F2" w:rsidP="00CC75F2">
            <w:pPr>
              <w:jc w:val="center"/>
              <w:rPr>
                <w:rFonts w:cs="Arial"/>
                <w:color w:val="000000"/>
                <w:sz w:val="16"/>
                <w:szCs w:val="16"/>
              </w:rPr>
            </w:pPr>
            <w:r w:rsidRPr="00CC75F2">
              <w:rPr>
                <w:rFonts w:cs="Arial"/>
                <w:color w:val="000000"/>
                <w:sz w:val="16"/>
                <w:szCs w:val="16"/>
              </w:rPr>
              <w:t>N/A</w:t>
            </w:r>
          </w:p>
        </w:tc>
        <w:tc>
          <w:tcPr>
            <w:tcW w:w="1134" w:type="dxa"/>
            <w:tcBorders>
              <w:top w:val="nil"/>
              <w:left w:val="nil"/>
              <w:bottom w:val="single" w:sz="4" w:space="0" w:color="auto"/>
              <w:right w:val="single" w:sz="4" w:space="0" w:color="auto"/>
            </w:tcBorders>
            <w:shd w:val="clear" w:color="auto" w:fill="auto"/>
            <w:hideMark/>
          </w:tcPr>
          <w:p w:rsidR="00CC75F2" w:rsidRPr="00CC75F2" w:rsidRDefault="00CC75F2" w:rsidP="00373B8F">
            <w:pPr>
              <w:jc w:val="center"/>
              <w:rPr>
                <w:rFonts w:cs="Arial"/>
                <w:color w:val="000000"/>
                <w:sz w:val="16"/>
                <w:szCs w:val="16"/>
              </w:rPr>
            </w:pPr>
            <w:r w:rsidRPr="00CC75F2">
              <w:rPr>
                <w:rFonts w:cs="Arial"/>
                <w:color w:val="000000"/>
                <w:sz w:val="16"/>
                <w:szCs w:val="16"/>
              </w:rPr>
              <w:t>Precinct</w:t>
            </w:r>
          </w:p>
        </w:tc>
        <w:tc>
          <w:tcPr>
            <w:tcW w:w="1276" w:type="dxa"/>
            <w:tcBorders>
              <w:top w:val="nil"/>
              <w:left w:val="nil"/>
              <w:bottom w:val="single" w:sz="4" w:space="0" w:color="auto"/>
              <w:right w:val="single" w:sz="4" w:space="0" w:color="auto"/>
            </w:tcBorders>
            <w:shd w:val="clear" w:color="auto" w:fill="auto"/>
            <w:hideMark/>
          </w:tcPr>
          <w:p w:rsidR="00CC75F2" w:rsidRPr="00CC75F2" w:rsidRDefault="00CC75F2" w:rsidP="00CC75F2">
            <w:pPr>
              <w:jc w:val="center"/>
              <w:rPr>
                <w:rFonts w:cs="Arial"/>
                <w:color w:val="000000"/>
                <w:sz w:val="16"/>
                <w:szCs w:val="16"/>
              </w:rPr>
            </w:pPr>
            <w:r w:rsidRPr="00CC75F2">
              <w:rPr>
                <w:rFonts w:cs="Arial"/>
                <w:color w:val="000000"/>
                <w:sz w:val="16"/>
                <w:szCs w:val="16"/>
              </w:rPr>
              <w:t>Contributory</w:t>
            </w:r>
          </w:p>
        </w:tc>
        <w:tc>
          <w:tcPr>
            <w:tcW w:w="2835" w:type="dxa"/>
            <w:tcBorders>
              <w:top w:val="nil"/>
              <w:left w:val="nil"/>
              <w:bottom w:val="single" w:sz="4" w:space="0" w:color="auto"/>
              <w:right w:val="single" w:sz="4" w:space="0" w:color="auto"/>
            </w:tcBorders>
            <w:shd w:val="clear" w:color="auto" w:fill="auto"/>
            <w:hideMark/>
          </w:tcPr>
          <w:p w:rsidR="00CC75F2" w:rsidRPr="00CC75F2" w:rsidRDefault="00CC75F2" w:rsidP="00CC75F2">
            <w:pPr>
              <w:jc w:val="left"/>
              <w:rPr>
                <w:rFonts w:cs="Arial"/>
                <w:color w:val="000000"/>
                <w:sz w:val="16"/>
                <w:szCs w:val="16"/>
              </w:rPr>
            </w:pPr>
            <w:r w:rsidRPr="00CC75F2">
              <w:rPr>
                <w:rFonts w:cs="Arial"/>
                <w:color w:val="000000"/>
                <w:sz w:val="16"/>
                <w:szCs w:val="16"/>
              </w:rPr>
              <w:t>External controls apply to the building and land. No internal controls, no tree controls and no external paint controls apply</w:t>
            </w:r>
          </w:p>
        </w:tc>
        <w:tc>
          <w:tcPr>
            <w:tcW w:w="2693" w:type="dxa"/>
            <w:tcBorders>
              <w:top w:val="nil"/>
              <w:left w:val="nil"/>
              <w:bottom w:val="single" w:sz="4" w:space="0" w:color="auto"/>
              <w:right w:val="single" w:sz="4" w:space="0" w:color="auto"/>
            </w:tcBorders>
            <w:shd w:val="clear" w:color="auto" w:fill="auto"/>
            <w:hideMark/>
          </w:tcPr>
          <w:p w:rsidR="00CC75F2" w:rsidRPr="00CC75F2" w:rsidRDefault="00CC75F2" w:rsidP="00622DC3">
            <w:pPr>
              <w:jc w:val="left"/>
              <w:rPr>
                <w:rFonts w:cs="Arial"/>
                <w:color w:val="000000"/>
                <w:sz w:val="16"/>
                <w:szCs w:val="16"/>
              </w:rPr>
            </w:pPr>
            <w:r w:rsidRPr="00CC75F2">
              <w:rPr>
                <w:rFonts w:cs="Arial"/>
                <w:color w:val="000000"/>
                <w:sz w:val="16"/>
                <w:szCs w:val="16"/>
              </w:rPr>
              <w:t xml:space="preserve">Note: This is listed as the Fitzroy Rifle Club Hall in the </w:t>
            </w:r>
            <w:r w:rsidR="00622DC3" w:rsidRPr="00CC75F2">
              <w:rPr>
                <w:rFonts w:cs="Arial"/>
                <w:color w:val="000000"/>
                <w:sz w:val="16"/>
                <w:szCs w:val="16"/>
              </w:rPr>
              <w:t>Yarra</w:t>
            </w:r>
            <w:r w:rsidR="00622DC3">
              <w:rPr>
                <w:rFonts w:cs="Arial"/>
                <w:color w:val="000000"/>
                <w:sz w:val="16"/>
                <w:szCs w:val="16"/>
              </w:rPr>
              <w:t xml:space="preserve"> City Council</w:t>
            </w:r>
            <w:r w:rsidR="00622DC3" w:rsidRPr="00CC75F2">
              <w:rPr>
                <w:rFonts w:cs="Arial"/>
                <w:color w:val="000000"/>
                <w:sz w:val="16"/>
                <w:szCs w:val="16"/>
              </w:rPr>
              <w:t xml:space="preserve"> </w:t>
            </w:r>
            <w:r w:rsidRPr="00CC75F2">
              <w:rPr>
                <w:rFonts w:cs="Arial"/>
                <w:color w:val="000000"/>
                <w:sz w:val="16"/>
                <w:szCs w:val="16"/>
              </w:rPr>
              <w:t>Heritage Database</w:t>
            </w:r>
            <w:r w:rsidR="00622DC3">
              <w:rPr>
                <w:rFonts w:cs="Arial"/>
                <w:color w:val="000000"/>
                <w:sz w:val="16"/>
                <w:szCs w:val="16"/>
              </w:rPr>
              <w:t>.</w:t>
            </w:r>
          </w:p>
        </w:tc>
      </w:tr>
      <w:tr w:rsidR="008B0CE7" w:rsidRPr="00CC75F2" w:rsidTr="00EA18F9">
        <w:trPr>
          <w:cantSplit/>
          <w:trHeight w:val="480"/>
        </w:trPr>
        <w:tc>
          <w:tcPr>
            <w:tcW w:w="1433" w:type="dxa"/>
            <w:tcBorders>
              <w:top w:val="nil"/>
              <w:left w:val="single" w:sz="4" w:space="0" w:color="auto"/>
              <w:bottom w:val="single" w:sz="4" w:space="0" w:color="auto"/>
              <w:right w:val="single" w:sz="4" w:space="0" w:color="auto"/>
            </w:tcBorders>
            <w:shd w:val="clear" w:color="auto" w:fill="auto"/>
            <w:hideMark/>
          </w:tcPr>
          <w:p w:rsidR="00CC75F2" w:rsidRPr="00CC75F2" w:rsidRDefault="00CC75F2" w:rsidP="00CC75F2">
            <w:pPr>
              <w:jc w:val="left"/>
              <w:rPr>
                <w:rFonts w:cs="Arial"/>
                <w:color w:val="000000"/>
                <w:sz w:val="16"/>
                <w:szCs w:val="16"/>
              </w:rPr>
            </w:pPr>
            <w:r w:rsidRPr="00CC75F2">
              <w:rPr>
                <w:rFonts w:cs="Arial"/>
                <w:color w:val="000000"/>
                <w:sz w:val="16"/>
                <w:szCs w:val="16"/>
              </w:rPr>
              <w:t>Moor Street 126</w:t>
            </w:r>
          </w:p>
        </w:tc>
        <w:tc>
          <w:tcPr>
            <w:tcW w:w="1134" w:type="dxa"/>
            <w:tcBorders>
              <w:top w:val="nil"/>
              <w:left w:val="nil"/>
              <w:bottom w:val="single" w:sz="4" w:space="0" w:color="auto"/>
              <w:right w:val="single" w:sz="4" w:space="0" w:color="auto"/>
            </w:tcBorders>
            <w:shd w:val="clear" w:color="auto" w:fill="auto"/>
            <w:hideMark/>
          </w:tcPr>
          <w:p w:rsidR="00CC75F2" w:rsidRPr="00CC75F2" w:rsidRDefault="00373B8F" w:rsidP="00CC75F2">
            <w:pPr>
              <w:jc w:val="center"/>
              <w:rPr>
                <w:rFonts w:cs="Arial"/>
                <w:color w:val="000000"/>
                <w:sz w:val="16"/>
                <w:szCs w:val="16"/>
              </w:rPr>
            </w:pPr>
            <w:r w:rsidRPr="00CC75F2">
              <w:rPr>
                <w:rFonts w:cs="Arial"/>
                <w:color w:val="000000"/>
                <w:sz w:val="16"/>
                <w:szCs w:val="16"/>
              </w:rPr>
              <w:t>F</w:t>
            </w:r>
            <w:r>
              <w:rPr>
                <w:rFonts w:cs="Arial"/>
                <w:color w:val="000000"/>
                <w:sz w:val="16"/>
                <w:szCs w:val="16"/>
              </w:rPr>
              <w:t>itzroy</w:t>
            </w:r>
          </w:p>
        </w:tc>
        <w:tc>
          <w:tcPr>
            <w:tcW w:w="1417" w:type="dxa"/>
            <w:tcBorders>
              <w:top w:val="nil"/>
              <w:left w:val="nil"/>
              <w:bottom w:val="single" w:sz="4" w:space="0" w:color="auto"/>
              <w:right w:val="single" w:sz="4" w:space="0" w:color="auto"/>
            </w:tcBorders>
            <w:shd w:val="clear" w:color="auto" w:fill="auto"/>
            <w:hideMark/>
          </w:tcPr>
          <w:p w:rsidR="00CC75F2" w:rsidRPr="00CC75F2" w:rsidRDefault="00CC75F2" w:rsidP="008B0CE7">
            <w:pPr>
              <w:jc w:val="center"/>
              <w:rPr>
                <w:rFonts w:cs="Arial"/>
                <w:color w:val="000000"/>
                <w:sz w:val="16"/>
                <w:szCs w:val="16"/>
              </w:rPr>
            </w:pPr>
            <w:r w:rsidRPr="00CC75F2">
              <w:rPr>
                <w:rFonts w:cs="Arial"/>
                <w:color w:val="000000"/>
                <w:sz w:val="16"/>
                <w:szCs w:val="16"/>
              </w:rPr>
              <w:t>O</w:t>
            </w:r>
            <w:r w:rsidR="008B0CE7">
              <w:rPr>
                <w:rFonts w:cs="Arial"/>
                <w:color w:val="000000"/>
                <w:sz w:val="16"/>
                <w:szCs w:val="16"/>
              </w:rPr>
              <w:t>ffices</w:t>
            </w:r>
          </w:p>
        </w:tc>
        <w:tc>
          <w:tcPr>
            <w:tcW w:w="1276" w:type="dxa"/>
            <w:tcBorders>
              <w:top w:val="nil"/>
              <w:left w:val="nil"/>
              <w:bottom w:val="single" w:sz="4" w:space="0" w:color="auto"/>
              <w:right w:val="single" w:sz="4" w:space="0" w:color="auto"/>
            </w:tcBorders>
            <w:shd w:val="clear" w:color="auto" w:fill="auto"/>
            <w:hideMark/>
          </w:tcPr>
          <w:p w:rsidR="00CC75F2" w:rsidRPr="00CC75F2" w:rsidRDefault="00CC75F2" w:rsidP="00CC75F2">
            <w:pPr>
              <w:jc w:val="center"/>
              <w:rPr>
                <w:rFonts w:cs="Arial"/>
                <w:color w:val="000000"/>
                <w:sz w:val="16"/>
                <w:szCs w:val="16"/>
              </w:rPr>
            </w:pPr>
            <w:r w:rsidRPr="00CC75F2">
              <w:rPr>
                <w:rFonts w:cs="Arial"/>
                <w:color w:val="000000"/>
                <w:sz w:val="16"/>
                <w:szCs w:val="16"/>
              </w:rPr>
              <w:t>See note</w:t>
            </w:r>
          </w:p>
        </w:tc>
        <w:tc>
          <w:tcPr>
            <w:tcW w:w="1134" w:type="dxa"/>
            <w:tcBorders>
              <w:top w:val="nil"/>
              <w:left w:val="nil"/>
              <w:bottom w:val="single" w:sz="4" w:space="0" w:color="auto"/>
              <w:right w:val="single" w:sz="4" w:space="0" w:color="auto"/>
            </w:tcBorders>
            <w:shd w:val="clear" w:color="auto" w:fill="auto"/>
            <w:hideMark/>
          </w:tcPr>
          <w:p w:rsidR="00CC75F2" w:rsidRPr="00CC75F2" w:rsidRDefault="00CC75F2" w:rsidP="00CC75F2">
            <w:pPr>
              <w:jc w:val="center"/>
              <w:rPr>
                <w:rFonts w:cs="Arial"/>
                <w:color w:val="000000"/>
                <w:sz w:val="16"/>
                <w:szCs w:val="16"/>
              </w:rPr>
            </w:pPr>
            <w:r w:rsidRPr="00CC75F2">
              <w:rPr>
                <w:rFonts w:cs="Arial"/>
                <w:color w:val="000000"/>
                <w:sz w:val="16"/>
                <w:szCs w:val="16"/>
              </w:rPr>
              <w:t>See note</w:t>
            </w:r>
          </w:p>
        </w:tc>
        <w:tc>
          <w:tcPr>
            <w:tcW w:w="992" w:type="dxa"/>
            <w:tcBorders>
              <w:top w:val="nil"/>
              <w:left w:val="nil"/>
              <w:bottom w:val="single" w:sz="4" w:space="0" w:color="auto"/>
              <w:right w:val="single" w:sz="4" w:space="0" w:color="auto"/>
            </w:tcBorders>
            <w:shd w:val="clear" w:color="auto" w:fill="auto"/>
            <w:hideMark/>
          </w:tcPr>
          <w:p w:rsidR="00CC75F2" w:rsidRPr="00CC75F2" w:rsidRDefault="00CC75F2" w:rsidP="00CC75F2">
            <w:pPr>
              <w:jc w:val="center"/>
              <w:rPr>
                <w:rFonts w:cs="Arial"/>
                <w:color w:val="000000"/>
                <w:sz w:val="16"/>
                <w:szCs w:val="16"/>
              </w:rPr>
            </w:pPr>
            <w:r w:rsidRPr="00CC75F2">
              <w:rPr>
                <w:rFonts w:cs="Arial"/>
                <w:color w:val="000000"/>
                <w:sz w:val="16"/>
                <w:szCs w:val="16"/>
              </w:rPr>
              <w:t>See note</w:t>
            </w:r>
          </w:p>
        </w:tc>
        <w:tc>
          <w:tcPr>
            <w:tcW w:w="1134" w:type="dxa"/>
            <w:tcBorders>
              <w:top w:val="nil"/>
              <w:left w:val="nil"/>
              <w:bottom w:val="single" w:sz="4" w:space="0" w:color="auto"/>
              <w:right w:val="single" w:sz="4" w:space="0" w:color="auto"/>
            </w:tcBorders>
            <w:shd w:val="clear" w:color="auto" w:fill="auto"/>
            <w:hideMark/>
          </w:tcPr>
          <w:p w:rsidR="00CC75F2" w:rsidRPr="00CC75F2" w:rsidRDefault="00CC75F2" w:rsidP="00373B8F">
            <w:pPr>
              <w:jc w:val="center"/>
              <w:rPr>
                <w:rFonts w:cs="Arial"/>
                <w:color w:val="000000"/>
                <w:sz w:val="16"/>
                <w:szCs w:val="16"/>
              </w:rPr>
            </w:pPr>
            <w:r w:rsidRPr="00CC75F2">
              <w:rPr>
                <w:rFonts w:cs="Arial"/>
                <w:color w:val="000000"/>
                <w:sz w:val="16"/>
                <w:szCs w:val="16"/>
              </w:rPr>
              <w:t>See note</w:t>
            </w:r>
          </w:p>
        </w:tc>
        <w:tc>
          <w:tcPr>
            <w:tcW w:w="1276" w:type="dxa"/>
            <w:tcBorders>
              <w:top w:val="nil"/>
              <w:left w:val="nil"/>
              <w:bottom w:val="single" w:sz="4" w:space="0" w:color="auto"/>
              <w:right w:val="single" w:sz="4" w:space="0" w:color="auto"/>
            </w:tcBorders>
            <w:shd w:val="clear" w:color="auto" w:fill="auto"/>
            <w:hideMark/>
          </w:tcPr>
          <w:p w:rsidR="00CC75F2" w:rsidRPr="00CC75F2" w:rsidRDefault="00CC75F2" w:rsidP="00CC75F2">
            <w:pPr>
              <w:jc w:val="center"/>
              <w:rPr>
                <w:rFonts w:cs="Arial"/>
                <w:color w:val="000000"/>
                <w:sz w:val="16"/>
                <w:szCs w:val="16"/>
              </w:rPr>
            </w:pPr>
            <w:r w:rsidRPr="00CC75F2">
              <w:rPr>
                <w:rFonts w:cs="Arial"/>
                <w:color w:val="000000"/>
                <w:sz w:val="16"/>
                <w:szCs w:val="16"/>
              </w:rPr>
              <w:t>See note</w:t>
            </w:r>
          </w:p>
        </w:tc>
        <w:tc>
          <w:tcPr>
            <w:tcW w:w="2835" w:type="dxa"/>
            <w:tcBorders>
              <w:top w:val="nil"/>
              <w:left w:val="nil"/>
              <w:bottom w:val="single" w:sz="4" w:space="0" w:color="auto"/>
              <w:right w:val="single" w:sz="4" w:space="0" w:color="auto"/>
            </w:tcBorders>
            <w:shd w:val="clear" w:color="auto" w:fill="auto"/>
            <w:hideMark/>
          </w:tcPr>
          <w:p w:rsidR="00CC75F2" w:rsidRPr="00CC75F2" w:rsidRDefault="00CC75F2" w:rsidP="00CC75F2">
            <w:pPr>
              <w:jc w:val="left"/>
              <w:rPr>
                <w:rFonts w:cs="Arial"/>
                <w:color w:val="000000"/>
                <w:sz w:val="16"/>
                <w:szCs w:val="16"/>
              </w:rPr>
            </w:pPr>
            <w:r w:rsidRPr="00CC75F2">
              <w:rPr>
                <w:rFonts w:cs="Arial"/>
                <w:color w:val="000000"/>
                <w:sz w:val="16"/>
                <w:szCs w:val="16"/>
              </w:rPr>
              <w:t>See note</w:t>
            </w:r>
          </w:p>
        </w:tc>
        <w:tc>
          <w:tcPr>
            <w:tcW w:w="2693" w:type="dxa"/>
            <w:tcBorders>
              <w:top w:val="nil"/>
              <w:left w:val="nil"/>
              <w:bottom w:val="single" w:sz="4" w:space="0" w:color="auto"/>
              <w:right w:val="single" w:sz="4" w:space="0" w:color="auto"/>
            </w:tcBorders>
            <w:shd w:val="clear" w:color="auto" w:fill="auto"/>
            <w:hideMark/>
          </w:tcPr>
          <w:p w:rsidR="00CC75F2" w:rsidRPr="00CC75F2" w:rsidRDefault="00CC75F2" w:rsidP="00CC75F2">
            <w:pPr>
              <w:jc w:val="left"/>
              <w:rPr>
                <w:rFonts w:cs="Arial"/>
                <w:color w:val="000000"/>
                <w:sz w:val="16"/>
                <w:szCs w:val="16"/>
              </w:rPr>
            </w:pPr>
            <w:r w:rsidRPr="00CC75F2">
              <w:rPr>
                <w:rFonts w:cs="Arial"/>
                <w:color w:val="000000"/>
                <w:sz w:val="16"/>
                <w:szCs w:val="16"/>
              </w:rPr>
              <w:t>See entry for 201 Napier Street, Fitzroy (these are the same property)</w:t>
            </w:r>
            <w:r w:rsidR="005E5635">
              <w:rPr>
                <w:rFonts w:cs="Arial"/>
                <w:color w:val="000000"/>
                <w:sz w:val="16"/>
                <w:szCs w:val="16"/>
              </w:rPr>
              <w:t>.</w:t>
            </w:r>
          </w:p>
        </w:tc>
      </w:tr>
      <w:tr w:rsidR="008B0CE7" w:rsidRPr="00CC75F2" w:rsidTr="00EA18F9">
        <w:trPr>
          <w:cantSplit/>
          <w:trHeight w:val="960"/>
        </w:trPr>
        <w:tc>
          <w:tcPr>
            <w:tcW w:w="1433" w:type="dxa"/>
            <w:tcBorders>
              <w:top w:val="nil"/>
              <w:left w:val="single" w:sz="4" w:space="0" w:color="auto"/>
              <w:bottom w:val="single" w:sz="4" w:space="0" w:color="auto"/>
              <w:right w:val="single" w:sz="4" w:space="0" w:color="auto"/>
            </w:tcBorders>
            <w:shd w:val="clear" w:color="auto" w:fill="auto"/>
            <w:hideMark/>
          </w:tcPr>
          <w:p w:rsidR="00CC75F2" w:rsidRPr="00CC75F2" w:rsidRDefault="00CC75F2" w:rsidP="00CC75F2">
            <w:pPr>
              <w:jc w:val="left"/>
              <w:rPr>
                <w:rFonts w:cs="Arial"/>
                <w:color w:val="000000"/>
                <w:sz w:val="16"/>
                <w:szCs w:val="16"/>
              </w:rPr>
            </w:pPr>
            <w:r w:rsidRPr="00CC75F2">
              <w:rPr>
                <w:rFonts w:cs="Arial"/>
                <w:color w:val="000000"/>
                <w:sz w:val="16"/>
                <w:szCs w:val="16"/>
              </w:rPr>
              <w:t>Napier Street 156</w:t>
            </w:r>
          </w:p>
        </w:tc>
        <w:tc>
          <w:tcPr>
            <w:tcW w:w="1134" w:type="dxa"/>
            <w:tcBorders>
              <w:top w:val="nil"/>
              <w:left w:val="nil"/>
              <w:bottom w:val="single" w:sz="4" w:space="0" w:color="auto"/>
              <w:right w:val="single" w:sz="4" w:space="0" w:color="auto"/>
            </w:tcBorders>
            <w:shd w:val="clear" w:color="auto" w:fill="auto"/>
            <w:hideMark/>
          </w:tcPr>
          <w:p w:rsidR="00CC75F2" w:rsidRPr="00CC75F2" w:rsidRDefault="00373B8F" w:rsidP="00CC75F2">
            <w:pPr>
              <w:jc w:val="center"/>
              <w:rPr>
                <w:rFonts w:cs="Arial"/>
                <w:color w:val="000000"/>
                <w:sz w:val="16"/>
                <w:szCs w:val="16"/>
              </w:rPr>
            </w:pPr>
            <w:r w:rsidRPr="00CC75F2">
              <w:rPr>
                <w:rFonts w:cs="Arial"/>
                <w:color w:val="000000"/>
                <w:sz w:val="16"/>
                <w:szCs w:val="16"/>
              </w:rPr>
              <w:t>F</w:t>
            </w:r>
            <w:r>
              <w:rPr>
                <w:rFonts w:cs="Arial"/>
                <w:color w:val="000000"/>
                <w:sz w:val="16"/>
                <w:szCs w:val="16"/>
              </w:rPr>
              <w:t>itzroy</w:t>
            </w:r>
          </w:p>
        </w:tc>
        <w:tc>
          <w:tcPr>
            <w:tcW w:w="1417" w:type="dxa"/>
            <w:tcBorders>
              <w:top w:val="nil"/>
              <w:left w:val="nil"/>
              <w:bottom w:val="single" w:sz="4" w:space="0" w:color="auto"/>
              <w:right w:val="single" w:sz="4" w:space="0" w:color="auto"/>
            </w:tcBorders>
            <w:shd w:val="clear" w:color="auto" w:fill="auto"/>
            <w:hideMark/>
          </w:tcPr>
          <w:p w:rsidR="00CC75F2" w:rsidRPr="00CC75F2" w:rsidRDefault="00CC75F2" w:rsidP="008B0CE7">
            <w:pPr>
              <w:jc w:val="center"/>
              <w:rPr>
                <w:rFonts w:cs="Arial"/>
                <w:color w:val="000000"/>
                <w:sz w:val="16"/>
                <w:szCs w:val="16"/>
              </w:rPr>
            </w:pPr>
            <w:r w:rsidRPr="00CC75F2">
              <w:rPr>
                <w:rFonts w:cs="Arial"/>
                <w:color w:val="000000"/>
                <w:sz w:val="16"/>
                <w:szCs w:val="16"/>
              </w:rPr>
              <w:t>C</w:t>
            </w:r>
            <w:r w:rsidR="008B0CE7">
              <w:rPr>
                <w:rFonts w:cs="Arial"/>
                <w:color w:val="000000"/>
                <w:sz w:val="16"/>
                <w:szCs w:val="16"/>
              </w:rPr>
              <w:t>ommunity Youth Centre</w:t>
            </w:r>
          </w:p>
        </w:tc>
        <w:tc>
          <w:tcPr>
            <w:tcW w:w="1276" w:type="dxa"/>
            <w:tcBorders>
              <w:top w:val="nil"/>
              <w:left w:val="nil"/>
              <w:bottom w:val="single" w:sz="4" w:space="0" w:color="auto"/>
              <w:right w:val="single" w:sz="4" w:space="0" w:color="auto"/>
            </w:tcBorders>
            <w:shd w:val="clear" w:color="auto" w:fill="auto"/>
            <w:hideMark/>
          </w:tcPr>
          <w:p w:rsidR="00CC75F2" w:rsidRPr="00CC75F2" w:rsidRDefault="00CC75F2" w:rsidP="00CC75F2">
            <w:pPr>
              <w:jc w:val="center"/>
              <w:rPr>
                <w:rFonts w:cs="Arial"/>
                <w:color w:val="000000"/>
                <w:sz w:val="16"/>
                <w:szCs w:val="16"/>
              </w:rPr>
            </w:pPr>
            <w:r w:rsidRPr="00CC75F2">
              <w:rPr>
                <w:rFonts w:cs="Arial"/>
                <w:color w:val="000000"/>
                <w:sz w:val="16"/>
                <w:szCs w:val="16"/>
              </w:rPr>
              <w:t>South Fitzroy Precinct</w:t>
            </w:r>
          </w:p>
        </w:tc>
        <w:tc>
          <w:tcPr>
            <w:tcW w:w="1134" w:type="dxa"/>
            <w:tcBorders>
              <w:top w:val="nil"/>
              <w:left w:val="nil"/>
              <w:bottom w:val="single" w:sz="4" w:space="0" w:color="auto"/>
              <w:right w:val="single" w:sz="4" w:space="0" w:color="auto"/>
            </w:tcBorders>
            <w:shd w:val="clear" w:color="auto" w:fill="auto"/>
            <w:hideMark/>
          </w:tcPr>
          <w:p w:rsidR="00CC75F2" w:rsidRPr="00CC75F2" w:rsidRDefault="00CC75F2" w:rsidP="00CC75F2">
            <w:pPr>
              <w:jc w:val="center"/>
              <w:rPr>
                <w:rFonts w:cs="Arial"/>
                <w:color w:val="000000"/>
                <w:sz w:val="16"/>
                <w:szCs w:val="16"/>
              </w:rPr>
            </w:pPr>
            <w:r w:rsidRPr="00CC75F2">
              <w:rPr>
                <w:rFonts w:cs="Arial"/>
                <w:color w:val="000000"/>
                <w:sz w:val="16"/>
                <w:szCs w:val="16"/>
              </w:rPr>
              <w:t>HO334</w:t>
            </w:r>
          </w:p>
        </w:tc>
        <w:tc>
          <w:tcPr>
            <w:tcW w:w="992" w:type="dxa"/>
            <w:tcBorders>
              <w:top w:val="nil"/>
              <w:left w:val="nil"/>
              <w:bottom w:val="single" w:sz="4" w:space="0" w:color="auto"/>
              <w:right w:val="single" w:sz="4" w:space="0" w:color="auto"/>
            </w:tcBorders>
            <w:shd w:val="clear" w:color="auto" w:fill="auto"/>
            <w:hideMark/>
          </w:tcPr>
          <w:p w:rsidR="00CC75F2" w:rsidRPr="00CC75F2" w:rsidRDefault="00CC75F2" w:rsidP="00CC75F2">
            <w:pPr>
              <w:jc w:val="center"/>
              <w:rPr>
                <w:rFonts w:cs="Arial"/>
                <w:color w:val="000000"/>
                <w:sz w:val="16"/>
                <w:szCs w:val="16"/>
              </w:rPr>
            </w:pPr>
            <w:r w:rsidRPr="00CC75F2">
              <w:rPr>
                <w:rFonts w:cs="Arial"/>
                <w:color w:val="000000"/>
                <w:sz w:val="16"/>
                <w:szCs w:val="16"/>
              </w:rPr>
              <w:t>N/A</w:t>
            </w:r>
          </w:p>
        </w:tc>
        <w:tc>
          <w:tcPr>
            <w:tcW w:w="1134" w:type="dxa"/>
            <w:tcBorders>
              <w:top w:val="nil"/>
              <w:left w:val="nil"/>
              <w:bottom w:val="single" w:sz="4" w:space="0" w:color="auto"/>
              <w:right w:val="single" w:sz="4" w:space="0" w:color="auto"/>
            </w:tcBorders>
            <w:shd w:val="clear" w:color="auto" w:fill="auto"/>
            <w:hideMark/>
          </w:tcPr>
          <w:p w:rsidR="00CC75F2" w:rsidRPr="00CC75F2" w:rsidRDefault="00CC75F2" w:rsidP="00373B8F">
            <w:pPr>
              <w:jc w:val="center"/>
              <w:rPr>
                <w:rFonts w:cs="Arial"/>
                <w:color w:val="000000"/>
                <w:sz w:val="16"/>
                <w:szCs w:val="16"/>
              </w:rPr>
            </w:pPr>
            <w:r w:rsidRPr="00CC75F2">
              <w:rPr>
                <w:rFonts w:cs="Arial"/>
                <w:color w:val="000000"/>
                <w:sz w:val="16"/>
                <w:szCs w:val="16"/>
              </w:rPr>
              <w:t>Precinct</w:t>
            </w:r>
          </w:p>
        </w:tc>
        <w:tc>
          <w:tcPr>
            <w:tcW w:w="1276" w:type="dxa"/>
            <w:tcBorders>
              <w:top w:val="nil"/>
              <w:left w:val="nil"/>
              <w:bottom w:val="single" w:sz="4" w:space="0" w:color="auto"/>
              <w:right w:val="single" w:sz="4" w:space="0" w:color="auto"/>
            </w:tcBorders>
            <w:shd w:val="clear" w:color="auto" w:fill="auto"/>
            <w:hideMark/>
          </w:tcPr>
          <w:p w:rsidR="00CC75F2" w:rsidRPr="00CC75F2" w:rsidRDefault="00CC75F2" w:rsidP="00CC75F2">
            <w:pPr>
              <w:jc w:val="center"/>
              <w:rPr>
                <w:rFonts w:cs="Arial"/>
                <w:color w:val="000000"/>
                <w:sz w:val="16"/>
                <w:szCs w:val="16"/>
              </w:rPr>
            </w:pPr>
            <w:r w:rsidRPr="00CC75F2">
              <w:rPr>
                <w:rFonts w:cs="Arial"/>
                <w:color w:val="000000"/>
                <w:sz w:val="16"/>
                <w:szCs w:val="16"/>
              </w:rPr>
              <w:t>Not contributory</w:t>
            </w:r>
          </w:p>
        </w:tc>
        <w:tc>
          <w:tcPr>
            <w:tcW w:w="2835" w:type="dxa"/>
            <w:tcBorders>
              <w:top w:val="nil"/>
              <w:left w:val="nil"/>
              <w:bottom w:val="single" w:sz="4" w:space="0" w:color="auto"/>
              <w:right w:val="single" w:sz="4" w:space="0" w:color="auto"/>
            </w:tcBorders>
            <w:shd w:val="clear" w:color="auto" w:fill="auto"/>
            <w:hideMark/>
          </w:tcPr>
          <w:p w:rsidR="00CC75F2" w:rsidRPr="00CC75F2" w:rsidRDefault="00CC75F2" w:rsidP="00CC75F2">
            <w:pPr>
              <w:jc w:val="left"/>
              <w:rPr>
                <w:rFonts w:cs="Arial"/>
                <w:color w:val="000000"/>
                <w:sz w:val="16"/>
                <w:szCs w:val="16"/>
              </w:rPr>
            </w:pPr>
            <w:r w:rsidRPr="00CC75F2">
              <w:rPr>
                <w:rFonts w:cs="Arial"/>
                <w:color w:val="000000"/>
                <w:sz w:val="16"/>
                <w:szCs w:val="16"/>
              </w:rPr>
              <w:t>External controls apply to the building and land (demolition could be contemplated). No internal controls, no tree controls and no external paint controls apply</w:t>
            </w:r>
          </w:p>
        </w:tc>
        <w:tc>
          <w:tcPr>
            <w:tcW w:w="2693" w:type="dxa"/>
            <w:tcBorders>
              <w:top w:val="nil"/>
              <w:left w:val="nil"/>
              <w:bottom w:val="single" w:sz="4" w:space="0" w:color="auto"/>
              <w:right w:val="single" w:sz="4" w:space="0" w:color="auto"/>
            </w:tcBorders>
            <w:shd w:val="clear" w:color="auto" w:fill="auto"/>
            <w:hideMark/>
          </w:tcPr>
          <w:p w:rsidR="00CC75F2" w:rsidRPr="00CC75F2" w:rsidRDefault="00CC75F2" w:rsidP="00CC75F2">
            <w:pPr>
              <w:jc w:val="left"/>
              <w:rPr>
                <w:rFonts w:cs="Arial"/>
                <w:color w:val="000000"/>
                <w:sz w:val="16"/>
                <w:szCs w:val="16"/>
              </w:rPr>
            </w:pPr>
            <w:r w:rsidRPr="00CC75F2">
              <w:rPr>
                <w:rFonts w:cs="Arial"/>
                <w:color w:val="000000"/>
                <w:sz w:val="16"/>
                <w:szCs w:val="16"/>
              </w:rPr>
              <w:t> </w:t>
            </w:r>
          </w:p>
        </w:tc>
      </w:tr>
      <w:tr w:rsidR="008B0CE7" w:rsidRPr="00CC75F2" w:rsidTr="00EA18F9">
        <w:trPr>
          <w:cantSplit/>
          <w:trHeight w:val="960"/>
        </w:trPr>
        <w:tc>
          <w:tcPr>
            <w:tcW w:w="1433" w:type="dxa"/>
            <w:tcBorders>
              <w:top w:val="nil"/>
              <w:left w:val="single" w:sz="4" w:space="0" w:color="auto"/>
              <w:bottom w:val="single" w:sz="4" w:space="0" w:color="auto"/>
              <w:right w:val="single" w:sz="4" w:space="0" w:color="auto"/>
            </w:tcBorders>
            <w:shd w:val="clear" w:color="auto" w:fill="auto"/>
            <w:hideMark/>
          </w:tcPr>
          <w:p w:rsidR="00CC75F2" w:rsidRPr="00CC75F2" w:rsidRDefault="00CC75F2" w:rsidP="00CC75F2">
            <w:pPr>
              <w:jc w:val="left"/>
              <w:rPr>
                <w:rFonts w:cs="Arial"/>
                <w:color w:val="000000"/>
                <w:sz w:val="16"/>
                <w:szCs w:val="16"/>
              </w:rPr>
            </w:pPr>
            <w:r w:rsidRPr="00CC75F2">
              <w:rPr>
                <w:rFonts w:cs="Arial"/>
                <w:color w:val="000000"/>
                <w:sz w:val="16"/>
                <w:szCs w:val="16"/>
              </w:rPr>
              <w:t>Napier Street 201</w:t>
            </w:r>
          </w:p>
        </w:tc>
        <w:tc>
          <w:tcPr>
            <w:tcW w:w="1134" w:type="dxa"/>
            <w:tcBorders>
              <w:top w:val="nil"/>
              <w:left w:val="nil"/>
              <w:bottom w:val="single" w:sz="4" w:space="0" w:color="auto"/>
              <w:right w:val="single" w:sz="4" w:space="0" w:color="auto"/>
            </w:tcBorders>
            <w:shd w:val="clear" w:color="auto" w:fill="auto"/>
            <w:hideMark/>
          </w:tcPr>
          <w:p w:rsidR="00CC75F2" w:rsidRPr="00CC75F2" w:rsidRDefault="00373B8F" w:rsidP="00CC75F2">
            <w:pPr>
              <w:jc w:val="center"/>
              <w:rPr>
                <w:rFonts w:cs="Arial"/>
                <w:color w:val="000000"/>
                <w:sz w:val="16"/>
                <w:szCs w:val="16"/>
              </w:rPr>
            </w:pPr>
            <w:r w:rsidRPr="00CC75F2">
              <w:rPr>
                <w:rFonts w:cs="Arial"/>
                <w:color w:val="000000"/>
                <w:sz w:val="16"/>
                <w:szCs w:val="16"/>
              </w:rPr>
              <w:t>F</w:t>
            </w:r>
            <w:r>
              <w:rPr>
                <w:rFonts w:cs="Arial"/>
                <w:color w:val="000000"/>
                <w:sz w:val="16"/>
                <w:szCs w:val="16"/>
              </w:rPr>
              <w:t>itzroy</w:t>
            </w:r>
          </w:p>
        </w:tc>
        <w:tc>
          <w:tcPr>
            <w:tcW w:w="1417" w:type="dxa"/>
            <w:tcBorders>
              <w:top w:val="nil"/>
              <w:left w:val="nil"/>
              <w:bottom w:val="single" w:sz="4" w:space="0" w:color="auto"/>
              <w:right w:val="single" w:sz="4" w:space="0" w:color="auto"/>
            </w:tcBorders>
            <w:shd w:val="clear" w:color="auto" w:fill="auto"/>
            <w:hideMark/>
          </w:tcPr>
          <w:p w:rsidR="00CC75F2" w:rsidRPr="00CC75F2" w:rsidRDefault="00373B8F" w:rsidP="00373B8F">
            <w:pPr>
              <w:jc w:val="center"/>
              <w:rPr>
                <w:rFonts w:cs="Arial"/>
                <w:color w:val="000000"/>
                <w:sz w:val="16"/>
                <w:szCs w:val="16"/>
              </w:rPr>
            </w:pPr>
            <w:r w:rsidRPr="00CC75F2">
              <w:rPr>
                <w:rFonts w:cs="Arial"/>
                <w:color w:val="000000"/>
                <w:sz w:val="16"/>
                <w:szCs w:val="16"/>
              </w:rPr>
              <w:t>F</w:t>
            </w:r>
            <w:r>
              <w:rPr>
                <w:rFonts w:cs="Arial"/>
                <w:color w:val="000000"/>
                <w:sz w:val="16"/>
                <w:szCs w:val="16"/>
              </w:rPr>
              <w:t>itzroy Town Hall</w:t>
            </w:r>
            <w:r w:rsidR="00CC75F2" w:rsidRPr="00CC75F2">
              <w:rPr>
                <w:rFonts w:cs="Arial"/>
                <w:color w:val="000000"/>
                <w:sz w:val="16"/>
                <w:szCs w:val="16"/>
              </w:rPr>
              <w:t xml:space="preserve"> </w:t>
            </w:r>
          </w:p>
        </w:tc>
        <w:tc>
          <w:tcPr>
            <w:tcW w:w="1276" w:type="dxa"/>
            <w:tcBorders>
              <w:top w:val="nil"/>
              <w:left w:val="nil"/>
              <w:bottom w:val="single" w:sz="4" w:space="0" w:color="auto"/>
              <w:right w:val="single" w:sz="4" w:space="0" w:color="auto"/>
            </w:tcBorders>
            <w:shd w:val="clear" w:color="auto" w:fill="auto"/>
            <w:hideMark/>
          </w:tcPr>
          <w:p w:rsidR="00CC75F2" w:rsidRPr="00CC75F2" w:rsidRDefault="00CC75F2" w:rsidP="00CC75F2">
            <w:pPr>
              <w:jc w:val="center"/>
              <w:rPr>
                <w:rFonts w:cs="Arial"/>
                <w:color w:val="000000"/>
                <w:sz w:val="16"/>
                <w:szCs w:val="16"/>
              </w:rPr>
            </w:pPr>
            <w:r w:rsidRPr="00CC75F2">
              <w:rPr>
                <w:rFonts w:cs="Arial"/>
                <w:color w:val="000000"/>
                <w:sz w:val="16"/>
                <w:szCs w:val="16"/>
              </w:rPr>
              <w:t>201 Napier Street (HO180)                    South Fitzroy Precinct (HO334)</w:t>
            </w:r>
          </w:p>
        </w:tc>
        <w:tc>
          <w:tcPr>
            <w:tcW w:w="1134" w:type="dxa"/>
            <w:tcBorders>
              <w:top w:val="nil"/>
              <w:left w:val="nil"/>
              <w:bottom w:val="single" w:sz="4" w:space="0" w:color="auto"/>
              <w:right w:val="single" w:sz="4" w:space="0" w:color="auto"/>
            </w:tcBorders>
            <w:shd w:val="clear" w:color="auto" w:fill="auto"/>
            <w:hideMark/>
          </w:tcPr>
          <w:p w:rsidR="00CC75F2" w:rsidRPr="00CC75F2" w:rsidRDefault="00CC75F2" w:rsidP="00CC75F2">
            <w:pPr>
              <w:jc w:val="center"/>
              <w:rPr>
                <w:rFonts w:cs="Arial"/>
                <w:color w:val="000000"/>
                <w:sz w:val="16"/>
                <w:szCs w:val="16"/>
              </w:rPr>
            </w:pPr>
            <w:r w:rsidRPr="00CC75F2">
              <w:rPr>
                <w:rFonts w:cs="Arial"/>
                <w:color w:val="000000"/>
                <w:sz w:val="16"/>
                <w:szCs w:val="16"/>
              </w:rPr>
              <w:t>HO180 and HO334</w:t>
            </w:r>
          </w:p>
        </w:tc>
        <w:tc>
          <w:tcPr>
            <w:tcW w:w="992" w:type="dxa"/>
            <w:tcBorders>
              <w:top w:val="nil"/>
              <w:left w:val="nil"/>
              <w:bottom w:val="single" w:sz="4" w:space="0" w:color="auto"/>
              <w:right w:val="single" w:sz="4" w:space="0" w:color="auto"/>
            </w:tcBorders>
            <w:shd w:val="clear" w:color="auto" w:fill="auto"/>
            <w:hideMark/>
          </w:tcPr>
          <w:p w:rsidR="00CC75F2" w:rsidRPr="00CC75F2" w:rsidRDefault="00CC75F2" w:rsidP="00CC75F2">
            <w:pPr>
              <w:jc w:val="center"/>
              <w:rPr>
                <w:rFonts w:cs="Arial"/>
                <w:color w:val="000000"/>
                <w:sz w:val="16"/>
                <w:szCs w:val="16"/>
              </w:rPr>
            </w:pPr>
            <w:r w:rsidRPr="00CC75F2">
              <w:rPr>
                <w:rFonts w:cs="Arial"/>
                <w:color w:val="000000"/>
                <w:sz w:val="16"/>
                <w:szCs w:val="16"/>
              </w:rPr>
              <w:t>H0147</w:t>
            </w:r>
          </w:p>
        </w:tc>
        <w:tc>
          <w:tcPr>
            <w:tcW w:w="1134" w:type="dxa"/>
            <w:tcBorders>
              <w:top w:val="nil"/>
              <w:left w:val="nil"/>
              <w:bottom w:val="single" w:sz="4" w:space="0" w:color="auto"/>
              <w:right w:val="single" w:sz="4" w:space="0" w:color="auto"/>
            </w:tcBorders>
            <w:shd w:val="clear" w:color="auto" w:fill="auto"/>
            <w:hideMark/>
          </w:tcPr>
          <w:p w:rsidR="00CC75F2" w:rsidRPr="00CC75F2" w:rsidRDefault="00CC75F2" w:rsidP="00373B8F">
            <w:pPr>
              <w:jc w:val="center"/>
              <w:rPr>
                <w:rFonts w:cs="Arial"/>
                <w:color w:val="000000"/>
                <w:sz w:val="16"/>
                <w:szCs w:val="16"/>
              </w:rPr>
            </w:pPr>
            <w:r w:rsidRPr="00CC75F2">
              <w:rPr>
                <w:rFonts w:cs="Arial"/>
                <w:color w:val="000000"/>
                <w:sz w:val="16"/>
                <w:szCs w:val="16"/>
              </w:rPr>
              <w:t>Individual (state) Individual (local)  Precinct</w:t>
            </w:r>
          </w:p>
        </w:tc>
        <w:tc>
          <w:tcPr>
            <w:tcW w:w="1276" w:type="dxa"/>
            <w:tcBorders>
              <w:top w:val="nil"/>
              <w:left w:val="nil"/>
              <w:bottom w:val="single" w:sz="4" w:space="0" w:color="auto"/>
              <w:right w:val="single" w:sz="4" w:space="0" w:color="auto"/>
            </w:tcBorders>
            <w:shd w:val="clear" w:color="auto" w:fill="auto"/>
            <w:hideMark/>
          </w:tcPr>
          <w:p w:rsidR="00CC75F2" w:rsidRPr="00CC75F2" w:rsidRDefault="00CC75F2" w:rsidP="00CC75F2">
            <w:pPr>
              <w:jc w:val="center"/>
              <w:rPr>
                <w:rFonts w:cs="Arial"/>
                <w:color w:val="000000"/>
                <w:sz w:val="16"/>
                <w:szCs w:val="16"/>
              </w:rPr>
            </w:pPr>
            <w:r w:rsidRPr="00CC75F2">
              <w:rPr>
                <w:rFonts w:cs="Arial"/>
                <w:color w:val="000000"/>
                <w:sz w:val="16"/>
                <w:szCs w:val="16"/>
              </w:rPr>
              <w:t>Individually significant</w:t>
            </w:r>
          </w:p>
        </w:tc>
        <w:tc>
          <w:tcPr>
            <w:tcW w:w="2835" w:type="dxa"/>
            <w:tcBorders>
              <w:top w:val="nil"/>
              <w:left w:val="nil"/>
              <w:bottom w:val="single" w:sz="4" w:space="0" w:color="auto"/>
              <w:right w:val="single" w:sz="4" w:space="0" w:color="auto"/>
            </w:tcBorders>
            <w:shd w:val="clear" w:color="auto" w:fill="auto"/>
            <w:hideMark/>
          </w:tcPr>
          <w:p w:rsidR="00CC75F2" w:rsidRPr="00CC75F2" w:rsidRDefault="00CC75F2" w:rsidP="00CC75F2">
            <w:pPr>
              <w:jc w:val="left"/>
              <w:rPr>
                <w:rFonts w:cs="Arial"/>
                <w:color w:val="000000"/>
                <w:sz w:val="16"/>
                <w:szCs w:val="16"/>
              </w:rPr>
            </w:pPr>
            <w:r w:rsidRPr="00CC75F2">
              <w:rPr>
                <w:rFonts w:cs="Arial"/>
                <w:color w:val="000000"/>
                <w:sz w:val="16"/>
                <w:szCs w:val="16"/>
              </w:rPr>
              <w:t>External and internal controls apply as a result of the Heritage Victoria registration.  A permit from Heritage Victoria will be required for works to the buildings and land.</w:t>
            </w:r>
          </w:p>
        </w:tc>
        <w:tc>
          <w:tcPr>
            <w:tcW w:w="2693" w:type="dxa"/>
            <w:tcBorders>
              <w:top w:val="nil"/>
              <w:left w:val="nil"/>
              <w:bottom w:val="single" w:sz="4" w:space="0" w:color="auto"/>
              <w:right w:val="single" w:sz="4" w:space="0" w:color="auto"/>
            </w:tcBorders>
            <w:shd w:val="clear" w:color="auto" w:fill="auto"/>
            <w:hideMark/>
          </w:tcPr>
          <w:p w:rsidR="00CC75F2" w:rsidRPr="00CC75F2" w:rsidRDefault="00CC75F2" w:rsidP="00CC75F2">
            <w:pPr>
              <w:jc w:val="left"/>
              <w:rPr>
                <w:rFonts w:cs="Arial"/>
                <w:color w:val="000000"/>
                <w:sz w:val="16"/>
                <w:szCs w:val="16"/>
              </w:rPr>
            </w:pPr>
            <w:r w:rsidRPr="00CC75F2">
              <w:rPr>
                <w:rFonts w:cs="Arial"/>
                <w:color w:val="000000"/>
                <w:sz w:val="16"/>
                <w:szCs w:val="16"/>
              </w:rPr>
              <w:t> </w:t>
            </w:r>
          </w:p>
        </w:tc>
      </w:tr>
      <w:tr w:rsidR="008B0CE7" w:rsidRPr="00CC75F2" w:rsidTr="00EA18F9">
        <w:trPr>
          <w:cantSplit/>
          <w:trHeight w:val="720"/>
        </w:trPr>
        <w:tc>
          <w:tcPr>
            <w:tcW w:w="1433" w:type="dxa"/>
            <w:tcBorders>
              <w:top w:val="nil"/>
              <w:left w:val="single" w:sz="4" w:space="0" w:color="auto"/>
              <w:bottom w:val="single" w:sz="4" w:space="0" w:color="auto"/>
              <w:right w:val="single" w:sz="4" w:space="0" w:color="auto"/>
            </w:tcBorders>
            <w:shd w:val="clear" w:color="auto" w:fill="auto"/>
            <w:hideMark/>
          </w:tcPr>
          <w:p w:rsidR="00CC75F2" w:rsidRPr="00CC75F2" w:rsidRDefault="00CC75F2" w:rsidP="00CC75F2">
            <w:pPr>
              <w:jc w:val="left"/>
              <w:rPr>
                <w:rFonts w:cs="Arial"/>
                <w:color w:val="000000"/>
                <w:sz w:val="16"/>
                <w:szCs w:val="16"/>
              </w:rPr>
            </w:pPr>
            <w:r w:rsidRPr="00CC75F2">
              <w:rPr>
                <w:rFonts w:cs="Arial"/>
                <w:color w:val="000000"/>
                <w:sz w:val="16"/>
                <w:szCs w:val="16"/>
              </w:rPr>
              <w:t>Napier Street 209-217</w:t>
            </w:r>
          </w:p>
        </w:tc>
        <w:tc>
          <w:tcPr>
            <w:tcW w:w="1134" w:type="dxa"/>
            <w:tcBorders>
              <w:top w:val="nil"/>
              <w:left w:val="nil"/>
              <w:bottom w:val="single" w:sz="4" w:space="0" w:color="auto"/>
              <w:right w:val="single" w:sz="4" w:space="0" w:color="auto"/>
            </w:tcBorders>
            <w:shd w:val="clear" w:color="auto" w:fill="auto"/>
            <w:hideMark/>
          </w:tcPr>
          <w:p w:rsidR="00CC75F2" w:rsidRPr="00CC75F2" w:rsidRDefault="00373B8F" w:rsidP="00CC75F2">
            <w:pPr>
              <w:jc w:val="center"/>
              <w:rPr>
                <w:rFonts w:cs="Arial"/>
                <w:color w:val="000000"/>
                <w:sz w:val="16"/>
                <w:szCs w:val="16"/>
              </w:rPr>
            </w:pPr>
            <w:r w:rsidRPr="00CC75F2">
              <w:rPr>
                <w:rFonts w:cs="Arial"/>
                <w:color w:val="000000"/>
                <w:sz w:val="16"/>
                <w:szCs w:val="16"/>
              </w:rPr>
              <w:t>F</w:t>
            </w:r>
            <w:r>
              <w:rPr>
                <w:rFonts w:cs="Arial"/>
                <w:color w:val="000000"/>
                <w:sz w:val="16"/>
                <w:szCs w:val="16"/>
              </w:rPr>
              <w:t>itzroy</w:t>
            </w:r>
          </w:p>
        </w:tc>
        <w:tc>
          <w:tcPr>
            <w:tcW w:w="1417" w:type="dxa"/>
            <w:tcBorders>
              <w:top w:val="nil"/>
              <w:left w:val="nil"/>
              <w:bottom w:val="single" w:sz="4" w:space="0" w:color="auto"/>
              <w:right w:val="single" w:sz="4" w:space="0" w:color="auto"/>
            </w:tcBorders>
            <w:shd w:val="clear" w:color="auto" w:fill="auto"/>
            <w:hideMark/>
          </w:tcPr>
          <w:p w:rsidR="00CC75F2" w:rsidRPr="00CC75F2" w:rsidRDefault="00CC75F2" w:rsidP="008B0CE7">
            <w:pPr>
              <w:jc w:val="center"/>
              <w:rPr>
                <w:rFonts w:cs="Arial"/>
                <w:color w:val="000000"/>
                <w:sz w:val="16"/>
                <w:szCs w:val="16"/>
              </w:rPr>
            </w:pPr>
            <w:r w:rsidRPr="00CC75F2">
              <w:rPr>
                <w:rFonts w:cs="Arial"/>
                <w:color w:val="000000"/>
                <w:sz w:val="16"/>
                <w:szCs w:val="16"/>
              </w:rPr>
              <w:t>W</w:t>
            </w:r>
            <w:r w:rsidR="008B0CE7">
              <w:rPr>
                <w:rFonts w:cs="Arial"/>
                <w:color w:val="000000"/>
                <w:sz w:val="16"/>
                <w:szCs w:val="16"/>
              </w:rPr>
              <w:t>hitlam Park</w:t>
            </w:r>
            <w:r w:rsidRPr="00CC75F2">
              <w:rPr>
                <w:rFonts w:cs="Arial"/>
                <w:color w:val="000000"/>
                <w:sz w:val="16"/>
                <w:szCs w:val="16"/>
              </w:rPr>
              <w:t xml:space="preserve"> </w:t>
            </w:r>
          </w:p>
        </w:tc>
        <w:tc>
          <w:tcPr>
            <w:tcW w:w="1276" w:type="dxa"/>
            <w:tcBorders>
              <w:top w:val="nil"/>
              <w:left w:val="nil"/>
              <w:bottom w:val="single" w:sz="4" w:space="0" w:color="auto"/>
              <w:right w:val="single" w:sz="4" w:space="0" w:color="auto"/>
            </w:tcBorders>
            <w:shd w:val="clear" w:color="auto" w:fill="auto"/>
            <w:hideMark/>
          </w:tcPr>
          <w:p w:rsidR="00CC75F2" w:rsidRPr="00CC75F2" w:rsidRDefault="00CC75F2" w:rsidP="00CC75F2">
            <w:pPr>
              <w:jc w:val="center"/>
              <w:rPr>
                <w:rFonts w:cs="Arial"/>
                <w:color w:val="000000"/>
                <w:sz w:val="16"/>
                <w:szCs w:val="16"/>
              </w:rPr>
            </w:pPr>
            <w:r w:rsidRPr="00CC75F2">
              <w:rPr>
                <w:rFonts w:cs="Arial"/>
                <w:color w:val="000000"/>
                <w:sz w:val="16"/>
                <w:szCs w:val="16"/>
              </w:rPr>
              <w:t>South Fitzroy Precinct</w:t>
            </w:r>
          </w:p>
        </w:tc>
        <w:tc>
          <w:tcPr>
            <w:tcW w:w="1134" w:type="dxa"/>
            <w:tcBorders>
              <w:top w:val="nil"/>
              <w:left w:val="nil"/>
              <w:bottom w:val="single" w:sz="4" w:space="0" w:color="auto"/>
              <w:right w:val="single" w:sz="4" w:space="0" w:color="auto"/>
            </w:tcBorders>
            <w:shd w:val="clear" w:color="auto" w:fill="auto"/>
            <w:hideMark/>
          </w:tcPr>
          <w:p w:rsidR="00CC75F2" w:rsidRPr="00CC75F2" w:rsidRDefault="00CC75F2" w:rsidP="00CC75F2">
            <w:pPr>
              <w:jc w:val="center"/>
              <w:rPr>
                <w:rFonts w:cs="Arial"/>
                <w:color w:val="000000"/>
                <w:sz w:val="16"/>
                <w:szCs w:val="16"/>
              </w:rPr>
            </w:pPr>
            <w:r w:rsidRPr="00CC75F2">
              <w:rPr>
                <w:rFonts w:cs="Arial"/>
                <w:color w:val="000000"/>
                <w:sz w:val="16"/>
                <w:szCs w:val="16"/>
              </w:rPr>
              <w:t>HO334</w:t>
            </w:r>
          </w:p>
        </w:tc>
        <w:tc>
          <w:tcPr>
            <w:tcW w:w="992" w:type="dxa"/>
            <w:tcBorders>
              <w:top w:val="nil"/>
              <w:left w:val="nil"/>
              <w:bottom w:val="single" w:sz="4" w:space="0" w:color="auto"/>
              <w:right w:val="single" w:sz="4" w:space="0" w:color="auto"/>
            </w:tcBorders>
            <w:shd w:val="clear" w:color="auto" w:fill="auto"/>
            <w:hideMark/>
          </w:tcPr>
          <w:p w:rsidR="00CC75F2" w:rsidRPr="00CC75F2" w:rsidRDefault="00CC75F2" w:rsidP="00CC75F2">
            <w:pPr>
              <w:jc w:val="center"/>
              <w:rPr>
                <w:rFonts w:cs="Arial"/>
                <w:color w:val="000000"/>
                <w:sz w:val="16"/>
                <w:szCs w:val="16"/>
              </w:rPr>
            </w:pPr>
            <w:r w:rsidRPr="00CC75F2">
              <w:rPr>
                <w:rFonts w:cs="Arial"/>
                <w:color w:val="000000"/>
                <w:sz w:val="16"/>
                <w:szCs w:val="16"/>
              </w:rPr>
              <w:t>N/A</w:t>
            </w:r>
          </w:p>
        </w:tc>
        <w:tc>
          <w:tcPr>
            <w:tcW w:w="1134" w:type="dxa"/>
            <w:tcBorders>
              <w:top w:val="nil"/>
              <w:left w:val="nil"/>
              <w:bottom w:val="single" w:sz="4" w:space="0" w:color="auto"/>
              <w:right w:val="single" w:sz="4" w:space="0" w:color="auto"/>
            </w:tcBorders>
            <w:shd w:val="clear" w:color="auto" w:fill="auto"/>
            <w:hideMark/>
          </w:tcPr>
          <w:p w:rsidR="00CC75F2" w:rsidRPr="00CC75F2" w:rsidRDefault="00CC75F2" w:rsidP="00373B8F">
            <w:pPr>
              <w:jc w:val="center"/>
              <w:rPr>
                <w:rFonts w:cs="Arial"/>
                <w:color w:val="000000"/>
                <w:sz w:val="16"/>
                <w:szCs w:val="16"/>
              </w:rPr>
            </w:pPr>
            <w:r w:rsidRPr="00CC75F2">
              <w:rPr>
                <w:rFonts w:cs="Arial"/>
                <w:color w:val="000000"/>
                <w:sz w:val="16"/>
                <w:szCs w:val="16"/>
              </w:rPr>
              <w:t>Precinct</w:t>
            </w:r>
          </w:p>
        </w:tc>
        <w:tc>
          <w:tcPr>
            <w:tcW w:w="1276" w:type="dxa"/>
            <w:tcBorders>
              <w:top w:val="nil"/>
              <w:left w:val="nil"/>
              <w:bottom w:val="single" w:sz="4" w:space="0" w:color="auto"/>
              <w:right w:val="single" w:sz="4" w:space="0" w:color="auto"/>
            </w:tcBorders>
            <w:shd w:val="clear" w:color="auto" w:fill="auto"/>
            <w:hideMark/>
          </w:tcPr>
          <w:p w:rsidR="00CC75F2" w:rsidRPr="00CC75F2" w:rsidRDefault="00CC75F2" w:rsidP="00CC75F2">
            <w:pPr>
              <w:jc w:val="center"/>
              <w:rPr>
                <w:rFonts w:cs="Arial"/>
                <w:color w:val="000000"/>
                <w:sz w:val="16"/>
                <w:szCs w:val="16"/>
              </w:rPr>
            </w:pPr>
            <w:r w:rsidRPr="00CC75F2">
              <w:rPr>
                <w:rFonts w:cs="Arial"/>
                <w:color w:val="000000"/>
                <w:sz w:val="16"/>
                <w:szCs w:val="16"/>
              </w:rPr>
              <w:t>Not contributory</w:t>
            </w:r>
          </w:p>
        </w:tc>
        <w:tc>
          <w:tcPr>
            <w:tcW w:w="2835" w:type="dxa"/>
            <w:tcBorders>
              <w:top w:val="nil"/>
              <w:left w:val="nil"/>
              <w:bottom w:val="single" w:sz="4" w:space="0" w:color="auto"/>
              <w:right w:val="single" w:sz="4" w:space="0" w:color="auto"/>
            </w:tcBorders>
            <w:shd w:val="clear" w:color="auto" w:fill="auto"/>
            <w:hideMark/>
          </w:tcPr>
          <w:p w:rsidR="00CC75F2" w:rsidRPr="00CC75F2" w:rsidRDefault="00CC75F2" w:rsidP="00CC75F2">
            <w:pPr>
              <w:jc w:val="left"/>
              <w:rPr>
                <w:rFonts w:cs="Arial"/>
                <w:color w:val="000000"/>
                <w:sz w:val="16"/>
                <w:szCs w:val="16"/>
              </w:rPr>
            </w:pPr>
            <w:r w:rsidRPr="00CC75F2">
              <w:rPr>
                <w:rFonts w:cs="Arial"/>
                <w:color w:val="000000"/>
                <w:sz w:val="16"/>
                <w:szCs w:val="16"/>
              </w:rPr>
              <w:t>External controls apply to the buildings and land. No internal controls, no tree controls and no external paint controls apply</w:t>
            </w:r>
          </w:p>
        </w:tc>
        <w:tc>
          <w:tcPr>
            <w:tcW w:w="2693" w:type="dxa"/>
            <w:tcBorders>
              <w:top w:val="nil"/>
              <w:left w:val="nil"/>
              <w:bottom w:val="single" w:sz="4" w:space="0" w:color="auto"/>
              <w:right w:val="single" w:sz="4" w:space="0" w:color="auto"/>
            </w:tcBorders>
            <w:shd w:val="clear" w:color="auto" w:fill="auto"/>
            <w:hideMark/>
          </w:tcPr>
          <w:p w:rsidR="00CC75F2" w:rsidRPr="00CC75F2" w:rsidRDefault="00CC75F2" w:rsidP="00622DC3">
            <w:pPr>
              <w:jc w:val="left"/>
              <w:rPr>
                <w:rFonts w:cs="Arial"/>
                <w:color w:val="000000"/>
                <w:sz w:val="16"/>
                <w:szCs w:val="16"/>
              </w:rPr>
            </w:pPr>
            <w:r w:rsidRPr="00CC75F2">
              <w:rPr>
                <w:rFonts w:cs="Arial"/>
                <w:color w:val="000000"/>
                <w:sz w:val="16"/>
                <w:szCs w:val="16"/>
              </w:rPr>
              <w:t xml:space="preserve">Physical changes to the park would normally require approval under the Heritage Overlay from the </w:t>
            </w:r>
            <w:r w:rsidR="00622DC3" w:rsidRPr="00CC75F2">
              <w:rPr>
                <w:rFonts w:cs="Arial"/>
                <w:color w:val="000000"/>
                <w:sz w:val="16"/>
                <w:szCs w:val="16"/>
              </w:rPr>
              <w:t>Yarra</w:t>
            </w:r>
            <w:r w:rsidR="00622DC3">
              <w:rPr>
                <w:rFonts w:cs="Arial"/>
                <w:color w:val="000000"/>
                <w:sz w:val="16"/>
                <w:szCs w:val="16"/>
              </w:rPr>
              <w:t xml:space="preserve"> City Council.</w:t>
            </w:r>
          </w:p>
        </w:tc>
      </w:tr>
      <w:tr w:rsidR="008B0CE7" w:rsidRPr="00CC75F2" w:rsidTr="00EA18F9">
        <w:trPr>
          <w:cantSplit/>
          <w:trHeight w:val="720"/>
        </w:trPr>
        <w:tc>
          <w:tcPr>
            <w:tcW w:w="1433" w:type="dxa"/>
            <w:tcBorders>
              <w:top w:val="nil"/>
              <w:left w:val="single" w:sz="4" w:space="0" w:color="auto"/>
              <w:bottom w:val="single" w:sz="4" w:space="0" w:color="auto"/>
              <w:right w:val="single" w:sz="4" w:space="0" w:color="auto"/>
            </w:tcBorders>
            <w:shd w:val="clear" w:color="auto" w:fill="auto"/>
            <w:hideMark/>
          </w:tcPr>
          <w:p w:rsidR="00CC75F2" w:rsidRPr="00CC75F2" w:rsidRDefault="00CC75F2" w:rsidP="00CC75F2">
            <w:pPr>
              <w:jc w:val="left"/>
              <w:rPr>
                <w:rFonts w:cs="Arial"/>
                <w:color w:val="000000"/>
                <w:sz w:val="16"/>
                <w:szCs w:val="16"/>
              </w:rPr>
            </w:pPr>
            <w:r w:rsidRPr="00CC75F2">
              <w:rPr>
                <w:rFonts w:cs="Arial"/>
                <w:color w:val="000000"/>
                <w:sz w:val="16"/>
                <w:szCs w:val="16"/>
              </w:rPr>
              <w:t>Newry Street 36</w:t>
            </w:r>
          </w:p>
        </w:tc>
        <w:tc>
          <w:tcPr>
            <w:tcW w:w="1134" w:type="dxa"/>
            <w:tcBorders>
              <w:top w:val="nil"/>
              <w:left w:val="nil"/>
              <w:bottom w:val="single" w:sz="4" w:space="0" w:color="auto"/>
              <w:right w:val="single" w:sz="4" w:space="0" w:color="auto"/>
            </w:tcBorders>
            <w:shd w:val="clear" w:color="auto" w:fill="auto"/>
            <w:hideMark/>
          </w:tcPr>
          <w:p w:rsidR="00CC75F2" w:rsidRPr="00CC75F2" w:rsidRDefault="00CC75F2" w:rsidP="008B0CE7">
            <w:pPr>
              <w:jc w:val="center"/>
              <w:rPr>
                <w:rFonts w:cs="Arial"/>
                <w:color w:val="000000"/>
                <w:sz w:val="16"/>
                <w:szCs w:val="16"/>
              </w:rPr>
            </w:pPr>
            <w:r w:rsidRPr="00CC75F2">
              <w:rPr>
                <w:rFonts w:cs="Arial"/>
                <w:color w:val="000000"/>
                <w:sz w:val="16"/>
                <w:szCs w:val="16"/>
              </w:rPr>
              <w:t>C</w:t>
            </w:r>
            <w:r w:rsidR="008B0CE7">
              <w:rPr>
                <w:rFonts w:cs="Arial"/>
                <w:color w:val="000000"/>
                <w:sz w:val="16"/>
                <w:szCs w:val="16"/>
              </w:rPr>
              <w:t>arlton North</w:t>
            </w:r>
          </w:p>
        </w:tc>
        <w:tc>
          <w:tcPr>
            <w:tcW w:w="1417" w:type="dxa"/>
            <w:tcBorders>
              <w:top w:val="nil"/>
              <w:left w:val="nil"/>
              <w:bottom w:val="single" w:sz="4" w:space="0" w:color="auto"/>
              <w:right w:val="single" w:sz="4" w:space="0" w:color="auto"/>
            </w:tcBorders>
            <w:shd w:val="clear" w:color="auto" w:fill="auto"/>
            <w:hideMark/>
          </w:tcPr>
          <w:p w:rsidR="00CC75F2" w:rsidRPr="00CC75F2" w:rsidRDefault="00CC75F2" w:rsidP="005E5635">
            <w:pPr>
              <w:jc w:val="center"/>
              <w:rPr>
                <w:rFonts w:cs="Arial"/>
                <w:color w:val="000000"/>
                <w:sz w:val="16"/>
                <w:szCs w:val="16"/>
              </w:rPr>
            </w:pPr>
            <w:r w:rsidRPr="00CC75F2">
              <w:rPr>
                <w:rFonts w:cs="Arial"/>
                <w:color w:val="000000"/>
                <w:sz w:val="16"/>
                <w:szCs w:val="16"/>
              </w:rPr>
              <w:t>L</w:t>
            </w:r>
            <w:r w:rsidR="008B0CE7">
              <w:rPr>
                <w:rFonts w:cs="Arial"/>
                <w:color w:val="000000"/>
                <w:sz w:val="16"/>
                <w:szCs w:val="16"/>
              </w:rPr>
              <w:t>ady Gowrie Land</w:t>
            </w:r>
          </w:p>
        </w:tc>
        <w:tc>
          <w:tcPr>
            <w:tcW w:w="1276" w:type="dxa"/>
            <w:tcBorders>
              <w:top w:val="nil"/>
              <w:left w:val="nil"/>
              <w:bottom w:val="single" w:sz="4" w:space="0" w:color="auto"/>
              <w:right w:val="single" w:sz="4" w:space="0" w:color="auto"/>
            </w:tcBorders>
            <w:shd w:val="clear" w:color="auto" w:fill="auto"/>
            <w:hideMark/>
          </w:tcPr>
          <w:p w:rsidR="00CC75F2" w:rsidRPr="00CC75F2" w:rsidRDefault="00CC75F2" w:rsidP="00CC75F2">
            <w:pPr>
              <w:jc w:val="center"/>
              <w:rPr>
                <w:rFonts w:cs="Arial"/>
                <w:color w:val="000000"/>
                <w:sz w:val="16"/>
                <w:szCs w:val="16"/>
              </w:rPr>
            </w:pPr>
            <w:r w:rsidRPr="00CC75F2">
              <w:rPr>
                <w:rFonts w:cs="Arial"/>
                <w:color w:val="000000"/>
                <w:sz w:val="16"/>
                <w:szCs w:val="16"/>
              </w:rPr>
              <w:t>North Carlton Precinct</w:t>
            </w:r>
          </w:p>
        </w:tc>
        <w:tc>
          <w:tcPr>
            <w:tcW w:w="1134" w:type="dxa"/>
            <w:tcBorders>
              <w:top w:val="nil"/>
              <w:left w:val="nil"/>
              <w:bottom w:val="single" w:sz="4" w:space="0" w:color="auto"/>
              <w:right w:val="single" w:sz="4" w:space="0" w:color="auto"/>
            </w:tcBorders>
            <w:shd w:val="clear" w:color="auto" w:fill="auto"/>
            <w:hideMark/>
          </w:tcPr>
          <w:p w:rsidR="00CC75F2" w:rsidRPr="00CC75F2" w:rsidRDefault="00CC75F2" w:rsidP="00CC75F2">
            <w:pPr>
              <w:jc w:val="center"/>
              <w:rPr>
                <w:rFonts w:cs="Arial"/>
                <w:color w:val="000000"/>
                <w:sz w:val="16"/>
                <w:szCs w:val="16"/>
              </w:rPr>
            </w:pPr>
            <w:r w:rsidRPr="00CC75F2">
              <w:rPr>
                <w:rFonts w:cs="Arial"/>
                <w:color w:val="000000"/>
                <w:sz w:val="16"/>
                <w:szCs w:val="16"/>
              </w:rPr>
              <w:t>HO326</w:t>
            </w:r>
          </w:p>
        </w:tc>
        <w:tc>
          <w:tcPr>
            <w:tcW w:w="992" w:type="dxa"/>
            <w:tcBorders>
              <w:top w:val="nil"/>
              <w:left w:val="nil"/>
              <w:bottom w:val="single" w:sz="4" w:space="0" w:color="auto"/>
              <w:right w:val="single" w:sz="4" w:space="0" w:color="auto"/>
            </w:tcBorders>
            <w:shd w:val="clear" w:color="auto" w:fill="auto"/>
            <w:hideMark/>
          </w:tcPr>
          <w:p w:rsidR="00CC75F2" w:rsidRPr="00CC75F2" w:rsidRDefault="00CC75F2" w:rsidP="00CC75F2">
            <w:pPr>
              <w:jc w:val="center"/>
              <w:rPr>
                <w:rFonts w:cs="Arial"/>
                <w:color w:val="000000"/>
                <w:sz w:val="16"/>
                <w:szCs w:val="16"/>
              </w:rPr>
            </w:pPr>
            <w:r w:rsidRPr="00CC75F2">
              <w:rPr>
                <w:rFonts w:cs="Arial"/>
                <w:color w:val="000000"/>
                <w:sz w:val="16"/>
                <w:szCs w:val="16"/>
              </w:rPr>
              <w:t>N/A</w:t>
            </w:r>
          </w:p>
        </w:tc>
        <w:tc>
          <w:tcPr>
            <w:tcW w:w="1134" w:type="dxa"/>
            <w:tcBorders>
              <w:top w:val="nil"/>
              <w:left w:val="nil"/>
              <w:bottom w:val="single" w:sz="4" w:space="0" w:color="auto"/>
              <w:right w:val="single" w:sz="4" w:space="0" w:color="auto"/>
            </w:tcBorders>
            <w:shd w:val="clear" w:color="auto" w:fill="auto"/>
            <w:hideMark/>
          </w:tcPr>
          <w:p w:rsidR="00CC75F2" w:rsidRPr="00CC75F2" w:rsidRDefault="00CC75F2" w:rsidP="00373B8F">
            <w:pPr>
              <w:jc w:val="center"/>
              <w:rPr>
                <w:rFonts w:cs="Arial"/>
                <w:color w:val="000000"/>
                <w:sz w:val="16"/>
                <w:szCs w:val="16"/>
              </w:rPr>
            </w:pPr>
            <w:r w:rsidRPr="00CC75F2">
              <w:rPr>
                <w:rFonts w:cs="Arial"/>
                <w:color w:val="000000"/>
                <w:sz w:val="16"/>
                <w:szCs w:val="16"/>
              </w:rPr>
              <w:t>Precinct</w:t>
            </w:r>
          </w:p>
        </w:tc>
        <w:tc>
          <w:tcPr>
            <w:tcW w:w="1276" w:type="dxa"/>
            <w:tcBorders>
              <w:top w:val="nil"/>
              <w:left w:val="nil"/>
              <w:bottom w:val="single" w:sz="4" w:space="0" w:color="auto"/>
              <w:right w:val="single" w:sz="4" w:space="0" w:color="auto"/>
            </w:tcBorders>
            <w:shd w:val="clear" w:color="auto" w:fill="auto"/>
            <w:hideMark/>
          </w:tcPr>
          <w:p w:rsidR="00CC75F2" w:rsidRPr="00CC75F2" w:rsidRDefault="00CC75F2" w:rsidP="00CC75F2">
            <w:pPr>
              <w:jc w:val="center"/>
              <w:rPr>
                <w:rFonts w:cs="Arial"/>
                <w:color w:val="000000"/>
                <w:sz w:val="16"/>
                <w:szCs w:val="16"/>
              </w:rPr>
            </w:pPr>
            <w:r w:rsidRPr="00CC75F2">
              <w:rPr>
                <w:rFonts w:cs="Arial"/>
                <w:color w:val="000000"/>
                <w:sz w:val="16"/>
                <w:szCs w:val="16"/>
              </w:rPr>
              <w:t>Individually significant</w:t>
            </w:r>
          </w:p>
        </w:tc>
        <w:tc>
          <w:tcPr>
            <w:tcW w:w="2835" w:type="dxa"/>
            <w:tcBorders>
              <w:top w:val="nil"/>
              <w:left w:val="nil"/>
              <w:bottom w:val="single" w:sz="4" w:space="0" w:color="auto"/>
              <w:right w:val="single" w:sz="4" w:space="0" w:color="auto"/>
            </w:tcBorders>
            <w:shd w:val="clear" w:color="auto" w:fill="auto"/>
            <w:hideMark/>
          </w:tcPr>
          <w:p w:rsidR="00CC75F2" w:rsidRPr="00CC75F2" w:rsidRDefault="00CC75F2" w:rsidP="00CC75F2">
            <w:pPr>
              <w:jc w:val="left"/>
              <w:rPr>
                <w:rFonts w:cs="Arial"/>
                <w:color w:val="000000"/>
                <w:sz w:val="16"/>
                <w:szCs w:val="16"/>
              </w:rPr>
            </w:pPr>
            <w:r w:rsidRPr="00CC75F2">
              <w:rPr>
                <w:rFonts w:cs="Arial"/>
                <w:color w:val="000000"/>
                <w:sz w:val="16"/>
                <w:szCs w:val="16"/>
              </w:rPr>
              <w:t>External controls apply to the building and land, no internal controls, no tree controls and no external paint controls apply</w:t>
            </w:r>
          </w:p>
        </w:tc>
        <w:tc>
          <w:tcPr>
            <w:tcW w:w="2693" w:type="dxa"/>
            <w:tcBorders>
              <w:top w:val="nil"/>
              <w:left w:val="nil"/>
              <w:bottom w:val="single" w:sz="4" w:space="0" w:color="auto"/>
              <w:right w:val="single" w:sz="4" w:space="0" w:color="auto"/>
            </w:tcBorders>
            <w:shd w:val="clear" w:color="auto" w:fill="auto"/>
            <w:hideMark/>
          </w:tcPr>
          <w:p w:rsidR="00CC75F2" w:rsidRPr="00CC75F2" w:rsidRDefault="00CC75F2" w:rsidP="00CC75F2">
            <w:pPr>
              <w:jc w:val="left"/>
              <w:rPr>
                <w:rFonts w:cs="Arial"/>
                <w:color w:val="000000"/>
                <w:sz w:val="16"/>
                <w:szCs w:val="16"/>
              </w:rPr>
            </w:pPr>
            <w:r w:rsidRPr="00CC75F2">
              <w:rPr>
                <w:rFonts w:cs="Arial"/>
                <w:color w:val="000000"/>
                <w:sz w:val="16"/>
                <w:szCs w:val="16"/>
              </w:rPr>
              <w:t> </w:t>
            </w:r>
          </w:p>
        </w:tc>
      </w:tr>
      <w:tr w:rsidR="008B0CE7" w:rsidRPr="00CC75F2" w:rsidTr="00EA18F9">
        <w:trPr>
          <w:cantSplit/>
          <w:trHeight w:val="720"/>
        </w:trPr>
        <w:tc>
          <w:tcPr>
            <w:tcW w:w="1433" w:type="dxa"/>
            <w:tcBorders>
              <w:top w:val="nil"/>
              <w:left w:val="single" w:sz="4" w:space="0" w:color="auto"/>
              <w:bottom w:val="single" w:sz="4" w:space="0" w:color="auto"/>
              <w:right w:val="single" w:sz="4" w:space="0" w:color="auto"/>
            </w:tcBorders>
            <w:shd w:val="clear" w:color="auto" w:fill="auto"/>
            <w:hideMark/>
          </w:tcPr>
          <w:p w:rsidR="00CC75F2" w:rsidRPr="00CC75F2" w:rsidRDefault="00CC75F2" w:rsidP="00CC75F2">
            <w:pPr>
              <w:jc w:val="left"/>
              <w:rPr>
                <w:rFonts w:cs="Arial"/>
                <w:color w:val="000000"/>
                <w:sz w:val="16"/>
                <w:szCs w:val="16"/>
              </w:rPr>
            </w:pPr>
            <w:r w:rsidRPr="00CC75F2">
              <w:rPr>
                <w:rFonts w:cs="Arial"/>
                <w:color w:val="000000"/>
                <w:sz w:val="16"/>
                <w:szCs w:val="16"/>
              </w:rPr>
              <w:t>Nicholson Street</w:t>
            </w:r>
          </w:p>
        </w:tc>
        <w:tc>
          <w:tcPr>
            <w:tcW w:w="1134" w:type="dxa"/>
            <w:tcBorders>
              <w:top w:val="nil"/>
              <w:left w:val="nil"/>
              <w:bottom w:val="single" w:sz="4" w:space="0" w:color="auto"/>
              <w:right w:val="single" w:sz="4" w:space="0" w:color="auto"/>
            </w:tcBorders>
            <w:shd w:val="clear" w:color="auto" w:fill="auto"/>
            <w:hideMark/>
          </w:tcPr>
          <w:p w:rsidR="00CC75F2" w:rsidRPr="00CC75F2" w:rsidRDefault="008B0CE7" w:rsidP="00CC75F2">
            <w:pPr>
              <w:jc w:val="center"/>
              <w:rPr>
                <w:rFonts w:cs="Arial"/>
                <w:color w:val="000000"/>
                <w:sz w:val="16"/>
                <w:szCs w:val="16"/>
              </w:rPr>
            </w:pPr>
            <w:r w:rsidRPr="00CC75F2">
              <w:rPr>
                <w:rFonts w:cs="Arial"/>
                <w:color w:val="000000"/>
                <w:sz w:val="16"/>
                <w:szCs w:val="16"/>
              </w:rPr>
              <w:t>A</w:t>
            </w:r>
            <w:r>
              <w:rPr>
                <w:rFonts w:cs="Arial"/>
                <w:color w:val="000000"/>
                <w:sz w:val="16"/>
                <w:szCs w:val="16"/>
              </w:rPr>
              <w:t>bbotsford</w:t>
            </w:r>
          </w:p>
        </w:tc>
        <w:tc>
          <w:tcPr>
            <w:tcW w:w="1417" w:type="dxa"/>
            <w:tcBorders>
              <w:top w:val="nil"/>
              <w:left w:val="nil"/>
              <w:bottom w:val="single" w:sz="4" w:space="0" w:color="auto"/>
              <w:right w:val="single" w:sz="4" w:space="0" w:color="auto"/>
            </w:tcBorders>
            <w:shd w:val="clear" w:color="auto" w:fill="auto"/>
            <w:hideMark/>
          </w:tcPr>
          <w:p w:rsidR="00CC75F2" w:rsidRPr="00CC75F2" w:rsidRDefault="00CC75F2" w:rsidP="008B0CE7">
            <w:pPr>
              <w:jc w:val="center"/>
              <w:rPr>
                <w:rFonts w:cs="Arial"/>
                <w:color w:val="000000"/>
                <w:sz w:val="16"/>
                <w:szCs w:val="16"/>
              </w:rPr>
            </w:pPr>
            <w:r w:rsidRPr="00CC75F2">
              <w:rPr>
                <w:rFonts w:cs="Arial"/>
                <w:color w:val="000000"/>
                <w:sz w:val="16"/>
                <w:szCs w:val="16"/>
              </w:rPr>
              <w:t>B</w:t>
            </w:r>
            <w:r w:rsidR="008B0CE7">
              <w:rPr>
                <w:rFonts w:cs="Arial"/>
                <w:color w:val="000000"/>
                <w:sz w:val="16"/>
                <w:szCs w:val="16"/>
              </w:rPr>
              <w:t>rown Reserve</w:t>
            </w:r>
          </w:p>
        </w:tc>
        <w:tc>
          <w:tcPr>
            <w:tcW w:w="1276" w:type="dxa"/>
            <w:tcBorders>
              <w:top w:val="nil"/>
              <w:left w:val="nil"/>
              <w:bottom w:val="single" w:sz="4" w:space="0" w:color="auto"/>
              <w:right w:val="single" w:sz="4" w:space="0" w:color="auto"/>
            </w:tcBorders>
            <w:shd w:val="clear" w:color="auto" w:fill="auto"/>
            <w:hideMark/>
          </w:tcPr>
          <w:p w:rsidR="00CC75F2" w:rsidRPr="00CC75F2" w:rsidRDefault="00CC75F2" w:rsidP="00CC75F2">
            <w:pPr>
              <w:jc w:val="center"/>
              <w:rPr>
                <w:rFonts w:cs="Arial"/>
                <w:color w:val="000000"/>
                <w:sz w:val="16"/>
                <w:szCs w:val="16"/>
              </w:rPr>
            </w:pPr>
            <w:r w:rsidRPr="00CC75F2">
              <w:rPr>
                <w:rFonts w:cs="Arial"/>
                <w:color w:val="000000"/>
                <w:sz w:val="16"/>
                <w:szCs w:val="16"/>
              </w:rPr>
              <w:t>Charles Street Precinct</w:t>
            </w:r>
          </w:p>
        </w:tc>
        <w:tc>
          <w:tcPr>
            <w:tcW w:w="1134" w:type="dxa"/>
            <w:tcBorders>
              <w:top w:val="nil"/>
              <w:left w:val="nil"/>
              <w:bottom w:val="single" w:sz="4" w:space="0" w:color="auto"/>
              <w:right w:val="single" w:sz="4" w:space="0" w:color="auto"/>
            </w:tcBorders>
            <w:shd w:val="clear" w:color="auto" w:fill="auto"/>
            <w:hideMark/>
          </w:tcPr>
          <w:p w:rsidR="00CC75F2" w:rsidRPr="00CC75F2" w:rsidRDefault="00CC75F2" w:rsidP="00CC75F2">
            <w:pPr>
              <w:jc w:val="center"/>
              <w:rPr>
                <w:rFonts w:cs="Arial"/>
                <w:color w:val="000000"/>
                <w:sz w:val="16"/>
                <w:szCs w:val="16"/>
              </w:rPr>
            </w:pPr>
            <w:r w:rsidRPr="00CC75F2">
              <w:rPr>
                <w:rFonts w:cs="Arial"/>
                <w:color w:val="000000"/>
                <w:sz w:val="16"/>
                <w:szCs w:val="16"/>
              </w:rPr>
              <w:t xml:space="preserve"> HO313</w:t>
            </w:r>
          </w:p>
        </w:tc>
        <w:tc>
          <w:tcPr>
            <w:tcW w:w="992" w:type="dxa"/>
            <w:tcBorders>
              <w:top w:val="nil"/>
              <w:left w:val="nil"/>
              <w:bottom w:val="single" w:sz="4" w:space="0" w:color="auto"/>
              <w:right w:val="single" w:sz="4" w:space="0" w:color="auto"/>
            </w:tcBorders>
            <w:shd w:val="clear" w:color="auto" w:fill="auto"/>
            <w:hideMark/>
          </w:tcPr>
          <w:p w:rsidR="00CC75F2" w:rsidRPr="00CC75F2" w:rsidRDefault="00CC75F2" w:rsidP="00CC75F2">
            <w:pPr>
              <w:jc w:val="center"/>
              <w:rPr>
                <w:rFonts w:cs="Arial"/>
                <w:color w:val="000000"/>
                <w:sz w:val="16"/>
                <w:szCs w:val="16"/>
              </w:rPr>
            </w:pPr>
            <w:r w:rsidRPr="00CC75F2">
              <w:rPr>
                <w:rFonts w:cs="Arial"/>
                <w:color w:val="000000"/>
                <w:sz w:val="16"/>
                <w:szCs w:val="16"/>
              </w:rPr>
              <w:t>N/A</w:t>
            </w:r>
          </w:p>
        </w:tc>
        <w:tc>
          <w:tcPr>
            <w:tcW w:w="1134" w:type="dxa"/>
            <w:tcBorders>
              <w:top w:val="nil"/>
              <w:left w:val="nil"/>
              <w:bottom w:val="single" w:sz="4" w:space="0" w:color="auto"/>
              <w:right w:val="single" w:sz="4" w:space="0" w:color="auto"/>
            </w:tcBorders>
            <w:shd w:val="clear" w:color="auto" w:fill="auto"/>
            <w:hideMark/>
          </w:tcPr>
          <w:p w:rsidR="00CC75F2" w:rsidRPr="00CC75F2" w:rsidRDefault="00CC75F2" w:rsidP="00373B8F">
            <w:pPr>
              <w:jc w:val="center"/>
              <w:rPr>
                <w:rFonts w:cs="Arial"/>
                <w:color w:val="000000"/>
                <w:sz w:val="16"/>
                <w:szCs w:val="16"/>
              </w:rPr>
            </w:pPr>
            <w:r w:rsidRPr="00CC75F2">
              <w:rPr>
                <w:rFonts w:cs="Arial"/>
                <w:color w:val="000000"/>
                <w:sz w:val="16"/>
                <w:szCs w:val="16"/>
              </w:rPr>
              <w:t>Precinct</w:t>
            </w:r>
          </w:p>
        </w:tc>
        <w:tc>
          <w:tcPr>
            <w:tcW w:w="1276" w:type="dxa"/>
            <w:tcBorders>
              <w:top w:val="nil"/>
              <w:left w:val="nil"/>
              <w:bottom w:val="single" w:sz="4" w:space="0" w:color="auto"/>
              <w:right w:val="single" w:sz="4" w:space="0" w:color="auto"/>
            </w:tcBorders>
            <w:shd w:val="clear" w:color="auto" w:fill="auto"/>
            <w:hideMark/>
          </w:tcPr>
          <w:p w:rsidR="00CC75F2" w:rsidRPr="00CC75F2" w:rsidRDefault="00CC75F2" w:rsidP="00CC75F2">
            <w:pPr>
              <w:jc w:val="center"/>
              <w:rPr>
                <w:rFonts w:cs="Arial"/>
                <w:color w:val="000000"/>
                <w:sz w:val="16"/>
                <w:szCs w:val="16"/>
              </w:rPr>
            </w:pPr>
            <w:r w:rsidRPr="00CC75F2">
              <w:rPr>
                <w:rFonts w:cs="Arial"/>
                <w:color w:val="000000"/>
                <w:sz w:val="16"/>
                <w:szCs w:val="16"/>
              </w:rPr>
              <w:t>No grading identified</w:t>
            </w:r>
          </w:p>
        </w:tc>
        <w:tc>
          <w:tcPr>
            <w:tcW w:w="2835" w:type="dxa"/>
            <w:tcBorders>
              <w:top w:val="nil"/>
              <w:left w:val="nil"/>
              <w:bottom w:val="single" w:sz="4" w:space="0" w:color="auto"/>
              <w:right w:val="single" w:sz="4" w:space="0" w:color="auto"/>
            </w:tcBorders>
            <w:shd w:val="clear" w:color="auto" w:fill="auto"/>
            <w:hideMark/>
          </w:tcPr>
          <w:p w:rsidR="00CC75F2" w:rsidRPr="00CC75F2" w:rsidRDefault="00CC75F2" w:rsidP="00CC75F2">
            <w:pPr>
              <w:jc w:val="left"/>
              <w:rPr>
                <w:rFonts w:cs="Arial"/>
                <w:color w:val="000000"/>
                <w:sz w:val="16"/>
                <w:szCs w:val="16"/>
              </w:rPr>
            </w:pPr>
            <w:r w:rsidRPr="00CC75F2">
              <w:rPr>
                <w:rFonts w:cs="Arial"/>
                <w:color w:val="000000"/>
                <w:sz w:val="16"/>
                <w:szCs w:val="16"/>
              </w:rPr>
              <w:t>External controls apply to the buildings land, no internal controls, no tree controls and no external paint controls apply</w:t>
            </w:r>
          </w:p>
        </w:tc>
        <w:tc>
          <w:tcPr>
            <w:tcW w:w="2693" w:type="dxa"/>
            <w:tcBorders>
              <w:top w:val="nil"/>
              <w:left w:val="nil"/>
              <w:bottom w:val="single" w:sz="4" w:space="0" w:color="auto"/>
              <w:right w:val="single" w:sz="4" w:space="0" w:color="auto"/>
            </w:tcBorders>
            <w:shd w:val="clear" w:color="auto" w:fill="auto"/>
            <w:hideMark/>
          </w:tcPr>
          <w:p w:rsidR="00CC75F2" w:rsidRPr="00CC75F2" w:rsidRDefault="00CC75F2" w:rsidP="00CC75F2">
            <w:pPr>
              <w:jc w:val="left"/>
              <w:rPr>
                <w:rFonts w:cs="Arial"/>
                <w:color w:val="000000"/>
                <w:sz w:val="16"/>
                <w:szCs w:val="16"/>
              </w:rPr>
            </w:pPr>
            <w:r w:rsidRPr="00CC75F2">
              <w:rPr>
                <w:rFonts w:cs="Arial"/>
                <w:color w:val="000000"/>
                <w:sz w:val="16"/>
                <w:szCs w:val="16"/>
              </w:rPr>
              <w:t xml:space="preserve">No street number is given (the property is located between 138 and 160 Nicholson Street, Abbotsford on Land Victoria website). </w:t>
            </w:r>
          </w:p>
        </w:tc>
      </w:tr>
      <w:tr w:rsidR="008B0CE7" w:rsidRPr="00CC75F2" w:rsidTr="00EA18F9">
        <w:trPr>
          <w:cantSplit/>
          <w:trHeight w:val="720"/>
        </w:trPr>
        <w:tc>
          <w:tcPr>
            <w:tcW w:w="1433" w:type="dxa"/>
            <w:tcBorders>
              <w:top w:val="nil"/>
              <w:left w:val="single" w:sz="4" w:space="0" w:color="auto"/>
              <w:bottom w:val="single" w:sz="4" w:space="0" w:color="auto"/>
              <w:right w:val="single" w:sz="4" w:space="0" w:color="auto"/>
            </w:tcBorders>
            <w:shd w:val="clear" w:color="auto" w:fill="auto"/>
            <w:hideMark/>
          </w:tcPr>
          <w:p w:rsidR="00CC75F2" w:rsidRPr="00CC75F2" w:rsidRDefault="00CC75F2" w:rsidP="00CC75F2">
            <w:pPr>
              <w:jc w:val="left"/>
              <w:rPr>
                <w:rFonts w:cs="Arial"/>
                <w:color w:val="000000"/>
                <w:sz w:val="16"/>
                <w:szCs w:val="16"/>
              </w:rPr>
            </w:pPr>
            <w:r w:rsidRPr="00CC75F2">
              <w:rPr>
                <w:rFonts w:cs="Arial"/>
                <w:color w:val="000000"/>
                <w:sz w:val="16"/>
                <w:szCs w:val="16"/>
              </w:rPr>
              <w:t>Nicholson Street 890</w:t>
            </w:r>
          </w:p>
        </w:tc>
        <w:tc>
          <w:tcPr>
            <w:tcW w:w="1134" w:type="dxa"/>
            <w:tcBorders>
              <w:top w:val="nil"/>
              <w:left w:val="nil"/>
              <w:bottom w:val="single" w:sz="4" w:space="0" w:color="auto"/>
              <w:right w:val="single" w:sz="4" w:space="0" w:color="auto"/>
            </w:tcBorders>
            <w:shd w:val="clear" w:color="auto" w:fill="auto"/>
            <w:hideMark/>
          </w:tcPr>
          <w:p w:rsidR="00CC75F2" w:rsidRPr="00CC75F2" w:rsidRDefault="008B0CE7" w:rsidP="00CC75F2">
            <w:pPr>
              <w:jc w:val="center"/>
              <w:rPr>
                <w:rFonts w:cs="Arial"/>
                <w:color w:val="000000"/>
                <w:sz w:val="16"/>
                <w:szCs w:val="16"/>
              </w:rPr>
            </w:pPr>
            <w:r w:rsidRPr="00CC75F2">
              <w:rPr>
                <w:rFonts w:cs="Arial"/>
                <w:color w:val="000000"/>
                <w:sz w:val="16"/>
                <w:szCs w:val="16"/>
              </w:rPr>
              <w:t>F</w:t>
            </w:r>
            <w:r>
              <w:rPr>
                <w:rFonts w:cs="Arial"/>
                <w:color w:val="000000"/>
                <w:sz w:val="16"/>
                <w:szCs w:val="16"/>
              </w:rPr>
              <w:t>itzroy North</w:t>
            </w:r>
          </w:p>
        </w:tc>
        <w:tc>
          <w:tcPr>
            <w:tcW w:w="1417" w:type="dxa"/>
            <w:tcBorders>
              <w:top w:val="nil"/>
              <w:left w:val="nil"/>
              <w:bottom w:val="single" w:sz="4" w:space="0" w:color="auto"/>
              <w:right w:val="single" w:sz="4" w:space="0" w:color="auto"/>
            </w:tcBorders>
            <w:shd w:val="clear" w:color="auto" w:fill="auto"/>
            <w:hideMark/>
          </w:tcPr>
          <w:p w:rsidR="00CC75F2" w:rsidRPr="00CC75F2" w:rsidRDefault="00CC75F2" w:rsidP="008B0CE7">
            <w:pPr>
              <w:jc w:val="center"/>
              <w:rPr>
                <w:rFonts w:cs="Arial"/>
                <w:color w:val="000000"/>
                <w:sz w:val="16"/>
                <w:szCs w:val="16"/>
              </w:rPr>
            </w:pPr>
            <w:r w:rsidRPr="00CC75F2">
              <w:rPr>
                <w:rFonts w:cs="Arial"/>
                <w:color w:val="000000"/>
                <w:sz w:val="16"/>
                <w:szCs w:val="16"/>
              </w:rPr>
              <w:t>L</w:t>
            </w:r>
            <w:r w:rsidR="008B0CE7">
              <w:rPr>
                <w:rFonts w:cs="Arial"/>
                <w:color w:val="000000"/>
                <w:sz w:val="16"/>
                <w:szCs w:val="16"/>
              </w:rPr>
              <w:t>angdon Reserve</w:t>
            </w:r>
          </w:p>
        </w:tc>
        <w:tc>
          <w:tcPr>
            <w:tcW w:w="1276" w:type="dxa"/>
            <w:tcBorders>
              <w:top w:val="nil"/>
              <w:left w:val="nil"/>
              <w:bottom w:val="single" w:sz="4" w:space="0" w:color="auto"/>
              <w:right w:val="single" w:sz="4" w:space="0" w:color="auto"/>
            </w:tcBorders>
            <w:shd w:val="clear" w:color="auto" w:fill="auto"/>
            <w:hideMark/>
          </w:tcPr>
          <w:p w:rsidR="00CC75F2" w:rsidRPr="00CC75F2" w:rsidRDefault="00CC75F2" w:rsidP="00CC75F2">
            <w:pPr>
              <w:jc w:val="center"/>
              <w:rPr>
                <w:rFonts w:cs="Arial"/>
                <w:color w:val="000000"/>
                <w:sz w:val="16"/>
                <w:szCs w:val="16"/>
              </w:rPr>
            </w:pPr>
            <w:r w:rsidRPr="00CC75F2">
              <w:rPr>
                <w:rFonts w:cs="Arial"/>
                <w:color w:val="000000"/>
                <w:sz w:val="16"/>
                <w:szCs w:val="16"/>
              </w:rPr>
              <w:t>North Fitzroy Precinct</w:t>
            </w:r>
          </w:p>
        </w:tc>
        <w:tc>
          <w:tcPr>
            <w:tcW w:w="1134" w:type="dxa"/>
            <w:tcBorders>
              <w:top w:val="nil"/>
              <w:left w:val="nil"/>
              <w:bottom w:val="single" w:sz="4" w:space="0" w:color="auto"/>
              <w:right w:val="single" w:sz="4" w:space="0" w:color="auto"/>
            </w:tcBorders>
            <w:shd w:val="clear" w:color="auto" w:fill="auto"/>
            <w:hideMark/>
          </w:tcPr>
          <w:p w:rsidR="00CC75F2" w:rsidRPr="00CC75F2" w:rsidRDefault="00CC75F2" w:rsidP="00CC75F2">
            <w:pPr>
              <w:jc w:val="center"/>
              <w:rPr>
                <w:rFonts w:cs="Arial"/>
                <w:color w:val="000000"/>
                <w:sz w:val="16"/>
                <w:szCs w:val="16"/>
              </w:rPr>
            </w:pPr>
            <w:r w:rsidRPr="00CC75F2">
              <w:rPr>
                <w:rFonts w:cs="Arial"/>
                <w:color w:val="000000"/>
                <w:sz w:val="16"/>
                <w:szCs w:val="16"/>
              </w:rPr>
              <w:t>HO327</w:t>
            </w:r>
          </w:p>
        </w:tc>
        <w:tc>
          <w:tcPr>
            <w:tcW w:w="992" w:type="dxa"/>
            <w:tcBorders>
              <w:top w:val="nil"/>
              <w:left w:val="nil"/>
              <w:bottom w:val="single" w:sz="4" w:space="0" w:color="auto"/>
              <w:right w:val="single" w:sz="4" w:space="0" w:color="auto"/>
            </w:tcBorders>
            <w:shd w:val="clear" w:color="auto" w:fill="auto"/>
            <w:hideMark/>
          </w:tcPr>
          <w:p w:rsidR="00CC75F2" w:rsidRPr="00CC75F2" w:rsidRDefault="00CC75F2" w:rsidP="00CC75F2">
            <w:pPr>
              <w:jc w:val="center"/>
              <w:rPr>
                <w:rFonts w:cs="Arial"/>
                <w:color w:val="000000"/>
                <w:sz w:val="16"/>
                <w:szCs w:val="16"/>
              </w:rPr>
            </w:pPr>
            <w:r w:rsidRPr="00CC75F2">
              <w:rPr>
                <w:rFonts w:cs="Arial"/>
                <w:color w:val="000000"/>
                <w:sz w:val="16"/>
                <w:szCs w:val="16"/>
              </w:rPr>
              <w:t>N/A</w:t>
            </w:r>
          </w:p>
        </w:tc>
        <w:tc>
          <w:tcPr>
            <w:tcW w:w="1134" w:type="dxa"/>
            <w:tcBorders>
              <w:top w:val="nil"/>
              <w:left w:val="nil"/>
              <w:bottom w:val="single" w:sz="4" w:space="0" w:color="auto"/>
              <w:right w:val="single" w:sz="4" w:space="0" w:color="auto"/>
            </w:tcBorders>
            <w:shd w:val="clear" w:color="auto" w:fill="auto"/>
            <w:hideMark/>
          </w:tcPr>
          <w:p w:rsidR="00CC75F2" w:rsidRPr="00CC75F2" w:rsidRDefault="00CC75F2" w:rsidP="00373B8F">
            <w:pPr>
              <w:jc w:val="center"/>
              <w:rPr>
                <w:rFonts w:cs="Arial"/>
                <w:color w:val="000000"/>
                <w:sz w:val="16"/>
                <w:szCs w:val="16"/>
              </w:rPr>
            </w:pPr>
            <w:r w:rsidRPr="00CC75F2">
              <w:rPr>
                <w:rFonts w:cs="Arial"/>
                <w:color w:val="000000"/>
                <w:sz w:val="16"/>
                <w:szCs w:val="16"/>
              </w:rPr>
              <w:t>Precinct</w:t>
            </w:r>
          </w:p>
        </w:tc>
        <w:tc>
          <w:tcPr>
            <w:tcW w:w="1276" w:type="dxa"/>
            <w:tcBorders>
              <w:top w:val="nil"/>
              <w:left w:val="nil"/>
              <w:bottom w:val="single" w:sz="4" w:space="0" w:color="auto"/>
              <w:right w:val="single" w:sz="4" w:space="0" w:color="auto"/>
            </w:tcBorders>
            <w:shd w:val="clear" w:color="auto" w:fill="auto"/>
            <w:hideMark/>
          </w:tcPr>
          <w:p w:rsidR="00CC75F2" w:rsidRPr="00CC75F2" w:rsidRDefault="00CC75F2" w:rsidP="00CC75F2">
            <w:pPr>
              <w:jc w:val="center"/>
              <w:rPr>
                <w:rFonts w:cs="Arial"/>
                <w:color w:val="000000"/>
                <w:sz w:val="16"/>
                <w:szCs w:val="16"/>
              </w:rPr>
            </w:pPr>
            <w:r w:rsidRPr="00CC75F2">
              <w:rPr>
                <w:rFonts w:cs="Arial"/>
                <w:color w:val="000000"/>
                <w:sz w:val="16"/>
                <w:szCs w:val="16"/>
              </w:rPr>
              <w:t>Not contributory</w:t>
            </w:r>
          </w:p>
        </w:tc>
        <w:tc>
          <w:tcPr>
            <w:tcW w:w="2835" w:type="dxa"/>
            <w:tcBorders>
              <w:top w:val="nil"/>
              <w:left w:val="nil"/>
              <w:bottom w:val="single" w:sz="4" w:space="0" w:color="auto"/>
              <w:right w:val="single" w:sz="4" w:space="0" w:color="auto"/>
            </w:tcBorders>
            <w:shd w:val="clear" w:color="auto" w:fill="auto"/>
            <w:hideMark/>
          </w:tcPr>
          <w:p w:rsidR="00CC75F2" w:rsidRPr="00CC75F2" w:rsidRDefault="00CC75F2" w:rsidP="00CC75F2">
            <w:pPr>
              <w:jc w:val="left"/>
              <w:rPr>
                <w:rFonts w:cs="Arial"/>
                <w:color w:val="000000"/>
                <w:sz w:val="16"/>
                <w:szCs w:val="16"/>
              </w:rPr>
            </w:pPr>
            <w:r w:rsidRPr="00CC75F2">
              <w:rPr>
                <w:rFonts w:cs="Arial"/>
                <w:color w:val="000000"/>
                <w:sz w:val="16"/>
                <w:szCs w:val="16"/>
              </w:rPr>
              <w:t>External controls apply to the building and land, no internal controls, no tree controls and no external paint controls apply</w:t>
            </w:r>
          </w:p>
        </w:tc>
        <w:tc>
          <w:tcPr>
            <w:tcW w:w="2693" w:type="dxa"/>
            <w:tcBorders>
              <w:top w:val="nil"/>
              <w:left w:val="nil"/>
              <w:bottom w:val="single" w:sz="4" w:space="0" w:color="auto"/>
              <w:right w:val="single" w:sz="4" w:space="0" w:color="auto"/>
            </w:tcBorders>
            <w:shd w:val="clear" w:color="auto" w:fill="auto"/>
            <w:hideMark/>
          </w:tcPr>
          <w:p w:rsidR="00CC75F2" w:rsidRPr="00CC75F2" w:rsidRDefault="00CC75F2" w:rsidP="00622DC3">
            <w:pPr>
              <w:jc w:val="left"/>
              <w:rPr>
                <w:rFonts w:cs="Arial"/>
                <w:color w:val="000000"/>
                <w:sz w:val="16"/>
                <w:szCs w:val="16"/>
              </w:rPr>
            </w:pPr>
            <w:r w:rsidRPr="00CC75F2">
              <w:rPr>
                <w:rFonts w:cs="Arial"/>
                <w:color w:val="000000"/>
                <w:sz w:val="16"/>
                <w:szCs w:val="16"/>
              </w:rPr>
              <w:t xml:space="preserve">Physical changes to the park would normally require approval under the Heritage Overlay from the </w:t>
            </w:r>
            <w:r w:rsidR="00622DC3" w:rsidRPr="00CC75F2">
              <w:rPr>
                <w:rFonts w:cs="Arial"/>
                <w:color w:val="000000"/>
                <w:sz w:val="16"/>
                <w:szCs w:val="16"/>
              </w:rPr>
              <w:t>Yarra</w:t>
            </w:r>
            <w:r w:rsidR="00622DC3">
              <w:rPr>
                <w:rFonts w:cs="Arial"/>
                <w:color w:val="000000"/>
                <w:sz w:val="16"/>
                <w:szCs w:val="16"/>
              </w:rPr>
              <w:t xml:space="preserve"> City Council.</w:t>
            </w:r>
          </w:p>
        </w:tc>
      </w:tr>
      <w:tr w:rsidR="008B0CE7" w:rsidRPr="00CC75F2" w:rsidTr="00EA18F9">
        <w:trPr>
          <w:cantSplit/>
          <w:trHeight w:val="720"/>
        </w:trPr>
        <w:tc>
          <w:tcPr>
            <w:tcW w:w="1433" w:type="dxa"/>
            <w:tcBorders>
              <w:top w:val="nil"/>
              <w:left w:val="single" w:sz="4" w:space="0" w:color="auto"/>
              <w:bottom w:val="single" w:sz="4" w:space="0" w:color="auto"/>
              <w:right w:val="single" w:sz="4" w:space="0" w:color="auto"/>
            </w:tcBorders>
            <w:shd w:val="clear" w:color="auto" w:fill="auto"/>
            <w:hideMark/>
          </w:tcPr>
          <w:p w:rsidR="00CC75F2" w:rsidRPr="00CC75F2" w:rsidRDefault="00CC75F2" w:rsidP="00CC75F2">
            <w:pPr>
              <w:jc w:val="left"/>
              <w:rPr>
                <w:rFonts w:cs="Arial"/>
                <w:color w:val="000000"/>
                <w:sz w:val="16"/>
                <w:szCs w:val="16"/>
              </w:rPr>
            </w:pPr>
            <w:r w:rsidRPr="00CC75F2">
              <w:rPr>
                <w:rFonts w:cs="Arial"/>
                <w:color w:val="000000"/>
                <w:sz w:val="16"/>
                <w:szCs w:val="16"/>
              </w:rPr>
              <w:t>Peel Street 12-16</w:t>
            </w:r>
          </w:p>
        </w:tc>
        <w:tc>
          <w:tcPr>
            <w:tcW w:w="1134" w:type="dxa"/>
            <w:tcBorders>
              <w:top w:val="nil"/>
              <w:left w:val="nil"/>
              <w:bottom w:val="single" w:sz="4" w:space="0" w:color="auto"/>
              <w:right w:val="single" w:sz="4" w:space="0" w:color="auto"/>
            </w:tcBorders>
            <w:shd w:val="clear" w:color="auto" w:fill="auto"/>
            <w:hideMark/>
          </w:tcPr>
          <w:p w:rsidR="00CC75F2" w:rsidRPr="00CC75F2" w:rsidRDefault="00CC75F2" w:rsidP="008B0CE7">
            <w:pPr>
              <w:jc w:val="center"/>
              <w:rPr>
                <w:rFonts w:cs="Arial"/>
                <w:color w:val="000000"/>
                <w:sz w:val="16"/>
                <w:szCs w:val="16"/>
              </w:rPr>
            </w:pPr>
            <w:r w:rsidRPr="00CC75F2">
              <w:rPr>
                <w:rFonts w:cs="Arial"/>
                <w:color w:val="000000"/>
                <w:sz w:val="16"/>
                <w:szCs w:val="16"/>
              </w:rPr>
              <w:t>C</w:t>
            </w:r>
            <w:r w:rsidR="008B0CE7">
              <w:rPr>
                <w:rFonts w:cs="Arial"/>
                <w:color w:val="000000"/>
                <w:sz w:val="16"/>
                <w:szCs w:val="16"/>
              </w:rPr>
              <w:t>ollingwood</w:t>
            </w:r>
          </w:p>
        </w:tc>
        <w:tc>
          <w:tcPr>
            <w:tcW w:w="1417" w:type="dxa"/>
            <w:tcBorders>
              <w:top w:val="nil"/>
              <w:left w:val="nil"/>
              <w:bottom w:val="single" w:sz="4" w:space="0" w:color="auto"/>
              <w:right w:val="single" w:sz="4" w:space="0" w:color="auto"/>
            </w:tcBorders>
            <w:shd w:val="clear" w:color="auto" w:fill="auto"/>
            <w:hideMark/>
          </w:tcPr>
          <w:p w:rsidR="00CC75F2" w:rsidRPr="00CC75F2" w:rsidRDefault="00CC75F2" w:rsidP="008B0CE7">
            <w:pPr>
              <w:jc w:val="center"/>
              <w:rPr>
                <w:rFonts w:cs="Arial"/>
                <w:color w:val="000000"/>
                <w:sz w:val="16"/>
                <w:szCs w:val="16"/>
              </w:rPr>
            </w:pPr>
            <w:r w:rsidRPr="00CC75F2">
              <w:rPr>
                <w:rFonts w:cs="Arial"/>
                <w:color w:val="000000"/>
                <w:sz w:val="16"/>
                <w:szCs w:val="16"/>
              </w:rPr>
              <w:t>C</w:t>
            </w:r>
            <w:r w:rsidR="005E5635">
              <w:rPr>
                <w:rFonts w:cs="Arial"/>
                <w:color w:val="000000"/>
                <w:sz w:val="16"/>
                <w:szCs w:val="16"/>
              </w:rPr>
              <w:t>arp</w:t>
            </w:r>
            <w:r w:rsidR="008B0CE7">
              <w:rPr>
                <w:rFonts w:cs="Arial"/>
                <w:color w:val="000000"/>
                <w:sz w:val="16"/>
                <w:szCs w:val="16"/>
              </w:rPr>
              <w:t>ark</w:t>
            </w:r>
          </w:p>
        </w:tc>
        <w:tc>
          <w:tcPr>
            <w:tcW w:w="1276" w:type="dxa"/>
            <w:tcBorders>
              <w:top w:val="nil"/>
              <w:left w:val="nil"/>
              <w:bottom w:val="single" w:sz="4" w:space="0" w:color="auto"/>
              <w:right w:val="single" w:sz="4" w:space="0" w:color="auto"/>
            </w:tcBorders>
            <w:shd w:val="clear" w:color="auto" w:fill="auto"/>
            <w:hideMark/>
          </w:tcPr>
          <w:p w:rsidR="00CC75F2" w:rsidRPr="00CC75F2" w:rsidRDefault="00CC75F2" w:rsidP="00CC75F2">
            <w:pPr>
              <w:jc w:val="center"/>
              <w:rPr>
                <w:rFonts w:cs="Arial"/>
                <w:color w:val="000000"/>
                <w:sz w:val="16"/>
                <w:szCs w:val="16"/>
              </w:rPr>
            </w:pPr>
            <w:r w:rsidRPr="00CC75F2">
              <w:rPr>
                <w:rFonts w:cs="Arial"/>
                <w:color w:val="000000"/>
                <w:sz w:val="16"/>
                <w:szCs w:val="16"/>
              </w:rPr>
              <w:t>Collingwood Slope Precinct</w:t>
            </w:r>
          </w:p>
        </w:tc>
        <w:tc>
          <w:tcPr>
            <w:tcW w:w="1134" w:type="dxa"/>
            <w:tcBorders>
              <w:top w:val="nil"/>
              <w:left w:val="nil"/>
              <w:bottom w:val="single" w:sz="4" w:space="0" w:color="auto"/>
              <w:right w:val="single" w:sz="4" w:space="0" w:color="auto"/>
            </w:tcBorders>
            <w:shd w:val="clear" w:color="auto" w:fill="auto"/>
            <w:hideMark/>
          </w:tcPr>
          <w:p w:rsidR="00CC75F2" w:rsidRPr="00CC75F2" w:rsidRDefault="00CC75F2" w:rsidP="00CC75F2">
            <w:pPr>
              <w:jc w:val="center"/>
              <w:rPr>
                <w:rFonts w:cs="Arial"/>
                <w:color w:val="000000"/>
                <w:sz w:val="16"/>
                <w:szCs w:val="16"/>
              </w:rPr>
            </w:pPr>
            <w:r w:rsidRPr="00CC75F2">
              <w:rPr>
                <w:rFonts w:cs="Arial"/>
                <w:color w:val="000000"/>
                <w:sz w:val="16"/>
                <w:szCs w:val="16"/>
              </w:rPr>
              <w:t>HO318</w:t>
            </w:r>
          </w:p>
        </w:tc>
        <w:tc>
          <w:tcPr>
            <w:tcW w:w="992" w:type="dxa"/>
            <w:tcBorders>
              <w:top w:val="nil"/>
              <w:left w:val="nil"/>
              <w:bottom w:val="single" w:sz="4" w:space="0" w:color="auto"/>
              <w:right w:val="single" w:sz="4" w:space="0" w:color="auto"/>
            </w:tcBorders>
            <w:shd w:val="clear" w:color="auto" w:fill="auto"/>
            <w:hideMark/>
          </w:tcPr>
          <w:p w:rsidR="00CC75F2" w:rsidRPr="00CC75F2" w:rsidRDefault="00CC75F2" w:rsidP="00CC75F2">
            <w:pPr>
              <w:jc w:val="center"/>
              <w:rPr>
                <w:rFonts w:cs="Arial"/>
                <w:color w:val="000000"/>
                <w:sz w:val="16"/>
                <w:szCs w:val="16"/>
              </w:rPr>
            </w:pPr>
            <w:r w:rsidRPr="00CC75F2">
              <w:rPr>
                <w:rFonts w:cs="Arial"/>
                <w:color w:val="000000"/>
                <w:sz w:val="16"/>
                <w:szCs w:val="16"/>
              </w:rPr>
              <w:t>N/A</w:t>
            </w:r>
          </w:p>
        </w:tc>
        <w:tc>
          <w:tcPr>
            <w:tcW w:w="1134" w:type="dxa"/>
            <w:tcBorders>
              <w:top w:val="nil"/>
              <w:left w:val="nil"/>
              <w:bottom w:val="single" w:sz="4" w:space="0" w:color="auto"/>
              <w:right w:val="single" w:sz="4" w:space="0" w:color="auto"/>
            </w:tcBorders>
            <w:shd w:val="clear" w:color="auto" w:fill="auto"/>
            <w:hideMark/>
          </w:tcPr>
          <w:p w:rsidR="00CC75F2" w:rsidRPr="00CC75F2" w:rsidRDefault="00CC75F2" w:rsidP="00373B8F">
            <w:pPr>
              <w:jc w:val="center"/>
              <w:rPr>
                <w:rFonts w:cs="Arial"/>
                <w:color w:val="000000"/>
                <w:sz w:val="16"/>
                <w:szCs w:val="16"/>
              </w:rPr>
            </w:pPr>
            <w:r w:rsidRPr="00CC75F2">
              <w:rPr>
                <w:rFonts w:cs="Arial"/>
                <w:color w:val="000000"/>
                <w:sz w:val="16"/>
                <w:szCs w:val="16"/>
              </w:rPr>
              <w:t>Precinct</w:t>
            </w:r>
          </w:p>
        </w:tc>
        <w:tc>
          <w:tcPr>
            <w:tcW w:w="1276" w:type="dxa"/>
            <w:tcBorders>
              <w:top w:val="nil"/>
              <w:left w:val="nil"/>
              <w:bottom w:val="single" w:sz="4" w:space="0" w:color="auto"/>
              <w:right w:val="single" w:sz="4" w:space="0" w:color="auto"/>
            </w:tcBorders>
            <w:shd w:val="clear" w:color="auto" w:fill="auto"/>
            <w:hideMark/>
          </w:tcPr>
          <w:p w:rsidR="00CC75F2" w:rsidRPr="00CC75F2" w:rsidRDefault="00CC75F2" w:rsidP="00CC75F2">
            <w:pPr>
              <w:jc w:val="center"/>
              <w:rPr>
                <w:rFonts w:cs="Arial"/>
                <w:color w:val="000000"/>
                <w:sz w:val="16"/>
                <w:szCs w:val="16"/>
              </w:rPr>
            </w:pPr>
            <w:r w:rsidRPr="00CC75F2">
              <w:rPr>
                <w:rFonts w:cs="Arial"/>
                <w:color w:val="000000"/>
                <w:sz w:val="16"/>
                <w:szCs w:val="16"/>
              </w:rPr>
              <w:t>Individually significant</w:t>
            </w:r>
          </w:p>
        </w:tc>
        <w:tc>
          <w:tcPr>
            <w:tcW w:w="2835" w:type="dxa"/>
            <w:tcBorders>
              <w:top w:val="nil"/>
              <w:left w:val="nil"/>
              <w:bottom w:val="single" w:sz="4" w:space="0" w:color="auto"/>
              <w:right w:val="single" w:sz="4" w:space="0" w:color="auto"/>
            </w:tcBorders>
            <w:shd w:val="clear" w:color="auto" w:fill="auto"/>
            <w:hideMark/>
          </w:tcPr>
          <w:p w:rsidR="00CC75F2" w:rsidRPr="00CC75F2" w:rsidRDefault="00CC75F2" w:rsidP="00CC75F2">
            <w:pPr>
              <w:jc w:val="left"/>
              <w:rPr>
                <w:rFonts w:cs="Arial"/>
                <w:color w:val="000000"/>
                <w:sz w:val="16"/>
                <w:szCs w:val="16"/>
              </w:rPr>
            </w:pPr>
            <w:r w:rsidRPr="00CC75F2">
              <w:rPr>
                <w:rFonts w:cs="Arial"/>
                <w:color w:val="000000"/>
                <w:sz w:val="16"/>
                <w:szCs w:val="16"/>
              </w:rPr>
              <w:t>External controls apply to the building and land, no internal controls, no tree controls or external paint controls apply</w:t>
            </w:r>
          </w:p>
        </w:tc>
        <w:tc>
          <w:tcPr>
            <w:tcW w:w="2693" w:type="dxa"/>
            <w:tcBorders>
              <w:top w:val="nil"/>
              <w:left w:val="nil"/>
              <w:bottom w:val="single" w:sz="4" w:space="0" w:color="auto"/>
              <w:right w:val="single" w:sz="4" w:space="0" w:color="auto"/>
            </w:tcBorders>
            <w:shd w:val="clear" w:color="auto" w:fill="auto"/>
            <w:hideMark/>
          </w:tcPr>
          <w:p w:rsidR="00CC75F2" w:rsidRPr="00CC75F2" w:rsidRDefault="00CC75F2" w:rsidP="00622DC3">
            <w:pPr>
              <w:jc w:val="left"/>
              <w:rPr>
                <w:rFonts w:cs="Arial"/>
                <w:color w:val="000000"/>
                <w:sz w:val="16"/>
                <w:szCs w:val="16"/>
              </w:rPr>
            </w:pPr>
            <w:r w:rsidRPr="00CC75F2">
              <w:rPr>
                <w:rFonts w:cs="Arial"/>
                <w:color w:val="000000"/>
                <w:sz w:val="16"/>
                <w:szCs w:val="16"/>
              </w:rPr>
              <w:t xml:space="preserve">Note: the Congregational Church </w:t>
            </w:r>
            <w:r w:rsidR="00622DC3">
              <w:rPr>
                <w:rFonts w:cs="Arial"/>
                <w:color w:val="000000"/>
                <w:sz w:val="16"/>
                <w:szCs w:val="16"/>
              </w:rPr>
              <w:t>H</w:t>
            </w:r>
            <w:r w:rsidRPr="00CC75F2">
              <w:rPr>
                <w:rFonts w:cs="Arial"/>
                <w:color w:val="000000"/>
                <w:sz w:val="16"/>
                <w:szCs w:val="16"/>
              </w:rPr>
              <w:t>all and residence is on site (12-16 Peel Street).  Is this the correct address of the carpark?</w:t>
            </w:r>
          </w:p>
        </w:tc>
      </w:tr>
      <w:tr w:rsidR="008B0CE7" w:rsidRPr="00CC75F2" w:rsidTr="00EA18F9">
        <w:trPr>
          <w:cantSplit/>
          <w:trHeight w:val="720"/>
        </w:trPr>
        <w:tc>
          <w:tcPr>
            <w:tcW w:w="1433" w:type="dxa"/>
            <w:tcBorders>
              <w:top w:val="nil"/>
              <w:left w:val="single" w:sz="4" w:space="0" w:color="auto"/>
              <w:bottom w:val="single" w:sz="4" w:space="0" w:color="auto"/>
              <w:right w:val="single" w:sz="4" w:space="0" w:color="auto"/>
            </w:tcBorders>
            <w:shd w:val="clear" w:color="auto" w:fill="auto"/>
            <w:hideMark/>
          </w:tcPr>
          <w:p w:rsidR="00CC75F2" w:rsidRPr="00CC75F2" w:rsidRDefault="00CC75F2" w:rsidP="00CC75F2">
            <w:pPr>
              <w:jc w:val="left"/>
              <w:rPr>
                <w:rFonts w:cs="Arial"/>
                <w:color w:val="000000"/>
                <w:sz w:val="16"/>
                <w:szCs w:val="16"/>
              </w:rPr>
            </w:pPr>
            <w:r w:rsidRPr="00CC75F2">
              <w:rPr>
                <w:rFonts w:cs="Arial"/>
                <w:color w:val="000000"/>
                <w:sz w:val="16"/>
                <w:szCs w:val="16"/>
              </w:rPr>
              <w:t>Princes Street 150-154</w:t>
            </w:r>
          </w:p>
        </w:tc>
        <w:tc>
          <w:tcPr>
            <w:tcW w:w="1134" w:type="dxa"/>
            <w:tcBorders>
              <w:top w:val="nil"/>
              <w:left w:val="nil"/>
              <w:bottom w:val="single" w:sz="4" w:space="0" w:color="auto"/>
              <w:right w:val="single" w:sz="4" w:space="0" w:color="auto"/>
            </w:tcBorders>
            <w:shd w:val="clear" w:color="auto" w:fill="auto"/>
            <w:hideMark/>
          </w:tcPr>
          <w:p w:rsidR="00CC75F2" w:rsidRPr="00CC75F2" w:rsidRDefault="008B0CE7" w:rsidP="00CC75F2">
            <w:pPr>
              <w:jc w:val="center"/>
              <w:rPr>
                <w:rFonts w:cs="Arial"/>
                <w:color w:val="000000"/>
                <w:sz w:val="16"/>
                <w:szCs w:val="16"/>
              </w:rPr>
            </w:pPr>
            <w:r w:rsidRPr="00CC75F2">
              <w:rPr>
                <w:rFonts w:cs="Arial"/>
                <w:color w:val="000000"/>
                <w:sz w:val="16"/>
                <w:szCs w:val="16"/>
              </w:rPr>
              <w:t>C</w:t>
            </w:r>
            <w:r>
              <w:rPr>
                <w:rFonts w:cs="Arial"/>
                <w:color w:val="000000"/>
                <w:sz w:val="16"/>
                <w:szCs w:val="16"/>
              </w:rPr>
              <w:t>arlton North</w:t>
            </w:r>
          </w:p>
        </w:tc>
        <w:tc>
          <w:tcPr>
            <w:tcW w:w="1417" w:type="dxa"/>
            <w:tcBorders>
              <w:top w:val="nil"/>
              <w:left w:val="nil"/>
              <w:bottom w:val="single" w:sz="4" w:space="0" w:color="auto"/>
              <w:right w:val="single" w:sz="4" w:space="0" w:color="auto"/>
            </w:tcBorders>
            <w:shd w:val="clear" w:color="auto" w:fill="auto"/>
            <w:hideMark/>
          </w:tcPr>
          <w:p w:rsidR="00CC75F2" w:rsidRPr="00CC75F2" w:rsidRDefault="00CC75F2" w:rsidP="008B0CE7">
            <w:pPr>
              <w:jc w:val="center"/>
              <w:rPr>
                <w:rFonts w:cs="Arial"/>
                <w:color w:val="000000"/>
                <w:sz w:val="16"/>
                <w:szCs w:val="16"/>
              </w:rPr>
            </w:pPr>
            <w:r w:rsidRPr="00CC75F2">
              <w:rPr>
                <w:rFonts w:cs="Arial"/>
                <w:color w:val="000000"/>
                <w:sz w:val="16"/>
                <w:szCs w:val="16"/>
              </w:rPr>
              <w:t>D</w:t>
            </w:r>
            <w:r w:rsidR="005E5635">
              <w:rPr>
                <w:rFonts w:cs="Arial"/>
                <w:color w:val="000000"/>
                <w:sz w:val="16"/>
                <w:szCs w:val="16"/>
              </w:rPr>
              <w:t>anceh</w:t>
            </w:r>
            <w:r w:rsidR="008B0CE7">
              <w:rPr>
                <w:rFonts w:cs="Arial"/>
                <w:color w:val="000000"/>
                <w:sz w:val="16"/>
                <w:szCs w:val="16"/>
              </w:rPr>
              <w:t>ouse</w:t>
            </w:r>
          </w:p>
        </w:tc>
        <w:tc>
          <w:tcPr>
            <w:tcW w:w="1276" w:type="dxa"/>
            <w:tcBorders>
              <w:top w:val="nil"/>
              <w:left w:val="nil"/>
              <w:bottom w:val="single" w:sz="4" w:space="0" w:color="auto"/>
              <w:right w:val="single" w:sz="4" w:space="0" w:color="auto"/>
            </w:tcBorders>
            <w:shd w:val="clear" w:color="auto" w:fill="auto"/>
            <w:hideMark/>
          </w:tcPr>
          <w:p w:rsidR="00CC75F2" w:rsidRPr="00CC75F2" w:rsidRDefault="00CC75F2" w:rsidP="00CC75F2">
            <w:pPr>
              <w:jc w:val="center"/>
              <w:rPr>
                <w:rFonts w:cs="Arial"/>
                <w:color w:val="000000"/>
                <w:sz w:val="16"/>
                <w:szCs w:val="16"/>
              </w:rPr>
            </w:pPr>
            <w:r w:rsidRPr="00CC75F2">
              <w:rPr>
                <w:rFonts w:cs="Arial"/>
                <w:color w:val="000000"/>
                <w:sz w:val="16"/>
                <w:szCs w:val="16"/>
              </w:rPr>
              <w:t>North Carlton Precinct</w:t>
            </w:r>
          </w:p>
        </w:tc>
        <w:tc>
          <w:tcPr>
            <w:tcW w:w="1134" w:type="dxa"/>
            <w:tcBorders>
              <w:top w:val="nil"/>
              <w:left w:val="nil"/>
              <w:bottom w:val="single" w:sz="4" w:space="0" w:color="auto"/>
              <w:right w:val="single" w:sz="4" w:space="0" w:color="auto"/>
            </w:tcBorders>
            <w:shd w:val="clear" w:color="auto" w:fill="auto"/>
            <w:hideMark/>
          </w:tcPr>
          <w:p w:rsidR="00CC75F2" w:rsidRPr="00CC75F2" w:rsidRDefault="00CC75F2" w:rsidP="00CC75F2">
            <w:pPr>
              <w:jc w:val="center"/>
              <w:rPr>
                <w:rFonts w:cs="Arial"/>
                <w:color w:val="000000"/>
                <w:sz w:val="16"/>
                <w:szCs w:val="16"/>
              </w:rPr>
            </w:pPr>
            <w:r w:rsidRPr="00CC75F2">
              <w:rPr>
                <w:rFonts w:cs="Arial"/>
                <w:color w:val="000000"/>
                <w:sz w:val="16"/>
                <w:szCs w:val="16"/>
              </w:rPr>
              <w:t>HO326</w:t>
            </w:r>
          </w:p>
        </w:tc>
        <w:tc>
          <w:tcPr>
            <w:tcW w:w="992" w:type="dxa"/>
            <w:tcBorders>
              <w:top w:val="nil"/>
              <w:left w:val="nil"/>
              <w:bottom w:val="single" w:sz="4" w:space="0" w:color="auto"/>
              <w:right w:val="single" w:sz="4" w:space="0" w:color="auto"/>
            </w:tcBorders>
            <w:shd w:val="clear" w:color="auto" w:fill="auto"/>
            <w:hideMark/>
          </w:tcPr>
          <w:p w:rsidR="00CC75F2" w:rsidRPr="00CC75F2" w:rsidRDefault="00CC75F2" w:rsidP="00CC75F2">
            <w:pPr>
              <w:jc w:val="center"/>
              <w:rPr>
                <w:rFonts w:cs="Arial"/>
                <w:color w:val="000000"/>
                <w:sz w:val="16"/>
                <w:szCs w:val="16"/>
              </w:rPr>
            </w:pPr>
            <w:r w:rsidRPr="00CC75F2">
              <w:rPr>
                <w:rFonts w:cs="Arial"/>
                <w:color w:val="000000"/>
                <w:sz w:val="16"/>
                <w:szCs w:val="16"/>
              </w:rPr>
              <w:t>N/A</w:t>
            </w:r>
          </w:p>
        </w:tc>
        <w:tc>
          <w:tcPr>
            <w:tcW w:w="1134" w:type="dxa"/>
            <w:tcBorders>
              <w:top w:val="nil"/>
              <w:left w:val="nil"/>
              <w:bottom w:val="single" w:sz="4" w:space="0" w:color="auto"/>
              <w:right w:val="single" w:sz="4" w:space="0" w:color="auto"/>
            </w:tcBorders>
            <w:shd w:val="clear" w:color="auto" w:fill="auto"/>
            <w:hideMark/>
          </w:tcPr>
          <w:p w:rsidR="00CC75F2" w:rsidRPr="00CC75F2" w:rsidRDefault="00CC75F2" w:rsidP="00373B8F">
            <w:pPr>
              <w:jc w:val="center"/>
              <w:rPr>
                <w:rFonts w:cs="Arial"/>
                <w:color w:val="000000"/>
                <w:sz w:val="16"/>
                <w:szCs w:val="16"/>
              </w:rPr>
            </w:pPr>
            <w:r w:rsidRPr="00CC75F2">
              <w:rPr>
                <w:rFonts w:cs="Arial"/>
                <w:color w:val="000000"/>
                <w:sz w:val="16"/>
                <w:szCs w:val="16"/>
              </w:rPr>
              <w:t>Precinct</w:t>
            </w:r>
          </w:p>
        </w:tc>
        <w:tc>
          <w:tcPr>
            <w:tcW w:w="1276" w:type="dxa"/>
            <w:tcBorders>
              <w:top w:val="nil"/>
              <w:left w:val="nil"/>
              <w:bottom w:val="single" w:sz="4" w:space="0" w:color="auto"/>
              <w:right w:val="single" w:sz="4" w:space="0" w:color="auto"/>
            </w:tcBorders>
            <w:shd w:val="clear" w:color="auto" w:fill="auto"/>
            <w:hideMark/>
          </w:tcPr>
          <w:p w:rsidR="00CC75F2" w:rsidRPr="00CC75F2" w:rsidRDefault="00CC75F2" w:rsidP="00CC75F2">
            <w:pPr>
              <w:jc w:val="center"/>
              <w:rPr>
                <w:rFonts w:cs="Arial"/>
                <w:color w:val="000000"/>
                <w:sz w:val="16"/>
                <w:szCs w:val="16"/>
              </w:rPr>
            </w:pPr>
            <w:r w:rsidRPr="00CC75F2">
              <w:rPr>
                <w:rFonts w:cs="Arial"/>
                <w:color w:val="000000"/>
                <w:sz w:val="16"/>
                <w:szCs w:val="16"/>
              </w:rPr>
              <w:t>Individually significant</w:t>
            </w:r>
          </w:p>
        </w:tc>
        <w:tc>
          <w:tcPr>
            <w:tcW w:w="2835" w:type="dxa"/>
            <w:tcBorders>
              <w:top w:val="nil"/>
              <w:left w:val="nil"/>
              <w:bottom w:val="single" w:sz="4" w:space="0" w:color="auto"/>
              <w:right w:val="single" w:sz="4" w:space="0" w:color="auto"/>
            </w:tcBorders>
            <w:shd w:val="clear" w:color="auto" w:fill="auto"/>
            <w:hideMark/>
          </w:tcPr>
          <w:p w:rsidR="00CC75F2" w:rsidRPr="00CC75F2" w:rsidRDefault="00CC75F2" w:rsidP="00CC75F2">
            <w:pPr>
              <w:jc w:val="left"/>
              <w:rPr>
                <w:rFonts w:cs="Arial"/>
                <w:color w:val="000000"/>
                <w:sz w:val="16"/>
                <w:szCs w:val="16"/>
              </w:rPr>
            </w:pPr>
            <w:r w:rsidRPr="00CC75F2">
              <w:rPr>
                <w:rFonts w:cs="Arial"/>
                <w:color w:val="000000"/>
                <w:sz w:val="16"/>
                <w:szCs w:val="16"/>
              </w:rPr>
              <w:t>External controls apply to the building and land, no internal controls, tree controls or external paint controls apply</w:t>
            </w:r>
          </w:p>
        </w:tc>
        <w:tc>
          <w:tcPr>
            <w:tcW w:w="2693" w:type="dxa"/>
            <w:tcBorders>
              <w:top w:val="nil"/>
              <w:left w:val="nil"/>
              <w:bottom w:val="single" w:sz="4" w:space="0" w:color="auto"/>
              <w:right w:val="single" w:sz="4" w:space="0" w:color="auto"/>
            </w:tcBorders>
            <w:shd w:val="clear" w:color="auto" w:fill="auto"/>
            <w:hideMark/>
          </w:tcPr>
          <w:p w:rsidR="00CC75F2" w:rsidRPr="00CC75F2" w:rsidRDefault="00CC75F2" w:rsidP="00CC75F2">
            <w:pPr>
              <w:jc w:val="left"/>
              <w:rPr>
                <w:rFonts w:cs="Arial"/>
                <w:color w:val="000000"/>
                <w:sz w:val="16"/>
                <w:szCs w:val="16"/>
              </w:rPr>
            </w:pPr>
            <w:r w:rsidRPr="00CC75F2">
              <w:rPr>
                <w:rFonts w:cs="Arial"/>
                <w:color w:val="000000"/>
                <w:sz w:val="16"/>
                <w:szCs w:val="16"/>
              </w:rPr>
              <w:t> </w:t>
            </w:r>
          </w:p>
        </w:tc>
      </w:tr>
      <w:tr w:rsidR="008B0CE7" w:rsidRPr="00CC75F2" w:rsidTr="00EA18F9">
        <w:trPr>
          <w:cantSplit/>
          <w:trHeight w:val="1440"/>
        </w:trPr>
        <w:tc>
          <w:tcPr>
            <w:tcW w:w="1433" w:type="dxa"/>
            <w:tcBorders>
              <w:top w:val="nil"/>
              <w:left w:val="single" w:sz="4" w:space="0" w:color="auto"/>
              <w:bottom w:val="single" w:sz="4" w:space="0" w:color="auto"/>
              <w:right w:val="single" w:sz="4" w:space="0" w:color="auto"/>
            </w:tcBorders>
            <w:shd w:val="clear" w:color="auto" w:fill="auto"/>
            <w:hideMark/>
          </w:tcPr>
          <w:p w:rsidR="00CC75F2" w:rsidRPr="00CC75F2" w:rsidRDefault="00CC75F2" w:rsidP="00CC75F2">
            <w:pPr>
              <w:jc w:val="left"/>
              <w:rPr>
                <w:rFonts w:cs="Arial"/>
                <w:color w:val="000000"/>
                <w:sz w:val="16"/>
                <w:szCs w:val="16"/>
              </w:rPr>
            </w:pPr>
            <w:r w:rsidRPr="00CC75F2">
              <w:rPr>
                <w:rFonts w:cs="Arial"/>
                <w:color w:val="000000"/>
                <w:sz w:val="16"/>
                <w:szCs w:val="16"/>
              </w:rPr>
              <w:t>Queens Pde 111</w:t>
            </w:r>
          </w:p>
        </w:tc>
        <w:tc>
          <w:tcPr>
            <w:tcW w:w="1134" w:type="dxa"/>
            <w:tcBorders>
              <w:top w:val="nil"/>
              <w:left w:val="nil"/>
              <w:bottom w:val="single" w:sz="4" w:space="0" w:color="auto"/>
              <w:right w:val="single" w:sz="4" w:space="0" w:color="auto"/>
            </w:tcBorders>
            <w:shd w:val="clear" w:color="auto" w:fill="auto"/>
            <w:hideMark/>
          </w:tcPr>
          <w:p w:rsidR="00CC75F2" w:rsidRPr="00CC75F2" w:rsidRDefault="00373B8F" w:rsidP="00CC75F2">
            <w:pPr>
              <w:jc w:val="center"/>
              <w:rPr>
                <w:rFonts w:cs="Arial"/>
                <w:color w:val="000000"/>
                <w:sz w:val="16"/>
                <w:szCs w:val="16"/>
              </w:rPr>
            </w:pPr>
            <w:r w:rsidRPr="00CC75F2">
              <w:rPr>
                <w:rFonts w:cs="Arial"/>
                <w:color w:val="000000"/>
                <w:sz w:val="16"/>
                <w:szCs w:val="16"/>
              </w:rPr>
              <w:t>F</w:t>
            </w:r>
            <w:r>
              <w:rPr>
                <w:rFonts w:cs="Arial"/>
                <w:color w:val="000000"/>
                <w:sz w:val="16"/>
                <w:szCs w:val="16"/>
              </w:rPr>
              <w:t>itzroy North</w:t>
            </w:r>
          </w:p>
        </w:tc>
        <w:tc>
          <w:tcPr>
            <w:tcW w:w="1417" w:type="dxa"/>
            <w:tcBorders>
              <w:top w:val="nil"/>
              <w:left w:val="nil"/>
              <w:bottom w:val="single" w:sz="4" w:space="0" w:color="auto"/>
              <w:right w:val="single" w:sz="4" w:space="0" w:color="auto"/>
            </w:tcBorders>
            <w:shd w:val="clear" w:color="auto" w:fill="auto"/>
            <w:hideMark/>
          </w:tcPr>
          <w:p w:rsidR="00CC75F2" w:rsidRPr="00CC75F2" w:rsidRDefault="00373B8F" w:rsidP="00373B8F">
            <w:pPr>
              <w:jc w:val="center"/>
              <w:rPr>
                <w:rFonts w:cs="Arial"/>
                <w:color w:val="000000"/>
                <w:sz w:val="16"/>
                <w:szCs w:val="16"/>
              </w:rPr>
            </w:pPr>
            <w:r w:rsidRPr="00CC75F2">
              <w:rPr>
                <w:rFonts w:cs="Arial"/>
                <w:color w:val="000000"/>
                <w:sz w:val="16"/>
                <w:szCs w:val="16"/>
              </w:rPr>
              <w:t>F</w:t>
            </w:r>
            <w:r>
              <w:rPr>
                <w:rFonts w:cs="Arial"/>
                <w:color w:val="000000"/>
                <w:sz w:val="16"/>
                <w:szCs w:val="16"/>
              </w:rPr>
              <w:t>itzroy Depot</w:t>
            </w:r>
          </w:p>
        </w:tc>
        <w:tc>
          <w:tcPr>
            <w:tcW w:w="1276" w:type="dxa"/>
            <w:tcBorders>
              <w:top w:val="nil"/>
              <w:left w:val="nil"/>
              <w:bottom w:val="single" w:sz="4" w:space="0" w:color="auto"/>
              <w:right w:val="single" w:sz="4" w:space="0" w:color="auto"/>
            </w:tcBorders>
            <w:shd w:val="clear" w:color="auto" w:fill="auto"/>
            <w:hideMark/>
          </w:tcPr>
          <w:p w:rsidR="00CC75F2" w:rsidRPr="00CC75F2" w:rsidRDefault="00CC75F2" w:rsidP="00CC75F2">
            <w:pPr>
              <w:jc w:val="center"/>
              <w:rPr>
                <w:rFonts w:cs="Arial"/>
                <w:color w:val="000000"/>
                <w:sz w:val="16"/>
                <w:szCs w:val="16"/>
              </w:rPr>
            </w:pPr>
            <w:r w:rsidRPr="00CC75F2">
              <w:rPr>
                <w:rFonts w:cs="Arial"/>
                <w:color w:val="000000"/>
                <w:sz w:val="16"/>
                <w:szCs w:val="16"/>
              </w:rPr>
              <w:t>Cnr George Street Alexandra Parade North Fitzroy, Former Fitzroy Gas Works Valve House and Store</w:t>
            </w:r>
          </w:p>
        </w:tc>
        <w:tc>
          <w:tcPr>
            <w:tcW w:w="1134" w:type="dxa"/>
            <w:tcBorders>
              <w:top w:val="nil"/>
              <w:left w:val="nil"/>
              <w:bottom w:val="single" w:sz="4" w:space="0" w:color="auto"/>
              <w:right w:val="single" w:sz="4" w:space="0" w:color="auto"/>
            </w:tcBorders>
            <w:shd w:val="clear" w:color="auto" w:fill="auto"/>
            <w:hideMark/>
          </w:tcPr>
          <w:p w:rsidR="00CC75F2" w:rsidRPr="00CC75F2" w:rsidRDefault="00CC75F2" w:rsidP="00CC75F2">
            <w:pPr>
              <w:jc w:val="center"/>
              <w:rPr>
                <w:rFonts w:cs="Arial"/>
                <w:color w:val="000000"/>
                <w:sz w:val="16"/>
                <w:szCs w:val="16"/>
              </w:rPr>
            </w:pPr>
            <w:r w:rsidRPr="00CC75F2">
              <w:rPr>
                <w:rFonts w:cs="Arial"/>
                <w:color w:val="000000"/>
                <w:sz w:val="16"/>
                <w:szCs w:val="16"/>
              </w:rPr>
              <w:t>HO211 (applies to a section of the site only)</w:t>
            </w:r>
          </w:p>
        </w:tc>
        <w:tc>
          <w:tcPr>
            <w:tcW w:w="992" w:type="dxa"/>
            <w:tcBorders>
              <w:top w:val="nil"/>
              <w:left w:val="nil"/>
              <w:bottom w:val="single" w:sz="4" w:space="0" w:color="auto"/>
              <w:right w:val="single" w:sz="4" w:space="0" w:color="auto"/>
            </w:tcBorders>
            <w:shd w:val="clear" w:color="auto" w:fill="auto"/>
            <w:hideMark/>
          </w:tcPr>
          <w:p w:rsidR="00CC75F2" w:rsidRPr="00CC75F2" w:rsidRDefault="00CC75F2" w:rsidP="00CC75F2">
            <w:pPr>
              <w:jc w:val="center"/>
              <w:rPr>
                <w:rFonts w:cs="Arial"/>
                <w:color w:val="000000"/>
                <w:sz w:val="16"/>
                <w:szCs w:val="16"/>
              </w:rPr>
            </w:pPr>
            <w:r w:rsidRPr="00CC75F2">
              <w:rPr>
                <w:rFonts w:cs="Arial"/>
                <w:color w:val="000000"/>
                <w:sz w:val="16"/>
                <w:szCs w:val="16"/>
              </w:rPr>
              <w:t>N/A</w:t>
            </w:r>
          </w:p>
        </w:tc>
        <w:tc>
          <w:tcPr>
            <w:tcW w:w="1134" w:type="dxa"/>
            <w:tcBorders>
              <w:top w:val="nil"/>
              <w:left w:val="nil"/>
              <w:bottom w:val="single" w:sz="4" w:space="0" w:color="auto"/>
              <w:right w:val="single" w:sz="4" w:space="0" w:color="auto"/>
            </w:tcBorders>
            <w:shd w:val="clear" w:color="auto" w:fill="auto"/>
            <w:hideMark/>
          </w:tcPr>
          <w:p w:rsidR="00CC75F2" w:rsidRPr="00CC75F2" w:rsidRDefault="00CC75F2" w:rsidP="00373B8F">
            <w:pPr>
              <w:jc w:val="center"/>
              <w:rPr>
                <w:rFonts w:cs="Arial"/>
                <w:color w:val="000000"/>
                <w:sz w:val="16"/>
                <w:szCs w:val="16"/>
              </w:rPr>
            </w:pPr>
            <w:r w:rsidRPr="00CC75F2">
              <w:rPr>
                <w:rFonts w:cs="Arial"/>
                <w:color w:val="000000"/>
                <w:sz w:val="16"/>
                <w:szCs w:val="16"/>
              </w:rPr>
              <w:t>Individual</w:t>
            </w:r>
          </w:p>
        </w:tc>
        <w:tc>
          <w:tcPr>
            <w:tcW w:w="1276" w:type="dxa"/>
            <w:tcBorders>
              <w:top w:val="nil"/>
              <w:left w:val="nil"/>
              <w:bottom w:val="single" w:sz="4" w:space="0" w:color="auto"/>
              <w:right w:val="single" w:sz="4" w:space="0" w:color="auto"/>
            </w:tcBorders>
            <w:shd w:val="clear" w:color="auto" w:fill="auto"/>
            <w:hideMark/>
          </w:tcPr>
          <w:p w:rsidR="00CC75F2" w:rsidRPr="00CC75F2" w:rsidRDefault="00CC75F2" w:rsidP="00CC75F2">
            <w:pPr>
              <w:jc w:val="center"/>
              <w:rPr>
                <w:rFonts w:cs="Arial"/>
                <w:color w:val="000000"/>
                <w:sz w:val="16"/>
                <w:szCs w:val="16"/>
              </w:rPr>
            </w:pPr>
            <w:r w:rsidRPr="00CC75F2">
              <w:rPr>
                <w:rFonts w:cs="Arial"/>
                <w:color w:val="000000"/>
                <w:sz w:val="16"/>
                <w:szCs w:val="16"/>
              </w:rPr>
              <w:t>Individually significance</w:t>
            </w:r>
          </w:p>
        </w:tc>
        <w:tc>
          <w:tcPr>
            <w:tcW w:w="2835" w:type="dxa"/>
            <w:tcBorders>
              <w:top w:val="nil"/>
              <w:left w:val="nil"/>
              <w:bottom w:val="single" w:sz="4" w:space="0" w:color="auto"/>
              <w:right w:val="single" w:sz="4" w:space="0" w:color="auto"/>
            </w:tcBorders>
            <w:shd w:val="clear" w:color="auto" w:fill="auto"/>
            <w:hideMark/>
          </w:tcPr>
          <w:p w:rsidR="00CC75F2" w:rsidRPr="00CC75F2" w:rsidRDefault="00CC75F2" w:rsidP="00CC75F2">
            <w:pPr>
              <w:jc w:val="left"/>
              <w:rPr>
                <w:rFonts w:cs="Arial"/>
                <w:color w:val="000000"/>
                <w:sz w:val="16"/>
                <w:szCs w:val="16"/>
              </w:rPr>
            </w:pPr>
            <w:r w:rsidRPr="00CC75F2">
              <w:rPr>
                <w:rFonts w:cs="Arial"/>
                <w:color w:val="000000"/>
                <w:sz w:val="16"/>
                <w:szCs w:val="16"/>
              </w:rPr>
              <w:t>External controls apply to the building and land over a section of the property only.  There are no external paint controls, no internal controls or tree controls</w:t>
            </w:r>
          </w:p>
        </w:tc>
        <w:tc>
          <w:tcPr>
            <w:tcW w:w="2693" w:type="dxa"/>
            <w:tcBorders>
              <w:top w:val="nil"/>
              <w:left w:val="nil"/>
              <w:bottom w:val="single" w:sz="4" w:space="0" w:color="auto"/>
              <w:right w:val="single" w:sz="4" w:space="0" w:color="auto"/>
            </w:tcBorders>
            <w:shd w:val="clear" w:color="auto" w:fill="auto"/>
            <w:hideMark/>
          </w:tcPr>
          <w:p w:rsidR="00CC75F2" w:rsidRPr="00CC75F2" w:rsidRDefault="00CC75F2" w:rsidP="00CC75F2">
            <w:pPr>
              <w:jc w:val="left"/>
              <w:rPr>
                <w:rFonts w:cs="Arial"/>
                <w:color w:val="000000"/>
                <w:sz w:val="16"/>
                <w:szCs w:val="16"/>
              </w:rPr>
            </w:pPr>
            <w:r w:rsidRPr="00CC75F2">
              <w:rPr>
                <w:rFonts w:cs="Arial"/>
                <w:color w:val="000000"/>
                <w:sz w:val="16"/>
                <w:szCs w:val="16"/>
              </w:rPr>
              <w:t>Note: only a small section to the south-west corner is covered by the Heritage Overlay</w:t>
            </w:r>
            <w:r w:rsidR="00A65590">
              <w:rPr>
                <w:rFonts w:cs="Arial"/>
                <w:color w:val="000000"/>
                <w:sz w:val="16"/>
                <w:szCs w:val="16"/>
              </w:rPr>
              <w:t>.</w:t>
            </w:r>
          </w:p>
        </w:tc>
      </w:tr>
      <w:tr w:rsidR="008B0CE7" w:rsidRPr="00CC75F2" w:rsidTr="00EA18F9">
        <w:trPr>
          <w:cantSplit/>
          <w:trHeight w:val="720"/>
        </w:trPr>
        <w:tc>
          <w:tcPr>
            <w:tcW w:w="1433" w:type="dxa"/>
            <w:tcBorders>
              <w:top w:val="nil"/>
              <w:left w:val="single" w:sz="4" w:space="0" w:color="auto"/>
              <w:bottom w:val="single" w:sz="4" w:space="0" w:color="auto"/>
              <w:right w:val="single" w:sz="4" w:space="0" w:color="auto"/>
            </w:tcBorders>
            <w:shd w:val="clear" w:color="auto" w:fill="auto"/>
            <w:hideMark/>
          </w:tcPr>
          <w:p w:rsidR="00CC75F2" w:rsidRPr="00CC75F2" w:rsidRDefault="00CC75F2" w:rsidP="00CC75F2">
            <w:pPr>
              <w:jc w:val="left"/>
              <w:rPr>
                <w:rFonts w:cs="Arial"/>
                <w:color w:val="000000"/>
                <w:sz w:val="16"/>
                <w:szCs w:val="16"/>
              </w:rPr>
            </w:pPr>
            <w:r w:rsidRPr="00CC75F2">
              <w:rPr>
                <w:rFonts w:cs="Arial"/>
                <w:color w:val="000000"/>
                <w:sz w:val="16"/>
                <w:szCs w:val="16"/>
              </w:rPr>
              <w:t>Rae Street 172-178</w:t>
            </w:r>
          </w:p>
        </w:tc>
        <w:tc>
          <w:tcPr>
            <w:tcW w:w="1134" w:type="dxa"/>
            <w:tcBorders>
              <w:top w:val="nil"/>
              <w:left w:val="nil"/>
              <w:bottom w:val="single" w:sz="4" w:space="0" w:color="auto"/>
              <w:right w:val="single" w:sz="4" w:space="0" w:color="auto"/>
            </w:tcBorders>
            <w:shd w:val="clear" w:color="auto" w:fill="auto"/>
            <w:hideMark/>
          </w:tcPr>
          <w:p w:rsidR="00CC75F2" w:rsidRPr="00CC75F2" w:rsidRDefault="00373B8F" w:rsidP="00373B8F">
            <w:pPr>
              <w:jc w:val="center"/>
              <w:rPr>
                <w:rFonts w:cs="Arial"/>
                <w:color w:val="000000"/>
                <w:sz w:val="16"/>
                <w:szCs w:val="16"/>
              </w:rPr>
            </w:pPr>
            <w:r w:rsidRPr="00CC75F2">
              <w:rPr>
                <w:rFonts w:cs="Arial"/>
                <w:color w:val="000000"/>
                <w:sz w:val="16"/>
                <w:szCs w:val="16"/>
              </w:rPr>
              <w:t>F</w:t>
            </w:r>
            <w:r>
              <w:rPr>
                <w:rFonts w:cs="Arial"/>
                <w:color w:val="000000"/>
                <w:sz w:val="16"/>
                <w:szCs w:val="16"/>
              </w:rPr>
              <w:t>itzroy North</w:t>
            </w:r>
          </w:p>
        </w:tc>
        <w:tc>
          <w:tcPr>
            <w:tcW w:w="1417" w:type="dxa"/>
            <w:tcBorders>
              <w:top w:val="nil"/>
              <w:left w:val="nil"/>
              <w:bottom w:val="single" w:sz="4" w:space="0" w:color="auto"/>
              <w:right w:val="single" w:sz="4" w:space="0" w:color="auto"/>
            </w:tcBorders>
            <w:shd w:val="clear" w:color="auto" w:fill="auto"/>
            <w:hideMark/>
          </w:tcPr>
          <w:p w:rsidR="00CC75F2" w:rsidRPr="00CC75F2" w:rsidRDefault="008B0CE7" w:rsidP="00CC75F2">
            <w:pPr>
              <w:jc w:val="center"/>
              <w:rPr>
                <w:rFonts w:cs="Arial"/>
                <w:color w:val="000000"/>
                <w:sz w:val="16"/>
                <w:szCs w:val="16"/>
              </w:rPr>
            </w:pPr>
            <w:r w:rsidRPr="00CC75F2">
              <w:rPr>
                <w:rFonts w:cs="Arial"/>
                <w:color w:val="000000"/>
                <w:sz w:val="16"/>
                <w:szCs w:val="16"/>
              </w:rPr>
              <w:t>M</w:t>
            </w:r>
            <w:r>
              <w:rPr>
                <w:rFonts w:cs="Arial"/>
                <w:color w:val="000000"/>
                <w:sz w:val="16"/>
                <w:szCs w:val="16"/>
              </w:rPr>
              <w:t>ini Public Park</w:t>
            </w:r>
          </w:p>
        </w:tc>
        <w:tc>
          <w:tcPr>
            <w:tcW w:w="1276" w:type="dxa"/>
            <w:tcBorders>
              <w:top w:val="nil"/>
              <w:left w:val="nil"/>
              <w:bottom w:val="single" w:sz="4" w:space="0" w:color="auto"/>
              <w:right w:val="single" w:sz="4" w:space="0" w:color="auto"/>
            </w:tcBorders>
            <w:shd w:val="clear" w:color="auto" w:fill="auto"/>
            <w:hideMark/>
          </w:tcPr>
          <w:p w:rsidR="00CC75F2" w:rsidRPr="00CC75F2" w:rsidRDefault="00CC75F2" w:rsidP="00CC75F2">
            <w:pPr>
              <w:jc w:val="center"/>
              <w:rPr>
                <w:rFonts w:cs="Arial"/>
                <w:color w:val="000000"/>
                <w:sz w:val="16"/>
                <w:szCs w:val="16"/>
              </w:rPr>
            </w:pPr>
            <w:r w:rsidRPr="00CC75F2">
              <w:rPr>
                <w:rFonts w:cs="Arial"/>
                <w:color w:val="000000"/>
                <w:sz w:val="16"/>
                <w:szCs w:val="16"/>
              </w:rPr>
              <w:t>North Fitzroy Precinct</w:t>
            </w:r>
          </w:p>
        </w:tc>
        <w:tc>
          <w:tcPr>
            <w:tcW w:w="1134" w:type="dxa"/>
            <w:tcBorders>
              <w:top w:val="nil"/>
              <w:left w:val="nil"/>
              <w:bottom w:val="single" w:sz="4" w:space="0" w:color="auto"/>
              <w:right w:val="single" w:sz="4" w:space="0" w:color="auto"/>
            </w:tcBorders>
            <w:shd w:val="clear" w:color="auto" w:fill="auto"/>
            <w:hideMark/>
          </w:tcPr>
          <w:p w:rsidR="00CC75F2" w:rsidRPr="00CC75F2" w:rsidRDefault="00CC75F2" w:rsidP="00CC75F2">
            <w:pPr>
              <w:jc w:val="center"/>
              <w:rPr>
                <w:rFonts w:cs="Arial"/>
                <w:color w:val="000000"/>
                <w:sz w:val="16"/>
                <w:szCs w:val="16"/>
              </w:rPr>
            </w:pPr>
            <w:r w:rsidRPr="00CC75F2">
              <w:rPr>
                <w:rFonts w:cs="Arial"/>
                <w:color w:val="000000"/>
                <w:sz w:val="16"/>
                <w:szCs w:val="16"/>
              </w:rPr>
              <w:t>HO327</w:t>
            </w:r>
          </w:p>
        </w:tc>
        <w:tc>
          <w:tcPr>
            <w:tcW w:w="992" w:type="dxa"/>
            <w:tcBorders>
              <w:top w:val="nil"/>
              <w:left w:val="nil"/>
              <w:bottom w:val="single" w:sz="4" w:space="0" w:color="auto"/>
              <w:right w:val="single" w:sz="4" w:space="0" w:color="auto"/>
            </w:tcBorders>
            <w:shd w:val="clear" w:color="auto" w:fill="auto"/>
            <w:hideMark/>
          </w:tcPr>
          <w:p w:rsidR="00CC75F2" w:rsidRPr="00CC75F2" w:rsidRDefault="00CC75F2" w:rsidP="00CC75F2">
            <w:pPr>
              <w:jc w:val="center"/>
              <w:rPr>
                <w:rFonts w:cs="Arial"/>
                <w:color w:val="000000"/>
                <w:sz w:val="16"/>
                <w:szCs w:val="16"/>
              </w:rPr>
            </w:pPr>
            <w:r w:rsidRPr="00CC75F2">
              <w:rPr>
                <w:rFonts w:cs="Arial"/>
                <w:color w:val="000000"/>
                <w:sz w:val="16"/>
                <w:szCs w:val="16"/>
              </w:rPr>
              <w:t>N/A</w:t>
            </w:r>
          </w:p>
        </w:tc>
        <w:tc>
          <w:tcPr>
            <w:tcW w:w="1134" w:type="dxa"/>
            <w:tcBorders>
              <w:top w:val="nil"/>
              <w:left w:val="nil"/>
              <w:bottom w:val="single" w:sz="4" w:space="0" w:color="auto"/>
              <w:right w:val="single" w:sz="4" w:space="0" w:color="auto"/>
            </w:tcBorders>
            <w:shd w:val="clear" w:color="auto" w:fill="auto"/>
            <w:hideMark/>
          </w:tcPr>
          <w:p w:rsidR="00CC75F2" w:rsidRPr="00CC75F2" w:rsidRDefault="00CC75F2" w:rsidP="00373B8F">
            <w:pPr>
              <w:jc w:val="center"/>
              <w:rPr>
                <w:rFonts w:cs="Arial"/>
                <w:color w:val="000000"/>
                <w:sz w:val="16"/>
                <w:szCs w:val="16"/>
              </w:rPr>
            </w:pPr>
            <w:r w:rsidRPr="00CC75F2">
              <w:rPr>
                <w:rFonts w:cs="Arial"/>
                <w:color w:val="000000"/>
                <w:sz w:val="16"/>
                <w:szCs w:val="16"/>
              </w:rPr>
              <w:t>Precinct</w:t>
            </w:r>
          </w:p>
        </w:tc>
        <w:tc>
          <w:tcPr>
            <w:tcW w:w="1276" w:type="dxa"/>
            <w:tcBorders>
              <w:top w:val="nil"/>
              <w:left w:val="nil"/>
              <w:bottom w:val="single" w:sz="4" w:space="0" w:color="auto"/>
              <w:right w:val="single" w:sz="4" w:space="0" w:color="auto"/>
            </w:tcBorders>
            <w:shd w:val="clear" w:color="auto" w:fill="auto"/>
            <w:hideMark/>
          </w:tcPr>
          <w:p w:rsidR="00CC75F2" w:rsidRPr="00CC75F2" w:rsidRDefault="00CC75F2" w:rsidP="00CC75F2">
            <w:pPr>
              <w:jc w:val="center"/>
              <w:rPr>
                <w:rFonts w:cs="Arial"/>
                <w:color w:val="000000"/>
                <w:sz w:val="16"/>
                <w:szCs w:val="16"/>
              </w:rPr>
            </w:pPr>
            <w:r w:rsidRPr="00CC75F2">
              <w:rPr>
                <w:rFonts w:cs="Arial"/>
                <w:color w:val="000000"/>
                <w:sz w:val="16"/>
                <w:szCs w:val="16"/>
              </w:rPr>
              <w:t>Not contributory</w:t>
            </w:r>
          </w:p>
        </w:tc>
        <w:tc>
          <w:tcPr>
            <w:tcW w:w="2835" w:type="dxa"/>
            <w:tcBorders>
              <w:top w:val="nil"/>
              <w:left w:val="nil"/>
              <w:bottom w:val="single" w:sz="4" w:space="0" w:color="auto"/>
              <w:right w:val="single" w:sz="4" w:space="0" w:color="auto"/>
            </w:tcBorders>
            <w:shd w:val="clear" w:color="auto" w:fill="auto"/>
            <w:hideMark/>
          </w:tcPr>
          <w:p w:rsidR="00CC75F2" w:rsidRPr="00CC75F2" w:rsidRDefault="00CC75F2" w:rsidP="00CC75F2">
            <w:pPr>
              <w:jc w:val="left"/>
              <w:rPr>
                <w:rFonts w:cs="Arial"/>
                <w:color w:val="000000"/>
                <w:sz w:val="16"/>
                <w:szCs w:val="16"/>
              </w:rPr>
            </w:pPr>
            <w:r w:rsidRPr="00CC75F2">
              <w:rPr>
                <w:rFonts w:cs="Arial"/>
                <w:color w:val="000000"/>
                <w:sz w:val="16"/>
                <w:szCs w:val="16"/>
              </w:rPr>
              <w:t>External controls apply to buildings and land, no internal controls, no tree controls and no external paint controls apply</w:t>
            </w:r>
          </w:p>
        </w:tc>
        <w:tc>
          <w:tcPr>
            <w:tcW w:w="2693" w:type="dxa"/>
            <w:tcBorders>
              <w:top w:val="nil"/>
              <w:left w:val="nil"/>
              <w:bottom w:val="single" w:sz="4" w:space="0" w:color="auto"/>
              <w:right w:val="single" w:sz="4" w:space="0" w:color="auto"/>
            </w:tcBorders>
            <w:shd w:val="clear" w:color="auto" w:fill="auto"/>
            <w:hideMark/>
          </w:tcPr>
          <w:p w:rsidR="00CC75F2" w:rsidRPr="00CC75F2" w:rsidRDefault="00CC75F2" w:rsidP="00622DC3">
            <w:pPr>
              <w:jc w:val="left"/>
              <w:rPr>
                <w:rFonts w:cs="Arial"/>
                <w:color w:val="000000"/>
                <w:sz w:val="16"/>
                <w:szCs w:val="16"/>
              </w:rPr>
            </w:pPr>
            <w:r w:rsidRPr="00CC75F2">
              <w:rPr>
                <w:rFonts w:cs="Arial"/>
                <w:color w:val="000000"/>
                <w:sz w:val="16"/>
                <w:szCs w:val="16"/>
              </w:rPr>
              <w:t xml:space="preserve">Physical changes to the park would normally require approval under the Heritage Overlay from the </w:t>
            </w:r>
            <w:r w:rsidR="00622DC3" w:rsidRPr="00CC75F2">
              <w:rPr>
                <w:rFonts w:cs="Arial"/>
                <w:color w:val="000000"/>
                <w:sz w:val="16"/>
                <w:szCs w:val="16"/>
              </w:rPr>
              <w:t>Yarra</w:t>
            </w:r>
            <w:r w:rsidR="00622DC3">
              <w:rPr>
                <w:rFonts w:cs="Arial"/>
                <w:color w:val="000000"/>
                <w:sz w:val="16"/>
                <w:szCs w:val="16"/>
              </w:rPr>
              <w:t xml:space="preserve"> City Council.</w:t>
            </w:r>
          </w:p>
        </w:tc>
      </w:tr>
      <w:tr w:rsidR="008B0CE7" w:rsidRPr="00CC75F2" w:rsidTr="00EA18F9">
        <w:trPr>
          <w:cantSplit/>
          <w:trHeight w:val="720"/>
        </w:trPr>
        <w:tc>
          <w:tcPr>
            <w:tcW w:w="1433" w:type="dxa"/>
            <w:tcBorders>
              <w:top w:val="nil"/>
              <w:left w:val="single" w:sz="4" w:space="0" w:color="auto"/>
              <w:bottom w:val="single" w:sz="4" w:space="0" w:color="auto"/>
              <w:right w:val="single" w:sz="4" w:space="0" w:color="auto"/>
            </w:tcBorders>
            <w:shd w:val="clear" w:color="auto" w:fill="auto"/>
            <w:hideMark/>
          </w:tcPr>
          <w:p w:rsidR="00CC75F2" w:rsidRPr="00CC75F2" w:rsidRDefault="00CC75F2" w:rsidP="00CC75F2">
            <w:pPr>
              <w:jc w:val="left"/>
              <w:rPr>
                <w:rFonts w:cs="Arial"/>
                <w:color w:val="000000"/>
                <w:sz w:val="16"/>
                <w:szCs w:val="16"/>
              </w:rPr>
            </w:pPr>
            <w:r w:rsidRPr="00CC75F2">
              <w:rPr>
                <w:rFonts w:cs="Arial"/>
                <w:color w:val="000000"/>
                <w:sz w:val="16"/>
                <w:szCs w:val="16"/>
              </w:rPr>
              <w:t>Rae Street 469</w:t>
            </w:r>
          </w:p>
        </w:tc>
        <w:tc>
          <w:tcPr>
            <w:tcW w:w="1134" w:type="dxa"/>
            <w:tcBorders>
              <w:top w:val="nil"/>
              <w:left w:val="nil"/>
              <w:bottom w:val="single" w:sz="4" w:space="0" w:color="auto"/>
              <w:right w:val="single" w:sz="4" w:space="0" w:color="auto"/>
            </w:tcBorders>
            <w:shd w:val="clear" w:color="auto" w:fill="auto"/>
            <w:hideMark/>
          </w:tcPr>
          <w:p w:rsidR="00CC75F2" w:rsidRPr="00CC75F2" w:rsidRDefault="00373B8F" w:rsidP="00CC75F2">
            <w:pPr>
              <w:jc w:val="center"/>
              <w:rPr>
                <w:rFonts w:cs="Arial"/>
                <w:color w:val="000000"/>
                <w:sz w:val="16"/>
                <w:szCs w:val="16"/>
              </w:rPr>
            </w:pPr>
            <w:r w:rsidRPr="00CC75F2">
              <w:rPr>
                <w:rFonts w:cs="Arial"/>
                <w:color w:val="000000"/>
                <w:sz w:val="16"/>
                <w:szCs w:val="16"/>
              </w:rPr>
              <w:t>F</w:t>
            </w:r>
            <w:r>
              <w:rPr>
                <w:rFonts w:cs="Arial"/>
                <w:color w:val="000000"/>
                <w:sz w:val="16"/>
                <w:szCs w:val="16"/>
              </w:rPr>
              <w:t>itzroy North</w:t>
            </w:r>
          </w:p>
        </w:tc>
        <w:tc>
          <w:tcPr>
            <w:tcW w:w="1417" w:type="dxa"/>
            <w:tcBorders>
              <w:top w:val="nil"/>
              <w:left w:val="nil"/>
              <w:bottom w:val="single" w:sz="4" w:space="0" w:color="auto"/>
              <w:right w:val="single" w:sz="4" w:space="0" w:color="auto"/>
            </w:tcBorders>
            <w:shd w:val="clear" w:color="auto" w:fill="auto"/>
            <w:hideMark/>
          </w:tcPr>
          <w:p w:rsidR="00CC75F2" w:rsidRPr="00CC75F2" w:rsidRDefault="00CC75F2" w:rsidP="008B0CE7">
            <w:pPr>
              <w:jc w:val="center"/>
              <w:rPr>
                <w:rFonts w:cs="Arial"/>
                <w:color w:val="000000"/>
                <w:sz w:val="16"/>
                <w:szCs w:val="16"/>
              </w:rPr>
            </w:pPr>
            <w:r w:rsidRPr="00CC75F2">
              <w:rPr>
                <w:rFonts w:cs="Arial"/>
                <w:color w:val="000000"/>
                <w:sz w:val="16"/>
                <w:szCs w:val="16"/>
              </w:rPr>
              <w:t>M</w:t>
            </w:r>
            <w:r w:rsidR="008B0CE7">
              <w:rPr>
                <w:rFonts w:cs="Arial"/>
                <w:color w:val="000000"/>
                <w:sz w:val="16"/>
                <w:szCs w:val="16"/>
              </w:rPr>
              <w:t>ini Public Park</w:t>
            </w:r>
          </w:p>
        </w:tc>
        <w:tc>
          <w:tcPr>
            <w:tcW w:w="1276" w:type="dxa"/>
            <w:tcBorders>
              <w:top w:val="nil"/>
              <w:left w:val="nil"/>
              <w:bottom w:val="single" w:sz="4" w:space="0" w:color="auto"/>
              <w:right w:val="single" w:sz="4" w:space="0" w:color="auto"/>
            </w:tcBorders>
            <w:shd w:val="clear" w:color="auto" w:fill="auto"/>
            <w:hideMark/>
          </w:tcPr>
          <w:p w:rsidR="00CC75F2" w:rsidRPr="00CC75F2" w:rsidRDefault="00CC75F2" w:rsidP="00CC75F2">
            <w:pPr>
              <w:jc w:val="center"/>
              <w:rPr>
                <w:rFonts w:cs="Arial"/>
                <w:color w:val="000000"/>
                <w:sz w:val="16"/>
                <w:szCs w:val="16"/>
              </w:rPr>
            </w:pPr>
            <w:r w:rsidRPr="00CC75F2">
              <w:rPr>
                <w:rFonts w:cs="Arial"/>
                <w:color w:val="000000"/>
                <w:sz w:val="16"/>
                <w:szCs w:val="16"/>
              </w:rPr>
              <w:t>North Fitzroy Precinct</w:t>
            </w:r>
          </w:p>
        </w:tc>
        <w:tc>
          <w:tcPr>
            <w:tcW w:w="1134" w:type="dxa"/>
            <w:tcBorders>
              <w:top w:val="nil"/>
              <w:left w:val="nil"/>
              <w:bottom w:val="single" w:sz="4" w:space="0" w:color="auto"/>
              <w:right w:val="single" w:sz="4" w:space="0" w:color="auto"/>
            </w:tcBorders>
            <w:shd w:val="clear" w:color="auto" w:fill="auto"/>
            <w:hideMark/>
          </w:tcPr>
          <w:p w:rsidR="00CC75F2" w:rsidRPr="00CC75F2" w:rsidRDefault="00CC75F2" w:rsidP="00CC75F2">
            <w:pPr>
              <w:jc w:val="center"/>
              <w:rPr>
                <w:rFonts w:cs="Arial"/>
                <w:color w:val="000000"/>
                <w:sz w:val="16"/>
                <w:szCs w:val="16"/>
              </w:rPr>
            </w:pPr>
            <w:r w:rsidRPr="00CC75F2">
              <w:rPr>
                <w:rFonts w:cs="Arial"/>
                <w:color w:val="000000"/>
                <w:sz w:val="16"/>
                <w:szCs w:val="16"/>
              </w:rPr>
              <w:t>HO327</w:t>
            </w:r>
          </w:p>
        </w:tc>
        <w:tc>
          <w:tcPr>
            <w:tcW w:w="992" w:type="dxa"/>
            <w:tcBorders>
              <w:top w:val="nil"/>
              <w:left w:val="nil"/>
              <w:bottom w:val="single" w:sz="4" w:space="0" w:color="auto"/>
              <w:right w:val="single" w:sz="4" w:space="0" w:color="auto"/>
            </w:tcBorders>
            <w:shd w:val="clear" w:color="auto" w:fill="auto"/>
            <w:hideMark/>
          </w:tcPr>
          <w:p w:rsidR="00CC75F2" w:rsidRPr="00CC75F2" w:rsidRDefault="00CC75F2" w:rsidP="00CC75F2">
            <w:pPr>
              <w:jc w:val="center"/>
              <w:rPr>
                <w:rFonts w:cs="Arial"/>
                <w:color w:val="000000"/>
                <w:sz w:val="16"/>
                <w:szCs w:val="16"/>
              </w:rPr>
            </w:pPr>
            <w:r w:rsidRPr="00CC75F2">
              <w:rPr>
                <w:rFonts w:cs="Arial"/>
                <w:color w:val="000000"/>
                <w:sz w:val="16"/>
                <w:szCs w:val="16"/>
              </w:rPr>
              <w:t>N/A</w:t>
            </w:r>
          </w:p>
        </w:tc>
        <w:tc>
          <w:tcPr>
            <w:tcW w:w="1134" w:type="dxa"/>
            <w:tcBorders>
              <w:top w:val="nil"/>
              <w:left w:val="nil"/>
              <w:bottom w:val="single" w:sz="4" w:space="0" w:color="auto"/>
              <w:right w:val="single" w:sz="4" w:space="0" w:color="auto"/>
            </w:tcBorders>
            <w:shd w:val="clear" w:color="auto" w:fill="auto"/>
            <w:hideMark/>
          </w:tcPr>
          <w:p w:rsidR="00CC75F2" w:rsidRPr="00CC75F2" w:rsidRDefault="00CC75F2" w:rsidP="00373B8F">
            <w:pPr>
              <w:jc w:val="center"/>
              <w:rPr>
                <w:rFonts w:cs="Arial"/>
                <w:color w:val="000000"/>
                <w:sz w:val="16"/>
                <w:szCs w:val="16"/>
              </w:rPr>
            </w:pPr>
            <w:r w:rsidRPr="00CC75F2">
              <w:rPr>
                <w:rFonts w:cs="Arial"/>
                <w:color w:val="000000"/>
                <w:sz w:val="16"/>
                <w:szCs w:val="16"/>
              </w:rPr>
              <w:t>Precinct</w:t>
            </w:r>
          </w:p>
        </w:tc>
        <w:tc>
          <w:tcPr>
            <w:tcW w:w="1276" w:type="dxa"/>
            <w:tcBorders>
              <w:top w:val="nil"/>
              <w:left w:val="nil"/>
              <w:bottom w:val="single" w:sz="4" w:space="0" w:color="auto"/>
              <w:right w:val="single" w:sz="4" w:space="0" w:color="auto"/>
            </w:tcBorders>
            <w:shd w:val="clear" w:color="auto" w:fill="auto"/>
            <w:hideMark/>
          </w:tcPr>
          <w:p w:rsidR="00CC75F2" w:rsidRPr="00CC75F2" w:rsidRDefault="00CC75F2" w:rsidP="00CC75F2">
            <w:pPr>
              <w:jc w:val="center"/>
              <w:rPr>
                <w:rFonts w:cs="Arial"/>
                <w:color w:val="000000"/>
                <w:sz w:val="16"/>
                <w:szCs w:val="16"/>
              </w:rPr>
            </w:pPr>
            <w:r w:rsidRPr="00CC75F2">
              <w:rPr>
                <w:rFonts w:cs="Arial"/>
                <w:color w:val="000000"/>
                <w:sz w:val="16"/>
                <w:szCs w:val="16"/>
              </w:rPr>
              <w:t>Not contributory</w:t>
            </w:r>
          </w:p>
        </w:tc>
        <w:tc>
          <w:tcPr>
            <w:tcW w:w="2835" w:type="dxa"/>
            <w:tcBorders>
              <w:top w:val="nil"/>
              <w:left w:val="nil"/>
              <w:bottom w:val="single" w:sz="4" w:space="0" w:color="auto"/>
              <w:right w:val="single" w:sz="4" w:space="0" w:color="auto"/>
            </w:tcBorders>
            <w:shd w:val="clear" w:color="auto" w:fill="auto"/>
            <w:hideMark/>
          </w:tcPr>
          <w:p w:rsidR="00CC75F2" w:rsidRPr="00CC75F2" w:rsidRDefault="00CC75F2" w:rsidP="00CC75F2">
            <w:pPr>
              <w:jc w:val="left"/>
              <w:rPr>
                <w:rFonts w:cs="Arial"/>
                <w:color w:val="000000"/>
                <w:sz w:val="16"/>
                <w:szCs w:val="16"/>
              </w:rPr>
            </w:pPr>
            <w:r w:rsidRPr="00CC75F2">
              <w:rPr>
                <w:rFonts w:cs="Arial"/>
                <w:color w:val="000000"/>
                <w:sz w:val="16"/>
                <w:szCs w:val="16"/>
              </w:rPr>
              <w:t>External controls apply to buildings and land, no internal controls, no tree controls and no external paint controls apply</w:t>
            </w:r>
          </w:p>
        </w:tc>
        <w:tc>
          <w:tcPr>
            <w:tcW w:w="2693" w:type="dxa"/>
            <w:tcBorders>
              <w:top w:val="nil"/>
              <w:left w:val="nil"/>
              <w:bottom w:val="single" w:sz="4" w:space="0" w:color="auto"/>
              <w:right w:val="single" w:sz="4" w:space="0" w:color="auto"/>
            </w:tcBorders>
            <w:shd w:val="clear" w:color="auto" w:fill="auto"/>
            <w:hideMark/>
          </w:tcPr>
          <w:p w:rsidR="00CC75F2" w:rsidRPr="00CC75F2" w:rsidRDefault="00CC75F2" w:rsidP="00622DC3">
            <w:pPr>
              <w:jc w:val="left"/>
              <w:rPr>
                <w:rFonts w:cs="Arial"/>
                <w:color w:val="000000"/>
                <w:sz w:val="16"/>
                <w:szCs w:val="16"/>
              </w:rPr>
            </w:pPr>
            <w:r w:rsidRPr="00CC75F2">
              <w:rPr>
                <w:rFonts w:cs="Arial"/>
                <w:color w:val="000000"/>
                <w:sz w:val="16"/>
                <w:szCs w:val="16"/>
              </w:rPr>
              <w:t xml:space="preserve">Physical changes to the park would normally require approval under the Heritage Overlay from the </w:t>
            </w:r>
            <w:r w:rsidR="00622DC3" w:rsidRPr="00CC75F2">
              <w:rPr>
                <w:rFonts w:cs="Arial"/>
                <w:color w:val="000000"/>
                <w:sz w:val="16"/>
                <w:szCs w:val="16"/>
              </w:rPr>
              <w:t>Yarra</w:t>
            </w:r>
            <w:r w:rsidR="00622DC3">
              <w:rPr>
                <w:rFonts w:cs="Arial"/>
                <w:color w:val="000000"/>
                <w:sz w:val="16"/>
                <w:szCs w:val="16"/>
              </w:rPr>
              <w:t xml:space="preserve"> City Council.</w:t>
            </w:r>
          </w:p>
        </w:tc>
      </w:tr>
      <w:tr w:rsidR="008B0CE7" w:rsidRPr="00CC75F2" w:rsidTr="00EA18F9">
        <w:trPr>
          <w:cantSplit/>
          <w:trHeight w:val="720"/>
        </w:trPr>
        <w:tc>
          <w:tcPr>
            <w:tcW w:w="1433" w:type="dxa"/>
            <w:tcBorders>
              <w:top w:val="nil"/>
              <w:left w:val="single" w:sz="4" w:space="0" w:color="auto"/>
              <w:bottom w:val="single" w:sz="4" w:space="0" w:color="auto"/>
              <w:right w:val="single" w:sz="4" w:space="0" w:color="auto"/>
            </w:tcBorders>
            <w:shd w:val="clear" w:color="auto" w:fill="auto"/>
            <w:hideMark/>
          </w:tcPr>
          <w:p w:rsidR="00CC75F2" w:rsidRPr="00CC75F2" w:rsidRDefault="00CC75F2" w:rsidP="00984DE9">
            <w:pPr>
              <w:jc w:val="left"/>
              <w:rPr>
                <w:rFonts w:cs="Arial"/>
                <w:color w:val="000000"/>
                <w:sz w:val="16"/>
                <w:szCs w:val="16"/>
              </w:rPr>
            </w:pPr>
            <w:r w:rsidRPr="00CC75F2">
              <w:rPr>
                <w:rFonts w:cs="Arial"/>
                <w:color w:val="000000"/>
                <w:sz w:val="16"/>
                <w:szCs w:val="16"/>
              </w:rPr>
              <w:t>Rathdowne Street 667</w:t>
            </w:r>
          </w:p>
        </w:tc>
        <w:tc>
          <w:tcPr>
            <w:tcW w:w="1134" w:type="dxa"/>
            <w:tcBorders>
              <w:top w:val="nil"/>
              <w:left w:val="nil"/>
              <w:bottom w:val="single" w:sz="4" w:space="0" w:color="auto"/>
              <w:right w:val="single" w:sz="4" w:space="0" w:color="auto"/>
            </w:tcBorders>
            <w:shd w:val="clear" w:color="auto" w:fill="auto"/>
            <w:hideMark/>
          </w:tcPr>
          <w:p w:rsidR="00CC75F2" w:rsidRPr="00CC75F2" w:rsidRDefault="008B0CE7" w:rsidP="00CC75F2">
            <w:pPr>
              <w:jc w:val="center"/>
              <w:rPr>
                <w:rFonts w:cs="Arial"/>
                <w:color w:val="000000"/>
                <w:sz w:val="16"/>
                <w:szCs w:val="16"/>
              </w:rPr>
            </w:pPr>
            <w:r w:rsidRPr="00CC75F2">
              <w:rPr>
                <w:rFonts w:cs="Arial"/>
                <w:color w:val="000000"/>
                <w:sz w:val="16"/>
                <w:szCs w:val="16"/>
              </w:rPr>
              <w:t>C</w:t>
            </w:r>
            <w:r>
              <w:rPr>
                <w:rFonts w:cs="Arial"/>
                <w:color w:val="000000"/>
                <w:sz w:val="16"/>
                <w:szCs w:val="16"/>
              </w:rPr>
              <w:t>arlton North</w:t>
            </w:r>
          </w:p>
        </w:tc>
        <w:tc>
          <w:tcPr>
            <w:tcW w:w="1417" w:type="dxa"/>
            <w:tcBorders>
              <w:top w:val="nil"/>
              <w:left w:val="nil"/>
              <w:bottom w:val="single" w:sz="4" w:space="0" w:color="auto"/>
              <w:right w:val="single" w:sz="4" w:space="0" w:color="auto"/>
            </w:tcBorders>
            <w:shd w:val="clear" w:color="auto" w:fill="auto"/>
            <w:hideMark/>
          </w:tcPr>
          <w:p w:rsidR="00CC75F2" w:rsidRPr="00CC75F2" w:rsidRDefault="00CC75F2" w:rsidP="008B0CE7">
            <w:pPr>
              <w:jc w:val="center"/>
              <w:rPr>
                <w:rFonts w:cs="Arial"/>
                <w:color w:val="000000"/>
                <w:sz w:val="16"/>
                <w:szCs w:val="16"/>
              </w:rPr>
            </w:pPr>
            <w:r w:rsidRPr="00CC75F2">
              <w:rPr>
                <w:rFonts w:cs="Arial"/>
                <w:color w:val="000000"/>
                <w:sz w:val="16"/>
                <w:szCs w:val="16"/>
              </w:rPr>
              <w:t>L</w:t>
            </w:r>
            <w:r w:rsidR="008B0CE7">
              <w:rPr>
                <w:rFonts w:cs="Arial"/>
                <w:color w:val="000000"/>
                <w:sz w:val="16"/>
                <w:szCs w:val="16"/>
              </w:rPr>
              <w:t>ibrary</w:t>
            </w:r>
          </w:p>
        </w:tc>
        <w:tc>
          <w:tcPr>
            <w:tcW w:w="1276" w:type="dxa"/>
            <w:tcBorders>
              <w:top w:val="nil"/>
              <w:left w:val="nil"/>
              <w:bottom w:val="single" w:sz="4" w:space="0" w:color="auto"/>
              <w:right w:val="single" w:sz="4" w:space="0" w:color="auto"/>
            </w:tcBorders>
            <w:shd w:val="clear" w:color="auto" w:fill="auto"/>
            <w:hideMark/>
          </w:tcPr>
          <w:p w:rsidR="00CC75F2" w:rsidRPr="00CC75F2" w:rsidRDefault="00CC75F2" w:rsidP="00CC75F2">
            <w:pPr>
              <w:jc w:val="center"/>
              <w:rPr>
                <w:rFonts w:cs="Arial"/>
                <w:color w:val="000000"/>
                <w:sz w:val="16"/>
                <w:szCs w:val="16"/>
              </w:rPr>
            </w:pPr>
            <w:r w:rsidRPr="00CC75F2">
              <w:rPr>
                <w:rFonts w:cs="Arial"/>
                <w:color w:val="000000"/>
                <w:sz w:val="16"/>
                <w:szCs w:val="16"/>
              </w:rPr>
              <w:t>North Carlton Precinct</w:t>
            </w:r>
          </w:p>
        </w:tc>
        <w:tc>
          <w:tcPr>
            <w:tcW w:w="1134" w:type="dxa"/>
            <w:tcBorders>
              <w:top w:val="nil"/>
              <w:left w:val="nil"/>
              <w:bottom w:val="single" w:sz="4" w:space="0" w:color="auto"/>
              <w:right w:val="single" w:sz="4" w:space="0" w:color="auto"/>
            </w:tcBorders>
            <w:shd w:val="clear" w:color="auto" w:fill="auto"/>
            <w:hideMark/>
          </w:tcPr>
          <w:p w:rsidR="00CC75F2" w:rsidRPr="00CC75F2" w:rsidRDefault="00CC75F2" w:rsidP="00CC75F2">
            <w:pPr>
              <w:jc w:val="center"/>
              <w:rPr>
                <w:rFonts w:cs="Arial"/>
                <w:color w:val="000000"/>
                <w:sz w:val="16"/>
                <w:szCs w:val="16"/>
              </w:rPr>
            </w:pPr>
            <w:r w:rsidRPr="00CC75F2">
              <w:rPr>
                <w:rFonts w:cs="Arial"/>
                <w:color w:val="000000"/>
                <w:sz w:val="16"/>
                <w:szCs w:val="16"/>
              </w:rPr>
              <w:t>HO326</w:t>
            </w:r>
          </w:p>
        </w:tc>
        <w:tc>
          <w:tcPr>
            <w:tcW w:w="992" w:type="dxa"/>
            <w:tcBorders>
              <w:top w:val="nil"/>
              <w:left w:val="nil"/>
              <w:bottom w:val="single" w:sz="4" w:space="0" w:color="auto"/>
              <w:right w:val="single" w:sz="4" w:space="0" w:color="auto"/>
            </w:tcBorders>
            <w:shd w:val="clear" w:color="auto" w:fill="auto"/>
            <w:hideMark/>
          </w:tcPr>
          <w:p w:rsidR="00CC75F2" w:rsidRPr="00CC75F2" w:rsidRDefault="00CC75F2" w:rsidP="00CC75F2">
            <w:pPr>
              <w:jc w:val="center"/>
              <w:rPr>
                <w:rFonts w:cs="Arial"/>
                <w:color w:val="000000"/>
                <w:sz w:val="16"/>
                <w:szCs w:val="16"/>
              </w:rPr>
            </w:pPr>
            <w:r w:rsidRPr="00CC75F2">
              <w:rPr>
                <w:rFonts w:cs="Arial"/>
                <w:color w:val="000000"/>
                <w:sz w:val="16"/>
                <w:szCs w:val="16"/>
              </w:rPr>
              <w:t>N/A</w:t>
            </w:r>
          </w:p>
        </w:tc>
        <w:tc>
          <w:tcPr>
            <w:tcW w:w="1134" w:type="dxa"/>
            <w:tcBorders>
              <w:top w:val="nil"/>
              <w:left w:val="nil"/>
              <w:bottom w:val="single" w:sz="4" w:space="0" w:color="auto"/>
              <w:right w:val="single" w:sz="4" w:space="0" w:color="auto"/>
            </w:tcBorders>
            <w:shd w:val="clear" w:color="auto" w:fill="auto"/>
            <w:hideMark/>
          </w:tcPr>
          <w:p w:rsidR="00CC75F2" w:rsidRPr="00CC75F2" w:rsidRDefault="00CC75F2" w:rsidP="00373B8F">
            <w:pPr>
              <w:jc w:val="center"/>
              <w:rPr>
                <w:rFonts w:cs="Arial"/>
                <w:color w:val="000000"/>
                <w:sz w:val="16"/>
                <w:szCs w:val="16"/>
              </w:rPr>
            </w:pPr>
            <w:r w:rsidRPr="00CC75F2">
              <w:rPr>
                <w:rFonts w:cs="Arial"/>
                <w:color w:val="000000"/>
                <w:sz w:val="16"/>
                <w:szCs w:val="16"/>
              </w:rPr>
              <w:t>Precinct</w:t>
            </w:r>
          </w:p>
        </w:tc>
        <w:tc>
          <w:tcPr>
            <w:tcW w:w="1276" w:type="dxa"/>
            <w:tcBorders>
              <w:top w:val="nil"/>
              <w:left w:val="nil"/>
              <w:bottom w:val="single" w:sz="4" w:space="0" w:color="auto"/>
              <w:right w:val="single" w:sz="4" w:space="0" w:color="auto"/>
            </w:tcBorders>
            <w:shd w:val="clear" w:color="auto" w:fill="auto"/>
            <w:hideMark/>
          </w:tcPr>
          <w:p w:rsidR="00CC75F2" w:rsidRPr="00CC75F2" w:rsidRDefault="00CC75F2" w:rsidP="00CC75F2">
            <w:pPr>
              <w:jc w:val="center"/>
              <w:rPr>
                <w:rFonts w:cs="Arial"/>
                <w:color w:val="000000"/>
                <w:sz w:val="16"/>
                <w:szCs w:val="16"/>
              </w:rPr>
            </w:pPr>
            <w:r w:rsidRPr="00CC75F2">
              <w:rPr>
                <w:rFonts w:cs="Arial"/>
                <w:color w:val="000000"/>
                <w:sz w:val="16"/>
                <w:szCs w:val="16"/>
              </w:rPr>
              <w:t>Not contributory</w:t>
            </w:r>
          </w:p>
        </w:tc>
        <w:tc>
          <w:tcPr>
            <w:tcW w:w="2835" w:type="dxa"/>
            <w:tcBorders>
              <w:top w:val="nil"/>
              <w:left w:val="nil"/>
              <w:bottom w:val="single" w:sz="4" w:space="0" w:color="auto"/>
              <w:right w:val="single" w:sz="4" w:space="0" w:color="auto"/>
            </w:tcBorders>
            <w:shd w:val="clear" w:color="auto" w:fill="auto"/>
            <w:hideMark/>
          </w:tcPr>
          <w:p w:rsidR="00CC75F2" w:rsidRPr="00CC75F2" w:rsidRDefault="00CC75F2" w:rsidP="00CC75F2">
            <w:pPr>
              <w:jc w:val="left"/>
              <w:rPr>
                <w:rFonts w:cs="Arial"/>
                <w:color w:val="000000"/>
                <w:sz w:val="16"/>
                <w:szCs w:val="16"/>
              </w:rPr>
            </w:pPr>
            <w:r w:rsidRPr="00CC75F2">
              <w:rPr>
                <w:rFonts w:cs="Arial"/>
                <w:color w:val="000000"/>
                <w:sz w:val="16"/>
                <w:szCs w:val="16"/>
              </w:rPr>
              <w:t>External controls apply to the building and land, no internal controls, no tree controls and no external paint controls apply</w:t>
            </w:r>
          </w:p>
        </w:tc>
        <w:tc>
          <w:tcPr>
            <w:tcW w:w="2693" w:type="dxa"/>
            <w:tcBorders>
              <w:top w:val="nil"/>
              <w:left w:val="nil"/>
              <w:bottom w:val="single" w:sz="4" w:space="0" w:color="auto"/>
              <w:right w:val="single" w:sz="4" w:space="0" w:color="auto"/>
            </w:tcBorders>
            <w:shd w:val="clear" w:color="auto" w:fill="auto"/>
            <w:hideMark/>
          </w:tcPr>
          <w:p w:rsidR="00CC75F2" w:rsidRPr="00CC75F2" w:rsidRDefault="00CC75F2" w:rsidP="00CC75F2">
            <w:pPr>
              <w:jc w:val="left"/>
              <w:rPr>
                <w:rFonts w:cs="Arial"/>
                <w:color w:val="000000"/>
                <w:sz w:val="16"/>
                <w:szCs w:val="16"/>
              </w:rPr>
            </w:pPr>
            <w:r w:rsidRPr="00CC75F2">
              <w:rPr>
                <w:rFonts w:cs="Arial"/>
                <w:color w:val="000000"/>
                <w:sz w:val="16"/>
                <w:szCs w:val="16"/>
              </w:rPr>
              <w:t> </w:t>
            </w:r>
          </w:p>
        </w:tc>
      </w:tr>
      <w:tr w:rsidR="008B0CE7" w:rsidRPr="00CC75F2" w:rsidTr="00EA18F9">
        <w:trPr>
          <w:cantSplit/>
          <w:trHeight w:val="720"/>
        </w:trPr>
        <w:tc>
          <w:tcPr>
            <w:tcW w:w="1433" w:type="dxa"/>
            <w:tcBorders>
              <w:top w:val="nil"/>
              <w:left w:val="single" w:sz="4" w:space="0" w:color="auto"/>
              <w:bottom w:val="single" w:sz="4" w:space="0" w:color="auto"/>
              <w:right w:val="single" w:sz="4" w:space="0" w:color="auto"/>
            </w:tcBorders>
            <w:shd w:val="clear" w:color="auto" w:fill="auto"/>
            <w:hideMark/>
          </w:tcPr>
          <w:p w:rsidR="00CC75F2" w:rsidRPr="00CC75F2" w:rsidRDefault="00CC75F2" w:rsidP="00CC75F2">
            <w:pPr>
              <w:jc w:val="left"/>
              <w:rPr>
                <w:rFonts w:cs="Arial"/>
                <w:color w:val="000000"/>
                <w:sz w:val="16"/>
                <w:szCs w:val="16"/>
              </w:rPr>
            </w:pPr>
            <w:r w:rsidRPr="00CC75F2">
              <w:rPr>
                <w:rFonts w:cs="Arial"/>
                <w:color w:val="000000"/>
                <w:sz w:val="16"/>
                <w:szCs w:val="16"/>
              </w:rPr>
              <w:t>Rushall Crescent 121</w:t>
            </w:r>
          </w:p>
        </w:tc>
        <w:tc>
          <w:tcPr>
            <w:tcW w:w="1134" w:type="dxa"/>
            <w:tcBorders>
              <w:top w:val="nil"/>
              <w:left w:val="nil"/>
              <w:bottom w:val="single" w:sz="4" w:space="0" w:color="auto"/>
              <w:right w:val="single" w:sz="4" w:space="0" w:color="auto"/>
            </w:tcBorders>
            <w:shd w:val="clear" w:color="auto" w:fill="auto"/>
            <w:hideMark/>
          </w:tcPr>
          <w:p w:rsidR="00CC75F2" w:rsidRPr="00CC75F2" w:rsidRDefault="00373B8F" w:rsidP="00CC75F2">
            <w:pPr>
              <w:jc w:val="center"/>
              <w:rPr>
                <w:rFonts w:cs="Arial"/>
                <w:color w:val="000000"/>
                <w:sz w:val="16"/>
                <w:szCs w:val="16"/>
              </w:rPr>
            </w:pPr>
            <w:r w:rsidRPr="00CC75F2">
              <w:rPr>
                <w:rFonts w:cs="Arial"/>
                <w:color w:val="000000"/>
                <w:sz w:val="16"/>
                <w:szCs w:val="16"/>
              </w:rPr>
              <w:t>F</w:t>
            </w:r>
            <w:r>
              <w:rPr>
                <w:rFonts w:cs="Arial"/>
                <w:color w:val="000000"/>
                <w:sz w:val="16"/>
                <w:szCs w:val="16"/>
              </w:rPr>
              <w:t>itzroy North</w:t>
            </w:r>
          </w:p>
        </w:tc>
        <w:tc>
          <w:tcPr>
            <w:tcW w:w="1417" w:type="dxa"/>
            <w:tcBorders>
              <w:top w:val="nil"/>
              <w:left w:val="nil"/>
              <w:bottom w:val="single" w:sz="4" w:space="0" w:color="auto"/>
              <w:right w:val="single" w:sz="4" w:space="0" w:color="auto"/>
            </w:tcBorders>
            <w:shd w:val="clear" w:color="auto" w:fill="auto"/>
            <w:hideMark/>
          </w:tcPr>
          <w:p w:rsidR="00CC75F2" w:rsidRPr="00CC75F2" w:rsidRDefault="00CC75F2" w:rsidP="008B0CE7">
            <w:pPr>
              <w:jc w:val="center"/>
              <w:rPr>
                <w:rFonts w:cs="Arial"/>
                <w:color w:val="000000"/>
                <w:sz w:val="16"/>
                <w:szCs w:val="16"/>
              </w:rPr>
            </w:pPr>
            <w:r w:rsidRPr="00CC75F2">
              <w:rPr>
                <w:rFonts w:cs="Arial"/>
                <w:color w:val="000000"/>
                <w:sz w:val="16"/>
                <w:szCs w:val="16"/>
              </w:rPr>
              <w:t>C</w:t>
            </w:r>
            <w:r w:rsidR="008B0CE7">
              <w:rPr>
                <w:rFonts w:cs="Arial"/>
                <w:color w:val="000000"/>
                <w:sz w:val="16"/>
                <w:szCs w:val="16"/>
              </w:rPr>
              <w:t>lifton Child Care Centre</w:t>
            </w:r>
            <w:r w:rsidRPr="00CC75F2">
              <w:rPr>
                <w:rFonts w:cs="Arial"/>
                <w:color w:val="000000"/>
                <w:sz w:val="16"/>
                <w:szCs w:val="16"/>
              </w:rPr>
              <w:t xml:space="preserve"> </w:t>
            </w:r>
          </w:p>
        </w:tc>
        <w:tc>
          <w:tcPr>
            <w:tcW w:w="1276" w:type="dxa"/>
            <w:tcBorders>
              <w:top w:val="nil"/>
              <w:left w:val="nil"/>
              <w:bottom w:val="single" w:sz="4" w:space="0" w:color="auto"/>
              <w:right w:val="single" w:sz="4" w:space="0" w:color="auto"/>
            </w:tcBorders>
            <w:shd w:val="clear" w:color="auto" w:fill="auto"/>
            <w:hideMark/>
          </w:tcPr>
          <w:p w:rsidR="00CC75F2" w:rsidRPr="00CC75F2" w:rsidRDefault="00CC75F2" w:rsidP="00CC75F2">
            <w:pPr>
              <w:jc w:val="center"/>
              <w:rPr>
                <w:rFonts w:cs="Arial"/>
                <w:color w:val="000000"/>
                <w:sz w:val="16"/>
                <w:szCs w:val="16"/>
              </w:rPr>
            </w:pPr>
            <w:r w:rsidRPr="00CC75F2">
              <w:rPr>
                <w:rFonts w:cs="Arial"/>
                <w:color w:val="000000"/>
                <w:sz w:val="16"/>
                <w:szCs w:val="16"/>
              </w:rPr>
              <w:t>North Fitzroy Precinct</w:t>
            </w:r>
          </w:p>
        </w:tc>
        <w:tc>
          <w:tcPr>
            <w:tcW w:w="1134" w:type="dxa"/>
            <w:tcBorders>
              <w:top w:val="nil"/>
              <w:left w:val="nil"/>
              <w:bottom w:val="single" w:sz="4" w:space="0" w:color="auto"/>
              <w:right w:val="single" w:sz="4" w:space="0" w:color="auto"/>
            </w:tcBorders>
            <w:shd w:val="clear" w:color="auto" w:fill="auto"/>
            <w:hideMark/>
          </w:tcPr>
          <w:p w:rsidR="00CC75F2" w:rsidRPr="00CC75F2" w:rsidRDefault="00CC75F2" w:rsidP="00CC75F2">
            <w:pPr>
              <w:jc w:val="center"/>
              <w:rPr>
                <w:rFonts w:cs="Arial"/>
                <w:color w:val="000000"/>
                <w:sz w:val="16"/>
                <w:szCs w:val="16"/>
              </w:rPr>
            </w:pPr>
            <w:r w:rsidRPr="00CC75F2">
              <w:rPr>
                <w:rFonts w:cs="Arial"/>
                <w:color w:val="000000"/>
                <w:sz w:val="16"/>
                <w:szCs w:val="16"/>
              </w:rPr>
              <w:t>HO327</w:t>
            </w:r>
          </w:p>
        </w:tc>
        <w:tc>
          <w:tcPr>
            <w:tcW w:w="992" w:type="dxa"/>
            <w:tcBorders>
              <w:top w:val="nil"/>
              <w:left w:val="nil"/>
              <w:bottom w:val="single" w:sz="4" w:space="0" w:color="auto"/>
              <w:right w:val="single" w:sz="4" w:space="0" w:color="auto"/>
            </w:tcBorders>
            <w:shd w:val="clear" w:color="auto" w:fill="auto"/>
            <w:hideMark/>
          </w:tcPr>
          <w:p w:rsidR="00CC75F2" w:rsidRPr="00CC75F2" w:rsidRDefault="00CC75F2" w:rsidP="00CC75F2">
            <w:pPr>
              <w:jc w:val="center"/>
              <w:rPr>
                <w:rFonts w:cs="Arial"/>
                <w:color w:val="000000"/>
                <w:sz w:val="16"/>
                <w:szCs w:val="16"/>
              </w:rPr>
            </w:pPr>
            <w:r w:rsidRPr="00CC75F2">
              <w:rPr>
                <w:rFonts w:cs="Arial"/>
                <w:color w:val="000000"/>
                <w:sz w:val="16"/>
                <w:szCs w:val="16"/>
              </w:rPr>
              <w:t>N/A</w:t>
            </w:r>
          </w:p>
        </w:tc>
        <w:tc>
          <w:tcPr>
            <w:tcW w:w="1134" w:type="dxa"/>
            <w:tcBorders>
              <w:top w:val="nil"/>
              <w:left w:val="nil"/>
              <w:bottom w:val="single" w:sz="4" w:space="0" w:color="auto"/>
              <w:right w:val="single" w:sz="4" w:space="0" w:color="auto"/>
            </w:tcBorders>
            <w:shd w:val="clear" w:color="auto" w:fill="auto"/>
            <w:hideMark/>
          </w:tcPr>
          <w:p w:rsidR="00CC75F2" w:rsidRPr="00CC75F2" w:rsidRDefault="00CC75F2" w:rsidP="00373B8F">
            <w:pPr>
              <w:jc w:val="center"/>
              <w:rPr>
                <w:rFonts w:cs="Arial"/>
                <w:color w:val="000000"/>
                <w:sz w:val="16"/>
                <w:szCs w:val="16"/>
              </w:rPr>
            </w:pPr>
            <w:r w:rsidRPr="00CC75F2">
              <w:rPr>
                <w:rFonts w:cs="Arial"/>
                <w:color w:val="000000"/>
                <w:sz w:val="16"/>
                <w:szCs w:val="16"/>
              </w:rPr>
              <w:t>Precinct</w:t>
            </w:r>
          </w:p>
        </w:tc>
        <w:tc>
          <w:tcPr>
            <w:tcW w:w="1276" w:type="dxa"/>
            <w:tcBorders>
              <w:top w:val="nil"/>
              <w:left w:val="nil"/>
              <w:bottom w:val="single" w:sz="4" w:space="0" w:color="auto"/>
              <w:right w:val="single" w:sz="4" w:space="0" w:color="auto"/>
            </w:tcBorders>
            <w:shd w:val="clear" w:color="auto" w:fill="auto"/>
            <w:hideMark/>
          </w:tcPr>
          <w:p w:rsidR="00CC75F2" w:rsidRPr="00CC75F2" w:rsidRDefault="00CC75F2" w:rsidP="00CC75F2">
            <w:pPr>
              <w:jc w:val="center"/>
              <w:rPr>
                <w:rFonts w:cs="Arial"/>
                <w:color w:val="000000"/>
                <w:sz w:val="16"/>
                <w:szCs w:val="16"/>
              </w:rPr>
            </w:pPr>
            <w:r w:rsidRPr="00CC75F2">
              <w:rPr>
                <w:rFonts w:cs="Arial"/>
                <w:color w:val="000000"/>
                <w:sz w:val="16"/>
                <w:szCs w:val="16"/>
              </w:rPr>
              <w:t>Contributory</w:t>
            </w:r>
          </w:p>
        </w:tc>
        <w:tc>
          <w:tcPr>
            <w:tcW w:w="2835" w:type="dxa"/>
            <w:tcBorders>
              <w:top w:val="nil"/>
              <w:left w:val="nil"/>
              <w:bottom w:val="single" w:sz="4" w:space="0" w:color="auto"/>
              <w:right w:val="single" w:sz="4" w:space="0" w:color="auto"/>
            </w:tcBorders>
            <w:shd w:val="clear" w:color="auto" w:fill="auto"/>
            <w:hideMark/>
          </w:tcPr>
          <w:p w:rsidR="00CC75F2" w:rsidRPr="00CC75F2" w:rsidRDefault="00CC75F2" w:rsidP="00CC75F2">
            <w:pPr>
              <w:jc w:val="left"/>
              <w:rPr>
                <w:rFonts w:cs="Arial"/>
                <w:color w:val="000000"/>
                <w:sz w:val="16"/>
                <w:szCs w:val="16"/>
              </w:rPr>
            </w:pPr>
            <w:r w:rsidRPr="00CC75F2">
              <w:rPr>
                <w:rFonts w:cs="Arial"/>
                <w:color w:val="000000"/>
                <w:sz w:val="16"/>
                <w:szCs w:val="16"/>
              </w:rPr>
              <w:t>External controls apply to the building and land, no internal controls, no tree controls and no external paint controls apply</w:t>
            </w:r>
          </w:p>
        </w:tc>
        <w:tc>
          <w:tcPr>
            <w:tcW w:w="2693" w:type="dxa"/>
            <w:tcBorders>
              <w:top w:val="nil"/>
              <w:left w:val="nil"/>
              <w:bottom w:val="single" w:sz="4" w:space="0" w:color="auto"/>
              <w:right w:val="single" w:sz="4" w:space="0" w:color="auto"/>
            </w:tcBorders>
            <w:shd w:val="clear" w:color="auto" w:fill="auto"/>
            <w:hideMark/>
          </w:tcPr>
          <w:p w:rsidR="00CC75F2" w:rsidRPr="00CC75F2" w:rsidRDefault="00CC75F2" w:rsidP="00CC75F2">
            <w:pPr>
              <w:jc w:val="left"/>
              <w:rPr>
                <w:rFonts w:cs="Arial"/>
                <w:color w:val="000000"/>
                <w:sz w:val="16"/>
                <w:szCs w:val="16"/>
              </w:rPr>
            </w:pPr>
            <w:r w:rsidRPr="00CC75F2">
              <w:rPr>
                <w:rFonts w:cs="Arial"/>
                <w:color w:val="000000"/>
                <w:sz w:val="16"/>
                <w:szCs w:val="16"/>
              </w:rPr>
              <w:t> </w:t>
            </w:r>
          </w:p>
        </w:tc>
      </w:tr>
      <w:tr w:rsidR="008B0CE7" w:rsidRPr="00CC75F2" w:rsidTr="00EA18F9">
        <w:trPr>
          <w:cantSplit/>
          <w:trHeight w:val="720"/>
        </w:trPr>
        <w:tc>
          <w:tcPr>
            <w:tcW w:w="1433" w:type="dxa"/>
            <w:tcBorders>
              <w:top w:val="nil"/>
              <w:left w:val="single" w:sz="4" w:space="0" w:color="auto"/>
              <w:bottom w:val="single" w:sz="4" w:space="0" w:color="auto"/>
              <w:right w:val="single" w:sz="4" w:space="0" w:color="auto"/>
            </w:tcBorders>
            <w:shd w:val="clear" w:color="auto" w:fill="auto"/>
            <w:hideMark/>
          </w:tcPr>
          <w:p w:rsidR="00CC75F2" w:rsidRPr="00CC75F2" w:rsidRDefault="00CC75F2" w:rsidP="00CC75F2">
            <w:pPr>
              <w:jc w:val="left"/>
              <w:rPr>
                <w:rFonts w:cs="Arial"/>
                <w:color w:val="000000"/>
                <w:sz w:val="16"/>
                <w:szCs w:val="16"/>
              </w:rPr>
            </w:pPr>
            <w:r w:rsidRPr="00CC75F2">
              <w:rPr>
                <w:rFonts w:cs="Arial"/>
                <w:color w:val="000000"/>
                <w:sz w:val="16"/>
                <w:szCs w:val="16"/>
              </w:rPr>
              <w:t>Shakespeare Street 7-15</w:t>
            </w:r>
          </w:p>
        </w:tc>
        <w:tc>
          <w:tcPr>
            <w:tcW w:w="1134" w:type="dxa"/>
            <w:tcBorders>
              <w:top w:val="nil"/>
              <w:left w:val="nil"/>
              <w:bottom w:val="single" w:sz="4" w:space="0" w:color="auto"/>
              <w:right w:val="single" w:sz="4" w:space="0" w:color="auto"/>
            </w:tcBorders>
            <w:shd w:val="clear" w:color="auto" w:fill="auto"/>
            <w:hideMark/>
          </w:tcPr>
          <w:p w:rsidR="00CC75F2" w:rsidRPr="00CC75F2" w:rsidRDefault="00CC75F2" w:rsidP="008B0CE7">
            <w:pPr>
              <w:jc w:val="center"/>
              <w:rPr>
                <w:rFonts w:cs="Arial"/>
                <w:color w:val="000000"/>
                <w:sz w:val="16"/>
                <w:szCs w:val="16"/>
              </w:rPr>
            </w:pPr>
            <w:r w:rsidRPr="00CC75F2">
              <w:rPr>
                <w:rFonts w:cs="Arial"/>
                <w:color w:val="000000"/>
                <w:sz w:val="16"/>
                <w:szCs w:val="16"/>
              </w:rPr>
              <w:t>C</w:t>
            </w:r>
            <w:r w:rsidR="008B0CE7">
              <w:rPr>
                <w:rFonts w:cs="Arial"/>
                <w:color w:val="000000"/>
                <w:sz w:val="16"/>
                <w:szCs w:val="16"/>
              </w:rPr>
              <w:t>arlton North</w:t>
            </w:r>
          </w:p>
        </w:tc>
        <w:tc>
          <w:tcPr>
            <w:tcW w:w="1417" w:type="dxa"/>
            <w:tcBorders>
              <w:top w:val="nil"/>
              <w:left w:val="nil"/>
              <w:bottom w:val="single" w:sz="4" w:space="0" w:color="auto"/>
              <w:right w:val="single" w:sz="4" w:space="0" w:color="auto"/>
            </w:tcBorders>
            <w:shd w:val="clear" w:color="auto" w:fill="auto"/>
            <w:hideMark/>
          </w:tcPr>
          <w:p w:rsidR="00CC75F2" w:rsidRPr="00CC75F2" w:rsidRDefault="00CC75F2" w:rsidP="008B0CE7">
            <w:pPr>
              <w:jc w:val="center"/>
              <w:rPr>
                <w:rFonts w:cs="Arial"/>
                <w:color w:val="000000"/>
                <w:sz w:val="16"/>
                <w:szCs w:val="16"/>
              </w:rPr>
            </w:pPr>
            <w:r w:rsidRPr="00CC75F2">
              <w:rPr>
                <w:rFonts w:cs="Arial"/>
                <w:color w:val="000000"/>
                <w:sz w:val="16"/>
                <w:szCs w:val="16"/>
              </w:rPr>
              <w:t>N</w:t>
            </w:r>
            <w:r w:rsidR="008B0CE7">
              <w:rPr>
                <w:rFonts w:cs="Arial"/>
                <w:color w:val="000000"/>
                <w:sz w:val="16"/>
                <w:szCs w:val="16"/>
              </w:rPr>
              <w:t>eighbourhood Park</w:t>
            </w:r>
            <w:r w:rsidRPr="00CC75F2">
              <w:rPr>
                <w:rFonts w:cs="Arial"/>
                <w:color w:val="000000"/>
                <w:sz w:val="16"/>
                <w:szCs w:val="16"/>
              </w:rPr>
              <w:t xml:space="preserve"> </w:t>
            </w:r>
          </w:p>
        </w:tc>
        <w:tc>
          <w:tcPr>
            <w:tcW w:w="1276" w:type="dxa"/>
            <w:tcBorders>
              <w:top w:val="nil"/>
              <w:left w:val="nil"/>
              <w:bottom w:val="single" w:sz="4" w:space="0" w:color="auto"/>
              <w:right w:val="single" w:sz="4" w:space="0" w:color="auto"/>
            </w:tcBorders>
            <w:shd w:val="clear" w:color="auto" w:fill="auto"/>
            <w:hideMark/>
          </w:tcPr>
          <w:p w:rsidR="00CC75F2" w:rsidRPr="00CC75F2" w:rsidRDefault="00CC75F2" w:rsidP="00CC75F2">
            <w:pPr>
              <w:jc w:val="center"/>
              <w:rPr>
                <w:rFonts w:cs="Arial"/>
                <w:color w:val="000000"/>
                <w:sz w:val="16"/>
                <w:szCs w:val="16"/>
              </w:rPr>
            </w:pPr>
            <w:r w:rsidRPr="00CC75F2">
              <w:rPr>
                <w:rFonts w:cs="Arial"/>
                <w:color w:val="000000"/>
                <w:sz w:val="16"/>
                <w:szCs w:val="16"/>
              </w:rPr>
              <w:t>North Carlton Precinct</w:t>
            </w:r>
          </w:p>
        </w:tc>
        <w:tc>
          <w:tcPr>
            <w:tcW w:w="1134" w:type="dxa"/>
            <w:tcBorders>
              <w:top w:val="nil"/>
              <w:left w:val="nil"/>
              <w:bottom w:val="single" w:sz="4" w:space="0" w:color="auto"/>
              <w:right w:val="single" w:sz="4" w:space="0" w:color="auto"/>
            </w:tcBorders>
            <w:shd w:val="clear" w:color="auto" w:fill="auto"/>
            <w:hideMark/>
          </w:tcPr>
          <w:p w:rsidR="00CC75F2" w:rsidRPr="00CC75F2" w:rsidRDefault="00CC75F2" w:rsidP="00CC75F2">
            <w:pPr>
              <w:jc w:val="center"/>
              <w:rPr>
                <w:rFonts w:cs="Arial"/>
                <w:color w:val="000000"/>
                <w:sz w:val="16"/>
                <w:szCs w:val="16"/>
              </w:rPr>
            </w:pPr>
            <w:r w:rsidRPr="00CC75F2">
              <w:rPr>
                <w:rFonts w:cs="Arial"/>
                <w:color w:val="000000"/>
                <w:sz w:val="16"/>
                <w:szCs w:val="16"/>
              </w:rPr>
              <w:t>HO326</w:t>
            </w:r>
          </w:p>
        </w:tc>
        <w:tc>
          <w:tcPr>
            <w:tcW w:w="992" w:type="dxa"/>
            <w:tcBorders>
              <w:top w:val="nil"/>
              <w:left w:val="nil"/>
              <w:bottom w:val="single" w:sz="4" w:space="0" w:color="auto"/>
              <w:right w:val="single" w:sz="4" w:space="0" w:color="auto"/>
            </w:tcBorders>
            <w:shd w:val="clear" w:color="auto" w:fill="auto"/>
            <w:hideMark/>
          </w:tcPr>
          <w:p w:rsidR="00CC75F2" w:rsidRPr="00CC75F2" w:rsidRDefault="00CC75F2" w:rsidP="00CC75F2">
            <w:pPr>
              <w:jc w:val="center"/>
              <w:rPr>
                <w:rFonts w:cs="Arial"/>
                <w:color w:val="000000"/>
                <w:sz w:val="16"/>
                <w:szCs w:val="16"/>
              </w:rPr>
            </w:pPr>
            <w:r w:rsidRPr="00CC75F2">
              <w:rPr>
                <w:rFonts w:cs="Arial"/>
                <w:color w:val="000000"/>
                <w:sz w:val="16"/>
                <w:szCs w:val="16"/>
              </w:rPr>
              <w:t>N/A</w:t>
            </w:r>
          </w:p>
        </w:tc>
        <w:tc>
          <w:tcPr>
            <w:tcW w:w="1134" w:type="dxa"/>
            <w:tcBorders>
              <w:top w:val="nil"/>
              <w:left w:val="nil"/>
              <w:bottom w:val="single" w:sz="4" w:space="0" w:color="auto"/>
              <w:right w:val="single" w:sz="4" w:space="0" w:color="auto"/>
            </w:tcBorders>
            <w:shd w:val="clear" w:color="auto" w:fill="auto"/>
            <w:hideMark/>
          </w:tcPr>
          <w:p w:rsidR="00CC75F2" w:rsidRPr="00CC75F2" w:rsidRDefault="00CC75F2" w:rsidP="00373B8F">
            <w:pPr>
              <w:jc w:val="center"/>
              <w:rPr>
                <w:rFonts w:cs="Arial"/>
                <w:color w:val="000000"/>
                <w:sz w:val="16"/>
                <w:szCs w:val="16"/>
              </w:rPr>
            </w:pPr>
            <w:r w:rsidRPr="00CC75F2">
              <w:rPr>
                <w:rFonts w:cs="Arial"/>
                <w:color w:val="000000"/>
                <w:sz w:val="16"/>
                <w:szCs w:val="16"/>
              </w:rPr>
              <w:t>Precinct</w:t>
            </w:r>
          </w:p>
        </w:tc>
        <w:tc>
          <w:tcPr>
            <w:tcW w:w="1276" w:type="dxa"/>
            <w:tcBorders>
              <w:top w:val="nil"/>
              <w:left w:val="nil"/>
              <w:bottom w:val="single" w:sz="4" w:space="0" w:color="auto"/>
              <w:right w:val="single" w:sz="4" w:space="0" w:color="auto"/>
            </w:tcBorders>
            <w:shd w:val="clear" w:color="auto" w:fill="auto"/>
            <w:hideMark/>
          </w:tcPr>
          <w:p w:rsidR="00CC75F2" w:rsidRPr="00CC75F2" w:rsidRDefault="00CC75F2" w:rsidP="00CC75F2">
            <w:pPr>
              <w:jc w:val="center"/>
              <w:rPr>
                <w:rFonts w:cs="Arial"/>
                <w:color w:val="000000"/>
                <w:sz w:val="16"/>
                <w:szCs w:val="16"/>
              </w:rPr>
            </w:pPr>
            <w:r w:rsidRPr="00CC75F2">
              <w:rPr>
                <w:rFonts w:cs="Arial"/>
                <w:color w:val="000000"/>
                <w:sz w:val="16"/>
                <w:szCs w:val="16"/>
              </w:rPr>
              <w:t>Not contributory</w:t>
            </w:r>
          </w:p>
        </w:tc>
        <w:tc>
          <w:tcPr>
            <w:tcW w:w="2835" w:type="dxa"/>
            <w:tcBorders>
              <w:top w:val="nil"/>
              <w:left w:val="nil"/>
              <w:bottom w:val="single" w:sz="4" w:space="0" w:color="auto"/>
              <w:right w:val="single" w:sz="4" w:space="0" w:color="auto"/>
            </w:tcBorders>
            <w:shd w:val="clear" w:color="auto" w:fill="auto"/>
            <w:hideMark/>
          </w:tcPr>
          <w:p w:rsidR="00CC75F2" w:rsidRPr="00CC75F2" w:rsidRDefault="00CC75F2" w:rsidP="00CC75F2">
            <w:pPr>
              <w:jc w:val="left"/>
              <w:rPr>
                <w:rFonts w:cs="Arial"/>
                <w:color w:val="000000"/>
                <w:sz w:val="16"/>
                <w:szCs w:val="16"/>
              </w:rPr>
            </w:pPr>
            <w:r w:rsidRPr="00CC75F2">
              <w:rPr>
                <w:rFonts w:cs="Arial"/>
                <w:color w:val="000000"/>
                <w:sz w:val="16"/>
                <w:szCs w:val="16"/>
              </w:rPr>
              <w:t>External controls apply to the building and land, no internal controls, no tree controls and no external paint controls apply</w:t>
            </w:r>
          </w:p>
        </w:tc>
        <w:tc>
          <w:tcPr>
            <w:tcW w:w="2693" w:type="dxa"/>
            <w:tcBorders>
              <w:top w:val="nil"/>
              <w:left w:val="nil"/>
              <w:bottom w:val="single" w:sz="4" w:space="0" w:color="auto"/>
              <w:right w:val="single" w:sz="4" w:space="0" w:color="auto"/>
            </w:tcBorders>
            <w:shd w:val="clear" w:color="auto" w:fill="auto"/>
            <w:hideMark/>
          </w:tcPr>
          <w:p w:rsidR="00CC75F2" w:rsidRPr="00CC75F2" w:rsidRDefault="00CC75F2" w:rsidP="00622DC3">
            <w:pPr>
              <w:jc w:val="left"/>
              <w:rPr>
                <w:rFonts w:cs="Arial"/>
                <w:color w:val="000000"/>
                <w:sz w:val="16"/>
                <w:szCs w:val="16"/>
              </w:rPr>
            </w:pPr>
            <w:r w:rsidRPr="00CC75F2">
              <w:rPr>
                <w:rFonts w:cs="Arial"/>
                <w:color w:val="000000"/>
                <w:sz w:val="16"/>
                <w:szCs w:val="16"/>
              </w:rPr>
              <w:t xml:space="preserve">Physical changes to the park would normally require approval under the Heritage Overlay from the </w:t>
            </w:r>
            <w:r w:rsidR="00622DC3" w:rsidRPr="00CC75F2">
              <w:rPr>
                <w:rFonts w:cs="Arial"/>
                <w:color w:val="000000"/>
                <w:sz w:val="16"/>
                <w:szCs w:val="16"/>
              </w:rPr>
              <w:t>Yarra</w:t>
            </w:r>
            <w:r w:rsidR="00622DC3">
              <w:rPr>
                <w:rFonts w:cs="Arial"/>
                <w:color w:val="000000"/>
                <w:sz w:val="16"/>
                <w:szCs w:val="16"/>
              </w:rPr>
              <w:t xml:space="preserve"> City Council.</w:t>
            </w:r>
          </w:p>
        </w:tc>
      </w:tr>
      <w:tr w:rsidR="008B0CE7" w:rsidRPr="00CC75F2" w:rsidTr="00EA18F9">
        <w:trPr>
          <w:cantSplit/>
          <w:trHeight w:val="240"/>
        </w:trPr>
        <w:tc>
          <w:tcPr>
            <w:tcW w:w="1433" w:type="dxa"/>
            <w:tcBorders>
              <w:top w:val="nil"/>
              <w:left w:val="single" w:sz="4" w:space="0" w:color="auto"/>
              <w:bottom w:val="single" w:sz="4" w:space="0" w:color="auto"/>
              <w:right w:val="single" w:sz="4" w:space="0" w:color="auto"/>
            </w:tcBorders>
            <w:shd w:val="clear" w:color="auto" w:fill="auto"/>
            <w:hideMark/>
          </w:tcPr>
          <w:p w:rsidR="00CC75F2" w:rsidRPr="00CC75F2" w:rsidRDefault="00CC75F2" w:rsidP="00CC75F2">
            <w:pPr>
              <w:jc w:val="left"/>
              <w:rPr>
                <w:rFonts w:cs="Arial"/>
                <w:color w:val="000000"/>
                <w:sz w:val="16"/>
                <w:szCs w:val="16"/>
              </w:rPr>
            </w:pPr>
            <w:r w:rsidRPr="00CC75F2">
              <w:rPr>
                <w:rFonts w:cs="Arial"/>
                <w:color w:val="000000"/>
                <w:sz w:val="16"/>
                <w:szCs w:val="16"/>
              </w:rPr>
              <w:t>St Georges Road</w:t>
            </w:r>
          </w:p>
        </w:tc>
        <w:tc>
          <w:tcPr>
            <w:tcW w:w="1134" w:type="dxa"/>
            <w:tcBorders>
              <w:top w:val="nil"/>
              <w:left w:val="nil"/>
              <w:bottom w:val="single" w:sz="4" w:space="0" w:color="auto"/>
              <w:right w:val="single" w:sz="4" w:space="0" w:color="auto"/>
            </w:tcBorders>
            <w:shd w:val="clear" w:color="auto" w:fill="auto"/>
            <w:hideMark/>
          </w:tcPr>
          <w:p w:rsidR="00CC75F2" w:rsidRPr="00CC75F2" w:rsidRDefault="00373B8F" w:rsidP="00CC75F2">
            <w:pPr>
              <w:jc w:val="center"/>
              <w:rPr>
                <w:rFonts w:cs="Arial"/>
                <w:color w:val="000000"/>
                <w:sz w:val="16"/>
                <w:szCs w:val="16"/>
              </w:rPr>
            </w:pPr>
            <w:r w:rsidRPr="00CC75F2">
              <w:rPr>
                <w:rFonts w:cs="Arial"/>
                <w:color w:val="000000"/>
                <w:sz w:val="16"/>
                <w:szCs w:val="16"/>
              </w:rPr>
              <w:t>F</w:t>
            </w:r>
            <w:r>
              <w:rPr>
                <w:rFonts w:cs="Arial"/>
                <w:color w:val="000000"/>
                <w:sz w:val="16"/>
                <w:szCs w:val="16"/>
              </w:rPr>
              <w:t>itzroy North</w:t>
            </w:r>
          </w:p>
        </w:tc>
        <w:tc>
          <w:tcPr>
            <w:tcW w:w="1417" w:type="dxa"/>
            <w:tcBorders>
              <w:top w:val="nil"/>
              <w:left w:val="nil"/>
              <w:bottom w:val="single" w:sz="4" w:space="0" w:color="auto"/>
              <w:right w:val="single" w:sz="4" w:space="0" w:color="auto"/>
            </w:tcBorders>
            <w:shd w:val="clear" w:color="auto" w:fill="auto"/>
            <w:hideMark/>
          </w:tcPr>
          <w:p w:rsidR="00CC75F2" w:rsidRPr="00CC75F2" w:rsidRDefault="00CC75F2" w:rsidP="008B0CE7">
            <w:pPr>
              <w:jc w:val="center"/>
              <w:rPr>
                <w:rFonts w:cs="Arial"/>
                <w:color w:val="000000"/>
                <w:sz w:val="16"/>
                <w:szCs w:val="16"/>
              </w:rPr>
            </w:pPr>
            <w:r w:rsidRPr="00CC75F2">
              <w:rPr>
                <w:rFonts w:cs="Arial"/>
                <w:color w:val="000000"/>
                <w:sz w:val="16"/>
                <w:szCs w:val="16"/>
              </w:rPr>
              <w:t>O</w:t>
            </w:r>
            <w:r w:rsidR="008B0CE7">
              <w:rPr>
                <w:rFonts w:cs="Arial"/>
                <w:color w:val="000000"/>
                <w:sz w:val="16"/>
                <w:szCs w:val="16"/>
              </w:rPr>
              <w:t>ttery Reserve</w:t>
            </w:r>
          </w:p>
        </w:tc>
        <w:tc>
          <w:tcPr>
            <w:tcW w:w="1276" w:type="dxa"/>
            <w:tcBorders>
              <w:top w:val="nil"/>
              <w:left w:val="nil"/>
              <w:bottom w:val="single" w:sz="4" w:space="0" w:color="auto"/>
              <w:right w:val="single" w:sz="4" w:space="0" w:color="auto"/>
            </w:tcBorders>
            <w:shd w:val="clear" w:color="auto" w:fill="auto"/>
            <w:hideMark/>
          </w:tcPr>
          <w:p w:rsidR="00CC75F2" w:rsidRPr="00CC75F2" w:rsidRDefault="00CC75F2" w:rsidP="00CC75F2">
            <w:pPr>
              <w:jc w:val="center"/>
              <w:rPr>
                <w:rFonts w:cs="Arial"/>
                <w:color w:val="000000"/>
                <w:sz w:val="16"/>
                <w:szCs w:val="16"/>
              </w:rPr>
            </w:pPr>
            <w:r w:rsidRPr="00CC75F2">
              <w:rPr>
                <w:rFonts w:cs="Arial"/>
                <w:color w:val="000000"/>
                <w:sz w:val="16"/>
                <w:szCs w:val="16"/>
              </w:rPr>
              <w:t>No address provided</w:t>
            </w:r>
          </w:p>
        </w:tc>
        <w:tc>
          <w:tcPr>
            <w:tcW w:w="1134" w:type="dxa"/>
            <w:tcBorders>
              <w:top w:val="nil"/>
              <w:left w:val="nil"/>
              <w:bottom w:val="single" w:sz="4" w:space="0" w:color="auto"/>
              <w:right w:val="single" w:sz="4" w:space="0" w:color="auto"/>
            </w:tcBorders>
            <w:shd w:val="clear" w:color="auto" w:fill="auto"/>
            <w:hideMark/>
          </w:tcPr>
          <w:p w:rsidR="00CC75F2" w:rsidRPr="00CC75F2" w:rsidRDefault="00CC75F2" w:rsidP="00CC75F2">
            <w:pPr>
              <w:jc w:val="center"/>
              <w:rPr>
                <w:rFonts w:cs="Arial"/>
                <w:color w:val="000000"/>
                <w:sz w:val="16"/>
                <w:szCs w:val="16"/>
              </w:rPr>
            </w:pPr>
            <w:r w:rsidRPr="00CC75F2">
              <w:rPr>
                <w:rFonts w:cs="Arial"/>
                <w:color w:val="000000"/>
                <w:sz w:val="16"/>
                <w:szCs w:val="16"/>
              </w:rPr>
              <w:t> </w:t>
            </w:r>
          </w:p>
        </w:tc>
        <w:tc>
          <w:tcPr>
            <w:tcW w:w="992" w:type="dxa"/>
            <w:tcBorders>
              <w:top w:val="nil"/>
              <w:left w:val="nil"/>
              <w:bottom w:val="single" w:sz="4" w:space="0" w:color="auto"/>
              <w:right w:val="single" w:sz="4" w:space="0" w:color="auto"/>
            </w:tcBorders>
            <w:shd w:val="clear" w:color="auto" w:fill="auto"/>
            <w:hideMark/>
          </w:tcPr>
          <w:p w:rsidR="00CC75F2" w:rsidRPr="00CC75F2" w:rsidRDefault="00CC75F2" w:rsidP="00CC75F2">
            <w:pPr>
              <w:jc w:val="center"/>
              <w:rPr>
                <w:rFonts w:cs="Arial"/>
                <w:color w:val="000000"/>
                <w:sz w:val="16"/>
                <w:szCs w:val="16"/>
              </w:rPr>
            </w:pPr>
            <w:r w:rsidRPr="00CC75F2">
              <w:rPr>
                <w:rFonts w:cs="Arial"/>
                <w:color w:val="000000"/>
                <w:sz w:val="16"/>
                <w:szCs w:val="16"/>
              </w:rPr>
              <w:t> </w:t>
            </w:r>
          </w:p>
        </w:tc>
        <w:tc>
          <w:tcPr>
            <w:tcW w:w="1134" w:type="dxa"/>
            <w:tcBorders>
              <w:top w:val="nil"/>
              <w:left w:val="nil"/>
              <w:bottom w:val="single" w:sz="4" w:space="0" w:color="auto"/>
              <w:right w:val="single" w:sz="4" w:space="0" w:color="auto"/>
            </w:tcBorders>
            <w:shd w:val="clear" w:color="auto" w:fill="auto"/>
            <w:hideMark/>
          </w:tcPr>
          <w:p w:rsidR="00CC75F2" w:rsidRPr="00CC75F2" w:rsidRDefault="00CC75F2" w:rsidP="00373B8F">
            <w:pPr>
              <w:jc w:val="center"/>
              <w:rPr>
                <w:rFonts w:cs="Arial"/>
                <w:color w:val="000000"/>
                <w:sz w:val="16"/>
                <w:szCs w:val="16"/>
              </w:rPr>
            </w:pPr>
          </w:p>
        </w:tc>
        <w:tc>
          <w:tcPr>
            <w:tcW w:w="1276" w:type="dxa"/>
            <w:tcBorders>
              <w:top w:val="nil"/>
              <w:left w:val="nil"/>
              <w:bottom w:val="single" w:sz="4" w:space="0" w:color="auto"/>
              <w:right w:val="single" w:sz="4" w:space="0" w:color="auto"/>
            </w:tcBorders>
            <w:shd w:val="clear" w:color="auto" w:fill="auto"/>
            <w:hideMark/>
          </w:tcPr>
          <w:p w:rsidR="00CC75F2" w:rsidRPr="00CC75F2" w:rsidRDefault="00CC75F2" w:rsidP="00CC75F2">
            <w:pPr>
              <w:jc w:val="center"/>
              <w:rPr>
                <w:rFonts w:cs="Arial"/>
                <w:color w:val="000000"/>
                <w:sz w:val="16"/>
                <w:szCs w:val="16"/>
              </w:rPr>
            </w:pPr>
          </w:p>
        </w:tc>
        <w:tc>
          <w:tcPr>
            <w:tcW w:w="2835" w:type="dxa"/>
            <w:tcBorders>
              <w:top w:val="nil"/>
              <w:left w:val="nil"/>
              <w:bottom w:val="single" w:sz="4" w:space="0" w:color="auto"/>
              <w:right w:val="single" w:sz="4" w:space="0" w:color="auto"/>
            </w:tcBorders>
            <w:shd w:val="clear" w:color="auto" w:fill="auto"/>
            <w:hideMark/>
          </w:tcPr>
          <w:p w:rsidR="00CC75F2" w:rsidRPr="00CC75F2" w:rsidRDefault="00CC75F2" w:rsidP="00CC75F2">
            <w:pPr>
              <w:jc w:val="left"/>
              <w:rPr>
                <w:rFonts w:cs="Arial"/>
                <w:color w:val="000000"/>
                <w:sz w:val="16"/>
                <w:szCs w:val="16"/>
              </w:rPr>
            </w:pPr>
            <w:r w:rsidRPr="00CC75F2">
              <w:rPr>
                <w:rFonts w:cs="Arial"/>
                <w:color w:val="000000"/>
                <w:sz w:val="16"/>
                <w:szCs w:val="16"/>
              </w:rPr>
              <w:t> </w:t>
            </w:r>
          </w:p>
        </w:tc>
        <w:tc>
          <w:tcPr>
            <w:tcW w:w="2693" w:type="dxa"/>
            <w:tcBorders>
              <w:top w:val="nil"/>
              <w:left w:val="nil"/>
              <w:bottom w:val="single" w:sz="4" w:space="0" w:color="auto"/>
              <w:right w:val="single" w:sz="4" w:space="0" w:color="auto"/>
            </w:tcBorders>
            <w:shd w:val="clear" w:color="auto" w:fill="auto"/>
            <w:hideMark/>
          </w:tcPr>
          <w:p w:rsidR="00CC75F2" w:rsidRPr="00CC75F2" w:rsidRDefault="00CC75F2" w:rsidP="00CC75F2">
            <w:pPr>
              <w:jc w:val="left"/>
              <w:rPr>
                <w:rFonts w:cs="Arial"/>
                <w:color w:val="000000"/>
                <w:sz w:val="16"/>
                <w:szCs w:val="16"/>
              </w:rPr>
            </w:pPr>
            <w:r w:rsidRPr="00CC75F2">
              <w:rPr>
                <w:rFonts w:cs="Arial"/>
                <w:color w:val="000000"/>
                <w:sz w:val="16"/>
                <w:szCs w:val="16"/>
              </w:rPr>
              <w:t> </w:t>
            </w:r>
          </w:p>
        </w:tc>
      </w:tr>
      <w:tr w:rsidR="008B0CE7" w:rsidRPr="00CC75F2" w:rsidTr="00EA18F9">
        <w:trPr>
          <w:cantSplit/>
          <w:trHeight w:val="720"/>
        </w:trPr>
        <w:tc>
          <w:tcPr>
            <w:tcW w:w="1433" w:type="dxa"/>
            <w:tcBorders>
              <w:top w:val="nil"/>
              <w:left w:val="single" w:sz="4" w:space="0" w:color="auto"/>
              <w:bottom w:val="single" w:sz="4" w:space="0" w:color="auto"/>
              <w:right w:val="single" w:sz="4" w:space="0" w:color="auto"/>
            </w:tcBorders>
            <w:shd w:val="clear" w:color="auto" w:fill="auto"/>
            <w:hideMark/>
          </w:tcPr>
          <w:p w:rsidR="00CC75F2" w:rsidRPr="00CC75F2" w:rsidRDefault="00CC75F2" w:rsidP="00CC75F2">
            <w:pPr>
              <w:jc w:val="left"/>
              <w:rPr>
                <w:rFonts w:cs="Arial"/>
                <w:color w:val="000000"/>
                <w:sz w:val="16"/>
                <w:szCs w:val="16"/>
              </w:rPr>
            </w:pPr>
            <w:r w:rsidRPr="00CC75F2">
              <w:rPr>
                <w:rFonts w:cs="Arial"/>
                <w:color w:val="000000"/>
                <w:sz w:val="16"/>
                <w:szCs w:val="16"/>
              </w:rPr>
              <w:t>Stanton Street 13</w:t>
            </w:r>
          </w:p>
        </w:tc>
        <w:tc>
          <w:tcPr>
            <w:tcW w:w="1134" w:type="dxa"/>
            <w:tcBorders>
              <w:top w:val="nil"/>
              <w:left w:val="nil"/>
              <w:bottom w:val="single" w:sz="4" w:space="0" w:color="auto"/>
              <w:right w:val="single" w:sz="4" w:space="0" w:color="auto"/>
            </w:tcBorders>
            <w:shd w:val="clear" w:color="auto" w:fill="auto"/>
            <w:hideMark/>
          </w:tcPr>
          <w:p w:rsidR="00CC75F2" w:rsidRPr="00CC75F2" w:rsidRDefault="008B0CE7" w:rsidP="00CC75F2">
            <w:pPr>
              <w:jc w:val="center"/>
              <w:rPr>
                <w:rFonts w:cs="Arial"/>
                <w:color w:val="000000"/>
                <w:sz w:val="16"/>
                <w:szCs w:val="16"/>
              </w:rPr>
            </w:pPr>
            <w:r w:rsidRPr="00CC75F2">
              <w:rPr>
                <w:rFonts w:cs="Arial"/>
                <w:color w:val="000000"/>
                <w:sz w:val="16"/>
                <w:szCs w:val="16"/>
              </w:rPr>
              <w:t>A</w:t>
            </w:r>
            <w:r>
              <w:rPr>
                <w:rFonts w:cs="Arial"/>
                <w:color w:val="000000"/>
                <w:sz w:val="16"/>
                <w:szCs w:val="16"/>
              </w:rPr>
              <w:t>bbotsford</w:t>
            </w:r>
          </w:p>
        </w:tc>
        <w:tc>
          <w:tcPr>
            <w:tcW w:w="1417" w:type="dxa"/>
            <w:tcBorders>
              <w:top w:val="nil"/>
              <w:left w:val="nil"/>
              <w:bottom w:val="single" w:sz="4" w:space="0" w:color="auto"/>
              <w:right w:val="single" w:sz="4" w:space="0" w:color="auto"/>
            </w:tcBorders>
            <w:shd w:val="clear" w:color="auto" w:fill="auto"/>
            <w:hideMark/>
          </w:tcPr>
          <w:p w:rsidR="00CC75F2" w:rsidRPr="00CC75F2" w:rsidRDefault="005E5635" w:rsidP="00CC75F2">
            <w:pPr>
              <w:jc w:val="center"/>
              <w:rPr>
                <w:rFonts w:cs="Arial"/>
                <w:color w:val="000000"/>
                <w:sz w:val="16"/>
                <w:szCs w:val="16"/>
              </w:rPr>
            </w:pPr>
            <w:r>
              <w:rPr>
                <w:rFonts w:cs="Arial"/>
                <w:color w:val="000000"/>
                <w:sz w:val="16"/>
                <w:szCs w:val="16"/>
              </w:rPr>
              <w:t>Carpark</w:t>
            </w:r>
          </w:p>
        </w:tc>
        <w:tc>
          <w:tcPr>
            <w:tcW w:w="1276" w:type="dxa"/>
            <w:tcBorders>
              <w:top w:val="nil"/>
              <w:left w:val="nil"/>
              <w:bottom w:val="single" w:sz="4" w:space="0" w:color="auto"/>
              <w:right w:val="single" w:sz="4" w:space="0" w:color="auto"/>
            </w:tcBorders>
            <w:shd w:val="clear" w:color="auto" w:fill="auto"/>
            <w:hideMark/>
          </w:tcPr>
          <w:p w:rsidR="00CC75F2" w:rsidRPr="00CC75F2" w:rsidRDefault="00CC75F2" w:rsidP="00CC75F2">
            <w:pPr>
              <w:jc w:val="center"/>
              <w:rPr>
                <w:rFonts w:cs="Arial"/>
                <w:color w:val="000000"/>
                <w:sz w:val="16"/>
                <w:szCs w:val="16"/>
              </w:rPr>
            </w:pPr>
            <w:r w:rsidRPr="00CC75F2">
              <w:rPr>
                <w:rFonts w:cs="Arial"/>
                <w:color w:val="000000"/>
                <w:sz w:val="16"/>
                <w:szCs w:val="16"/>
              </w:rPr>
              <w:t>Charles Street Precinct</w:t>
            </w:r>
          </w:p>
        </w:tc>
        <w:tc>
          <w:tcPr>
            <w:tcW w:w="1134" w:type="dxa"/>
            <w:tcBorders>
              <w:top w:val="nil"/>
              <w:left w:val="nil"/>
              <w:bottom w:val="single" w:sz="4" w:space="0" w:color="auto"/>
              <w:right w:val="single" w:sz="4" w:space="0" w:color="auto"/>
            </w:tcBorders>
            <w:shd w:val="clear" w:color="auto" w:fill="auto"/>
            <w:hideMark/>
          </w:tcPr>
          <w:p w:rsidR="00CC75F2" w:rsidRPr="00CC75F2" w:rsidRDefault="00CC75F2" w:rsidP="00CC75F2">
            <w:pPr>
              <w:jc w:val="center"/>
              <w:rPr>
                <w:rFonts w:cs="Arial"/>
                <w:color w:val="000000"/>
                <w:sz w:val="16"/>
                <w:szCs w:val="16"/>
              </w:rPr>
            </w:pPr>
            <w:r w:rsidRPr="00CC75F2">
              <w:rPr>
                <w:rFonts w:cs="Arial"/>
                <w:color w:val="000000"/>
                <w:sz w:val="16"/>
                <w:szCs w:val="16"/>
              </w:rPr>
              <w:t>HO313</w:t>
            </w:r>
          </w:p>
        </w:tc>
        <w:tc>
          <w:tcPr>
            <w:tcW w:w="992" w:type="dxa"/>
            <w:tcBorders>
              <w:top w:val="nil"/>
              <w:left w:val="nil"/>
              <w:bottom w:val="single" w:sz="4" w:space="0" w:color="auto"/>
              <w:right w:val="single" w:sz="4" w:space="0" w:color="auto"/>
            </w:tcBorders>
            <w:shd w:val="clear" w:color="auto" w:fill="auto"/>
            <w:hideMark/>
          </w:tcPr>
          <w:p w:rsidR="00CC75F2" w:rsidRPr="00CC75F2" w:rsidRDefault="00CC75F2" w:rsidP="00CC75F2">
            <w:pPr>
              <w:jc w:val="center"/>
              <w:rPr>
                <w:rFonts w:cs="Arial"/>
                <w:color w:val="000000"/>
                <w:sz w:val="16"/>
                <w:szCs w:val="16"/>
              </w:rPr>
            </w:pPr>
            <w:r w:rsidRPr="00CC75F2">
              <w:rPr>
                <w:rFonts w:cs="Arial"/>
                <w:color w:val="000000"/>
                <w:sz w:val="16"/>
                <w:szCs w:val="16"/>
              </w:rPr>
              <w:t>N/A</w:t>
            </w:r>
          </w:p>
        </w:tc>
        <w:tc>
          <w:tcPr>
            <w:tcW w:w="1134" w:type="dxa"/>
            <w:tcBorders>
              <w:top w:val="nil"/>
              <w:left w:val="nil"/>
              <w:bottom w:val="single" w:sz="4" w:space="0" w:color="auto"/>
              <w:right w:val="single" w:sz="4" w:space="0" w:color="auto"/>
            </w:tcBorders>
            <w:shd w:val="clear" w:color="auto" w:fill="auto"/>
            <w:hideMark/>
          </w:tcPr>
          <w:p w:rsidR="00CC75F2" w:rsidRPr="00CC75F2" w:rsidRDefault="00CC75F2" w:rsidP="00373B8F">
            <w:pPr>
              <w:jc w:val="center"/>
              <w:rPr>
                <w:rFonts w:cs="Arial"/>
                <w:color w:val="000000"/>
                <w:sz w:val="16"/>
                <w:szCs w:val="16"/>
              </w:rPr>
            </w:pPr>
            <w:r w:rsidRPr="00CC75F2">
              <w:rPr>
                <w:rFonts w:cs="Arial"/>
                <w:color w:val="000000"/>
                <w:sz w:val="16"/>
                <w:szCs w:val="16"/>
              </w:rPr>
              <w:t>Precinct</w:t>
            </w:r>
          </w:p>
        </w:tc>
        <w:tc>
          <w:tcPr>
            <w:tcW w:w="1276" w:type="dxa"/>
            <w:tcBorders>
              <w:top w:val="nil"/>
              <w:left w:val="nil"/>
              <w:bottom w:val="single" w:sz="4" w:space="0" w:color="auto"/>
              <w:right w:val="single" w:sz="4" w:space="0" w:color="auto"/>
            </w:tcBorders>
            <w:shd w:val="clear" w:color="auto" w:fill="auto"/>
            <w:hideMark/>
          </w:tcPr>
          <w:p w:rsidR="00CC75F2" w:rsidRPr="00CC75F2" w:rsidRDefault="00CC75F2" w:rsidP="00CC75F2">
            <w:pPr>
              <w:jc w:val="center"/>
              <w:rPr>
                <w:rFonts w:cs="Arial"/>
                <w:color w:val="000000"/>
                <w:sz w:val="16"/>
                <w:szCs w:val="16"/>
              </w:rPr>
            </w:pPr>
            <w:r w:rsidRPr="00CC75F2">
              <w:rPr>
                <w:rFonts w:cs="Arial"/>
                <w:color w:val="000000"/>
                <w:sz w:val="16"/>
                <w:szCs w:val="16"/>
              </w:rPr>
              <w:t>Not contributory</w:t>
            </w:r>
          </w:p>
        </w:tc>
        <w:tc>
          <w:tcPr>
            <w:tcW w:w="2835" w:type="dxa"/>
            <w:tcBorders>
              <w:top w:val="nil"/>
              <w:left w:val="nil"/>
              <w:bottom w:val="single" w:sz="4" w:space="0" w:color="auto"/>
              <w:right w:val="single" w:sz="4" w:space="0" w:color="auto"/>
            </w:tcBorders>
            <w:shd w:val="clear" w:color="auto" w:fill="auto"/>
            <w:hideMark/>
          </w:tcPr>
          <w:p w:rsidR="00CC75F2" w:rsidRPr="00CC75F2" w:rsidRDefault="00CC75F2" w:rsidP="00CC75F2">
            <w:pPr>
              <w:jc w:val="left"/>
              <w:rPr>
                <w:rFonts w:cs="Arial"/>
                <w:color w:val="000000"/>
                <w:sz w:val="16"/>
                <w:szCs w:val="16"/>
              </w:rPr>
            </w:pPr>
            <w:r w:rsidRPr="00CC75F2">
              <w:rPr>
                <w:rFonts w:cs="Arial"/>
                <w:color w:val="000000"/>
                <w:sz w:val="16"/>
                <w:szCs w:val="16"/>
              </w:rPr>
              <w:t>External controls apply to the land, no internal controls, no tree controls and no external paint controls apply</w:t>
            </w:r>
          </w:p>
        </w:tc>
        <w:tc>
          <w:tcPr>
            <w:tcW w:w="2693" w:type="dxa"/>
            <w:tcBorders>
              <w:top w:val="nil"/>
              <w:left w:val="nil"/>
              <w:bottom w:val="single" w:sz="4" w:space="0" w:color="auto"/>
              <w:right w:val="single" w:sz="4" w:space="0" w:color="auto"/>
            </w:tcBorders>
            <w:shd w:val="clear" w:color="auto" w:fill="auto"/>
            <w:hideMark/>
          </w:tcPr>
          <w:p w:rsidR="00CC75F2" w:rsidRPr="00CC75F2" w:rsidRDefault="00CC75F2" w:rsidP="00CC75F2">
            <w:pPr>
              <w:jc w:val="left"/>
              <w:rPr>
                <w:rFonts w:cs="Arial"/>
                <w:color w:val="000000"/>
                <w:sz w:val="16"/>
                <w:szCs w:val="16"/>
              </w:rPr>
            </w:pPr>
            <w:r w:rsidRPr="00CC75F2">
              <w:rPr>
                <w:rFonts w:cs="Arial"/>
                <w:color w:val="000000"/>
                <w:sz w:val="16"/>
                <w:szCs w:val="16"/>
              </w:rPr>
              <w:t> </w:t>
            </w:r>
          </w:p>
        </w:tc>
      </w:tr>
      <w:tr w:rsidR="008B0CE7" w:rsidRPr="00CC75F2" w:rsidTr="00EA18F9">
        <w:trPr>
          <w:cantSplit/>
          <w:trHeight w:val="720"/>
        </w:trPr>
        <w:tc>
          <w:tcPr>
            <w:tcW w:w="1433" w:type="dxa"/>
            <w:tcBorders>
              <w:top w:val="nil"/>
              <w:left w:val="single" w:sz="4" w:space="0" w:color="auto"/>
              <w:bottom w:val="single" w:sz="4" w:space="0" w:color="auto"/>
              <w:right w:val="single" w:sz="4" w:space="0" w:color="auto"/>
            </w:tcBorders>
            <w:shd w:val="clear" w:color="auto" w:fill="auto"/>
            <w:hideMark/>
          </w:tcPr>
          <w:p w:rsidR="00CC75F2" w:rsidRPr="00CC75F2" w:rsidRDefault="00CC75F2" w:rsidP="00CC75F2">
            <w:pPr>
              <w:jc w:val="left"/>
              <w:rPr>
                <w:rFonts w:cs="Arial"/>
                <w:color w:val="000000"/>
                <w:sz w:val="16"/>
                <w:szCs w:val="16"/>
              </w:rPr>
            </w:pPr>
            <w:r w:rsidRPr="00CC75F2">
              <w:rPr>
                <w:rFonts w:cs="Arial"/>
                <w:color w:val="000000"/>
                <w:sz w:val="16"/>
                <w:szCs w:val="16"/>
              </w:rPr>
              <w:t>Stanton Street 15</w:t>
            </w:r>
          </w:p>
        </w:tc>
        <w:tc>
          <w:tcPr>
            <w:tcW w:w="1134" w:type="dxa"/>
            <w:tcBorders>
              <w:top w:val="nil"/>
              <w:left w:val="nil"/>
              <w:bottom w:val="single" w:sz="4" w:space="0" w:color="auto"/>
              <w:right w:val="single" w:sz="4" w:space="0" w:color="auto"/>
            </w:tcBorders>
            <w:shd w:val="clear" w:color="auto" w:fill="auto"/>
            <w:hideMark/>
          </w:tcPr>
          <w:p w:rsidR="00CC75F2" w:rsidRPr="00CC75F2" w:rsidRDefault="008B0CE7" w:rsidP="00CC75F2">
            <w:pPr>
              <w:jc w:val="center"/>
              <w:rPr>
                <w:rFonts w:cs="Arial"/>
                <w:color w:val="000000"/>
                <w:sz w:val="16"/>
                <w:szCs w:val="16"/>
              </w:rPr>
            </w:pPr>
            <w:r w:rsidRPr="00CC75F2">
              <w:rPr>
                <w:rFonts w:cs="Arial"/>
                <w:color w:val="000000"/>
                <w:sz w:val="16"/>
                <w:szCs w:val="16"/>
              </w:rPr>
              <w:t>A</w:t>
            </w:r>
            <w:r>
              <w:rPr>
                <w:rFonts w:cs="Arial"/>
                <w:color w:val="000000"/>
                <w:sz w:val="16"/>
                <w:szCs w:val="16"/>
              </w:rPr>
              <w:t>bbotsford</w:t>
            </w:r>
          </w:p>
        </w:tc>
        <w:tc>
          <w:tcPr>
            <w:tcW w:w="1417" w:type="dxa"/>
            <w:tcBorders>
              <w:top w:val="nil"/>
              <w:left w:val="nil"/>
              <w:bottom w:val="single" w:sz="4" w:space="0" w:color="auto"/>
              <w:right w:val="single" w:sz="4" w:space="0" w:color="auto"/>
            </w:tcBorders>
            <w:shd w:val="clear" w:color="auto" w:fill="auto"/>
            <w:hideMark/>
          </w:tcPr>
          <w:p w:rsidR="00CC75F2" w:rsidRPr="00CC75F2" w:rsidRDefault="008B0CE7" w:rsidP="00CC75F2">
            <w:pPr>
              <w:jc w:val="center"/>
              <w:rPr>
                <w:rFonts w:cs="Arial"/>
                <w:color w:val="000000"/>
                <w:sz w:val="16"/>
                <w:szCs w:val="16"/>
              </w:rPr>
            </w:pPr>
            <w:r>
              <w:rPr>
                <w:rFonts w:cs="Arial"/>
                <w:color w:val="000000"/>
                <w:sz w:val="16"/>
                <w:szCs w:val="16"/>
              </w:rPr>
              <w:t>Hall</w:t>
            </w:r>
          </w:p>
        </w:tc>
        <w:tc>
          <w:tcPr>
            <w:tcW w:w="1276" w:type="dxa"/>
            <w:tcBorders>
              <w:top w:val="nil"/>
              <w:left w:val="nil"/>
              <w:bottom w:val="single" w:sz="4" w:space="0" w:color="auto"/>
              <w:right w:val="single" w:sz="4" w:space="0" w:color="auto"/>
            </w:tcBorders>
            <w:shd w:val="clear" w:color="auto" w:fill="auto"/>
            <w:hideMark/>
          </w:tcPr>
          <w:p w:rsidR="00CC75F2" w:rsidRPr="00CC75F2" w:rsidRDefault="00CC75F2" w:rsidP="00CC75F2">
            <w:pPr>
              <w:jc w:val="center"/>
              <w:rPr>
                <w:rFonts w:cs="Arial"/>
                <w:color w:val="000000"/>
                <w:sz w:val="16"/>
                <w:szCs w:val="16"/>
              </w:rPr>
            </w:pPr>
            <w:r w:rsidRPr="00CC75F2">
              <w:rPr>
                <w:rFonts w:cs="Arial"/>
                <w:color w:val="000000"/>
                <w:sz w:val="16"/>
                <w:szCs w:val="16"/>
              </w:rPr>
              <w:t>Charles Street Precinct</w:t>
            </w:r>
          </w:p>
        </w:tc>
        <w:tc>
          <w:tcPr>
            <w:tcW w:w="1134" w:type="dxa"/>
            <w:tcBorders>
              <w:top w:val="nil"/>
              <w:left w:val="nil"/>
              <w:bottom w:val="single" w:sz="4" w:space="0" w:color="auto"/>
              <w:right w:val="single" w:sz="4" w:space="0" w:color="auto"/>
            </w:tcBorders>
            <w:shd w:val="clear" w:color="auto" w:fill="auto"/>
            <w:hideMark/>
          </w:tcPr>
          <w:p w:rsidR="00CC75F2" w:rsidRPr="00CC75F2" w:rsidRDefault="00CC75F2" w:rsidP="00CC75F2">
            <w:pPr>
              <w:jc w:val="center"/>
              <w:rPr>
                <w:rFonts w:cs="Arial"/>
                <w:color w:val="000000"/>
                <w:sz w:val="16"/>
                <w:szCs w:val="16"/>
              </w:rPr>
            </w:pPr>
            <w:r w:rsidRPr="00CC75F2">
              <w:rPr>
                <w:rFonts w:cs="Arial"/>
                <w:color w:val="000000"/>
                <w:sz w:val="16"/>
                <w:szCs w:val="16"/>
              </w:rPr>
              <w:t xml:space="preserve">HO313  </w:t>
            </w:r>
          </w:p>
        </w:tc>
        <w:tc>
          <w:tcPr>
            <w:tcW w:w="992" w:type="dxa"/>
            <w:tcBorders>
              <w:top w:val="nil"/>
              <w:left w:val="nil"/>
              <w:bottom w:val="single" w:sz="4" w:space="0" w:color="auto"/>
              <w:right w:val="single" w:sz="4" w:space="0" w:color="auto"/>
            </w:tcBorders>
            <w:shd w:val="clear" w:color="auto" w:fill="auto"/>
            <w:hideMark/>
          </w:tcPr>
          <w:p w:rsidR="00CC75F2" w:rsidRPr="00CC75F2" w:rsidRDefault="00CC75F2" w:rsidP="00CC75F2">
            <w:pPr>
              <w:jc w:val="center"/>
              <w:rPr>
                <w:rFonts w:cs="Arial"/>
                <w:color w:val="000000"/>
                <w:sz w:val="16"/>
                <w:szCs w:val="16"/>
              </w:rPr>
            </w:pPr>
            <w:r w:rsidRPr="00CC75F2">
              <w:rPr>
                <w:rFonts w:cs="Arial"/>
                <w:color w:val="000000"/>
                <w:sz w:val="16"/>
                <w:szCs w:val="16"/>
              </w:rPr>
              <w:t>N/A</w:t>
            </w:r>
          </w:p>
        </w:tc>
        <w:tc>
          <w:tcPr>
            <w:tcW w:w="1134" w:type="dxa"/>
            <w:tcBorders>
              <w:top w:val="nil"/>
              <w:left w:val="nil"/>
              <w:bottom w:val="single" w:sz="4" w:space="0" w:color="auto"/>
              <w:right w:val="single" w:sz="4" w:space="0" w:color="auto"/>
            </w:tcBorders>
            <w:shd w:val="clear" w:color="auto" w:fill="auto"/>
            <w:hideMark/>
          </w:tcPr>
          <w:p w:rsidR="00CC75F2" w:rsidRPr="00CC75F2" w:rsidRDefault="00CC75F2" w:rsidP="00373B8F">
            <w:pPr>
              <w:jc w:val="center"/>
              <w:rPr>
                <w:rFonts w:cs="Arial"/>
                <w:color w:val="000000"/>
                <w:sz w:val="16"/>
                <w:szCs w:val="16"/>
              </w:rPr>
            </w:pPr>
            <w:r w:rsidRPr="00CC75F2">
              <w:rPr>
                <w:rFonts w:cs="Arial"/>
                <w:color w:val="000000"/>
                <w:sz w:val="16"/>
                <w:szCs w:val="16"/>
              </w:rPr>
              <w:t>Precinct</w:t>
            </w:r>
          </w:p>
        </w:tc>
        <w:tc>
          <w:tcPr>
            <w:tcW w:w="1276" w:type="dxa"/>
            <w:tcBorders>
              <w:top w:val="nil"/>
              <w:left w:val="nil"/>
              <w:bottom w:val="single" w:sz="4" w:space="0" w:color="auto"/>
              <w:right w:val="single" w:sz="4" w:space="0" w:color="auto"/>
            </w:tcBorders>
            <w:shd w:val="clear" w:color="auto" w:fill="auto"/>
            <w:hideMark/>
          </w:tcPr>
          <w:p w:rsidR="00CC75F2" w:rsidRPr="00CC75F2" w:rsidRDefault="00CC75F2" w:rsidP="00CC75F2">
            <w:pPr>
              <w:jc w:val="center"/>
              <w:rPr>
                <w:rFonts w:cs="Arial"/>
                <w:color w:val="000000"/>
                <w:sz w:val="16"/>
                <w:szCs w:val="16"/>
              </w:rPr>
            </w:pPr>
            <w:r w:rsidRPr="00CC75F2">
              <w:rPr>
                <w:rFonts w:cs="Arial"/>
                <w:color w:val="000000"/>
                <w:sz w:val="16"/>
                <w:szCs w:val="16"/>
              </w:rPr>
              <w:t>Not contributory</w:t>
            </w:r>
          </w:p>
        </w:tc>
        <w:tc>
          <w:tcPr>
            <w:tcW w:w="2835" w:type="dxa"/>
            <w:tcBorders>
              <w:top w:val="nil"/>
              <w:left w:val="nil"/>
              <w:bottom w:val="single" w:sz="4" w:space="0" w:color="auto"/>
              <w:right w:val="single" w:sz="4" w:space="0" w:color="auto"/>
            </w:tcBorders>
            <w:shd w:val="clear" w:color="auto" w:fill="auto"/>
            <w:hideMark/>
          </w:tcPr>
          <w:p w:rsidR="00CC75F2" w:rsidRPr="00CC75F2" w:rsidRDefault="00CC75F2" w:rsidP="00CC75F2">
            <w:pPr>
              <w:jc w:val="left"/>
              <w:rPr>
                <w:rFonts w:cs="Arial"/>
                <w:color w:val="000000"/>
                <w:sz w:val="16"/>
                <w:szCs w:val="16"/>
              </w:rPr>
            </w:pPr>
            <w:r w:rsidRPr="00CC75F2">
              <w:rPr>
                <w:rFonts w:cs="Arial"/>
                <w:color w:val="000000"/>
                <w:sz w:val="16"/>
                <w:szCs w:val="16"/>
              </w:rPr>
              <w:t xml:space="preserve">External controls over building and land, no internal controls, no tree controls and no external paint controls apply </w:t>
            </w:r>
          </w:p>
        </w:tc>
        <w:tc>
          <w:tcPr>
            <w:tcW w:w="2693" w:type="dxa"/>
            <w:tcBorders>
              <w:top w:val="nil"/>
              <w:left w:val="nil"/>
              <w:bottom w:val="single" w:sz="4" w:space="0" w:color="auto"/>
              <w:right w:val="single" w:sz="4" w:space="0" w:color="auto"/>
            </w:tcBorders>
            <w:shd w:val="clear" w:color="auto" w:fill="auto"/>
            <w:hideMark/>
          </w:tcPr>
          <w:p w:rsidR="00CC75F2" w:rsidRPr="00CC75F2" w:rsidRDefault="00CC75F2" w:rsidP="00CC75F2">
            <w:pPr>
              <w:jc w:val="left"/>
              <w:rPr>
                <w:rFonts w:cs="Arial"/>
                <w:color w:val="000000"/>
                <w:sz w:val="16"/>
                <w:szCs w:val="16"/>
              </w:rPr>
            </w:pPr>
            <w:r w:rsidRPr="00CC75F2">
              <w:rPr>
                <w:rFonts w:cs="Arial"/>
                <w:color w:val="000000"/>
                <w:sz w:val="16"/>
                <w:szCs w:val="16"/>
              </w:rPr>
              <w:t xml:space="preserve">Note: This property boundary also includes 2, 4, 6, 8 Eddy Street. </w:t>
            </w:r>
          </w:p>
        </w:tc>
      </w:tr>
      <w:tr w:rsidR="008B0CE7" w:rsidRPr="00CC75F2" w:rsidTr="00EA18F9">
        <w:trPr>
          <w:cantSplit/>
          <w:trHeight w:val="1200"/>
        </w:trPr>
        <w:tc>
          <w:tcPr>
            <w:tcW w:w="1433" w:type="dxa"/>
            <w:tcBorders>
              <w:top w:val="nil"/>
              <w:left w:val="single" w:sz="4" w:space="0" w:color="auto"/>
              <w:bottom w:val="single" w:sz="4" w:space="0" w:color="auto"/>
              <w:right w:val="single" w:sz="4" w:space="0" w:color="auto"/>
            </w:tcBorders>
            <w:shd w:val="clear" w:color="auto" w:fill="auto"/>
            <w:hideMark/>
          </w:tcPr>
          <w:p w:rsidR="00CC75F2" w:rsidRPr="00CC75F2" w:rsidRDefault="00CC75F2" w:rsidP="00CC75F2">
            <w:pPr>
              <w:jc w:val="left"/>
              <w:rPr>
                <w:rFonts w:cs="Arial"/>
                <w:color w:val="000000"/>
                <w:sz w:val="16"/>
                <w:szCs w:val="16"/>
              </w:rPr>
            </w:pPr>
            <w:r w:rsidRPr="00CC75F2">
              <w:rPr>
                <w:rFonts w:cs="Arial"/>
                <w:color w:val="000000"/>
                <w:sz w:val="16"/>
                <w:szCs w:val="16"/>
              </w:rPr>
              <w:t>Stanton Street 7-11</w:t>
            </w:r>
          </w:p>
        </w:tc>
        <w:tc>
          <w:tcPr>
            <w:tcW w:w="1134" w:type="dxa"/>
            <w:tcBorders>
              <w:top w:val="nil"/>
              <w:left w:val="nil"/>
              <w:bottom w:val="single" w:sz="4" w:space="0" w:color="auto"/>
              <w:right w:val="single" w:sz="4" w:space="0" w:color="auto"/>
            </w:tcBorders>
            <w:shd w:val="clear" w:color="auto" w:fill="auto"/>
            <w:hideMark/>
          </w:tcPr>
          <w:p w:rsidR="00CC75F2" w:rsidRPr="00CC75F2" w:rsidRDefault="008B0CE7" w:rsidP="00CC75F2">
            <w:pPr>
              <w:jc w:val="center"/>
              <w:rPr>
                <w:rFonts w:cs="Arial"/>
                <w:color w:val="000000"/>
                <w:sz w:val="16"/>
                <w:szCs w:val="16"/>
              </w:rPr>
            </w:pPr>
            <w:r w:rsidRPr="00CC75F2">
              <w:rPr>
                <w:rFonts w:cs="Arial"/>
                <w:color w:val="000000"/>
                <w:sz w:val="16"/>
                <w:szCs w:val="16"/>
              </w:rPr>
              <w:t>A</w:t>
            </w:r>
            <w:r>
              <w:rPr>
                <w:rFonts w:cs="Arial"/>
                <w:color w:val="000000"/>
                <w:sz w:val="16"/>
                <w:szCs w:val="16"/>
              </w:rPr>
              <w:t>bbotsford</w:t>
            </w:r>
          </w:p>
        </w:tc>
        <w:tc>
          <w:tcPr>
            <w:tcW w:w="1417" w:type="dxa"/>
            <w:tcBorders>
              <w:top w:val="nil"/>
              <w:left w:val="nil"/>
              <w:bottom w:val="single" w:sz="4" w:space="0" w:color="auto"/>
              <w:right w:val="single" w:sz="4" w:space="0" w:color="auto"/>
            </w:tcBorders>
            <w:shd w:val="clear" w:color="auto" w:fill="auto"/>
            <w:hideMark/>
          </w:tcPr>
          <w:p w:rsidR="00CC75F2" w:rsidRPr="00CC75F2" w:rsidRDefault="005E5635" w:rsidP="008B0CE7">
            <w:pPr>
              <w:jc w:val="center"/>
              <w:rPr>
                <w:rFonts w:cs="Arial"/>
                <w:color w:val="000000"/>
                <w:sz w:val="16"/>
                <w:szCs w:val="16"/>
              </w:rPr>
            </w:pPr>
            <w:r>
              <w:rPr>
                <w:rFonts w:cs="Arial"/>
                <w:color w:val="000000"/>
                <w:sz w:val="16"/>
                <w:szCs w:val="16"/>
              </w:rPr>
              <w:t xml:space="preserve">Collingwood </w:t>
            </w:r>
            <w:r w:rsidR="00CC75F2" w:rsidRPr="00CC75F2">
              <w:rPr>
                <w:rFonts w:cs="Arial"/>
                <w:color w:val="000000"/>
                <w:sz w:val="16"/>
                <w:szCs w:val="16"/>
              </w:rPr>
              <w:t>L</w:t>
            </w:r>
            <w:r w:rsidR="008B0CE7">
              <w:rPr>
                <w:rFonts w:cs="Arial"/>
                <w:color w:val="000000"/>
                <w:sz w:val="16"/>
                <w:szCs w:val="16"/>
              </w:rPr>
              <w:t>ibrary</w:t>
            </w:r>
          </w:p>
        </w:tc>
        <w:tc>
          <w:tcPr>
            <w:tcW w:w="1276" w:type="dxa"/>
            <w:tcBorders>
              <w:top w:val="nil"/>
              <w:left w:val="nil"/>
              <w:bottom w:val="single" w:sz="4" w:space="0" w:color="auto"/>
              <w:right w:val="single" w:sz="4" w:space="0" w:color="auto"/>
            </w:tcBorders>
            <w:shd w:val="clear" w:color="auto" w:fill="auto"/>
            <w:hideMark/>
          </w:tcPr>
          <w:p w:rsidR="00CC75F2" w:rsidRPr="00CC75F2" w:rsidRDefault="00CC75F2" w:rsidP="00CC75F2">
            <w:pPr>
              <w:jc w:val="center"/>
              <w:rPr>
                <w:rFonts w:cs="Arial"/>
                <w:color w:val="000000"/>
                <w:sz w:val="16"/>
                <w:szCs w:val="16"/>
              </w:rPr>
            </w:pPr>
            <w:r w:rsidRPr="00CC75F2">
              <w:rPr>
                <w:rFonts w:cs="Arial"/>
                <w:color w:val="000000"/>
                <w:sz w:val="16"/>
                <w:szCs w:val="16"/>
              </w:rPr>
              <w:t>Former Church of Christ Tabernacle (HO47)  Charles Street Precinct (HO313)</w:t>
            </w:r>
          </w:p>
        </w:tc>
        <w:tc>
          <w:tcPr>
            <w:tcW w:w="1134" w:type="dxa"/>
            <w:tcBorders>
              <w:top w:val="nil"/>
              <w:left w:val="nil"/>
              <w:bottom w:val="single" w:sz="4" w:space="0" w:color="auto"/>
              <w:right w:val="single" w:sz="4" w:space="0" w:color="auto"/>
            </w:tcBorders>
            <w:shd w:val="clear" w:color="auto" w:fill="auto"/>
            <w:hideMark/>
          </w:tcPr>
          <w:p w:rsidR="00CC75F2" w:rsidRPr="00CC75F2" w:rsidRDefault="00CC75F2" w:rsidP="00CC75F2">
            <w:pPr>
              <w:jc w:val="center"/>
              <w:rPr>
                <w:rFonts w:cs="Arial"/>
                <w:color w:val="000000"/>
                <w:sz w:val="16"/>
                <w:szCs w:val="16"/>
              </w:rPr>
            </w:pPr>
            <w:r w:rsidRPr="00CC75F2">
              <w:rPr>
                <w:rFonts w:cs="Arial"/>
                <w:color w:val="000000"/>
                <w:sz w:val="16"/>
                <w:szCs w:val="16"/>
              </w:rPr>
              <w:t>HO313 and HO47</w:t>
            </w:r>
          </w:p>
        </w:tc>
        <w:tc>
          <w:tcPr>
            <w:tcW w:w="992" w:type="dxa"/>
            <w:tcBorders>
              <w:top w:val="nil"/>
              <w:left w:val="nil"/>
              <w:bottom w:val="single" w:sz="4" w:space="0" w:color="auto"/>
              <w:right w:val="single" w:sz="4" w:space="0" w:color="auto"/>
            </w:tcBorders>
            <w:shd w:val="clear" w:color="auto" w:fill="auto"/>
            <w:hideMark/>
          </w:tcPr>
          <w:p w:rsidR="00CC75F2" w:rsidRPr="00CC75F2" w:rsidRDefault="00CC75F2" w:rsidP="00CC75F2">
            <w:pPr>
              <w:jc w:val="center"/>
              <w:rPr>
                <w:rFonts w:cs="Arial"/>
                <w:color w:val="000000"/>
                <w:sz w:val="16"/>
                <w:szCs w:val="16"/>
              </w:rPr>
            </w:pPr>
            <w:r w:rsidRPr="00CC75F2">
              <w:rPr>
                <w:rFonts w:cs="Arial"/>
                <w:color w:val="000000"/>
                <w:sz w:val="16"/>
                <w:szCs w:val="16"/>
              </w:rPr>
              <w:t>H0141</w:t>
            </w:r>
          </w:p>
        </w:tc>
        <w:tc>
          <w:tcPr>
            <w:tcW w:w="1134" w:type="dxa"/>
            <w:tcBorders>
              <w:top w:val="nil"/>
              <w:left w:val="nil"/>
              <w:bottom w:val="single" w:sz="4" w:space="0" w:color="auto"/>
              <w:right w:val="single" w:sz="4" w:space="0" w:color="auto"/>
            </w:tcBorders>
            <w:shd w:val="clear" w:color="auto" w:fill="auto"/>
            <w:hideMark/>
          </w:tcPr>
          <w:p w:rsidR="00CC75F2" w:rsidRPr="00CC75F2" w:rsidRDefault="00CC75F2" w:rsidP="00373B8F">
            <w:pPr>
              <w:jc w:val="center"/>
              <w:rPr>
                <w:rFonts w:cs="Arial"/>
                <w:color w:val="000000"/>
                <w:sz w:val="16"/>
                <w:szCs w:val="16"/>
              </w:rPr>
            </w:pPr>
            <w:r w:rsidRPr="00CC75F2">
              <w:rPr>
                <w:rFonts w:cs="Arial"/>
                <w:color w:val="000000"/>
                <w:sz w:val="16"/>
                <w:szCs w:val="16"/>
              </w:rPr>
              <w:t>Individual (state) Individual (local) Precinct</w:t>
            </w:r>
          </w:p>
        </w:tc>
        <w:tc>
          <w:tcPr>
            <w:tcW w:w="1276" w:type="dxa"/>
            <w:tcBorders>
              <w:top w:val="nil"/>
              <w:left w:val="nil"/>
              <w:bottom w:val="single" w:sz="4" w:space="0" w:color="auto"/>
              <w:right w:val="single" w:sz="4" w:space="0" w:color="auto"/>
            </w:tcBorders>
            <w:shd w:val="clear" w:color="auto" w:fill="auto"/>
            <w:hideMark/>
          </w:tcPr>
          <w:p w:rsidR="00CC75F2" w:rsidRPr="00CC75F2" w:rsidRDefault="00CC75F2" w:rsidP="00CC75F2">
            <w:pPr>
              <w:jc w:val="center"/>
              <w:rPr>
                <w:rFonts w:cs="Arial"/>
                <w:color w:val="000000"/>
                <w:sz w:val="16"/>
                <w:szCs w:val="16"/>
              </w:rPr>
            </w:pPr>
            <w:r w:rsidRPr="00CC75F2">
              <w:rPr>
                <w:rFonts w:cs="Arial"/>
                <w:color w:val="000000"/>
                <w:sz w:val="16"/>
                <w:szCs w:val="16"/>
              </w:rPr>
              <w:t>Individually significant</w:t>
            </w:r>
          </w:p>
        </w:tc>
        <w:tc>
          <w:tcPr>
            <w:tcW w:w="2835" w:type="dxa"/>
            <w:tcBorders>
              <w:top w:val="nil"/>
              <w:left w:val="nil"/>
              <w:bottom w:val="single" w:sz="4" w:space="0" w:color="auto"/>
              <w:right w:val="single" w:sz="4" w:space="0" w:color="auto"/>
            </w:tcBorders>
            <w:shd w:val="clear" w:color="auto" w:fill="auto"/>
            <w:hideMark/>
          </w:tcPr>
          <w:p w:rsidR="00CC75F2" w:rsidRPr="00CC75F2" w:rsidRDefault="00CC75F2" w:rsidP="00CC75F2">
            <w:pPr>
              <w:jc w:val="left"/>
              <w:rPr>
                <w:rFonts w:cs="Arial"/>
                <w:color w:val="000000"/>
                <w:sz w:val="16"/>
                <w:szCs w:val="16"/>
              </w:rPr>
            </w:pPr>
            <w:r w:rsidRPr="00CC75F2">
              <w:rPr>
                <w:rFonts w:cs="Arial"/>
                <w:color w:val="000000"/>
                <w:sz w:val="16"/>
                <w:szCs w:val="16"/>
              </w:rPr>
              <w:t>External and internal controls apply as a result of the Heritage Victoria registration.  A permit from Heritage Victoria will be required for works to the building and land.</w:t>
            </w:r>
          </w:p>
        </w:tc>
        <w:tc>
          <w:tcPr>
            <w:tcW w:w="2693" w:type="dxa"/>
            <w:tcBorders>
              <w:top w:val="nil"/>
              <w:left w:val="nil"/>
              <w:bottom w:val="single" w:sz="4" w:space="0" w:color="auto"/>
              <w:right w:val="single" w:sz="4" w:space="0" w:color="auto"/>
            </w:tcBorders>
            <w:shd w:val="clear" w:color="auto" w:fill="auto"/>
            <w:hideMark/>
          </w:tcPr>
          <w:p w:rsidR="00CC75F2" w:rsidRPr="00CC75F2" w:rsidRDefault="00CC75F2" w:rsidP="00CC75F2">
            <w:pPr>
              <w:jc w:val="left"/>
              <w:rPr>
                <w:rFonts w:cs="Arial"/>
                <w:color w:val="000000"/>
                <w:sz w:val="16"/>
                <w:szCs w:val="16"/>
              </w:rPr>
            </w:pPr>
            <w:r w:rsidRPr="00CC75F2">
              <w:rPr>
                <w:rFonts w:cs="Arial"/>
                <w:color w:val="000000"/>
                <w:sz w:val="16"/>
                <w:szCs w:val="16"/>
              </w:rPr>
              <w:t> </w:t>
            </w:r>
          </w:p>
        </w:tc>
      </w:tr>
      <w:tr w:rsidR="008B0CE7" w:rsidRPr="00CC75F2" w:rsidTr="00EA18F9">
        <w:trPr>
          <w:cantSplit/>
          <w:trHeight w:val="720"/>
        </w:trPr>
        <w:tc>
          <w:tcPr>
            <w:tcW w:w="1433" w:type="dxa"/>
            <w:tcBorders>
              <w:top w:val="nil"/>
              <w:left w:val="single" w:sz="4" w:space="0" w:color="auto"/>
              <w:bottom w:val="single" w:sz="4" w:space="0" w:color="auto"/>
              <w:right w:val="single" w:sz="4" w:space="0" w:color="auto"/>
            </w:tcBorders>
            <w:shd w:val="clear" w:color="auto" w:fill="auto"/>
            <w:hideMark/>
          </w:tcPr>
          <w:p w:rsidR="00CC75F2" w:rsidRPr="00CC75F2" w:rsidRDefault="00CC75F2" w:rsidP="00CC75F2">
            <w:pPr>
              <w:jc w:val="left"/>
              <w:rPr>
                <w:rFonts w:cs="Arial"/>
                <w:color w:val="000000"/>
                <w:sz w:val="16"/>
                <w:szCs w:val="16"/>
              </w:rPr>
            </w:pPr>
            <w:r w:rsidRPr="00CC75F2">
              <w:rPr>
                <w:rFonts w:cs="Arial"/>
                <w:color w:val="000000"/>
                <w:sz w:val="16"/>
                <w:szCs w:val="16"/>
              </w:rPr>
              <w:t>Stoodley Street 102</w:t>
            </w:r>
          </w:p>
        </w:tc>
        <w:tc>
          <w:tcPr>
            <w:tcW w:w="1134" w:type="dxa"/>
            <w:tcBorders>
              <w:top w:val="nil"/>
              <w:left w:val="nil"/>
              <w:bottom w:val="single" w:sz="4" w:space="0" w:color="auto"/>
              <w:right w:val="single" w:sz="4" w:space="0" w:color="auto"/>
            </w:tcBorders>
            <w:shd w:val="clear" w:color="auto" w:fill="auto"/>
            <w:hideMark/>
          </w:tcPr>
          <w:p w:rsidR="00CC75F2" w:rsidRPr="00CC75F2" w:rsidRDefault="008B0CE7" w:rsidP="00CC75F2">
            <w:pPr>
              <w:jc w:val="center"/>
              <w:rPr>
                <w:rFonts w:cs="Arial"/>
                <w:color w:val="000000"/>
                <w:sz w:val="16"/>
                <w:szCs w:val="16"/>
              </w:rPr>
            </w:pPr>
            <w:r w:rsidRPr="00CC75F2">
              <w:rPr>
                <w:rFonts w:cs="Arial"/>
                <w:color w:val="000000"/>
                <w:sz w:val="16"/>
                <w:szCs w:val="16"/>
              </w:rPr>
              <w:t>A</w:t>
            </w:r>
            <w:r>
              <w:rPr>
                <w:rFonts w:cs="Arial"/>
                <w:color w:val="000000"/>
                <w:sz w:val="16"/>
                <w:szCs w:val="16"/>
              </w:rPr>
              <w:t>bbotsford</w:t>
            </w:r>
          </w:p>
        </w:tc>
        <w:tc>
          <w:tcPr>
            <w:tcW w:w="1417" w:type="dxa"/>
            <w:tcBorders>
              <w:top w:val="nil"/>
              <w:left w:val="nil"/>
              <w:bottom w:val="single" w:sz="4" w:space="0" w:color="auto"/>
              <w:right w:val="single" w:sz="4" w:space="0" w:color="auto"/>
            </w:tcBorders>
            <w:shd w:val="clear" w:color="auto" w:fill="auto"/>
            <w:hideMark/>
          </w:tcPr>
          <w:p w:rsidR="00CC75F2" w:rsidRPr="00CC75F2" w:rsidRDefault="00CC75F2" w:rsidP="008B0CE7">
            <w:pPr>
              <w:jc w:val="center"/>
              <w:rPr>
                <w:rFonts w:cs="Arial"/>
                <w:color w:val="000000"/>
                <w:sz w:val="16"/>
                <w:szCs w:val="16"/>
              </w:rPr>
            </w:pPr>
            <w:r w:rsidRPr="00CC75F2">
              <w:rPr>
                <w:rFonts w:cs="Arial"/>
                <w:color w:val="000000"/>
                <w:sz w:val="16"/>
                <w:szCs w:val="16"/>
              </w:rPr>
              <w:t>P</w:t>
            </w:r>
            <w:r w:rsidR="008B0CE7">
              <w:rPr>
                <w:rFonts w:cs="Arial"/>
                <w:color w:val="000000"/>
                <w:sz w:val="16"/>
                <w:szCs w:val="16"/>
              </w:rPr>
              <w:t>layground</w:t>
            </w:r>
          </w:p>
        </w:tc>
        <w:tc>
          <w:tcPr>
            <w:tcW w:w="1276" w:type="dxa"/>
            <w:tcBorders>
              <w:top w:val="nil"/>
              <w:left w:val="nil"/>
              <w:bottom w:val="single" w:sz="4" w:space="0" w:color="auto"/>
              <w:right w:val="single" w:sz="4" w:space="0" w:color="auto"/>
            </w:tcBorders>
            <w:shd w:val="clear" w:color="auto" w:fill="auto"/>
            <w:hideMark/>
          </w:tcPr>
          <w:p w:rsidR="00CC75F2" w:rsidRPr="00CC75F2" w:rsidRDefault="00CC75F2" w:rsidP="00CC75F2">
            <w:pPr>
              <w:jc w:val="center"/>
              <w:rPr>
                <w:rFonts w:cs="Arial"/>
                <w:color w:val="000000"/>
                <w:sz w:val="16"/>
                <w:szCs w:val="16"/>
              </w:rPr>
            </w:pPr>
            <w:r w:rsidRPr="00CC75F2">
              <w:rPr>
                <w:rFonts w:cs="Arial"/>
                <w:color w:val="000000"/>
                <w:sz w:val="16"/>
                <w:szCs w:val="16"/>
              </w:rPr>
              <w:t>Charles Street Precinct</w:t>
            </w:r>
          </w:p>
        </w:tc>
        <w:tc>
          <w:tcPr>
            <w:tcW w:w="1134" w:type="dxa"/>
            <w:tcBorders>
              <w:top w:val="nil"/>
              <w:left w:val="nil"/>
              <w:bottom w:val="single" w:sz="4" w:space="0" w:color="auto"/>
              <w:right w:val="single" w:sz="4" w:space="0" w:color="auto"/>
            </w:tcBorders>
            <w:shd w:val="clear" w:color="auto" w:fill="auto"/>
            <w:hideMark/>
          </w:tcPr>
          <w:p w:rsidR="00CC75F2" w:rsidRPr="00CC75F2" w:rsidRDefault="00CC75F2" w:rsidP="00CC75F2">
            <w:pPr>
              <w:jc w:val="center"/>
              <w:rPr>
                <w:rFonts w:cs="Arial"/>
                <w:color w:val="000000"/>
                <w:sz w:val="16"/>
                <w:szCs w:val="16"/>
              </w:rPr>
            </w:pPr>
            <w:r w:rsidRPr="00CC75F2">
              <w:rPr>
                <w:rFonts w:cs="Arial"/>
                <w:color w:val="000000"/>
                <w:sz w:val="16"/>
                <w:szCs w:val="16"/>
              </w:rPr>
              <w:t>HO313</w:t>
            </w:r>
          </w:p>
        </w:tc>
        <w:tc>
          <w:tcPr>
            <w:tcW w:w="992" w:type="dxa"/>
            <w:tcBorders>
              <w:top w:val="nil"/>
              <w:left w:val="nil"/>
              <w:bottom w:val="single" w:sz="4" w:space="0" w:color="auto"/>
              <w:right w:val="single" w:sz="4" w:space="0" w:color="auto"/>
            </w:tcBorders>
            <w:shd w:val="clear" w:color="auto" w:fill="auto"/>
            <w:hideMark/>
          </w:tcPr>
          <w:p w:rsidR="00CC75F2" w:rsidRPr="00CC75F2" w:rsidRDefault="00CC75F2" w:rsidP="00CC75F2">
            <w:pPr>
              <w:jc w:val="center"/>
              <w:rPr>
                <w:rFonts w:cs="Arial"/>
                <w:color w:val="000000"/>
                <w:sz w:val="16"/>
                <w:szCs w:val="16"/>
              </w:rPr>
            </w:pPr>
            <w:r w:rsidRPr="00CC75F2">
              <w:rPr>
                <w:rFonts w:cs="Arial"/>
                <w:color w:val="000000"/>
                <w:sz w:val="16"/>
                <w:szCs w:val="16"/>
              </w:rPr>
              <w:t>N/A</w:t>
            </w:r>
          </w:p>
        </w:tc>
        <w:tc>
          <w:tcPr>
            <w:tcW w:w="1134" w:type="dxa"/>
            <w:tcBorders>
              <w:top w:val="nil"/>
              <w:left w:val="nil"/>
              <w:bottom w:val="single" w:sz="4" w:space="0" w:color="auto"/>
              <w:right w:val="single" w:sz="4" w:space="0" w:color="auto"/>
            </w:tcBorders>
            <w:shd w:val="clear" w:color="auto" w:fill="auto"/>
            <w:hideMark/>
          </w:tcPr>
          <w:p w:rsidR="00CC75F2" w:rsidRPr="00CC75F2" w:rsidRDefault="00CC75F2" w:rsidP="00373B8F">
            <w:pPr>
              <w:jc w:val="center"/>
              <w:rPr>
                <w:rFonts w:cs="Arial"/>
                <w:color w:val="000000"/>
                <w:sz w:val="16"/>
                <w:szCs w:val="16"/>
              </w:rPr>
            </w:pPr>
            <w:r w:rsidRPr="00CC75F2">
              <w:rPr>
                <w:rFonts w:cs="Arial"/>
                <w:color w:val="000000"/>
                <w:sz w:val="16"/>
                <w:szCs w:val="16"/>
              </w:rPr>
              <w:t>Precinct</w:t>
            </w:r>
          </w:p>
        </w:tc>
        <w:tc>
          <w:tcPr>
            <w:tcW w:w="1276" w:type="dxa"/>
            <w:tcBorders>
              <w:top w:val="nil"/>
              <w:left w:val="nil"/>
              <w:bottom w:val="single" w:sz="4" w:space="0" w:color="auto"/>
              <w:right w:val="single" w:sz="4" w:space="0" w:color="auto"/>
            </w:tcBorders>
            <w:shd w:val="clear" w:color="auto" w:fill="auto"/>
            <w:hideMark/>
          </w:tcPr>
          <w:p w:rsidR="00CC75F2" w:rsidRPr="00CC75F2" w:rsidRDefault="00CC75F2" w:rsidP="00CC75F2">
            <w:pPr>
              <w:jc w:val="center"/>
              <w:rPr>
                <w:rFonts w:cs="Arial"/>
                <w:color w:val="000000"/>
                <w:sz w:val="16"/>
                <w:szCs w:val="16"/>
              </w:rPr>
            </w:pPr>
            <w:r w:rsidRPr="00CC75F2">
              <w:rPr>
                <w:rFonts w:cs="Arial"/>
                <w:color w:val="000000"/>
                <w:sz w:val="16"/>
                <w:szCs w:val="16"/>
              </w:rPr>
              <w:t>Not contributory</w:t>
            </w:r>
          </w:p>
        </w:tc>
        <w:tc>
          <w:tcPr>
            <w:tcW w:w="2835" w:type="dxa"/>
            <w:tcBorders>
              <w:top w:val="nil"/>
              <w:left w:val="nil"/>
              <w:bottom w:val="single" w:sz="4" w:space="0" w:color="auto"/>
              <w:right w:val="single" w:sz="4" w:space="0" w:color="auto"/>
            </w:tcBorders>
            <w:shd w:val="clear" w:color="auto" w:fill="auto"/>
            <w:hideMark/>
          </w:tcPr>
          <w:p w:rsidR="00CC75F2" w:rsidRPr="00CC75F2" w:rsidRDefault="00CC75F2" w:rsidP="00622DC3">
            <w:pPr>
              <w:jc w:val="left"/>
              <w:rPr>
                <w:rFonts w:cs="Arial"/>
                <w:color w:val="000000"/>
                <w:sz w:val="16"/>
                <w:szCs w:val="16"/>
              </w:rPr>
            </w:pPr>
            <w:r w:rsidRPr="00CC75F2">
              <w:rPr>
                <w:rFonts w:cs="Arial"/>
                <w:color w:val="000000"/>
                <w:sz w:val="16"/>
                <w:szCs w:val="16"/>
              </w:rPr>
              <w:t xml:space="preserve">External controls over buildings and land (demolition could be considered), </w:t>
            </w:r>
            <w:r w:rsidR="00622DC3">
              <w:rPr>
                <w:rFonts w:cs="Arial"/>
                <w:color w:val="000000"/>
                <w:sz w:val="16"/>
                <w:szCs w:val="16"/>
              </w:rPr>
              <w:t>N</w:t>
            </w:r>
            <w:r w:rsidRPr="00CC75F2">
              <w:rPr>
                <w:rFonts w:cs="Arial"/>
                <w:color w:val="000000"/>
                <w:sz w:val="16"/>
                <w:szCs w:val="16"/>
              </w:rPr>
              <w:t>o internal controls, no tree controls and no external paint controls apply</w:t>
            </w:r>
            <w:r w:rsidR="00622DC3">
              <w:rPr>
                <w:rFonts w:cs="Arial"/>
                <w:color w:val="000000"/>
                <w:sz w:val="16"/>
                <w:szCs w:val="16"/>
              </w:rPr>
              <w:t>.</w:t>
            </w:r>
          </w:p>
        </w:tc>
        <w:tc>
          <w:tcPr>
            <w:tcW w:w="2693" w:type="dxa"/>
            <w:tcBorders>
              <w:top w:val="nil"/>
              <w:left w:val="nil"/>
              <w:bottom w:val="single" w:sz="4" w:space="0" w:color="auto"/>
              <w:right w:val="single" w:sz="4" w:space="0" w:color="auto"/>
            </w:tcBorders>
            <w:shd w:val="clear" w:color="auto" w:fill="auto"/>
            <w:hideMark/>
          </w:tcPr>
          <w:p w:rsidR="00CC75F2" w:rsidRPr="00CC75F2" w:rsidRDefault="00CC75F2" w:rsidP="00CC75F2">
            <w:pPr>
              <w:jc w:val="left"/>
              <w:rPr>
                <w:rFonts w:cs="Arial"/>
                <w:color w:val="000000"/>
                <w:sz w:val="16"/>
                <w:szCs w:val="16"/>
              </w:rPr>
            </w:pPr>
            <w:r w:rsidRPr="00CC75F2">
              <w:rPr>
                <w:rFonts w:cs="Arial"/>
                <w:color w:val="000000"/>
                <w:sz w:val="16"/>
                <w:szCs w:val="16"/>
              </w:rPr>
              <w:t> </w:t>
            </w:r>
          </w:p>
        </w:tc>
      </w:tr>
      <w:tr w:rsidR="008B0CE7" w:rsidRPr="00CC75F2" w:rsidTr="00EA18F9">
        <w:trPr>
          <w:cantSplit/>
          <w:trHeight w:val="1680"/>
        </w:trPr>
        <w:tc>
          <w:tcPr>
            <w:tcW w:w="1433" w:type="dxa"/>
            <w:tcBorders>
              <w:top w:val="nil"/>
              <w:left w:val="single" w:sz="4" w:space="0" w:color="auto"/>
              <w:bottom w:val="single" w:sz="4" w:space="0" w:color="auto"/>
              <w:right w:val="single" w:sz="4" w:space="0" w:color="auto"/>
            </w:tcBorders>
            <w:shd w:val="clear" w:color="auto" w:fill="auto"/>
            <w:hideMark/>
          </w:tcPr>
          <w:p w:rsidR="00CC75F2" w:rsidRPr="00CC75F2" w:rsidRDefault="00CC75F2" w:rsidP="00CC75F2">
            <w:pPr>
              <w:jc w:val="left"/>
              <w:rPr>
                <w:rFonts w:cs="Arial"/>
                <w:color w:val="000000"/>
                <w:sz w:val="16"/>
                <w:szCs w:val="16"/>
              </w:rPr>
            </w:pPr>
            <w:r w:rsidRPr="00CC75F2">
              <w:rPr>
                <w:rFonts w:cs="Arial"/>
                <w:color w:val="000000"/>
                <w:sz w:val="16"/>
                <w:szCs w:val="16"/>
              </w:rPr>
              <w:t>Trener</w:t>
            </w:r>
            <w:r w:rsidR="00FE0470">
              <w:rPr>
                <w:rFonts w:cs="Arial"/>
                <w:color w:val="000000"/>
                <w:sz w:val="16"/>
                <w:szCs w:val="16"/>
              </w:rPr>
              <w:t>r</w:t>
            </w:r>
            <w:r w:rsidRPr="00CC75F2">
              <w:rPr>
                <w:rFonts w:cs="Arial"/>
                <w:color w:val="000000"/>
                <w:sz w:val="16"/>
                <w:szCs w:val="16"/>
              </w:rPr>
              <w:t>y Crescent</w:t>
            </w:r>
          </w:p>
        </w:tc>
        <w:tc>
          <w:tcPr>
            <w:tcW w:w="1134" w:type="dxa"/>
            <w:tcBorders>
              <w:top w:val="nil"/>
              <w:left w:val="nil"/>
              <w:bottom w:val="single" w:sz="4" w:space="0" w:color="auto"/>
              <w:right w:val="single" w:sz="4" w:space="0" w:color="auto"/>
            </w:tcBorders>
            <w:shd w:val="clear" w:color="auto" w:fill="auto"/>
            <w:hideMark/>
          </w:tcPr>
          <w:p w:rsidR="00CC75F2" w:rsidRPr="00CC75F2" w:rsidRDefault="008B0CE7" w:rsidP="00CC75F2">
            <w:pPr>
              <w:jc w:val="center"/>
              <w:rPr>
                <w:rFonts w:cs="Arial"/>
                <w:color w:val="000000"/>
                <w:sz w:val="16"/>
                <w:szCs w:val="16"/>
              </w:rPr>
            </w:pPr>
            <w:r w:rsidRPr="00CC75F2">
              <w:rPr>
                <w:rFonts w:cs="Arial"/>
                <w:color w:val="000000"/>
                <w:sz w:val="16"/>
                <w:szCs w:val="16"/>
              </w:rPr>
              <w:t>A</w:t>
            </w:r>
            <w:r>
              <w:rPr>
                <w:rFonts w:cs="Arial"/>
                <w:color w:val="000000"/>
                <w:sz w:val="16"/>
                <w:szCs w:val="16"/>
              </w:rPr>
              <w:t>bbotsford</w:t>
            </w:r>
          </w:p>
        </w:tc>
        <w:tc>
          <w:tcPr>
            <w:tcW w:w="1417" w:type="dxa"/>
            <w:tcBorders>
              <w:top w:val="nil"/>
              <w:left w:val="nil"/>
              <w:bottom w:val="single" w:sz="4" w:space="0" w:color="auto"/>
              <w:right w:val="single" w:sz="4" w:space="0" w:color="auto"/>
            </w:tcBorders>
            <w:shd w:val="clear" w:color="auto" w:fill="auto"/>
            <w:hideMark/>
          </w:tcPr>
          <w:p w:rsidR="00CC75F2" w:rsidRPr="00CC75F2" w:rsidRDefault="00CC75F2" w:rsidP="00CC75F2">
            <w:pPr>
              <w:jc w:val="center"/>
              <w:rPr>
                <w:rFonts w:cs="Arial"/>
                <w:color w:val="000000"/>
                <w:sz w:val="16"/>
                <w:szCs w:val="16"/>
              </w:rPr>
            </w:pPr>
            <w:r w:rsidRPr="00CC75F2">
              <w:rPr>
                <w:rFonts w:cs="Arial"/>
                <w:color w:val="000000"/>
                <w:sz w:val="16"/>
                <w:szCs w:val="16"/>
              </w:rPr>
              <w:t>Dights Falls Reserve/Toilet Block</w:t>
            </w:r>
          </w:p>
        </w:tc>
        <w:tc>
          <w:tcPr>
            <w:tcW w:w="1276" w:type="dxa"/>
            <w:tcBorders>
              <w:top w:val="nil"/>
              <w:left w:val="nil"/>
              <w:bottom w:val="single" w:sz="4" w:space="0" w:color="auto"/>
              <w:right w:val="single" w:sz="4" w:space="0" w:color="auto"/>
            </w:tcBorders>
            <w:shd w:val="clear" w:color="auto" w:fill="auto"/>
            <w:hideMark/>
          </w:tcPr>
          <w:p w:rsidR="00CC75F2" w:rsidRPr="00CC75F2" w:rsidRDefault="00CC75F2" w:rsidP="00CC75F2">
            <w:pPr>
              <w:jc w:val="center"/>
              <w:rPr>
                <w:rFonts w:cs="Arial"/>
                <w:color w:val="000000"/>
                <w:sz w:val="16"/>
                <w:szCs w:val="16"/>
              </w:rPr>
            </w:pPr>
            <w:r w:rsidRPr="00CC75F2">
              <w:rPr>
                <w:rFonts w:cs="Arial"/>
                <w:color w:val="000000"/>
                <w:sz w:val="16"/>
                <w:szCs w:val="16"/>
              </w:rPr>
              <w:t>Yarra River Trener</w:t>
            </w:r>
            <w:r w:rsidR="00FE0470">
              <w:rPr>
                <w:rFonts w:cs="Arial"/>
                <w:color w:val="000000"/>
                <w:sz w:val="16"/>
                <w:szCs w:val="16"/>
              </w:rPr>
              <w:t>r</w:t>
            </w:r>
            <w:r w:rsidRPr="00CC75F2">
              <w:rPr>
                <w:rFonts w:cs="Arial"/>
                <w:color w:val="000000"/>
                <w:sz w:val="16"/>
                <w:szCs w:val="16"/>
              </w:rPr>
              <w:t>y Crescent Abbotsford, Dights Mill Site</w:t>
            </w:r>
          </w:p>
        </w:tc>
        <w:tc>
          <w:tcPr>
            <w:tcW w:w="1134" w:type="dxa"/>
            <w:tcBorders>
              <w:top w:val="nil"/>
              <w:left w:val="nil"/>
              <w:bottom w:val="single" w:sz="4" w:space="0" w:color="auto"/>
              <w:right w:val="single" w:sz="4" w:space="0" w:color="auto"/>
            </w:tcBorders>
            <w:shd w:val="clear" w:color="auto" w:fill="auto"/>
            <w:hideMark/>
          </w:tcPr>
          <w:p w:rsidR="00CC75F2" w:rsidRPr="00CC75F2" w:rsidRDefault="00CC75F2" w:rsidP="00CC75F2">
            <w:pPr>
              <w:jc w:val="center"/>
              <w:rPr>
                <w:rFonts w:cs="Arial"/>
                <w:color w:val="000000"/>
                <w:sz w:val="16"/>
                <w:szCs w:val="16"/>
              </w:rPr>
            </w:pPr>
            <w:r w:rsidRPr="00CC75F2">
              <w:rPr>
                <w:rFonts w:cs="Arial"/>
                <w:color w:val="000000"/>
                <w:sz w:val="16"/>
                <w:szCs w:val="16"/>
              </w:rPr>
              <w:t xml:space="preserve">HO48 </w:t>
            </w:r>
          </w:p>
        </w:tc>
        <w:tc>
          <w:tcPr>
            <w:tcW w:w="992" w:type="dxa"/>
            <w:tcBorders>
              <w:top w:val="nil"/>
              <w:left w:val="nil"/>
              <w:bottom w:val="single" w:sz="4" w:space="0" w:color="auto"/>
              <w:right w:val="single" w:sz="4" w:space="0" w:color="auto"/>
            </w:tcBorders>
            <w:shd w:val="clear" w:color="auto" w:fill="auto"/>
            <w:hideMark/>
          </w:tcPr>
          <w:p w:rsidR="00CC75F2" w:rsidRPr="00CC75F2" w:rsidRDefault="00CC75F2" w:rsidP="00CC75F2">
            <w:pPr>
              <w:jc w:val="center"/>
              <w:rPr>
                <w:rFonts w:cs="Arial"/>
                <w:color w:val="000000"/>
                <w:sz w:val="16"/>
                <w:szCs w:val="16"/>
              </w:rPr>
            </w:pPr>
            <w:r w:rsidRPr="00CC75F2">
              <w:rPr>
                <w:rFonts w:cs="Arial"/>
                <w:color w:val="000000"/>
                <w:sz w:val="16"/>
                <w:szCs w:val="16"/>
              </w:rPr>
              <w:t>VHI (H7822-0142)  VHI (H7822-0042) VHR (H1522)</w:t>
            </w:r>
          </w:p>
        </w:tc>
        <w:tc>
          <w:tcPr>
            <w:tcW w:w="1134" w:type="dxa"/>
            <w:tcBorders>
              <w:top w:val="nil"/>
              <w:left w:val="nil"/>
              <w:bottom w:val="single" w:sz="4" w:space="0" w:color="auto"/>
              <w:right w:val="single" w:sz="4" w:space="0" w:color="auto"/>
            </w:tcBorders>
            <w:shd w:val="clear" w:color="auto" w:fill="auto"/>
            <w:hideMark/>
          </w:tcPr>
          <w:p w:rsidR="00CC75F2" w:rsidRPr="00CC75F2" w:rsidRDefault="00CC75F2" w:rsidP="00373B8F">
            <w:pPr>
              <w:jc w:val="center"/>
              <w:rPr>
                <w:rFonts w:cs="Arial"/>
                <w:color w:val="000000"/>
                <w:sz w:val="16"/>
                <w:szCs w:val="16"/>
              </w:rPr>
            </w:pPr>
            <w:r w:rsidRPr="00CC75F2">
              <w:rPr>
                <w:rFonts w:cs="Arial"/>
                <w:color w:val="000000"/>
                <w:sz w:val="16"/>
                <w:szCs w:val="16"/>
              </w:rPr>
              <w:t>Individual (state) Individual (local)</w:t>
            </w:r>
          </w:p>
        </w:tc>
        <w:tc>
          <w:tcPr>
            <w:tcW w:w="1276" w:type="dxa"/>
            <w:tcBorders>
              <w:top w:val="nil"/>
              <w:left w:val="nil"/>
              <w:bottom w:val="single" w:sz="4" w:space="0" w:color="auto"/>
              <w:right w:val="single" w:sz="4" w:space="0" w:color="auto"/>
            </w:tcBorders>
            <w:shd w:val="clear" w:color="auto" w:fill="auto"/>
            <w:hideMark/>
          </w:tcPr>
          <w:p w:rsidR="00CC75F2" w:rsidRPr="00CC75F2" w:rsidRDefault="00CC75F2" w:rsidP="00CC75F2">
            <w:pPr>
              <w:jc w:val="center"/>
              <w:rPr>
                <w:rFonts w:cs="Arial"/>
                <w:color w:val="000000"/>
                <w:sz w:val="16"/>
                <w:szCs w:val="16"/>
              </w:rPr>
            </w:pPr>
            <w:r w:rsidRPr="00CC75F2">
              <w:rPr>
                <w:rFonts w:cs="Arial"/>
                <w:color w:val="000000"/>
                <w:sz w:val="16"/>
                <w:szCs w:val="16"/>
              </w:rPr>
              <w:t>Individually significant</w:t>
            </w:r>
          </w:p>
        </w:tc>
        <w:tc>
          <w:tcPr>
            <w:tcW w:w="2835" w:type="dxa"/>
            <w:tcBorders>
              <w:top w:val="nil"/>
              <w:left w:val="nil"/>
              <w:bottom w:val="single" w:sz="4" w:space="0" w:color="auto"/>
              <w:right w:val="single" w:sz="4" w:space="0" w:color="auto"/>
            </w:tcBorders>
            <w:shd w:val="clear" w:color="auto" w:fill="auto"/>
            <w:hideMark/>
          </w:tcPr>
          <w:p w:rsidR="00CC75F2" w:rsidRPr="00CC75F2" w:rsidRDefault="00CC75F2" w:rsidP="00CC75F2">
            <w:pPr>
              <w:jc w:val="left"/>
              <w:rPr>
                <w:rFonts w:cs="Arial"/>
                <w:color w:val="000000"/>
                <w:sz w:val="16"/>
                <w:szCs w:val="16"/>
              </w:rPr>
            </w:pPr>
            <w:r w:rsidRPr="00CC75F2">
              <w:rPr>
                <w:rFonts w:cs="Arial"/>
                <w:color w:val="000000"/>
                <w:sz w:val="16"/>
                <w:szCs w:val="16"/>
              </w:rPr>
              <w:t xml:space="preserve">External and internal controls apply as a result of the Heritage Victoria registration.  A permit from Heritage Victoria will be required for works to the buildings and land. Note: There are two VHI sites within the overall site.   </w:t>
            </w:r>
          </w:p>
        </w:tc>
        <w:tc>
          <w:tcPr>
            <w:tcW w:w="2693" w:type="dxa"/>
            <w:tcBorders>
              <w:top w:val="nil"/>
              <w:left w:val="nil"/>
              <w:bottom w:val="single" w:sz="4" w:space="0" w:color="auto"/>
              <w:right w:val="single" w:sz="4" w:space="0" w:color="auto"/>
            </w:tcBorders>
            <w:shd w:val="clear" w:color="auto" w:fill="auto"/>
            <w:hideMark/>
          </w:tcPr>
          <w:p w:rsidR="00CC75F2" w:rsidRPr="00CC75F2" w:rsidRDefault="00CC75F2" w:rsidP="00CC75F2">
            <w:pPr>
              <w:jc w:val="left"/>
              <w:rPr>
                <w:rFonts w:cs="Arial"/>
                <w:color w:val="000000"/>
                <w:sz w:val="16"/>
                <w:szCs w:val="16"/>
              </w:rPr>
            </w:pPr>
            <w:r w:rsidRPr="00CC75F2">
              <w:rPr>
                <w:rFonts w:cs="Arial"/>
                <w:color w:val="000000"/>
                <w:sz w:val="16"/>
                <w:szCs w:val="16"/>
              </w:rPr>
              <w:t xml:space="preserve">Note: The location of the toilets have not been identified although are presumably within the larger area covered by these controls. The VHR extent covers the whole Dight Falls reserve.  A permit is not  required for works which are in accordance with the Conservation Policy contained in the  </w:t>
            </w:r>
            <w:r w:rsidRPr="00CC75F2">
              <w:rPr>
                <w:rFonts w:cs="Arial"/>
                <w:i/>
                <w:iCs/>
                <w:color w:val="000000"/>
                <w:sz w:val="16"/>
                <w:szCs w:val="16"/>
              </w:rPr>
              <w:t xml:space="preserve">Former Dight's Mill Collingwood, Conservation Analysis </w:t>
            </w:r>
            <w:r w:rsidRPr="00CC75F2">
              <w:rPr>
                <w:rFonts w:cs="Arial"/>
                <w:color w:val="000000"/>
                <w:sz w:val="16"/>
                <w:szCs w:val="16"/>
              </w:rPr>
              <w:t xml:space="preserve">(1993) prepared by Allom Lovell and Associates. </w:t>
            </w:r>
          </w:p>
        </w:tc>
      </w:tr>
      <w:tr w:rsidR="008B0CE7" w:rsidRPr="00CC75F2" w:rsidTr="00EA18F9">
        <w:trPr>
          <w:cantSplit/>
          <w:trHeight w:val="960"/>
        </w:trPr>
        <w:tc>
          <w:tcPr>
            <w:tcW w:w="1433" w:type="dxa"/>
            <w:tcBorders>
              <w:top w:val="nil"/>
              <w:left w:val="single" w:sz="4" w:space="0" w:color="auto"/>
              <w:bottom w:val="single" w:sz="4" w:space="0" w:color="auto"/>
              <w:right w:val="single" w:sz="4" w:space="0" w:color="auto"/>
            </w:tcBorders>
            <w:shd w:val="clear" w:color="auto" w:fill="auto"/>
            <w:hideMark/>
          </w:tcPr>
          <w:p w:rsidR="00CC75F2" w:rsidRPr="00CC75F2" w:rsidRDefault="00CC75F2" w:rsidP="00CC75F2">
            <w:pPr>
              <w:jc w:val="left"/>
              <w:rPr>
                <w:rFonts w:cs="Arial"/>
                <w:color w:val="000000"/>
                <w:sz w:val="16"/>
                <w:szCs w:val="16"/>
              </w:rPr>
            </w:pPr>
            <w:r w:rsidRPr="00CC75F2">
              <w:rPr>
                <w:rFonts w:cs="Arial"/>
                <w:color w:val="000000"/>
                <w:sz w:val="16"/>
                <w:szCs w:val="16"/>
              </w:rPr>
              <w:t>Tudor Street 49</w:t>
            </w:r>
          </w:p>
        </w:tc>
        <w:tc>
          <w:tcPr>
            <w:tcW w:w="1134" w:type="dxa"/>
            <w:tcBorders>
              <w:top w:val="nil"/>
              <w:left w:val="nil"/>
              <w:bottom w:val="single" w:sz="4" w:space="0" w:color="auto"/>
              <w:right w:val="single" w:sz="4" w:space="0" w:color="auto"/>
            </w:tcBorders>
            <w:shd w:val="clear" w:color="auto" w:fill="auto"/>
            <w:hideMark/>
          </w:tcPr>
          <w:p w:rsidR="00CC75F2" w:rsidRPr="00CC75F2" w:rsidRDefault="008B0CE7" w:rsidP="00CC75F2">
            <w:pPr>
              <w:jc w:val="center"/>
              <w:rPr>
                <w:rFonts w:cs="Arial"/>
                <w:color w:val="000000"/>
                <w:sz w:val="16"/>
                <w:szCs w:val="16"/>
              </w:rPr>
            </w:pPr>
            <w:r w:rsidRPr="00CC75F2">
              <w:rPr>
                <w:rFonts w:cs="Arial"/>
                <w:color w:val="000000"/>
                <w:sz w:val="16"/>
                <w:szCs w:val="16"/>
              </w:rPr>
              <w:t>R</w:t>
            </w:r>
            <w:r>
              <w:rPr>
                <w:rFonts w:cs="Arial"/>
                <w:color w:val="000000"/>
                <w:sz w:val="16"/>
                <w:szCs w:val="16"/>
              </w:rPr>
              <w:t>ichmond</w:t>
            </w:r>
          </w:p>
        </w:tc>
        <w:tc>
          <w:tcPr>
            <w:tcW w:w="1417" w:type="dxa"/>
            <w:tcBorders>
              <w:top w:val="nil"/>
              <w:left w:val="nil"/>
              <w:bottom w:val="single" w:sz="4" w:space="0" w:color="auto"/>
              <w:right w:val="single" w:sz="4" w:space="0" w:color="auto"/>
            </w:tcBorders>
            <w:shd w:val="clear" w:color="auto" w:fill="auto"/>
            <w:hideMark/>
          </w:tcPr>
          <w:p w:rsidR="00CC75F2" w:rsidRPr="00CC75F2" w:rsidRDefault="00CC75F2" w:rsidP="008B0CE7">
            <w:pPr>
              <w:jc w:val="center"/>
              <w:rPr>
                <w:rFonts w:cs="Arial"/>
                <w:color w:val="000000"/>
                <w:sz w:val="16"/>
                <w:szCs w:val="16"/>
              </w:rPr>
            </w:pPr>
            <w:r w:rsidRPr="00CC75F2">
              <w:rPr>
                <w:rFonts w:cs="Arial"/>
                <w:color w:val="000000"/>
                <w:sz w:val="16"/>
                <w:szCs w:val="16"/>
              </w:rPr>
              <w:t>M</w:t>
            </w:r>
            <w:r w:rsidR="008B0CE7">
              <w:rPr>
                <w:rFonts w:cs="Arial"/>
                <w:color w:val="000000"/>
                <w:sz w:val="16"/>
                <w:szCs w:val="16"/>
              </w:rPr>
              <w:t>aternal Health Centre</w:t>
            </w:r>
            <w:r w:rsidRPr="00CC75F2">
              <w:rPr>
                <w:rFonts w:cs="Arial"/>
                <w:color w:val="000000"/>
                <w:sz w:val="16"/>
                <w:szCs w:val="16"/>
              </w:rPr>
              <w:t xml:space="preserve"> </w:t>
            </w:r>
          </w:p>
        </w:tc>
        <w:tc>
          <w:tcPr>
            <w:tcW w:w="1276" w:type="dxa"/>
            <w:tcBorders>
              <w:top w:val="nil"/>
              <w:left w:val="nil"/>
              <w:bottom w:val="single" w:sz="4" w:space="0" w:color="auto"/>
              <w:right w:val="single" w:sz="4" w:space="0" w:color="auto"/>
            </w:tcBorders>
            <w:shd w:val="clear" w:color="auto" w:fill="auto"/>
            <w:hideMark/>
          </w:tcPr>
          <w:p w:rsidR="00CC75F2" w:rsidRPr="00CC75F2" w:rsidRDefault="00CC75F2" w:rsidP="00CC75F2">
            <w:pPr>
              <w:jc w:val="center"/>
              <w:rPr>
                <w:rFonts w:cs="Arial"/>
                <w:color w:val="000000"/>
                <w:sz w:val="16"/>
                <w:szCs w:val="16"/>
              </w:rPr>
            </w:pPr>
            <w:r w:rsidRPr="00CC75F2">
              <w:rPr>
                <w:rFonts w:cs="Arial"/>
                <w:color w:val="000000"/>
                <w:sz w:val="16"/>
                <w:szCs w:val="16"/>
              </w:rPr>
              <w:t>Racecourse Precinct, Richmond</w:t>
            </w:r>
          </w:p>
        </w:tc>
        <w:tc>
          <w:tcPr>
            <w:tcW w:w="1134" w:type="dxa"/>
            <w:tcBorders>
              <w:top w:val="nil"/>
              <w:left w:val="nil"/>
              <w:bottom w:val="single" w:sz="4" w:space="0" w:color="auto"/>
              <w:right w:val="single" w:sz="4" w:space="0" w:color="auto"/>
            </w:tcBorders>
            <w:shd w:val="clear" w:color="auto" w:fill="auto"/>
            <w:hideMark/>
          </w:tcPr>
          <w:p w:rsidR="00CC75F2" w:rsidRPr="00CC75F2" w:rsidRDefault="00CC75F2" w:rsidP="00CC75F2">
            <w:pPr>
              <w:jc w:val="center"/>
              <w:rPr>
                <w:rFonts w:cs="Arial"/>
                <w:color w:val="000000"/>
                <w:sz w:val="16"/>
                <w:szCs w:val="16"/>
              </w:rPr>
            </w:pPr>
            <w:r w:rsidRPr="00CC75F2">
              <w:rPr>
                <w:rFonts w:cs="Arial"/>
                <w:color w:val="000000"/>
                <w:sz w:val="16"/>
                <w:szCs w:val="16"/>
              </w:rPr>
              <w:t>HO331</w:t>
            </w:r>
          </w:p>
        </w:tc>
        <w:tc>
          <w:tcPr>
            <w:tcW w:w="992" w:type="dxa"/>
            <w:tcBorders>
              <w:top w:val="nil"/>
              <w:left w:val="nil"/>
              <w:bottom w:val="single" w:sz="4" w:space="0" w:color="auto"/>
              <w:right w:val="single" w:sz="4" w:space="0" w:color="auto"/>
            </w:tcBorders>
            <w:shd w:val="clear" w:color="auto" w:fill="auto"/>
            <w:hideMark/>
          </w:tcPr>
          <w:p w:rsidR="00CC75F2" w:rsidRPr="00CC75F2" w:rsidRDefault="00CC75F2" w:rsidP="00CC75F2">
            <w:pPr>
              <w:jc w:val="center"/>
              <w:rPr>
                <w:rFonts w:cs="Arial"/>
                <w:color w:val="000000"/>
                <w:sz w:val="16"/>
                <w:szCs w:val="16"/>
              </w:rPr>
            </w:pPr>
            <w:r w:rsidRPr="00CC75F2">
              <w:rPr>
                <w:rFonts w:cs="Arial"/>
                <w:color w:val="000000"/>
                <w:sz w:val="16"/>
                <w:szCs w:val="16"/>
              </w:rPr>
              <w:t>N/A</w:t>
            </w:r>
          </w:p>
        </w:tc>
        <w:tc>
          <w:tcPr>
            <w:tcW w:w="1134" w:type="dxa"/>
            <w:tcBorders>
              <w:top w:val="nil"/>
              <w:left w:val="nil"/>
              <w:bottom w:val="single" w:sz="4" w:space="0" w:color="auto"/>
              <w:right w:val="single" w:sz="4" w:space="0" w:color="auto"/>
            </w:tcBorders>
            <w:shd w:val="clear" w:color="auto" w:fill="auto"/>
            <w:hideMark/>
          </w:tcPr>
          <w:p w:rsidR="00CC75F2" w:rsidRPr="00CC75F2" w:rsidRDefault="00CC75F2" w:rsidP="00373B8F">
            <w:pPr>
              <w:jc w:val="center"/>
              <w:rPr>
                <w:rFonts w:cs="Arial"/>
                <w:color w:val="000000"/>
                <w:sz w:val="16"/>
                <w:szCs w:val="16"/>
              </w:rPr>
            </w:pPr>
            <w:r w:rsidRPr="00CC75F2">
              <w:rPr>
                <w:rFonts w:cs="Arial"/>
                <w:color w:val="000000"/>
                <w:sz w:val="16"/>
                <w:szCs w:val="16"/>
              </w:rPr>
              <w:t>Precinct</w:t>
            </w:r>
          </w:p>
        </w:tc>
        <w:tc>
          <w:tcPr>
            <w:tcW w:w="1276" w:type="dxa"/>
            <w:tcBorders>
              <w:top w:val="nil"/>
              <w:left w:val="nil"/>
              <w:bottom w:val="single" w:sz="4" w:space="0" w:color="auto"/>
              <w:right w:val="single" w:sz="4" w:space="0" w:color="auto"/>
            </w:tcBorders>
            <w:shd w:val="clear" w:color="auto" w:fill="auto"/>
            <w:hideMark/>
          </w:tcPr>
          <w:p w:rsidR="00CC75F2" w:rsidRPr="00CC75F2" w:rsidRDefault="00CC75F2" w:rsidP="00CC75F2">
            <w:pPr>
              <w:jc w:val="center"/>
              <w:rPr>
                <w:rFonts w:cs="Arial"/>
                <w:color w:val="000000"/>
                <w:sz w:val="16"/>
                <w:szCs w:val="16"/>
              </w:rPr>
            </w:pPr>
            <w:r w:rsidRPr="00CC75F2">
              <w:rPr>
                <w:rFonts w:cs="Arial"/>
                <w:color w:val="000000"/>
                <w:sz w:val="16"/>
                <w:szCs w:val="16"/>
              </w:rPr>
              <w:t>Not contributory (see note)</w:t>
            </w:r>
          </w:p>
        </w:tc>
        <w:tc>
          <w:tcPr>
            <w:tcW w:w="2835" w:type="dxa"/>
            <w:tcBorders>
              <w:top w:val="nil"/>
              <w:left w:val="nil"/>
              <w:bottom w:val="single" w:sz="4" w:space="0" w:color="auto"/>
              <w:right w:val="single" w:sz="4" w:space="0" w:color="auto"/>
            </w:tcBorders>
            <w:shd w:val="clear" w:color="auto" w:fill="auto"/>
            <w:hideMark/>
          </w:tcPr>
          <w:p w:rsidR="00CC75F2" w:rsidRPr="00CC75F2" w:rsidRDefault="00CC75F2" w:rsidP="00CC75F2">
            <w:pPr>
              <w:jc w:val="left"/>
              <w:rPr>
                <w:rFonts w:cs="Arial"/>
                <w:color w:val="000000"/>
                <w:sz w:val="16"/>
                <w:szCs w:val="16"/>
              </w:rPr>
            </w:pPr>
            <w:r w:rsidRPr="00CC75F2">
              <w:rPr>
                <w:rFonts w:cs="Arial"/>
                <w:color w:val="000000"/>
                <w:sz w:val="16"/>
                <w:szCs w:val="16"/>
              </w:rPr>
              <w:t>External  controls apply to the building and land (demolition could be considered), no internal controls, no tree controls and no external paint controls apply</w:t>
            </w:r>
          </w:p>
        </w:tc>
        <w:tc>
          <w:tcPr>
            <w:tcW w:w="2693" w:type="dxa"/>
            <w:tcBorders>
              <w:top w:val="nil"/>
              <w:left w:val="nil"/>
              <w:bottom w:val="single" w:sz="4" w:space="0" w:color="auto"/>
              <w:right w:val="single" w:sz="4" w:space="0" w:color="auto"/>
            </w:tcBorders>
            <w:shd w:val="clear" w:color="auto" w:fill="auto"/>
            <w:hideMark/>
          </w:tcPr>
          <w:p w:rsidR="00CC75F2" w:rsidRPr="00CC75F2" w:rsidRDefault="00CC75F2" w:rsidP="00CC75F2">
            <w:pPr>
              <w:jc w:val="left"/>
              <w:rPr>
                <w:rFonts w:cs="Arial"/>
                <w:color w:val="000000"/>
                <w:sz w:val="16"/>
                <w:szCs w:val="16"/>
              </w:rPr>
            </w:pPr>
            <w:r w:rsidRPr="00CC75F2">
              <w:rPr>
                <w:rFonts w:cs="Arial"/>
                <w:color w:val="000000"/>
                <w:sz w:val="16"/>
                <w:szCs w:val="16"/>
              </w:rPr>
              <w:t>Note: the property grading corresponds to the alternate street address (50 Westbank Terrace, Richmond)</w:t>
            </w:r>
          </w:p>
        </w:tc>
      </w:tr>
      <w:tr w:rsidR="008B0CE7" w:rsidRPr="00CC75F2" w:rsidTr="00EA18F9">
        <w:trPr>
          <w:cantSplit/>
          <w:trHeight w:val="720"/>
        </w:trPr>
        <w:tc>
          <w:tcPr>
            <w:tcW w:w="1433" w:type="dxa"/>
            <w:tcBorders>
              <w:top w:val="nil"/>
              <w:left w:val="single" w:sz="4" w:space="0" w:color="auto"/>
              <w:bottom w:val="single" w:sz="4" w:space="0" w:color="auto"/>
              <w:right w:val="single" w:sz="4" w:space="0" w:color="auto"/>
            </w:tcBorders>
            <w:shd w:val="clear" w:color="auto" w:fill="auto"/>
            <w:hideMark/>
          </w:tcPr>
          <w:p w:rsidR="00CC75F2" w:rsidRPr="00CC75F2" w:rsidRDefault="00CC75F2" w:rsidP="00CC75F2">
            <w:pPr>
              <w:jc w:val="left"/>
              <w:rPr>
                <w:rFonts w:cs="Arial"/>
                <w:color w:val="000000"/>
                <w:sz w:val="16"/>
                <w:szCs w:val="16"/>
              </w:rPr>
            </w:pPr>
            <w:r w:rsidRPr="00CC75F2">
              <w:rPr>
                <w:rFonts w:cs="Arial"/>
                <w:color w:val="000000"/>
                <w:sz w:val="16"/>
                <w:szCs w:val="16"/>
              </w:rPr>
              <w:t>Vere Street</w:t>
            </w:r>
          </w:p>
        </w:tc>
        <w:tc>
          <w:tcPr>
            <w:tcW w:w="1134" w:type="dxa"/>
            <w:tcBorders>
              <w:top w:val="nil"/>
              <w:left w:val="nil"/>
              <w:bottom w:val="single" w:sz="4" w:space="0" w:color="auto"/>
              <w:right w:val="single" w:sz="4" w:space="0" w:color="auto"/>
            </w:tcBorders>
            <w:shd w:val="clear" w:color="auto" w:fill="auto"/>
            <w:hideMark/>
          </w:tcPr>
          <w:p w:rsidR="00CC75F2" w:rsidRPr="00CC75F2" w:rsidRDefault="008B0CE7" w:rsidP="00CC75F2">
            <w:pPr>
              <w:jc w:val="center"/>
              <w:rPr>
                <w:rFonts w:cs="Arial"/>
                <w:color w:val="000000"/>
                <w:sz w:val="16"/>
                <w:szCs w:val="16"/>
              </w:rPr>
            </w:pPr>
            <w:r w:rsidRPr="00CC75F2">
              <w:rPr>
                <w:rFonts w:cs="Arial"/>
                <w:color w:val="000000"/>
                <w:sz w:val="16"/>
                <w:szCs w:val="16"/>
              </w:rPr>
              <w:t>A</w:t>
            </w:r>
            <w:r>
              <w:rPr>
                <w:rFonts w:cs="Arial"/>
                <w:color w:val="000000"/>
                <w:sz w:val="16"/>
                <w:szCs w:val="16"/>
              </w:rPr>
              <w:t>bbotsford</w:t>
            </w:r>
          </w:p>
        </w:tc>
        <w:tc>
          <w:tcPr>
            <w:tcW w:w="1417" w:type="dxa"/>
            <w:tcBorders>
              <w:top w:val="nil"/>
              <w:left w:val="nil"/>
              <w:bottom w:val="single" w:sz="4" w:space="0" w:color="auto"/>
              <w:right w:val="single" w:sz="4" w:space="0" w:color="auto"/>
            </w:tcBorders>
            <w:shd w:val="clear" w:color="auto" w:fill="auto"/>
            <w:hideMark/>
          </w:tcPr>
          <w:p w:rsidR="00CC75F2" w:rsidRPr="00CC75F2" w:rsidRDefault="00CC75F2" w:rsidP="008B0CE7">
            <w:pPr>
              <w:jc w:val="center"/>
              <w:rPr>
                <w:rFonts w:cs="Arial"/>
                <w:color w:val="000000"/>
                <w:sz w:val="16"/>
                <w:szCs w:val="16"/>
              </w:rPr>
            </w:pPr>
            <w:r w:rsidRPr="00CC75F2">
              <w:rPr>
                <w:rFonts w:cs="Arial"/>
                <w:color w:val="000000"/>
                <w:sz w:val="16"/>
                <w:szCs w:val="16"/>
              </w:rPr>
              <w:t>G</w:t>
            </w:r>
            <w:r w:rsidR="008B0CE7">
              <w:rPr>
                <w:rFonts w:cs="Arial"/>
                <w:color w:val="000000"/>
                <w:sz w:val="16"/>
                <w:szCs w:val="16"/>
              </w:rPr>
              <w:t>ahan Reserve</w:t>
            </w:r>
          </w:p>
        </w:tc>
        <w:tc>
          <w:tcPr>
            <w:tcW w:w="1276" w:type="dxa"/>
            <w:tcBorders>
              <w:top w:val="nil"/>
              <w:left w:val="nil"/>
              <w:bottom w:val="single" w:sz="4" w:space="0" w:color="auto"/>
              <w:right w:val="single" w:sz="4" w:space="0" w:color="auto"/>
            </w:tcBorders>
            <w:shd w:val="clear" w:color="auto" w:fill="auto"/>
            <w:hideMark/>
          </w:tcPr>
          <w:p w:rsidR="00CC75F2" w:rsidRPr="00CC75F2" w:rsidRDefault="00CC75F2" w:rsidP="00CC75F2">
            <w:pPr>
              <w:jc w:val="center"/>
              <w:rPr>
                <w:rFonts w:cs="Arial"/>
                <w:color w:val="000000"/>
                <w:sz w:val="16"/>
                <w:szCs w:val="16"/>
              </w:rPr>
            </w:pPr>
            <w:r w:rsidRPr="00CC75F2">
              <w:rPr>
                <w:rFonts w:cs="Arial"/>
                <w:color w:val="000000"/>
                <w:sz w:val="16"/>
                <w:szCs w:val="16"/>
              </w:rPr>
              <w:t>Charles Street Precinct</w:t>
            </w:r>
          </w:p>
        </w:tc>
        <w:tc>
          <w:tcPr>
            <w:tcW w:w="1134" w:type="dxa"/>
            <w:tcBorders>
              <w:top w:val="nil"/>
              <w:left w:val="nil"/>
              <w:bottom w:val="single" w:sz="4" w:space="0" w:color="auto"/>
              <w:right w:val="single" w:sz="4" w:space="0" w:color="auto"/>
            </w:tcBorders>
            <w:shd w:val="clear" w:color="auto" w:fill="auto"/>
            <w:hideMark/>
          </w:tcPr>
          <w:p w:rsidR="00CC75F2" w:rsidRPr="00CC75F2" w:rsidRDefault="00CC75F2" w:rsidP="00CC75F2">
            <w:pPr>
              <w:jc w:val="center"/>
              <w:rPr>
                <w:rFonts w:cs="Arial"/>
                <w:color w:val="000000"/>
                <w:sz w:val="16"/>
                <w:szCs w:val="16"/>
              </w:rPr>
            </w:pPr>
            <w:r w:rsidRPr="00CC75F2">
              <w:rPr>
                <w:rFonts w:cs="Arial"/>
                <w:color w:val="000000"/>
                <w:sz w:val="16"/>
                <w:szCs w:val="16"/>
              </w:rPr>
              <w:t>HO313</w:t>
            </w:r>
          </w:p>
        </w:tc>
        <w:tc>
          <w:tcPr>
            <w:tcW w:w="992" w:type="dxa"/>
            <w:tcBorders>
              <w:top w:val="nil"/>
              <w:left w:val="nil"/>
              <w:bottom w:val="single" w:sz="4" w:space="0" w:color="auto"/>
              <w:right w:val="single" w:sz="4" w:space="0" w:color="auto"/>
            </w:tcBorders>
            <w:shd w:val="clear" w:color="auto" w:fill="auto"/>
            <w:hideMark/>
          </w:tcPr>
          <w:p w:rsidR="00CC75F2" w:rsidRPr="00CC75F2" w:rsidRDefault="00CC75F2" w:rsidP="00CC75F2">
            <w:pPr>
              <w:jc w:val="center"/>
              <w:rPr>
                <w:rFonts w:cs="Arial"/>
                <w:color w:val="000000"/>
                <w:sz w:val="16"/>
                <w:szCs w:val="16"/>
              </w:rPr>
            </w:pPr>
            <w:r w:rsidRPr="00CC75F2">
              <w:rPr>
                <w:rFonts w:cs="Arial"/>
                <w:color w:val="000000"/>
                <w:sz w:val="16"/>
                <w:szCs w:val="16"/>
              </w:rPr>
              <w:t>N/A</w:t>
            </w:r>
          </w:p>
        </w:tc>
        <w:tc>
          <w:tcPr>
            <w:tcW w:w="1134" w:type="dxa"/>
            <w:tcBorders>
              <w:top w:val="nil"/>
              <w:left w:val="nil"/>
              <w:bottom w:val="single" w:sz="4" w:space="0" w:color="auto"/>
              <w:right w:val="single" w:sz="4" w:space="0" w:color="auto"/>
            </w:tcBorders>
            <w:shd w:val="clear" w:color="auto" w:fill="auto"/>
            <w:hideMark/>
          </w:tcPr>
          <w:p w:rsidR="00CC75F2" w:rsidRPr="00CC75F2" w:rsidRDefault="00CC75F2" w:rsidP="00373B8F">
            <w:pPr>
              <w:jc w:val="center"/>
              <w:rPr>
                <w:rFonts w:cs="Arial"/>
                <w:color w:val="000000"/>
                <w:sz w:val="16"/>
                <w:szCs w:val="16"/>
              </w:rPr>
            </w:pPr>
            <w:r w:rsidRPr="00CC75F2">
              <w:rPr>
                <w:rFonts w:cs="Arial"/>
                <w:color w:val="000000"/>
                <w:sz w:val="16"/>
                <w:szCs w:val="16"/>
              </w:rPr>
              <w:t>Precinct</w:t>
            </w:r>
          </w:p>
        </w:tc>
        <w:tc>
          <w:tcPr>
            <w:tcW w:w="1276" w:type="dxa"/>
            <w:tcBorders>
              <w:top w:val="nil"/>
              <w:left w:val="nil"/>
              <w:bottom w:val="single" w:sz="4" w:space="0" w:color="auto"/>
              <w:right w:val="single" w:sz="4" w:space="0" w:color="auto"/>
            </w:tcBorders>
            <w:shd w:val="clear" w:color="auto" w:fill="auto"/>
            <w:hideMark/>
          </w:tcPr>
          <w:p w:rsidR="00CC75F2" w:rsidRPr="00CC75F2" w:rsidRDefault="00CC75F2" w:rsidP="00CC75F2">
            <w:pPr>
              <w:jc w:val="center"/>
              <w:rPr>
                <w:rFonts w:cs="Arial"/>
                <w:color w:val="000000"/>
                <w:sz w:val="16"/>
                <w:szCs w:val="16"/>
              </w:rPr>
            </w:pPr>
            <w:r w:rsidRPr="00CC75F2">
              <w:rPr>
                <w:rFonts w:cs="Arial"/>
                <w:color w:val="000000"/>
                <w:sz w:val="16"/>
                <w:szCs w:val="16"/>
              </w:rPr>
              <w:t>Individually significant (see note)</w:t>
            </w:r>
          </w:p>
        </w:tc>
        <w:tc>
          <w:tcPr>
            <w:tcW w:w="2835" w:type="dxa"/>
            <w:tcBorders>
              <w:top w:val="nil"/>
              <w:left w:val="nil"/>
              <w:bottom w:val="single" w:sz="4" w:space="0" w:color="auto"/>
              <w:right w:val="single" w:sz="4" w:space="0" w:color="auto"/>
            </w:tcBorders>
            <w:shd w:val="clear" w:color="auto" w:fill="auto"/>
            <w:hideMark/>
          </w:tcPr>
          <w:p w:rsidR="00CC75F2" w:rsidRPr="00CC75F2" w:rsidRDefault="00CC75F2" w:rsidP="00CC75F2">
            <w:pPr>
              <w:jc w:val="left"/>
              <w:rPr>
                <w:rFonts w:cs="Arial"/>
                <w:color w:val="000000"/>
                <w:sz w:val="16"/>
                <w:szCs w:val="16"/>
              </w:rPr>
            </w:pPr>
            <w:r w:rsidRPr="00CC75F2">
              <w:rPr>
                <w:rFonts w:cs="Arial"/>
                <w:color w:val="000000"/>
                <w:sz w:val="16"/>
                <w:szCs w:val="16"/>
              </w:rPr>
              <w:t>External controls apply to the building and land, no internal controls, no tree controls and no external paint controls apply</w:t>
            </w:r>
          </w:p>
        </w:tc>
        <w:tc>
          <w:tcPr>
            <w:tcW w:w="2693" w:type="dxa"/>
            <w:tcBorders>
              <w:top w:val="nil"/>
              <w:left w:val="nil"/>
              <w:bottom w:val="single" w:sz="4" w:space="0" w:color="auto"/>
              <w:right w:val="single" w:sz="4" w:space="0" w:color="auto"/>
            </w:tcBorders>
            <w:shd w:val="clear" w:color="auto" w:fill="auto"/>
            <w:hideMark/>
          </w:tcPr>
          <w:p w:rsidR="00CC75F2" w:rsidRPr="00CC75F2" w:rsidRDefault="00CC75F2" w:rsidP="00CC75F2">
            <w:pPr>
              <w:jc w:val="left"/>
              <w:rPr>
                <w:rFonts w:cs="Arial"/>
                <w:color w:val="000000"/>
                <w:sz w:val="16"/>
                <w:szCs w:val="16"/>
              </w:rPr>
            </w:pPr>
            <w:r w:rsidRPr="00CC75F2">
              <w:rPr>
                <w:rFonts w:cs="Arial"/>
                <w:color w:val="000000"/>
                <w:sz w:val="16"/>
                <w:szCs w:val="16"/>
              </w:rPr>
              <w:t xml:space="preserve">Note: graded as 'Gahan Reserve and trees' at the alternate street address (111 Park Street, Abbotsford ) </w:t>
            </w:r>
          </w:p>
        </w:tc>
      </w:tr>
      <w:tr w:rsidR="008B0CE7" w:rsidRPr="00CC75F2" w:rsidTr="00EA18F9">
        <w:trPr>
          <w:cantSplit/>
          <w:trHeight w:val="720"/>
        </w:trPr>
        <w:tc>
          <w:tcPr>
            <w:tcW w:w="1433" w:type="dxa"/>
            <w:tcBorders>
              <w:top w:val="nil"/>
              <w:left w:val="single" w:sz="4" w:space="0" w:color="auto"/>
              <w:bottom w:val="single" w:sz="4" w:space="0" w:color="auto"/>
              <w:right w:val="single" w:sz="4" w:space="0" w:color="auto"/>
            </w:tcBorders>
            <w:shd w:val="clear" w:color="auto" w:fill="auto"/>
            <w:hideMark/>
          </w:tcPr>
          <w:p w:rsidR="00CC75F2" w:rsidRPr="00CC75F2" w:rsidRDefault="00CC75F2" w:rsidP="00CC75F2">
            <w:pPr>
              <w:jc w:val="left"/>
              <w:rPr>
                <w:rFonts w:cs="Arial"/>
                <w:color w:val="000000"/>
                <w:sz w:val="16"/>
                <w:szCs w:val="16"/>
              </w:rPr>
            </w:pPr>
            <w:r w:rsidRPr="00CC75F2">
              <w:rPr>
                <w:rFonts w:cs="Arial"/>
                <w:color w:val="000000"/>
                <w:sz w:val="16"/>
                <w:szCs w:val="16"/>
              </w:rPr>
              <w:t>Vere Street 117</w:t>
            </w:r>
          </w:p>
        </w:tc>
        <w:tc>
          <w:tcPr>
            <w:tcW w:w="1134" w:type="dxa"/>
            <w:tcBorders>
              <w:top w:val="nil"/>
              <w:left w:val="nil"/>
              <w:bottom w:val="single" w:sz="4" w:space="0" w:color="auto"/>
              <w:right w:val="single" w:sz="4" w:space="0" w:color="auto"/>
            </w:tcBorders>
            <w:shd w:val="clear" w:color="auto" w:fill="auto"/>
            <w:hideMark/>
          </w:tcPr>
          <w:p w:rsidR="00CC75F2" w:rsidRPr="00CC75F2" w:rsidRDefault="008B0CE7" w:rsidP="00CC75F2">
            <w:pPr>
              <w:jc w:val="center"/>
              <w:rPr>
                <w:rFonts w:cs="Arial"/>
                <w:color w:val="000000"/>
                <w:sz w:val="16"/>
                <w:szCs w:val="16"/>
              </w:rPr>
            </w:pPr>
            <w:r w:rsidRPr="00CC75F2">
              <w:rPr>
                <w:rFonts w:cs="Arial"/>
                <w:color w:val="000000"/>
                <w:sz w:val="16"/>
                <w:szCs w:val="16"/>
              </w:rPr>
              <w:t>A</w:t>
            </w:r>
            <w:r>
              <w:rPr>
                <w:rFonts w:cs="Arial"/>
                <w:color w:val="000000"/>
                <w:sz w:val="16"/>
                <w:szCs w:val="16"/>
              </w:rPr>
              <w:t>bbotsford</w:t>
            </w:r>
          </w:p>
        </w:tc>
        <w:tc>
          <w:tcPr>
            <w:tcW w:w="1417" w:type="dxa"/>
            <w:tcBorders>
              <w:top w:val="nil"/>
              <w:left w:val="nil"/>
              <w:bottom w:val="single" w:sz="4" w:space="0" w:color="auto"/>
              <w:right w:val="single" w:sz="4" w:space="0" w:color="auto"/>
            </w:tcBorders>
            <w:shd w:val="clear" w:color="auto" w:fill="auto"/>
            <w:hideMark/>
          </w:tcPr>
          <w:p w:rsidR="00CC75F2" w:rsidRPr="00CC75F2" w:rsidRDefault="005E5635" w:rsidP="00CC75F2">
            <w:pPr>
              <w:jc w:val="center"/>
              <w:rPr>
                <w:rFonts w:cs="Arial"/>
                <w:color w:val="000000"/>
                <w:sz w:val="16"/>
                <w:szCs w:val="16"/>
              </w:rPr>
            </w:pPr>
            <w:r>
              <w:rPr>
                <w:rFonts w:cs="Arial"/>
                <w:color w:val="000000"/>
                <w:sz w:val="16"/>
                <w:szCs w:val="16"/>
              </w:rPr>
              <w:t>Industrial Building</w:t>
            </w:r>
          </w:p>
        </w:tc>
        <w:tc>
          <w:tcPr>
            <w:tcW w:w="1276" w:type="dxa"/>
            <w:tcBorders>
              <w:top w:val="nil"/>
              <w:left w:val="nil"/>
              <w:bottom w:val="single" w:sz="4" w:space="0" w:color="auto"/>
              <w:right w:val="single" w:sz="4" w:space="0" w:color="auto"/>
            </w:tcBorders>
            <w:shd w:val="clear" w:color="auto" w:fill="auto"/>
            <w:hideMark/>
          </w:tcPr>
          <w:p w:rsidR="00CC75F2" w:rsidRPr="00CC75F2" w:rsidRDefault="00CC75F2" w:rsidP="00CC75F2">
            <w:pPr>
              <w:jc w:val="center"/>
              <w:rPr>
                <w:rFonts w:cs="Arial"/>
                <w:color w:val="000000"/>
                <w:sz w:val="16"/>
                <w:szCs w:val="16"/>
              </w:rPr>
            </w:pPr>
            <w:r w:rsidRPr="00CC75F2">
              <w:rPr>
                <w:rFonts w:cs="Arial"/>
                <w:color w:val="000000"/>
                <w:sz w:val="16"/>
                <w:szCs w:val="16"/>
              </w:rPr>
              <w:t>Charles Street Precinct</w:t>
            </w:r>
          </w:p>
        </w:tc>
        <w:tc>
          <w:tcPr>
            <w:tcW w:w="1134" w:type="dxa"/>
            <w:tcBorders>
              <w:top w:val="nil"/>
              <w:left w:val="nil"/>
              <w:bottom w:val="single" w:sz="4" w:space="0" w:color="auto"/>
              <w:right w:val="single" w:sz="4" w:space="0" w:color="auto"/>
            </w:tcBorders>
            <w:shd w:val="clear" w:color="auto" w:fill="auto"/>
            <w:hideMark/>
          </w:tcPr>
          <w:p w:rsidR="00CC75F2" w:rsidRPr="00CC75F2" w:rsidRDefault="00CC75F2" w:rsidP="00CC75F2">
            <w:pPr>
              <w:jc w:val="center"/>
              <w:rPr>
                <w:rFonts w:cs="Arial"/>
                <w:color w:val="000000"/>
                <w:sz w:val="16"/>
                <w:szCs w:val="16"/>
              </w:rPr>
            </w:pPr>
            <w:r w:rsidRPr="00CC75F2">
              <w:rPr>
                <w:rFonts w:cs="Arial"/>
                <w:color w:val="000000"/>
                <w:sz w:val="16"/>
                <w:szCs w:val="16"/>
              </w:rPr>
              <w:t>HO313</w:t>
            </w:r>
          </w:p>
        </w:tc>
        <w:tc>
          <w:tcPr>
            <w:tcW w:w="992" w:type="dxa"/>
            <w:tcBorders>
              <w:top w:val="nil"/>
              <w:left w:val="nil"/>
              <w:bottom w:val="single" w:sz="4" w:space="0" w:color="auto"/>
              <w:right w:val="single" w:sz="4" w:space="0" w:color="auto"/>
            </w:tcBorders>
            <w:shd w:val="clear" w:color="auto" w:fill="auto"/>
            <w:hideMark/>
          </w:tcPr>
          <w:p w:rsidR="00CC75F2" w:rsidRPr="00CC75F2" w:rsidRDefault="00CC75F2" w:rsidP="00CC75F2">
            <w:pPr>
              <w:jc w:val="center"/>
              <w:rPr>
                <w:rFonts w:cs="Arial"/>
                <w:color w:val="000000"/>
                <w:sz w:val="16"/>
                <w:szCs w:val="16"/>
              </w:rPr>
            </w:pPr>
            <w:r w:rsidRPr="00CC75F2">
              <w:rPr>
                <w:rFonts w:cs="Arial"/>
                <w:color w:val="000000"/>
                <w:sz w:val="16"/>
                <w:szCs w:val="16"/>
              </w:rPr>
              <w:t>N/A</w:t>
            </w:r>
          </w:p>
        </w:tc>
        <w:tc>
          <w:tcPr>
            <w:tcW w:w="1134" w:type="dxa"/>
            <w:tcBorders>
              <w:top w:val="nil"/>
              <w:left w:val="nil"/>
              <w:bottom w:val="single" w:sz="4" w:space="0" w:color="auto"/>
              <w:right w:val="single" w:sz="4" w:space="0" w:color="auto"/>
            </w:tcBorders>
            <w:shd w:val="clear" w:color="auto" w:fill="auto"/>
            <w:hideMark/>
          </w:tcPr>
          <w:p w:rsidR="00CC75F2" w:rsidRPr="00CC75F2" w:rsidRDefault="00CC75F2" w:rsidP="00373B8F">
            <w:pPr>
              <w:jc w:val="center"/>
              <w:rPr>
                <w:rFonts w:cs="Arial"/>
                <w:color w:val="000000"/>
                <w:sz w:val="16"/>
                <w:szCs w:val="16"/>
              </w:rPr>
            </w:pPr>
            <w:r w:rsidRPr="00CC75F2">
              <w:rPr>
                <w:rFonts w:cs="Arial"/>
                <w:color w:val="000000"/>
                <w:sz w:val="16"/>
                <w:szCs w:val="16"/>
              </w:rPr>
              <w:t>Precinct</w:t>
            </w:r>
          </w:p>
        </w:tc>
        <w:tc>
          <w:tcPr>
            <w:tcW w:w="1276" w:type="dxa"/>
            <w:tcBorders>
              <w:top w:val="nil"/>
              <w:left w:val="nil"/>
              <w:bottom w:val="single" w:sz="4" w:space="0" w:color="auto"/>
              <w:right w:val="single" w:sz="4" w:space="0" w:color="auto"/>
            </w:tcBorders>
            <w:shd w:val="clear" w:color="auto" w:fill="auto"/>
            <w:hideMark/>
          </w:tcPr>
          <w:p w:rsidR="00CC75F2" w:rsidRPr="00CC75F2" w:rsidRDefault="00CC75F2" w:rsidP="00CC75F2">
            <w:pPr>
              <w:jc w:val="center"/>
              <w:rPr>
                <w:rFonts w:cs="Arial"/>
                <w:color w:val="000000"/>
                <w:sz w:val="16"/>
                <w:szCs w:val="16"/>
              </w:rPr>
            </w:pPr>
            <w:r w:rsidRPr="00CC75F2">
              <w:rPr>
                <w:rFonts w:cs="Arial"/>
                <w:color w:val="000000"/>
                <w:sz w:val="16"/>
                <w:szCs w:val="16"/>
              </w:rPr>
              <w:t>Not contributory</w:t>
            </w:r>
          </w:p>
        </w:tc>
        <w:tc>
          <w:tcPr>
            <w:tcW w:w="2835" w:type="dxa"/>
            <w:tcBorders>
              <w:top w:val="nil"/>
              <w:left w:val="nil"/>
              <w:bottom w:val="single" w:sz="4" w:space="0" w:color="auto"/>
              <w:right w:val="single" w:sz="4" w:space="0" w:color="auto"/>
            </w:tcBorders>
            <w:shd w:val="clear" w:color="auto" w:fill="auto"/>
            <w:hideMark/>
          </w:tcPr>
          <w:p w:rsidR="00CC75F2" w:rsidRPr="00CC75F2" w:rsidRDefault="00CC75F2" w:rsidP="00CC75F2">
            <w:pPr>
              <w:jc w:val="left"/>
              <w:rPr>
                <w:rFonts w:cs="Arial"/>
                <w:color w:val="000000"/>
                <w:sz w:val="16"/>
                <w:szCs w:val="16"/>
              </w:rPr>
            </w:pPr>
            <w:r w:rsidRPr="00CC75F2">
              <w:rPr>
                <w:rFonts w:cs="Arial"/>
                <w:color w:val="000000"/>
                <w:sz w:val="16"/>
                <w:szCs w:val="16"/>
              </w:rPr>
              <w:t>External controls apply to the building and site,  no internal controls, no tree controls and no external paint controls apply</w:t>
            </w:r>
          </w:p>
        </w:tc>
        <w:tc>
          <w:tcPr>
            <w:tcW w:w="2693" w:type="dxa"/>
            <w:tcBorders>
              <w:top w:val="nil"/>
              <w:left w:val="nil"/>
              <w:bottom w:val="single" w:sz="4" w:space="0" w:color="auto"/>
              <w:right w:val="single" w:sz="4" w:space="0" w:color="auto"/>
            </w:tcBorders>
            <w:shd w:val="clear" w:color="auto" w:fill="auto"/>
            <w:hideMark/>
          </w:tcPr>
          <w:p w:rsidR="00CC75F2" w:rsidRPr="00CC75F2" w:rsidRDefault="00CC75F2" w:rsidP="00CC75F2">
            <w:pPr>
              <w:jc w:val="left"/>
              <w:rPr>
                <w:rFonts w:cs="Arial"/>
                <w:color w:val="000000"/>
                <w:sz w:val="16"/>
                <w:szCs w:val="16"/>
              </w:rPr>
            </w:pPr>
            <w:r w:rsidRPr="00CC75F2">
              <w:rPr>
                <w:rFonts w:cs="Arial"/>
                <w:color w:val="000000"/>
                <w:sz w:val="16"/>
                <w:szCs w:val="16"/>
              </w:rPr>
              <w:t> </w:t>
            </w:r>
          </w:p>
        </w:tc>
      </w:tr>
      <w:tr w:rsidR="005E5635" w:rsidRPr="00CC75F2" w:rsidTr="00EA18F9">
        <w:trPr>
          <w:cantSplit/>
          <w:trHeight w:val="720"/>
        </w:trPr>
        <w:tc>
          <w:tcPr>
            <w:tcW w:w="1433" w:type="dxa"/>
            <w:tcBorders>
              <w:top w:val="nil"/>
              <w:left w:val="single" w:sz="4" w:space="0" w:color="auto"/>
              <w:bottom w:val="single" w:sz="4" w:space="0" w:color="auto"/>
              <w:right w:val="single" w:sz="4" w:space="0" w:color="auto"/>
            </w:tcBorders>
            <w:shd w:val="clear" w:color="auto" w:fill="auto"/>
            <w:hideMark/>
          </w:tcPr>
          <w:p w:rsidR="005E5635" w:rsidRPr="00CC75F2" w:rsidRDefault="005E5635" w:rsidP="00CC75F2">
            <w:pPr>
              <w:jc w:val="left"/>
              <w:rPr>
                <w:rFonts w:cs="Arial"/>
                <w:color w:val="000000"/>
                <w:sz w:val="16"/>
                <w:szCs w:val="16"/>
              </w:rPr>
            </w:pPr>
            <w:r w:rsidRPr="00CC75F2">
              <w:rPr>
                <w:rFonts w:cs="Arial"/>
                <w:color w:val="000000"/>
                <w:sz w:val="16"/>
                <w:szCs w:val="16"/>
              </w:rPr>
              <w:t>Vere Street 119-123</w:t>
            </w:r>
          </w:p>
        </w:tc>
        <w:tc>
          <w:tcPr>
            <w:tcW w:w="1134" w:type="dxa"/>
            <w:tcBorders>
              <w:top w:val="nil"/>
              <w:left w:val="nil"/>
              <w:bottom w:val="single" w:sz="4" w:space="0" w:color="auto"/>
              <w:right w:val="single" w:sz="4" w:space="0" w:color="auto"/>
            </w:tcBorders>
            <w:shd w:val="clear" w:color="auto" w:fill="auto"/>
            <w:hideMark/>
          </w:tcPr>
          <w:p w:rsidR="005E5635" w:rsidRPr="00CC75F2" w:rsidRDefault="005E5635" w:rsidP="00CC75F2">
            <w:pPr>
              <w:jc w:val="center"/>
              <w:rPr>
                <w:rFonts w:cs="Arial"/>
                <w:color w:val="000000"/>
                <w:sz w:val="16"/>
                <w:szCs w:val="16"/>
              </w:rPr>
            </w:pPr>
            <w:r w:rsidRPr="00CC75F2">
              <w:rPr>
                <w:rFonts w:cs="Arial"/>
                <w:color w:val="000000"/>
                <w:sz w:val="16"/>
                <w:szCs w:val="16"/>
              </w:rPr>
              <w:t>A</w:t>
            </w:r>
            <w:r>
              <w:rPr>
                <w:rFonts w:cs="Arial"/>
                <w:color w:val="000000"/>
                <w:sz w:val="16"/>
                <w:szCs w:val="16"/>
              </w:rPr>
              <w:t>bbotsford</w:t>
            </w:r>
          </w:p>
        </w:tc>
        <w:tc>
          <w:tcPr>
            <w:tcW w:w="1417" w:type="dxa"/>
            <w:tcBorders>
              <w:top w:val="nil"/>
              <w:left w:val="nil"/>
              <w:bottom w:val="single" w:sz="4" w:space="0" w:color="auto"/>
              <w:right w:val="single" w:sz="4" w:space="0" w:color="auto"/>
            </w:tcBorders>
            <w:shd w:val="clear" w:color="auto" w:fill="auto"/>
            <w:hideMark/>
          </w:tcPr>
          <w:p w:rsidR="005E5635" w:rsidRPr="00CC75F2" w:rsidRDefault="005E5635" w:rsidP="00986E3D">
            <w:pPr>
              <w:jc w:val="center"/>
              <w:rPr>
                <w:rFonts w:cs="Arial"/>
                <w:color w:val="000000"/>
                <w:sz w:val="16"/>
                <w:szCs w:val="16"/>
              </w:rPr>
            </w:pPr>
            <w:r>
              <w:rPr>
                <w:rFonts w:cs="Arial"/>
                <w:color w:val="000000"/>
                <w:sz w:val="16"/>
                <w:szCs w:val="16"/>
              </w:rPr>
              <w:t>Industrial Building</w:t>
            </w:r>
          </w:p>
        </w:tc>
        <w:tc>
          <w:tcPr>
            <w:tcW w:w="1276" w:type="dxa"/>
            <w:tcBorders>
              <w:top w:val="nil"/>
              <w:left w:val="nil"/>
              <w:bottom w:val="single" w:sz="4" w:space="0" w:color="auto"/>
              <w:right w:val="single" w:sz="4" w:space="0" w:color="auto"/>
            </w:tcBorders>
            <w:shd w:val="clear" w:color="auto" w:fill="auto"/>
            <w:hideMark/>
          </w:tcPr>
          <w:p w:rsidR="005E5635" w:rsidRPr="00CC75F2" w:rsidRDefault="005E5635" w:rsidP="00CC75F2">
            <w:pPr>
              <w:jc w:val="center"/>
              <w:rPr>
                <w:rFonts w:cs="Arial"/>
                <w:color w:val="000000"/>
                <w:sz w:val="16"/>
                <w:szCs w:val="16"/>
              </w:rPr>
            </w:pPr>
            <w:r w:rsidRPr="00CC75F2">
              <w:rPr>
                <w:rFonts w:cs="Arial"/>
                <w:color w:val="000000"/>
                <w:sz w:val="16"/>
                <w:szCs w:val="16"/>
              </w:rPr>
              <w:t>Charles Street Precinct</w:t>
            </w:r>
          </w:p>
        </w:tc>
        <w:tc>
          <w:tcPr>
            <w:tcW w:w="1134" w:type="dxa"/>
            <w:tcBorders>
              <w:top w:val="nil"/>
              <w:left w:val="nil"/>
              <w:bottom w:val="single" w:sz="4" w:space="0" w:color="auto"/>
              <w:right w:val="single" w:sz="4" w:space="0" w:color="auto"/>
            </w:tcBorders>
            <w:shd w:val="clear" w:color="auto" w:fill="auto"/>
            <w:hideMark/>
          </w:tcPr>
          <w:p w:rsidR="005E5635" w:rsidRPr="00CC75F2" w:rsidRDefault="005E5635" w:rsidP="00CC75F2">
            <w:pPr>
              <w:jc w:val="center"/>
              <w:rPr>
                <w:rFonts w:cs="Arial"/>
                <w:color w:val="000000"/>
                <w:sz w:val="16"/>
                <w:szCs w:val="16"/>
              </w:rPr>
            </w:pPr>
            <w:r w:rsidRPr="00CC75F2">
              <w:rPr>
                <w:rFonts w:cs="Arial"/>
                <w:color w:val="000000"/>
                <w:sz w:val="16"/>
                <w:szCs w:val="16"/>
              </w:rPr>
              <w:t>HO313</w:t>
            </w:r>
          </w:p>
        </w:tc>
        <w:tc>
          <w:tcPr>
            <w:tcW w:w="992" w:type="dxa"/>
            <w:tcBorders>
              <w:top w:val="nil"/>
              <w:left w:val="nil"/>
              <w:bottom w:val="single" w:sz="4" w:space="0" w:color="auto"/>
              <w:right w:val="single" w:sz="4" w:space="0" w:color="auto"/>
            </w:tcBorders>
            <w:shd w:val="clear" w:color="auto" w:fill="auto"/>
            <w:hideMark/>
          </w:tcPr>
          <w:p w:rsidR="005E5635" w:rsidRPr="00CC75F2" w:rsidRDefault="005E5635" w:rsidP="00CC75F2">
            <w:pPr>
              <w:jc w:val="center"/>
              <w:rPr>
                <w:rFonts w:cs="Arial"/>
                <w:color w:val="000000"/>
                <w:sz w:val="16"/>
                <w:szCs w:val="16"/>
              </w:rPr>
            </w:pPr>
            <w:r w:rsidRPr="00CC75F2">
              <w:rPr>
                <w:rFonts w:cs="Arial"/>
                <w:color w:val="000000"/>
                <w:sz w:val="16"/>
                <w:szCs w:val="16"/>
              </w:rPr>
              <w:t>N/A</w:t>
            </w:r>
          </w:p>
        </w:tc>
        <w:tc>
          <w:tcPr>
            <w:tcW w:w="1134" w:type="dxa"/>
            <w:tcBorders>
              <w:top w:val="nil"/>
              <w:left w:val="nil"/>
              <w:bottom w:val="single" w:sz="4" w:space="0" w:color="auto"/>
              <w:right w:val="single" w:sz="4" w:space="0" w:color="auto"/>
            </w:tcBorders>
            <w:shd w:val="clear" w:color="auto" w:fill="auto"/>
            <w:hideMark/>
          </w:tcPr>
          <w:p w:rsidR="005E5635" w:rsidRPr="00CC75F2" w:rsidRDefault="005E5635" w:rsidP="00373B8F">
            <w:pPr>
              <w:jc w:val="center"/>
              <w:rPr>
                <w:rFonts w:cs="Arial"/>
                <w:color w:val="000000"/>
                <w:sz w:val="16"/>
                <w:szCs w:val="16"/>
              </w:rPr>
            </w:pPr>
            <w:r w:rsidRPr="00CC75F2">
              <w:rPr>
                <w:rFonts w:cs="Arial"/>
                <w:color w:val="000000"/>
                <w:sz w:val="16"/>
                <w:szCs w:val="16"/>
              </w:rPr>
              <w:t>Precinct</w:t>
            </w:r>
          </w:p>
        </w:tc>
        <w:tc>
          <w:tcPr>
            <w:tcW w:w="1276" w:type="dxa"/>
            <w:tcBorders>
              <w:top w:val="nil"/>
              <w:left w:val="nil"/>
              <w:bottom w:val="single" w:sz="4" w:space="0" w:color="auto"/>
              <w:right w:val="single" w:sz="4" w:space="0" w:color="auto"/>
            </w:tcBorders>
            <w:shd w:val="clear" w:color="auto" w:fill="auto"/>
            <w:hideMark/>
          </w:tcPr>
          <w:p w:rsidR="005E5635" w:rsidRPr="00CC75F2" w:rsidRDefault="005E5635" w:rsidP="00CC75F2">
            <w:pPr>
              <w:jc w:val="center"/>
              <w:rPr>
                <w:rFonts w:cs="Arial"/>
                <w:color w:val="000000"/>
                <w:sz w:val="16"/>
                <w:szCs w:val="16"/>
              </w:rPr>
            </w:pPr>
            <w:r w:rsidRPr="00CC75F2">
              <w:rPr>
                <w:rFonts w:cs="Arial"/>
                <w:color w:val="000000"/>
                <w:sz w:val="16"/>
                <w:szCs w:val="16"/>
              </w:rPr>
              <w:t>Not contributory</w:t>
            </w:r>
          </w:p>
        </w:tc>
        <w:tc>
          <w:tcPr>
            <w:tcW w:w="2835" w:type="dxa"/>
            <w:tcBorders>
              <w:top w:val="nil"/>
              <w:left w:val="nil"/>
              <w:bottom w:val="single" w:sz="4" w:space="0" w:color="auto"/>
              <w:right w:val="single" w:sz="4" w:space="0" w:color="auto"/>
            </w:tcBorders>
            <w:shd w:val="clear" w:color="auto" w:fill="auto"/>
            <w:hideMark/>
          </w:tcPr>
          <w:p w:rsidR="005E5635" w:rsidRPr="00CC75F2" w:rsidRDefault="005E5635" w:rsidP="00CC75F2">
            <w:pPr>
              <w:jc w:val="left"/>
              <w:rPr>
                <w:rFonts w:cs="Arial"/>
                <w:color w:val="000000"/>
                <w:sz w:val="16"/>
                <w:szCs w:val="16"/>
              </w:rPr>
            </w:pPr>
            <w:r w:rsidRPr="00CC75F2">
              <w:rPr>
                <w:rFonts w:cs="Arial"/>
                <w:color w:val="000000"/>
                <w:sz w:val="16"/>
                <w:szCs w:val="16"/>
              </w:rPr>
              <w:t>External controls apply to the building and site, no internal control, no tree controls and no external paint controls apply</w:t>
            </w:r>
          </w:p>
        </w:tc>
        <w:tc>
          <w:tcPr>
            <w:tcW w:w="2693" w:type="dxa"/>
            <w:tcBorders>
              <w:top w:val="nil"/>
              <w:left w:val="nil"/>
              <w:bottom w:val="single" w:sz="4" w:space="0" w:color="auto"/>
              <w:right w:val="single" w:sz="4" w:space="0" w:color="auto"/>
            </w:tcBorders>
            <w:shd w:val="clear" w:color="auto" w:fill="auto"/>
            <w:hideMark/>
          </w:tcPr>
          <w:p w:rsidR="005E5635" w:rsidRPr="00CC75F2" w:rsidRDefault="005E5635" w:rsidP="00CC75F2">
            <w:pPr>
              <w:jc w:val="left"/>
              <w:rPr>
                <w:rFonts w:cs="Arial"/>
                <w:color w:val="000000"/>
                <w:sz w:val="16"/>
                <w:szCs w:val="16"/>
              </w:rPr>
            </w:pPr>
            <w:r w:rsidRPr="00CC75F2">
              <w:rPr>
                <w:rFonts w:cs="Arial"/>
                <w:color w:val="000000"/>
                <w:sz w:val="16"/>
                <w:szCs w:val="16"/>
              </w:rPr>
              <w:t> </w:t>
            </w:r>
          </w:p>
        </w:tc>
      </w:tr>
      <w:tr w:rsidR="008B0CE7" w:rsidRPr="00CC75F2" w:rsidTr="00EA18F9">
        <w:trPr>
          <w:cantSplit/>
          <w:trHeight w:val="720"/>
        </w:trPr>
        <w:tc>
          <w:tcPr>
            <w:tcW w:w="1433" w:type="dxa"/>
            <w:tcBorders>
              <w:top w:val="nil"/>
              <w:left w:val="single" w:sz="4" w:space="0" w:color="auto"/>
              <w:bottom w:val="single" w:sz="4" w:space="0" w:color="auto"/>
              <w:right w:val="single" w:sz="4" w:space="0" w:color="auto"/>
            </w:tcBorders>
            <w:shd w:val="clear" w:color="auto" w:fill="auto"/>
            <w:hideMark/>
          </w:tcPr>
          <w:p w:rsidR="00CC75F2" w:rsidRPr="00CC75F2" w:rsidRDefault="00CC75F2" w:rsidP="00CC75F2">
            <w:pPr>
              <w:jc w:val="left"/>
              <w:rPr>
                <w:rFonts w:cs="Arial"/>
                <w:color w:val="000000"/>
                <w:sz w:val="16"/>
                <w:szCs w:val="16"/>
              </w:rPr>
            </w:pPr>
            <w:r w:rsidRPr="00CC75F2">
              <w:rPr>
                <w:rFonts w:cs="Arial"/>
                <w:color w:val="000000"/>
                <w:sz w:val="16"/>
                <w:szCs w:val="16"/>
              </w:rPr>
              <w:t>Vere Street 129</w:t>
            </w:r>
          </w:p>
        </w:tc>
        <w:tc>
          <w:tcPr>
            <w:tcW w:w="1134" w:type="dxa"/>
            <w:tcBorders>
              <w:top w:val="nil"/>
              <w:left w:val="nil"/>
              <w:bottom w:val="single" w:sz="4" w:space="0" w:color="auto"/>
              <w:right w:val="single" w:sz="4" w:space="0" w:color="auto"/>
            </w:tcBorders>
            <w:shd w:val="clear" w:color="auto" w:fill="auto"/>
            <w:hideMark/>
          </w:tcPr>
          <w:p w:rsidR="00CC75F2" w:rsidRPr="00CC75F2" w:rsidRDefault="00CC75F2" w:rsidP="00373B8F">
            <w:pPr>
              <w:jc w:val="center"/>
              <w:rPr>
                <w:rFonts w:cs="Arial"/>
                <w:color w:val="000000"/>
                <w:sz w:val="16"/>
                <w:szCs w:val="16"/>
              </w:rPr>
            </w:pPr>
            <w:r w:rsidRPr="00CC75F2">
              <w:rPr>
                <w:rFonts w:cs="Arial"/>
                <w:color w:val="000000"/>
                <w:sz w:val="16"/>
                <w:szCs w:val="16"/>
              </w:rPr>
              <w:t>A</w:t>
            </w:r>
            <w:r w:rsidR="00373B8F">
              <w:rPr>
                <w:rFonts w:cs="Arial"/>
                <w:color w:val="000000"/>
                <w:sz w:val="16"/>
                <w:szCs w:val="16"/>
              </w:rPr>
              <w:t>bbotsford</w:t>
            </w:r>
          </w:p>
        </w:tc>
        <w:tc>
          <w:tcPr>
            <w:tcW w:w="1417" w:type="dxa"/>
            <w:tcBorders>
              <w:top w:val="nil"/>
              <w:left w:val="nil"/>
              <w:bottom w:val="single" w:sz="4" w:space="0" w:color="auto"/>
              <w:right w:val="single" w:sz="4" w:space="0" w:color="auto"/>
            </w:tcBorders>
            <w:shd w:val="clear" w:color="auto" w:fill="auto"/>
            <w:hideMark/>
          </w:tcPr>
          <w:p w:rsidR="00CC75F2" w:rsidRPr="00CC75F2" w:rsidRDefault="00CC75F2" w:rsidP="008B0CE7">
            <w:pPr>
              <w:jc w:val="center"/>
              <w:rPr>
                <w:rFonts w:cs="Arial"/>
                <w:color w:val="000000"/>
                <w:sz w:val="16"/>
                <w:szCs w:val="16"/>
              </w:rPr>
            </w:pPr>
            <w:r w:rsidRPr="00CC75F2">
              <w:rPr>
                <w:rFonts w:cs="Arial"/>
                <w:color w:val="000000"/>
                <w:sz w:val="16"/>
                <w:szCs w:val="16"/>
              </w:rPr>
              <w:t>R</w:t>
            </w:r>
            <w:r w:rsidR="00373B8F">
              <w:rPr>
                <w:rFonts w:cs="Arial"/>
                <w:color w:val="000000"/>
                <w:sz w:val="16"/>
                <w:szCs w:val="16"/>
              </w:rPr>
              <w:t>atebale</w:t>
            </w:r>
            <w:r w:rsidR="008B0CE7">
              <w:rPr>
                <w:rFonts w:cs="Arial"/>
                <w:color w:val="000000"/>
                <w:sz w:val="16"/>
                <w:szCs w:val="16"/>
              </w:rPr>
              <w:br/>
            </w:r>
            <w:r w:rsidRPr="00CC75F2">
              <w:rPr>
                <w:rFonts w:cs="Arial"/>
                <w:color w:val="000000"/>
                <w:sz w:val="16"/>
                <w:szCs w:val="16"/>
              </w:rPr>
              <w:t>(vacant land)</w:t>
            </w:r>
          </w:p>
        </w:tc>
        <w:tc>
          <w:tcPr>
            <w:tcW w:w="1276" w:type="dxa"/>
            <w:tcBorders>
              <w:top w:val="nil"/>
              <w:left w:val="nil"/>
              <w:bottom w:val="single" w:sz="4" w:space="0" w:color="auto"/>
              <w:right w:val="single" w:sz="4" w:space="0" w:color="auto"/>
            </w:tcBorders>
            <w:shd w:val="clear" w:color="auto" w:fill="auto"/>
            <w:hideMark/>
          </w:tcPr>
          <w:p w:rsidR="00CC75F2" w:rsidRPr="00CC75F2" w:rsidRDefault="00CC75F2" w:rsidP="00CC75F2">
            <w:pPr>
              <w:jc w:val="center"/>
              <w:rPr>
                <w:rFonts w:cs="Arial"/>
                <w:color w:val="000000"/>
                <w:sz w:val="16"/>
                <w:szCs w:val="16"/>
              </w:rPr>
            </w:pPr>
            <w:r w:rsidRPr="00CC75F2">
              <w:rPr>
                <w:rFonts w:cs="Arial"/>
                <w:color w:val="000000"/>
                <w:sz w:val="16"/>
                <w:szCs w:val="16"/>
              </w:rPr>
              <w:t>Charles Street Precinct</w:t>
            </w:r>
          </w:p>
        </w:tc>
        <w:tc>
          <w:tcPr>
            <w:tcW w:w="1134" w:type="dxa"/>
            <w:tcBorders>
              <w:top w:val="nil"/>
              <w:left w:val="nil"/>
              <w:bottom w:val="single" w:sz="4" w:space="0" w:color="auto"/>
              <w:right w:val="single" w:sz="4" w:space="0" w:color="auto"/>
            </w:tcBorders>
            <w:shd w:val="clear" w:color="auto" w:fill="auto"/>
            <w:hideMark/>
          </w:tcPr>
          <w:p w:rsidR="00CC75F2" w:rsidRPr="00CC75F2" w:rsidRDefault="00CC75F2" w:rsidP="00CC75F2">
            <w:pPr>
              <w:jc w:val="center"/>
              <w:rPr>
                <w:rFonts w:cs="Arial"/>
                <w:color w:val="000000"/>
                <w:sz w:val="16"/>
                <w:szCs w:val="16"/>
              </w:rPr>
            </w:pPr>
            <w:r w:rsidRPr="00CC75F2">
              <w:rPr>
                <w:rFonts w:cs="Arial"/>
                <w:color w:val="000000"/>
                <w:sz w:val="16"/>
                <w:szCs w:val="16"/>
              </w:rPr>
              <w:t>HO313</w:t>
            </w:r>
          </w:p>
        </w:tc>
        <w:tc>
          <w:tcPr>
            <w:tcW w:w="992" w:type="dxa"/>
            <w:tcBorders>
              <w:top w:val="nil"/>
              <w:left w:val="nil"/>
              <w:bottom w:val="single" w:sz="4" w:space="0" w:color="auto"/>
              <w:right w:val="single" w:sz="4" w:space="0" w:color="auto"/>
            </w:tcBorders>
            <w:shd w:val="clear" w:color="auto" w:fill="auto"/>
            <w:hideMark/>
          </w:tcPr>
          <w:p w:rsidR="00CC75F2" w:rsidRPr="00CC75F2" w:rsidRDefault="00CC75F2" w:rsidP="00CC75F2">
            <w:pPr>
              <w:jc w:val="center"/>
              <w:rPr>
                <w:rFonts w:cs="Arial"/>
                <w:color w:val="000000"/>
                <w:sz w:val="16"/>
                <w:szCs w:val="16"/>
              </w:rPr>
            </w:pPr>
            <w:r w:rsidRPr="00CC75F2">
              <w:rPr>
                <w:rFonts w:cs="Arial"/>
                <w:color w:val="000000"/>
                <w:sz w:val="16"/>
                <w:szCs w:val="16"/>
              </w:rPr>
              <w:t>N/A</w:t>
            </w:r>
          </w:p>
        </w:tc>
        <w:tc>
          <w:tcPr>
            <w:tcW w:w="1134" w:type="dxa"/>
            <w:tcBorders>
              <w:top w:val="nil"/>
              <w:left w:val="nil"/>
              <w:bottom w:val="single" w:sz="4" w:space="0" w:color="auto"/>
              <w:right w:val="single" w:sz="4" w:space="0" w:color="auto"/>
            </w:tcBorders>
            <w:shd w:val="clear" w:color="auto" w:fill="auto"/>
            <w:hideMark/>
          </w:tcPr>
          <w:p w:rsidR="00CC75F2" w:rsidRPr="00CC75F2" w:rsidRDefault="00CC75F2" w:rsidP="00373B8F">
            <w:pPr>
              <w:jc w:val="center"/>
              <w:rPr>
                <w:rFonts w:cs="Arial"/>
                <w:color w:val="000000"/>
                <w:sz w:val="16"/>
                <w:szCs w:val="16"/>
              </w:rPr>
            </w:pPr>
            <w:r w:rsidRPr="00CC75F2">
              <w:rPr>
                <w:rFonts w:cs="Arial"/>
                <w:color w:val="000000"/>
                <w:sz w:val="16"/>
                <w:szCs w:val="16"/>
              </w:rPr>
              <w:t>Precinct</w:t>
            </w:r>
          </w:p>
        </w:tc>
        <w:tc>
          <w:tcPr>
            <w:tcW w:w="1276" w:type="dxa"/>
            <w:tcBorders>
              <w:top w:val="nil"/>
              <w:left w:val="nil"/>
              <w:bottom w:val="single" w:sz="4" w:space="0" w:color="auto"/>
              <w:right w:val="single" w:sz="4" w:space="0" w:color="auto"/>
            </w:tcBorders>
            <w:shd w:val="clear" w:color="auto" w:fill="auto"/>
            <w:hideMark/>
          </w:tcPr>
          <w:p w:rsidR="00CC75F2" w:rsidRPr="00CC75F2" w:rsidRDefault="00CC75F2" w:rsidP="00CC75F2">
            <w:pPr>
              <w:jc w:val="center"/>
              <w:rPr>
                <w:rFonts w:cs="Arial"/>
                <w:color w:val="000000"/>
                <w:sz w:val="16"/>
                <w:szCs w:val="16"/>
              </w:rPr>
            </w:pPr>
            <w:r w:rsidRPr="00CC75F2">
              <w:rPr>
                <w:rFonts w:cs="Arial"/>
                <w:color w:val="000000"/>
                <w:sz w:val="16"/>
                <w:szCs w:val="16"/>
              </w:rPr>
              <w:t>No grading identified</w:t>
            </w:r>
          </w:p>
        </w:tc>
        <w:tc>
          <w:tcPr>
            <w:tcW w:w="2835" w:type="dxa"/>
            <w:tcBorders>
              <w:top w:val="nil"/>
              <w:left w:val="nil"/>
              <w:bottom w:val="single" w:sz="4" w:space="0" w:color="auto"/>
              <w:right w:val="single" w:sz="4" w:space="0" w:color="auto"/>
            </w:tcBorders>
            <w:shd w:val="clear" w:color="auto" w:fill="auto"/>
            <w:hideMark/>
          </w:tcPr>
          <w:p w:rsidR="00CC75F2" w:rsidRPr="00CC75F2" w:rsidRDefault="00CC75F2" w:rsidP="00CC75F2">
            <w:pPr>
              <w:jc w:val="left"/>
              <w:rPr>
                <w:rFonts w:cs="Arial"/>
                <w:color w:val="000000"/>
                <w:sz w:val="16"/>
                <w:szCs w:val="16"/>
              </w:rPr>
            </w:pPr>
            <w:r w:rsidRPr="00CC75F2">
              <w:rPr>
                <w:rFonts w:cs="Arial"/>
                <w:color w:val="000000"/>
                <w:sz w:val="16"/>
                <w:szCs w:val="16"/>
              </w:rPr>
              <w:t>External controls apply to the land, no internal controls, no tree controls and no external paint controls apply</w:t>
            </w:r>
          </w:p>
        </w:tc>
        <w:tc>
          <w:tcPr>
            <w:tcW w:w="2693" w:type="dxa"/>
            <w:tcBorders>
              <w:top w:val="nil"/>
              <w:left w:val="nil"/>
              <w:bottom w:val="single" w:sz="4" w:space="0" w:color="auto"/>
              <w:right w:val="single" w:sz="4" w:space="0" w:color="auto"/>
            </w:tcBorders>
            <w:shd w:val="clear" w:color="auto" w:fill="auto"/>
            <w:hideMark/>
          </w:tcPr>
          <w:p w:rsidR="00CC75F2" w:rsidRPr="00CC75F2" w:rsidRDefault="00CC75F2" w:rsidP="00CC75F2">
            <w:pPr>
              <w:jc w:val="left"/>
              <w:rPr>
                <w:rFonts w:cs="Arial"/>
                <w:color w:val="000000"/>
                <w:sz w:val="16"/>
                <w:szCs w:val="16"/>
              </w:rPr>
            </w:pPr>
            <w:r w:rsidRPr="00CC75F2">
              <w:rPr>
                <w:rFonts w:cs="Arial"/>
                <w:color w:val="000000"/>
                <w:sz w:val="16"/>
                <w:szCs w:val="16"/>
              </w:rPr>
              <w:t> </w:t>
            </w:r>
          </w:p>
        </w:tc>
      </w:tr>
      <w:tr w:rsidR="008B0CE7" w:rsidRPr="00CC75F2" w:rsidTr="00EA18F9">
        <w:trPr>
          <w:cantSplit/>
          <w:trHeight w:val="720"/>
        </w:trPr>
        <w:tc>
          <w:tcPr>
            <w:tcW w:w="1433" w:type="dxa"/>
            <w:tcBorders>
              <w:top w:val="nil"/>
              <w:left w:val="single" w:sz="4" w:space="0" w:color="auto"/>
              <w:bottom w:val="single" w:sz="4" w:space="0" w:color="auto"/>
              <w:right w:val="single" w:sz="4" w:space="0" w:color="auto"/>
            </w:tcBorders>
            <w:shd w:val="clear" w:color="auto" w:fill="auto"/>
            <w:hideMark/>
          </w:tcPr>
          <w:p w:rsidR="00CC75F2" w:rsidRPr="00CC75F2" w:rsidRDefault="00CC75F2" w:rsidP="00CC75F2">
            <w:pPr>
              <w:jc w:val="left"/>
              <w:rPr>
                <w:rFonts w:cs="Arial"/>
                <w:color w:val="000000"/>
                <w:sz w:val="16"/>
                <w:szCs w:val="16"/>
              </w:rPr>
            </w:pPr>
            <w:r w:rsidRPr="00CC75F2">
              <w:rPr>
                <w:rFonts w:cs="Arial"/>
                <w:color w:val="000000"/>
                <w:sz w:val="16"/>
                <w:szCs w:val="16"/>
              </w:rPr>
              <w:t>White Street 11-15</w:t>
            </w:r>
          </w:p>
        </w:tc>
        <w:tc>
          <w:tcPr>
            <w:tcW w:w="1134" w:type="dxa"/>
            <w:tcBorders>
              <w:top w:val="nil"/>
              <w:left w:val="nil"/>
              <w:bottom w:val="single" w:sz="4" w:space="0" w:color="auto"/>
              <w:right w:val="single" w:sz="4" w:space="0" w:color="auto"/>
            </w:tcBorders>
            <w:shd w:val="clear" w:color="auto" w:fill="auto"/>
            <w:hideMark/>
          </w:tcPr>
          <w:p w:rsidR="00CC75F2" w:rsidRPr="00CC75F2" w:rsidRDefault="00CC75F2" w:rsidP="00373B8F">
            <w:pPr>
              <w:jc w:val="center"/>
              <w:rPr>
                <w:rFonts w:cs="Arial"/>
                <w:color w:val="000000"/>
                <w:sz w:val="16"/>
                <w:szCs w:val="16"/>
              </w:rPr>
            </w:pPr>
            <w:r w:rsidRPr="00CC75F2">
              <w:rPr>
                <w:rFonts w:cs="Arial"/>
                <w:color w:val="000000"/>
                <w:sz w:val="16"/>
                <w:szCs w:val="16"/>
              </w:rPr>
              <w:t>C</w:t>
            </w:r>
            <w:r w:rsidR="00373B8F">
              <w:rPr>
                <w:rFonts w:cs="Arial"/>
                <w:color w:val="000000"/>
                <w:sz w:val="16"/>
                <w:szCs w:val="16"/>
              </w:rPr>
              <w:t>remorne</w:t>
            </w:r>
          </w:p>
        </w:tc>
        <w:tc>
          <w:tcPr>
            <w:tcW w:w="1417" w:type="dxa"/>
            <w:tcBorders>
              <w:top w:val="nil"/>
              <w:left w:val="nil"/>
              <w:bottom w:val="single" w:sz="4" w:space="0" w:color="auto"/>
              <w:right w:val="single" w:sz="4" w:space="0" w:color="auto"/>
            </w:tcBorders>
            <w:shd w:val="clear" w:color="auto" w:fill="auto"/>
            <w:hideMark/>
          </w:tcPr>
          <w:p w:rsidR="00CC75F2" w:rsidRPr="00CC75F2" w:rsidRDefault="00373B8F" w:rsidP="00CC75F2">
            <w:pPr>
              <w:jc w:val="center"/>
              <w:rPr>
                <w:rFonts w:cs="Arial"/>
                <w:color w:val="000000"/>
                <w:sz w:val="16"/>
                <w:szCs w:val="16"/>
              </w:rPr>
            </w:pPr>
            <w:r>
              <w:rPr>
                <w:rFonts w:cs="Arial"/>
                <w:color w:val="000000"/>
                <w:sz w:val="16"/>
                <w:szCs w:val="16"/>
              </w:rPr>
              <w:t>Playground</w:t>
            </w:r>
          </w:p>
        </w:tc>
        <w:tc>
          <w:tcPr>
            <w:tcW w:w="1276" w:type="dxa"/>
            <w:tcBorders>
              <w:top w:val="nil"/>
              <w:left w:val="nil"/>
              <w:bottom w:val="single" w:sz="4" w:space="0" w:color="auto"/>
              <w:right w:val="single" w:sz="4" w:space="0" w:color="auto"/>
            </w:tcBorders>
            <w:shd w:val="clear" w:color="auto" w:fill="auto"/>
            <w:hideMark/>
          </w:tcPr>
          <w:p w:rsidR="00CC75F2" w:rsidRPr="00CC75F2" w:rsidRDefault="00CC75F2" w:rsidP="00CC75F2">
            <w:pPr>
              <w:jc w:val="center"/>
              <w:rPr>
                <w:rFonts w:cs="Arial"/>
                <w:color w:val="000000"/>
                <w:sz w:val="16"/>
                <w:szCs w:val="16"/>
              </w:rPr>
            </w:pPr>
          </w:p>
        </w:tc>
        <w:tc>
          <w:tcPr>
            <w:tcW w:w="1134" w:type="dxa"/>
            <w:tcBorders>
              <w:top w:val="nil"/>
              <w:left w:val="nil"/>
              <w:bottom w:val="single" w:sz="4" w:space="0" w:color="auto"/>
              <w:right w:val="single" w:sz="4" w:space="0" w:color="auto"/>
            </w:tcBorders>
            <w:shd w:val="clear" w:color="auto" w:fill="auto"/>
            <w:hideMark/>
          </w:tcPr>
          <w:p w:rsidR="00CC75F2" w:rsidRPr="00CC75F2" w:rsidRDefault="00CC75F2" w:rsidP="00CC75F2">
            <w:pPr>
              <w:jc w:val="center"/>
              <w:rPr>
                <w:rFonts w:cs="Arial"/>
                <w:color w:val="000000"/>
                <w:sz w:val="16"/>
                <w:szCs w:val="16"/>
              </w:rPr>
            </w:pPr>
            <w:r w:rsidRPr="00CC75F2">
              <w:rPr>
                <w:rFonts w:cs="Arial"/>
                <w:color w:val="000000"/>
                <w:sz w:val="16"/>
                <w:szCs w:val="16"/>
              </w:rPr>
              <w:t>HO323</w:t>
            </w:r>
          </w:p>
        </w:tc>
        <w:tc>
          <w:tcPr>
            <w:tcW w:w="992" w:type="dxa"/>
            <w:tcBorders>
              <w:top w:val="nil"/>
              <w:left w:val="nil"/>
              <w:bottom w:val="single" w:sz="4" w:space="0" w:color="auto"/>
              <w:right w:val="single" w:sz="4" w:space="0" w:color="auto"/>
            </w:tcBorders>
            <w:shd w:val="clear" w:color="auto" w:fill="auto"/>
            <w:hideMark/>
          </w:tcPr>
          <w:p w:rsidR="00CC75F2" w:rsidRPr="00CC75F2" w:rsidRDefault="00CC75F2" w:rsidP="00CC75F2">
            <w:pPr>
              <w:jc w:val="center"/>
              <w:rPr>
                <w:rFonts w:cs="Arial"/>
                <w:color w:val="000000"/>
                <w:sz w:val="16"/>
                <w:szCs w:val="16"/>
              </w:rPr>
            </w:pPr>
            <w:r w:rsidRPr="00CC75F2">
              <w:rPr>
                <w:rFonts w:cs="Arial"/>
                <w:color w:val="000000"/>
                <w:sz w:val="16"/>
                <w:szCs w:val="16"/>
              </w:rPr>
              <w:t>N/A</w:t>
            </w:r>
          </w:p>
        </w:tc>
        <w:tc>
          <w:tcPr>
            <w:tcW w:w="1134" w:type="dxa"/>
            <w:tcBorders>
              <w:top w:val="nil"/>
              <w:left w:val="nil"/>
              <w:bottom w:val="single" w:sz="4" w:space="0" w:color="auto"/>
              <w:right w:val="single" w:sz="4" w:space="0" w:color="auto"/>
            </w:tcBorders>
            <w:shd w:val="clear" w:color="auto" w:fill="auto"/>
            <w:hideMark/>
          </w:tcPr>
          <w:p w:rsidR="00CC75F2" w:rsidRPr="00CC75F2" w:rsidRDefault="00CC75F2" w:rsidP="00373B8F">
            <w:pPr>
              <w:jc w:val="center"/>
              <w:rPr>
                <w:rFonts w:cs="Arial"/>
                <w:color w:val="000000"/>
                <w:sz w:val="16"/>
                <w:szCs w:val="16"/>
              </w:rPr>
            </w:pPr>
            <w:r w:rsidRPr="00CC75F2">
              <w:rPr>
                <w:rFonts w:cs="Arial"/>
                <w:color w:val="000000"/>
                <w:sz w:val="16"/>
                <w:szCs w:val="16"/>
              </w:rPr>
              <w:t>Precinct</w:t>
            </w:r>
          </w:p>
        </w:tc>
        <w:tc>
          <w:tcPr>
            <w:tcW w:w="1276" w:type="dxa"/>
            <w:tcBorders>
              <w:top w:val="nil"/>
              <w:left w:val="nil"/>
              <w:bottom w:val="single" w:sz="4" w:space="0" w:color="auto"/>
              <w:right w:val="single" w:sz="4" w:space="0" w:color="auto"/>
            </w:tcBorders>
            <w:shd w:val="clear" w:color="auto" w:fill="auto"/>
            <w:hideMark/>
          </w:tcPr>
          <w:p w:rsidR="00CC75F2" w:rsidRPr="00CC75F2" w:rsidRDefault="00CC75F2" w:rsidP="00CC75F2">
            <w:pPr>
              <w:jc w:val="center"/>
              <w:rPr>
                <w:rFonts w:cs="Arial"/>
                <w:color w:val="000000"/>
                <w:sz w:val="16"/>
                <w:szCs w:val="16"/>
              </w:rPr>
            </w:pPr>
            <w:r w:rsidRPr="00CC75F2">
              <w:rPr>
                <w:rFonts w:cs="Arial"/>
                <w:color w:val="000000"/>
                <w:sz w:val="16"/>
                <w:szCs w:val="16"/>
              </w:rPr>
              <w:t>Not contributory</w:t>
            </w:r>
          </w:p>
        </w:tc>
        <w:tc>
          <w:tcPr>
            <w:tcW w:w="2835" w:type="dxa"/>
            <w:tcBorders>
              <w:top w:val="nil"/>
              <w:left w:val="nil"/>
              <w:bottom w:val="single" w:sz="4" w:space="0" w:color="auto"/>
              <w:right w:val="single" w:sz="4" w:space="0" w:color="auto"/>
            </w:tcBorders>
            <w:shd w:val="clear" w:color="auto" w:fill="auto"/>
            <w:hideMark/>
          </w:tcPr>
          <w:p w:rsidR="00CC75F2" w:rsidRPr="00CC75F2" w:rsidRDefault="00CC75F2" w:rsidP="00CC75F2">
            <w:pPr>
              <w:jc w:val="left"/>
              <w:rPr>
                <w:rFonts w:cs="Arial"/>
                <w:color w:val="000000"/>
                <w:sz w:val="16"/>
                <w:szCs w:val="16"/>
              </w:rPr>
            </w:pPr>
            <w:r w:rsidRPr="00CC75F2">
              <w:rPr>
                <w:rFonts w:cs="Arial"/>
                <w:color w:val="000000"/>
                <w:sz w:val="16"/>
                <w:szCs w:val="16"/>
              </w:rPr>
              <w:t>External controls apply to the buildings and land, no internal controls, no tree controls and no external paint controls apply</w:t>
            </w:r>
          </w:p>
        </w:tc>
        <w:tc>
          <w:tcPr>
            <w:tcW w:w="2693" w:type="dxa"/>
            <w:tcBorders>
              <w:top w:val="nil"/>
              <w:left w:val="nil"/>
              <w:bottom w:val="single" w:sz="4" w:space="0" w:color="auto"/>
              <w:right w:val="single" w:sz="4" w:space="0" w:color="auto"/>
            </w:tcBorders>
            <w:shd w:val="clear" w:color="auto" w:fill="auto"/>
            <w:hideMark/>
          </w:tcPr>
          <w:p w:rsidR="00CC75F2" w:rsidRPr="00CC75F2" w:rsidRDefault="00CC75F2" w:rsidP="00622DC3">
            <w:pPr>
              <w:jc w:val="left"/>
              <w:rPr>
                <w:rFonts w:cs="Arial"/>
                <w:color w:val="000000"/>
                <w:sz w:val="16"/>
                <w:szCs w:val="16"/>
              </w:rPr>
            </w:pPr>
            <w:r w:rsidRPr="00CC75F2">
              <w:rPr>
                <w:rFonts w:cs="Arial"/>
                <w:color w:val="000000"/>
                <w:sz w:val="16"/>
                <w:szCs w:val="16"/>
              </w:rPr>
              <w:t xml:space="preserve">Physical changes to the playground would normally require approval under the Heritage Overlay from the </w:t>
            </w:r>
            <w:r w:rsidR="00622DC3" w:rsidRPr="00CC75F2">
              <w:rPr>
                <w:rFonts w:cs="Arial"/>
                <w:color w:val="000000"/>
                <w:sz w:val="16"/>
                <w:szCs w:val="16"/>
              </w:rPr>
              <w:t>Yarra</w:t>
            </w:r>
            <w:r w:rsidR="00622DC3">
              <w:rPr>
                <w:rFonts w:cs="Arial"/>
                <w:color w:val="000000"/>
                <w:sz w:val="16"/>
                <w:szCs w:val="16"/>
              </w:rPr>
              <w:t xml:space="preserve"> City Council.</w:t>
            </w:r>
          </w:p>
        </w:tc>
      </w:tr>
      <w:tr w:rsidR="00CC75F2" w:rsidRPr="00CC75F2" w:rsidTr="00373B8F">
        <w:trPr>
          <w:cantSplit/>
          <w:trHeight w:val="240"/>
        </w:trPr>
        <w:tc>
          <w:tcPr>
            <w:tcW w:w="15324" w:type="dxa"/>
            <w:gridSpan w:val="10"/>
            <w:tcBorders>
              <w:top w:val="single" w:sz="4" w:space="0" w:color="auto"/>
              <w:left w:val="single" w:sz="4" w:space="0" w:color="auto"/>
              <w:bottom w:val="single" w:sz="4" w:space="0" w:color="auto"/>
              <w:right w:val="single" w:sz="4" w:space="0" w:color="000000"/>
            </w:tcBorders>
            <w:shd w:val="clear" w:color="auto" w:fill="auto"/>
            <w:hideMark/>
          </w:tcPr>
          <w:p w:rsidR="00CC75F2" w:rsidRPr="00CC75F2" w:rsidRDefault="00CC75F2" w:rsidP="00FE0470">
            <w:pPr>
              <w:rPr>
                <w:rFonts w:cs="Arial"/>
                <w:color w:val="000000"/>
                <w:sz w:val="16"/>
                <w:szCs w:val="16"/>
              </w:rPr>
            </w:pPr>
            <w:r w:rsidRPr="00CC75F2">
              <w:rPr>
                <w:rFonts w:cs="Arial"/>
                <w:color w:val="000000"/>
                <w:sz w:val="16"/>
                <w:szCs w:val="16"/>
              </w:rPr>
              <w:t>* Schedule to the Heritage Overlay of the Yarra Planning Scheme</w:t>
            </w:r>
          </w:p>
        </w:tc>
      </w:tr>
      <w:tr w:rsidR="00CC75F2" w:rsidRPr="00CC75F2" w:rsidTr="00373B8F">
        <w:trPr>
          <w:cantSplit/>
          <w:trHeight w:val="240"/>
        </w:trPr>
        <w:tc>
          <w:tcPr>
            <w:tcW w:w="15324" w:type="dxa"/>
            <w:gridSpan w:val="10"/>
            <w:tcBorders>
              <w:top w:val="single" w:sz="4" w:space="0" w:color="auto"/>
              <w:left w:val="single" w:sz="4" w:space="0" w:color="auto"/>
              <w:bottom w:val="single" w:sz="4" w:space="0" w:color="auto"/>
              <w:right w:val="single" w:sz="4" w:space="0" w:color="000000"/>
            </w:tcBorders>
            <w:shd w:val="clear" w:color="auto" w:fill="auto"/>
            <w:hideMark/>
          </w:tcPr>
          <w:p w:rsidR="00CC75F2" w:rsidRPr="00CC75F2" w:rsidRDefault="00CC75F2" w:rsidP="00FE0470">
            <w:pPr>
              <w:rPr>
                <w:rFonts w:cs="Arial"/>
                <w:color w:val="000000"/>
                <w:sz w:val="16"/>
                <w:szCs w:val="16"/>
              </w:rPr>
            </w:pPr>
            <w:r w:rsidRPr="00CC75F2">
              <w:rPr>
                <w:rFonts w:cs="Arial"/>
                <w:color w:val="000000"/>
                <w:sz w:val="16"/>
                <w:szCs w:val="16"/>
              </w:rPr>
              <w:t>** Victorian Heritage Register (State Control)</w:t>
            </w:r>
          </w:p>
        </w:tc>
      </w:tr>
      <w:tr w:rsidR="00CC75F2" w:rsidRPr="00CC75F2" w:rsidTr="00373B8F">
        <w:trPr>
          <w:cantSplit/>
          <w:trHeight w:val="240"/>
        </w:trPr>
        <w:tc>
          <w:tcPr>
            <w:tcW w:w="15324" w:type="dxa"/>
            <w:gridSpan w:val="10"/>
            <w:tcBorders>
              <w:top w:val="single" w:sz="4" w:space="0" w:color="auto"/>
              <w:left w:val="single" w:sz="4" w:space="0" w:color="auto"/>
              <w:bottom w:val="single" w:sz="4" w:space="0" w:color="auto"/>
              <w:right w:val="single" w:sz="4" w:space="0" w:color="000000"/>
            </w:tcBorders>
            <w:shd w:val="clear" w:color="auto" w:fill="auto"/>
            <w:hideMark/>
          </w:tcPr>
          <w:p w:rsidR="00CC75F2" w:rsidRPr="00CC75F2" w:rsidRDefault="00CC75F2" w:rsidP="00FE0470">
            <w:pPr>
              <w:rPr>
                <w:rFonts w:cs="Arial"/>
                <w:color w:val="000000"/>
                <w:sz w:val="16"/>
                <w:szCs w:val="16"/>
              </w:rPr>
            </w:pPr>
            <w:r w:rsidRPr="00CC75F2">
              <w:rPr>
                <w:rFonts w:cs="Arial"/>
                <w:color w:val="000000"/>
                <w:sz w:val="16"/>
                <w:szCs w:val="16"/>
              </w:rPr>
              <w:t>*** Gradings are defined in Clause 22.02 of the Yarra Planning Scheme</w:t>
            </w:r>
          </w:p>
        </w:tc>
      </w:tr>
    </w:tbl>
    <w:p w:rsidR="00CC75F2" w:rsidRDefault="00CC75F2" w:rsidP="00185B47"/>
    <w:sectPr w:rsidR="00CC75F2" w:rsidSect="00CC75F2">
      <w:headerReference w:type="default" r:id="rId237"/>
      <w:footerReference w:type="default" r:id="rId238"/>
      <w:type w:val="oddPage"/>
      <w:pgSz w:w="16838" w:h="11906" w:orient="landscape" w:code="9"/>
      <w:pgMar w:top="1418" w:right="1418" w:bottom="1418" w:left="851" w:header="284" w:footer="312"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D394A" w:rsidRDefault="00ED394A" w:rsidP="00E96F28">
      <w:pPr>
        <w:pStyle w:val="BodyText"/>
      </w:pPr>
      <w:r>
        <w:separator/>
      </w:r>
    </w:p>
  </w:endnote>
  <w:endnote w:type="continuationSeparator" w:id="0">
    <w:p w:rsidR="00ED394A" w:rsidRDefault="00ED394A" w:rsidP="00E96F28">
      <w:pPr>
        <w:pStyle w:val="BodyText"/>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Bold">
    <w:panose1 w:val="020B0704020202020204"/>
    <w:charset w:val="00"/>
    <w:family w:val="roman"/>
    <w:notTrueType/>
    <w:pitch w:val="default"/>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HelveticaNeueRoman">
    <w:altName w:val="Courier New"/>
    <w:charset w:val="00"/>
    <w:family w:val="auto"/>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Futura Medium">
    <w:altName w:val="Futura Medium"/>
    <w:panose1 w:val="00000000000000000000"/>
    <w:charset w:val="00"/>
    <w:family w:val="swiss"/>
    <w:notTrueType/>
    <w:pitch w:val="default"/>
    <w:sig w:usb0="00000003" w:usb1="00000000" w:usb2="00000000" w:usb3="00000000" w:csb0="00000001" w:csb1="00000000"/>
  </w:font>
  <w:font w:name="PJIBE B+ Courier">
    <w:altName w:val="Courier New"/>
    <w:panose1 w:val="00000000000000000000"/>
    <w:charset w:val="00"/>
    <w:family w:val="modern"/>
    <w:notTrueType/>
    <w:pitch w:val="default"/>
    <w:sig w:usb0="00000003" w:usb1="00000000" w:usb2="00000000" w:usb3="00000000" w:csb0="00000001" w:csb1="00000000"/>
  </w:font>
  <w:font w:name="Futura Md">
    <w:altName w:val="Century Gothic"/>
    <w:charset w:val="00"/>
    <w:family w:val="swiss"/>
    <w:pitch w:val="variable"/>
    <w:sig w:usb0="A00002AF" w:usb1="5000204A" w:usb2="00000000" w:usb3="00000000" w:csb0="0000009F" w:csb1="00000000"/>
  </w:font>
  <w:font w:name="Cambria">
    <w:panose1 w:val="02040503050406030204"/>
    <w:charset w:val="00"/>
    <w:family w:val="roman"/>
    <w:pitch w:val="variable"/>
    <w:sig w:usb0="E00002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LetterGothic">
    <w:panose1 w:val="00000000000000000000"/>
    <w:charset w:val="00"/>
    <w:family w:val="modern"/>
    <w:notTrueType/>
    <w:pitch w:val="fixed"/>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CG Times (W1)">
    <w:altName w:val="Times New Roman"/>
    <w:panose1 w:val="00000000000000000000"/>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6759" w:rsidRPr="007135A8" w:rsidRDefault="00496759" w:rsidP="007135A8">
    <w:pPr>
      <w:pStyle w:val="Footer"/>
      <w:tabs>
        <w:tab w:val="right" w:pos="9072"/>
      </w:tabs>
      <w:jc w:val="center"/>
      <w:rPr>
        <w:rFonts w:ascii="Arial" w:hAnsi="Arial" w:cs="Arial"/>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6759" w:rsidRPr="004A4481" w:rsidRDefault="00ED394A" w:rsidP="004A4481">
    <w:pPr>
      <w:pStyle w:val="Footer"/>
      <w:tabs>
        <w:tab w:val="center" w:pos="4536"/>
        <w:tab w:val="right" w:pos="9072"/>
      </w:tabs>
      <w:jc w:val="both"/>
      <w:rPr>
        <w:rFonts w:ascii="Arial" w:hAnsi="Arial" w:cs="Arial"/>
      </w:rPr>
    </w:pPr>
    <w:sdt>
      <w:sdtPr>
        <w:id w:val="-463272474"/>
        <w:docPartObj>
          <w:docPartGallery w:val="Page Numbers (Bottom of Page)"/>
          <w:docPartUnique/>
        </w:docPartObj>
      </w:sdtPr>
      <w:sdtEndPr>
        <w:rPr>
          <w:rFonts w:ascii="Arial" w:hAnsi="Arial" w:cs="Arial"/>
          <w:noProof/>
        </w:rPr>
      </w:sdtEndPr>
      <w:sdtContent>
        <w:r w:rsidR="00496759" w:rsidRPr="001C5EBC">
          <w:tab/>
        </w:r>
        <w:r w:rsidR="00496759" w:rsidRPr="001C5EBC">
          <w:rPr>
            <w:rFonts w:ascii="Arial" w:hAnsi="Arial" w:cs="Arial"/>
          </w:rPr>
          <w:fldChar w:fldCharType="begin"/>
        </w:r>
        <w:r w:rsidR="00496759" w:rsidRPr="001C5EBC">
          <w:rPr>
            <w:rFonts w:ascii="Arial" w:hAnsi="Arial" w:cs="Arial"/>
          </w:rPr>
          <w:instrText xml:space="preserve"> PAGE   \* MERGEFORMAT </w:instrText>
        </w:r>
        <w:r w:rsidR="00496759" w:rsidRPr="001C5EBC">
          <w:rPr>
            <w:rFonts w:ascii="Arial" w:hAnsi="Arial" w:cs="Arial"/>
          </w:rPr>
          <w:fldChar w:fldCharType="separate"/>
        </w:r>
        <w:r w:rsidR="0037126C">
          <w:rPr>
            <w:rFonts w:ascii="Arial" w:hAnsi="Arial" w:cs="Arial"/>
            <w:noProof/>
          </w:rPr>
          <w:t>i</w:t>
        </w:r>
        <w:r w:rsidR="00496759" w:rsidRPr="001C5EBC">
          <w:rPr>
            <w:rFonts w:ascii="Arial" w:hAnsi="Arial" w:cs="Arial"/>
            <w:noProof/>
          </w:rPr>
          <w:fldChar w:fldCharType="end"/>
        </w:r>
      </w:sdtContent>
    </w:sdt>
    <w:r w:rsidR="00496759" w:rsidRPr="001C5EBC">
      <w:rPr>
        <w:rFonts w:ascii="Arial" w:hAnsi="Arial" w:cs="Arial"/>
        <w:noProof/>
      </w:rPr>
      <w:tab/>
    </w:r>
    <w:r w:rsidR="00496759">
      <w:rPr>
        <w:rFonts w:ascii="Arial" w:hAnsi="Arial" w:cs="Arial"/>
        <w:b/>
        <w:sz w:val="12"/>
      </w:rPr>
      <w:t>Adopted October</w:t>
    </w:r>
    <w:r w:rsidR="00496759" w:rsidRPr="001C5EBC">
      <w:rPr>
        <w:rFonts w:ascii="Arial" w:hAnsi="Arial" w:cs="Arial"/>
        <w:b/>
        <w:sz w:val="12"/>
      </w:rPr>
      <w:t xml:space="preserve"> 2013</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6759" w:rsidRPr="00D012DC" w:rsidRDefault="00ED394A" w:rsidP="00D012DC">
    <w:pPr>
      <w:pStyle w:val="Footer"/>
      <w:tabs>
        <w:tab w:val="center" w:pos="4536"/>
        <w:tab w:val="right" w:pos="9072"/>
      </w:tabs>
      <w:jc w:val="both"/>
      <w:rPr>
        <w:rFonts w:ascii="Arial" w:hAnsi="Arial" w:cs="Arial"/>
      </w:rPr>
    </w:pPr>
    <w:sdt>
      <w:sdtPr>
        <w:id w:val="-2051149204"/>
        <w:docPartObj>
          <w:docPartGallery w:val="Page Numbers (Bottom of Page)"/>
          <w:docPartUnique/>
        </w:docPartObj>
      </w:sdtPr>
      <w:sdtEndPr>
        <w:rPr>
          <w:rFonts w:ascii="Arial" w:hAnsi="Arial" w:cs="Arial"/>
          <w:noProof/>
        </w:rPr>
      </w:sdtEndPr>
      <w:sdtContent>
        <w:r w:rsidR="00496759" w:rsidRPr="001C5EBC">
          <w:tab/>
        </w:r>
        <w:r w:rsidR="00496759" w:rsidRPr="001C5EBC">
          <w:rPr>
            <w:rFonts w:ascii="Arial" w:hAnsi="Arial" w:cs="Arial"/>
          </w:rPr>
          <w:fldChar w:fldCharType="begin"/>
        </w:r>
        <w:r w:rsidR="00496759" w:rsidRPr="001C5EBC">
          <w:rPr>
            <w:rFonts w:ascii="Arial" w:hAnsi="Arial" w:cs="Arial"/>
          </w:rPr>
          <w:instrText xml:space="preserve"> PAGE   \* MERGEFORMAT </w:instrText>
        </w:r>
        <w:r w:rsidR="00496759" w:rsidRPr="001C5EBC">
          <w:rPr>
            <w:rFonts w:ascii="Arial" w:hAnsi="Arial" w:cs="Arial"/>
          </w:rPr>
          <w:fldChar w:fldCharType="separate"/>
        </w:r>
        <w:r w:rsidR="0037126C">
          <w:rPr>
            <w:rFonts w:ascii="Arial" w:hAnsi="Arial" w:cs="Arial"/>
            <w:noProof/>
          </w:rPr>
          <w:t>15</w:t>
        </w:r>
        <w:r w:rsidR="00496759" w:rsidRPr="001C5EBC">
          <w:rPr>
            <w:rFonts w:ascii="Arial" w:hAnsi="Arial" w:cs="Arial"/>
            <w:noProof/>
          </w:rPr>
          <w:fldChar w:fldCharType="end"/>
        </w:r>
      </w:sdtContent>
    </w:sdt>
    <w:r w:rsidR="00496759" w:rsidRPr="001C5EBC">
      <w:rPr>
        <w:rFonts w:ascii="Arial" w:hAnsi="Arial" w:cs="Arial"/>
        <w:noProof/>
      </w:rPr>
      <w:tab/>
    </w:r>
    <w:r w:rsidR="00496759">
      <w:rPr>
        <w:rFonts w:ascii="Arial" w:hAnsi="Arial" w:cs="Arial"/>
        <w:b/>
        <w:sz w:val="12"/>
      </w:rPr>
      <w:t>Adopted October</w:t>
    </w:r>
    <w:r w:rsidR="00496759" w:rsidRPr="001C5EBC">
      <w:rPr>
        <w:rFonts w:ascii="Arial" w:hAnsi="Arial" w:cs="Arial"/>
        <w:b/>
        <w:sz w:val="12"/>
      </w:rPr>
      <w:t xml:space="preserve"> 2013</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6759" w:rsidRPr="007135A8" w:rsidRDefault="00ED394A" w:rsidP="004A4481">
    <w:pPr>
      <w:pStyle w:val="Footer"/>
      <w:tabs>
        <w:tab w:val="center" w:pos="7655"/>
        <w:tab w:val="right" w:pos="15026"/>
      </w:tabs>
      <w:jc w:val="both"/>
      <w:rPr>
        <w:rFonts w:ascii="Arial" w:hAnsi="Arial" w:cs="Arial"/>
      </w:rPr>
    </w:pPr>
    <w:sdt>
      <w:sdtPr>
        <w:id w:val="-1749796818"/>
        <w:docPartObj>
          <w:docPartGallery w:val="Page Numbers (Bottom of Page)"/>
          <w:docPartUnique/>
        </w:docPartObj>
      </w:sdtPr>
      <w:sdtEndPr>
        <w:rPr>
          <w:rFonts w:ascii="Arial" w:hAnsi="Arial" w:cs="Arial"/>
          <w:noProof/>
        </w:rPr>
      </w:sdtEndPr>
      <w:sdtContent>
        <w:r w:rsidR="00496759">
          <w:tab/>
        </w:r>
        <w:r w:rsidR="00496759" w:rsidRPr="004A4481">
          <w:rPr>
            <w:rFonts w:ascii="Arial" w:hAnsi="Arial" w:cs="Arial"/>
          </w:rPr>
          <w:fldChar w:fldCharType="begin"/>
        </w:r>
        <w:r w:rsidR="00496759" w:rsidRPr="004A4481">
          <w:rPr>
            <w:rFonts w:ascii="Arial" w:hAnsi="Arial" w:cs="Arial"/>
          </w:rPr>
          <w:instrText xml:space="preserve"> PAGE   \* MERGEFORMAT </w:instrText>
        </w:r>
        <w:r w:rsidR="00496759" w:rsidRPr="004A4481">
          <w:rPr>
            <w:rFonts w:ascii="Arial" w:hAnsi="Arial" w:cs="Arial"/>
          </w:rPr>
          <w:fldChar w:fldCharType="separate"/>
        </w:r>
        <w:r w:rsidR="00EA18F9">
          <w:rPr>
            <w:rFonts w:ascii="Arial" w:hAnsi="Arial" w:cs="Arial"/>
            <w:noProof/>
          </w:rPr>
          <w:t>114</w:t>
        </w:r>
        <w:r w:rsidR="00496759" w:rsidRPr="004A4481">
          <w:rPr>
            <w:rFonts w:ascii="Arial" w:hAnsi="Arial" w:cs="Arial"/>
            <w:noProof/>
          </w:rPr>
          <w:fldChar w:fldCharType="end"/>
        </w:r>
        <w:r w:rsidR="00496759">
          <w:rPr>
            <w:rFonts w:ascii="Arial" w:hAnsi="Arial" w:cs="Arial"/>
            <w:noProof/>
          </w:rPr>
          <w:tab/>
        </w:r>
      </w:sdtContent>
    </w:sdt>
    <w:r w:rsidR="00496759">
      <w:rPr>
        <w:rFonts w:ascii="Arial" w:hAnsi="Arial" w:cs="Arial"/>
        <w:b/>
        <w:sz w:val="12"/>
      </w:rPr>
      <w:t>Adopted October</w:t>
    </w:r>
    <w:r w:rsidR="00496759" w:rsidRPr="004A4481">
      <w:rPr>
        <w:rFonts w:ascii="Arial" w:hAnsi="Arial" w:cs="Arial"/>
        <w:b/>
        <w:sz w:val="12"/>
      </w:rPr>
      <w:t xml:space="preserve"> 2013</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6759" w:rsidRPr="00D012DC" w:rsidRDefault="00ED394A" w:rsidP="00D012DC">
    <w:pPr>
      <w:pStyle w:val="Footer"/>
      <w:tabs>
        <w:tab w:val="center" w:pos="4536"/>
        <w:tab w:val="right" w:pos="9072"/>
      </w:tabs>
      <w:jc w:val="both"/>
      <w:rPr>
        <w:rFonts w:ascii="Arial" w:hAnsi="Arial" w:cs="Arial"/>
      </w:rPr>
    </w:pPr>
    <w:sdt>
      <w:sdtPr>
        <w:id w:val="-1640948859"/>
        <w:docPartObj>
          <w:docPartGallery w:val="Page Numbers (Bottom of Page)"/>
          <w:docPartUnique/>
        </w:docPartObj>
      </w:sdtPr>
      <w:sdtEndPr>
        <w:rPr>
          <w:rFonts w:ascii="Arial" w:hAnsi="Arial" w:cs="Arial"/>
          <w:noProof/>
        </w:rPr>
      </w:sdtEndPr>
      <w:sdtContent>
        <w:r w:rsidR="00496759" w:rsidRPr="001C5EBC">
          <w:tab/>
        </w:r>
        <w:r w:rsidR="00496759" w:rsidRPr="001C5EBC">
          <w:rPr>
            <w:rFonts w:ascii="Arial" w:hAnsi="Arial" w:cs="Arial"/>
          </w:rPr>
          <w:fldChar w:fldCharType="begin"/>
        </w:r>
        <w:r w:rsidR="00496759" w:rsidRPr="001C5EBC">
          <w:rPr>
            <w:rFonts w:ascii="Arial" w:hAnsi="Arial" w:cs="Arial"/>
          </w:rPr>
          <w:instrText xml:space="preserve"> PAGE   \* MERGEFORMAT </w:instrText>
        </w:r>
        <w:r w:rsidR="00496759" w:rsidRPr="001C5EBC">
          <w:rPr>
            <w:rFonts w:ascii="Arial" w:hAnsi="Arial" w:cs="Arial"/>
          </w:rPr>
          <w:fldChar w:fldCharType="separate"/>
        </w:r>
        <w:r w:rsidR="00EA18F9">
          <w:rPr>
            <w:rFonts w:ascii="Arial" w:hAnsi="Arial" w:cs="Arial"/>
            <w:noProof/>
          </w:rPr>
          <w:t>135</w:t>
        </w:r>
        <w:r w:rsidR="00496759" w:rsidRPr="001C5EBC">
          <w:rPr>
            <w:rFonts w:ascii="Arial" w:hAnsi="Arial" w:cs="Arial"/>
            <w:noProof/>
          </w:rPr>
          <w:fldChar w:fldCharType="end"/>
        </w:r>
      </w:sdtContent>
    </w:sdt>
    <w:r w:rsidR="00496759" w:rsidRPr="001C5EBC">
      <w:rPr>
        <w:rFonts w:ascii="Arial" w:hAnsi="Arial" w:cs="Arial"/>
        <w:noProof/>
      </w:rPr>
      <w:tab/>
    </w:r>
    <w:r w:rsidR="00496759">
      <w:rPr>
        <w:rFonts w:ascii="Arial" w:hAnsi="Arial" w:cs="Arial"/>
        <w:b/>
        <w:sz w:val="12"/>
      </w:rPr>
      <w:t>Adopted October</w:t>
    </w:r>
    <w:r w:rsidR="00496759" w:rsidRPr="001C5EBC">
      <w:rPr>
        <w:rFonts w:ascii="Arial" w:hAnsi="Arial" w:cs="Arial"/>
        <w:b/>
        <w:sz w:val="12"/>
      </w:rPr>
      <w:t xml:space="preserve"> 2013</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6759" w:rsidRPr="00226205" w:rsidRDefault="00ED394A" w:rsidP="006918D2">
    <w:pPr>
      <w:pStyle w:val="Footer"/>
      <w:tabs>
        <w:tab w:val="center" w:pos="7655"/>
        <w:tab w:val="right" w:pos="15309"/>
      </w:tabs>
      <w:jc w:val="both"/>
    </w:pPr>
    <w:sdt>
      <w:sdtPr>
        <w:id w:val="120580749"/>
        <w:docPartObj>
          <w:docPartGallery w:val="Page Numbers (Bottom of Page)"/>
          <w:docPartUnique/>
        </w:docPartObj>
      </w:sdtPr>
      <w:sdtEndPr>
        <w:rPr>
          <w:rFonts w:ascii="Arial" w:hAnsi="Arial" w:cs="Arial"/>
          <w:noProof/>
        </w:rPr>
      </w:sdtEndPr>
      <w:sdtContent>
        <w:r w:rsidR="00496759">
          <w:tab/>
        </w:r>
        <w:r w:rsidR="00496759">
          <w:rPr>
            <w:rFonts w:ascii="Arial" w:hAnsi="Arial" w:cs="Arial"/>
            <w:noProof/>
          </w:rPr>
          <w:tab/>
        </w:r>
      </w:sdtContent>
    </w:sdt>
    <w:r w:rsidR="00496759">
      <w:rPr>
        <w:rFonts w:ascii="Arial" w:hAnsi="Arial" w:cs="Arial"/>
        <w:b/>
        <w:sz w:val="12"/>
      </w:rPr>
      <w:t>Adopted October</w:t>
    </w:r>
    <w:r w:rsidR="00496759" w:rsidRPr="004A4481">
      <w:rPr>
        <w:rFonts w:ascii="Arial" w:hAnsi="Arial" w:cs="Arial"/>
        <w:b/>
        <w:sz w:val="12"/>
      </w:rPr>
      <w:t xml:space="preserve"> 2013</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6759" w:rsidRPr="00EB65F3" w:rsidRDefault="00ED394A" w:rsidP="00EB65F3">
    <w:pPr>
      <w:pStyle w:val="Footer"/>
      <w:tabs>
        <w:tab w:val="center" w:pos="7655"/>
        <w:tab w:val="right" w:pos="15026"/>
      </w:tabs>
      <w:jc w:val="both"/>
    </w:pPr>
    <w:sdt>
      <w:sdtPr>
        <w:id w:val="-2105951808"/>
        <w:docPartObj>
          <w:docPartGallery w:val="Page Numbers (Bottom of Page)"/>
          <w:docPartUnique/>
        </w:docPartObj>
      </w:sdtPr>
      <w:sdtEndPr>
        <w:rPr>
          <w:rFonts w:ascii="Arial" w:hAnsi="Arial" w:cs="Arial"/>
          <w:noProof/>
        </w:rPr>
      </w:sdtEndPr>
      <w:sdtContent>
        <w:r w:rsidR="00496759">
          <w:tab/>
        </w:r>
        <w:r w:rsidR="00496759">
          <w:rPr>
            <w:rFonts w:ascii="Arial" w:hAnsi="Arial" w:cs="Arial"/>
            <w:noProof/>
          </w:rPr>
          <w:tab/>
        </w:r>
      </w:sdtContent>
    </w:sdt>
    <w:r w:rsidR="00496759">
      <w:rPr>
        <w:rFonts w:ascii="Arial" w:hAnsi="Arial" w:cs="Arial"/>
        <w:b/>
        <w:sz w:val="12"/>
      </w:rPr>
      <w:t>Adopted October</w:t>
    </w:r>
    <w:r w:rsidR="00496759" w:rsidRPr="004A4481">
      <w:rPr>
        <w:rFonts w:ascii="Arial" w:hAnsi="Arial" w:cs="Arial"/>
        <w:b/>
        <w:sz w:val="12"/>
      </w:rPr>
      <w:t xml:space="preserve"> 2013</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6759" w:rsidRPr="00D012DC" w:rsidRDefault="00ED394A" w:rsidP="00D012DC">
    <w:pPr>
      <w:pStyle w:val="Footer"/>
      <w:tabs>
        <w:tab w:val="center" w:pos="4536"/>
        <w:tab w:val="right" w:pos="9072"/>
      </w:tabs>
      <w:jc w:val="both"/>
      <w:rPr>
        <w:rFonts w:ascii="Arial" w:hAnsi="Arial" w:cs="Arial"/>
      </w:rPr>
    </w:pPr>
    <w:sdt>
      <w:sdtPr>
        <w:id w:val="-212966095"/>
        <w:docPartObj>
          <w:docPartGallery w:val="Page Numbers (Bottom of Page)"/>
          <w:docPartUnique/>
        </w:docPartObj>
      </w:sdtPr>
      <w:sdtEndPr>
        <w:rPr>
          <w:rFonts w:ascii="Arial" w:hAnsi="Arial" w:cs="Arial"/>
          <w:noProof/>
        </w:rPr>
      </w:sdtEndPr>
      <w:sdtContent>
        <w:r w:rsidR="00496759" w:rsidRPr="001C5EBC">
          <w:tab/>
        </w:r>
        <w:r w:rsidR="00496759" w:rsidRPr="001C5EBC">
          <w:rPr>
            <w:rFonts w:ascii="Arial" w:hAnsi="Arial" w:cs="Arial"/>
            <w:noProof/>
          </w:rPr>
          <w:tab/>
        </w:r>
      </w:sdtContent>
    </w:sdt>
    <w:r w:rsidR="00496759">
      <w:rPr>
        <w:rFonts w:ascii="Arial" w:hAnsi="Arial" w:cs="Arial"/>
        <w:b/>
        <w:sz w:val="12"/>
      </w:rPr>
      <w:t>Adopted October</w:t>
    </w:r>
    <w:r w:rsidR="00496759" w:rsidRPr="001C5EBC">
      <w:rPr>
        <w:rFonts w:ascii="Arial" w:hAnsi="Arial" w:cs="Arial"/>
        <w:b/>
        <w:sz w:val="12"/>
      </w:rPr>
      <w:t xml:space="preserve"> 2013</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6759" w:rsidRPr="00EB65F3" w:rsidRDefault="00ED394A" w:rsidP="00496759">
    <w:pPr>
      <w:pStyle w:val="Footer"/>
      <w:tabs>
        <w:tab w:val="center" w:pos="7655"/>
        <w:tab w:val="right" w:pos="15026"/>
      </w:tabs>
      <w:jc w:val="both"/>
      <w:rPr>
        <w:rFonts w:ascii="Arial" w:hAnsi="Arial" w:cs="Arial"/>
      </w:rPr>
    </w:pPr>
    <w:sdt>
      <w:sdtPr>
        <w:id w:val="942729949"/>
        <w:docPartObj>
          <w:docPartGallery w:val="Page Numbers (Bottom of Page)"/>
          <w:docPartUnique/>
        </w:docPartObj>
      </w:sdtPr>
      <w:sdtEndPr>
        <w:rPr>
          <w:rFonts w:ascii="Arial" w:hAnsi="Arial" w:cs="Arial"/>
          <w:noProof/>
        </w:rPr>
      </w:sdtEndPr>
      <w:sdtContent>
        <w:r w:rsidR="00496759">
          <w:tab/>
        </w:r>
        <w:r w:rsidR="00496759">
          <w:rPr>
            <w:rFonts w:ascii="Arial" w:hAnsi="Arial" w:cs="Arial"/>
            <w:noProof/>
          </w:rPr>
          <w:tab/>
        </w:r>
      </w:sdtContent>
    </w:sdt>
    <w:r w:rsidR="00496759">
      <w:rPr>
        <w:rFonts w:ascii="Arial" w:hAnsi="Arial" w:cs="Arial"/>
        <w:b/>
        <w:sz w:val="12"/>
      </w:rPr>
      <w:t>Adopted October</w:t>
    </w:r>
    <w:r w:rsidR="00496759" w:rsidRPr="004A4481">
      <w:rPr>
        <w:rFonts w:ascii="Arial" w:hAnsi="Arial" w:cs="Arial"/>
        <w:b/>
        <w:sz w:val="12"/>
      </w:rPr>
      <w:t xml:space="preserve"> 2013</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D394A" w:rsidRDefault="00ED394A" w:rsidP="00E96F28">
      <w:pPr>
        <w:pStyle w:val="BodyText"/>
      </w:pPr>
      <w:r>
        <w:separator/>
      </w:r>
    </w:p>
  </w:footnote>
  <w:footnote w:type="continuationSeparator" w:id="0">
    <w:p w:rsidR="00ED394A" w:rsidRDefault="00ED394A" w:rsidP="00E96F28">
      <w:pPr>
        <w:pStyle w:val="BodyText"/>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072" w:type="dxa"/>
      <w:tblInd w:w="108" w:type="dxa"/>
      <w:tblBorders>
        <w:bottom w:val="single" w:sz="4" w:space="0" w:color="auto"/>
      </w:tblBorders>
      <w:tblLook w:val="0000" w:firstRow="0" w:lastRow="0" w:firstColumn="0" w:lastColumn="0" w:noHBand="0" w:noVBand="0"/>
    </w:tblPr>
    <w:tblGrid>
      <w:gridCol w:w="1088"/>
      <w:gridCol w:w="7984"/>
    </w:tblGrid>
    <w:tr w:rsidR="00496759" w:rsidRPr="004E0F3E" w:rsidTr="004E0F3E">
      <w:tc>
        <w:tcPr>
          <w:tcW w:w="1088" w:type="dxa"/>
        </w:tcPr>
        <w:p w:rsidR="00496759" w:rsidRPr="004E0F3E" w:rsidRDefault="00496759" w:rsidP="004E0F3E">
          <w:pPr>
            <w:pStyle w:val="Header"/>
            <w:rPr>
              <w:rFonts w:ascii="Arial" w:hAnsi="Arial" w:cs="Arial"/>
              <w:b w:val="0"/>
            </w:rPr>
          </w:pPr>
          <w:r w:rsidRPr="004E0F3E">
            <w:rPr>
              <w:rFonts w:ascii="Arial" w:hAnsi="Arial" w:cs="Arial"/>
              <w:b w:val="0"/>
              <w:sz w:val="20"/>
            </w:rPr>
            <w:object w:dxaOrig="4034" w:dyaOrig="35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style="width:43.5pt;height:37.5pt" o:ole="">
                <v:imagedata r:id="rId1" o:title=""/>
              </v:shape>
              <o:OLEObject Type="Embed" ProgID="PBrush" ShapeID="_x0000_i1037" DrawAspect="Content" ObjectID="_1607929764" r:id="rId2"/>
            </w:object>
          </w:r>
        </w:p>
      </w:tc>
      <w:tc>
        <w:tcPr>
          <w:tcW w:w="7984" w:type="dxa"/>
        </w:tcPr>
        <w:p w:rsidR="00496759" w:rsidRPr="004E0F3E" w:rsidRDefault="00496759" w:rsidP="004E0F3E">
          <w:pPr>
            <w:pStyle w:val="Header"/>
            <w:jc w:val="right"/>
            <w:rPr>
              <w:rFonts w:ascii="Arial" w:hAnsi="Arial" w:cs="Arial"/>
              <w:b w:val="0"/>
            </w:rPr>
          </w:pPr>
        </w:p>
        <w:p w:rsidR="00496759" w:rsidRPr="004E0F3E" w:rsidRDefault="00496759" w:rsidP="004E0F3E">
          <w:pPr>
            <w:pStyle w:val="Header"/>
            <w:tabs>
              <w:tab w:val="right" w:pos="9056"/>
            </w:tabs>
            <w:jc w:val="right"/>
            <w:rPr>
              <w:rFonts w:ascii="Arial" w:hAnsi="Arial" w:cs="Arial"/>
              <w:b w:val="0"/>
              <w:sz w:val="40"/>
              <w:szCs w:val="40"/>
            </w:rPr>
          </w:pPr>
          <w:r w:rsidRPr="004E0F3E">
            <w:rPr>
              <w:rFonts w:ascii="Arial" w:hAnsi="Arial" w:cs="Arial"/>
              <w:b w:val="0"/>
              <w:sz w:val="28"/>
              <w:szCs w:val="40"/>
            </w:rPr>
            <w:t>Building</w:t>
          </w:r>
          <w:r>
            <w:rPr>
              <w:rFonts w:ascii="Arial" w:hAnsi="Arial" w:cs="Arial"/>
              <w:b w:val="0"/>
              <w:sz w:val="28"/>
              <w:szCs w:val="40"/>
            </w:rPr>
            <w:t>s</w:t>
          </w:r>
          <w:r w:rsidRPr="004E0F3E">
            <w:rPr>
              <w:rFonts w:ascii="Arial" w:hAnsi="Arial" w:cs="Arial"/>
              <w:b w:val="0"/>
              <w:sz w:val="28"/>
              <w:szCs w:val="40"/>
            </w:rPr>
            <w:t xml:space="preserve"> </w:t>
          </w:r>
          <w:r>
            <w:rPr>
              <w:rFonts w:ascii="Arial" w:hAnsi="Arial" w:cs="Arial"/>
              <w:b w:val="0"/>
              <w:sz w:val="28"/>
              <w:szCs w:val="40"/>
            </w:rPr>
            <w:t xml:space="preserve">Asset </w:t>
          </w:r>
          <w:r w:rsidRPr="004E0F3E">
            <w:rPr>
              <w:rFonts w:ascii="Arial" w:hAnsi="Arial" w:cs="Arial"/>
              <w:b w:val="0"/>
              <w:sz w:val="28"/>
              <w:szCs w:val="40"/>
            </w:rPr>
            <w:t>Management Plan</w:t>
          </w:r>
        </w:p>
      </w:tc>
    </w:tr>
  </w:tbl>
  <w:p w:rsidR="00496759" w:rsidRPr="004E0F3E" w:rsidRDefault="00496759" w:rsidP="004E0F3E">
    <w:pPr>
      <w:pStyle w:val="Header"/>
      <w:spacing w:after="0"/>
      <w:rPr>
        <w:rFonts w:ascii="Arial" w:hAnsi="Arial" w:cs="Arial"/>
        <w:b w:val="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5026" w:type="dxa"/>
      <w:tblInd w:w="108" w:type="dxa"/>
      <w:tblBorders>
        <w:bottom w:val="single" w:sz="4" w:space="0" w:color="auto"/>
      </w:tblBorders>
      <w:tblLook w:val="0000" w:firstRow="0" w:lastRow="0" w:firstColumn="0" w:lastColumn="0" w:noHBand="0" w:noVBand="0"/>
    </w:tblPr>
    <w:tblGrid>
      <w:gridCol w:w="1092"/>
      <w:gridCol w:w="13934"/>
    </w:tblGrid>
    <w:tr w:rsidR="00496759" w:rsidRPr="004E0F3E" w:rsidTr="00DF1D3F">
      <w:tc>
        <w:tcPr>
          <w:tcW w:w="1092" w:type="dxa"/>
        </w:tcPr>
        <w:p w:rsidR="00496759" w:rsidRPr="004E0F3E" w:rsidRDefault="00496759" w:rsidP="004E0F3E">
          <w:pPr>
            <w:pStyle w:val="Header"/>
            <w:rPr>
              <w:rFonts w:ascii="Arial" w:hAnsi="Arial" w:cs="Arial"/>
              <w:b w:val="0"/>
            </w:rPr>
          </w:pPr>
          <w:r w:rsidRPr="004E0F3E">
            <w:rPr>
              <w:rFonts w:ascii="Arial" w:hAnsi="Arial" w:cs="Arial"/>
              <w:b w:val="0"/>
              <w:sz w:val="20"/>
            </w:rPr>
            <w:object w:dxaOrig="4034" w:dyaOrig="35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style="width:43.5pt;height:37.5pt" o:ole="">
                <v:imagedata r:id="rId1" o:title=""/>
              </v:shape>
              <o:OLEObject Type="Embed" ProgID="PBrush" ShapeID="_x0000_i1038" DrawAspect="Content" ObjectID="_1607929765" r:id="rId2"/>
            </w:object>
          </w:r>
        </w:p>
      </w:tc>
      <w:tc>
        <w:tcPr>
          <w:tcW w:w="13934" w:type="dxa"/>
        </w:tcPr>
        <w:p w:rsidR="00496759" w:rsidRPr="004E0F3E" w:rsidRDefault="00496759" w:rsidP="004E0F3E">
          <w:pPr>
            <w:pStyle w:val="Header"/>
            <w:jc w:val="right"/>
            <w:rPr>
              <w:rFonts w:ascii="Arial" w:hAnsi="Arial" w:cs="Arial"/>
              <w:b w:val="0"/>
            </w:rPr>
          </w:pPr>
        </w:p>
        <w:p w:rsidR="00496759" w:rsidRPr="004E0F3E" w:rsidRDefault="00496759" w:rsidP="004E0F3E">
          <w:pPr>
            <w:pStyle w:val="Header"/>
            <w:tabs>
              <w:tab w:val="right" w:pos="9056"/>
            </w:tabs>
            <w:jc w:val="right"/>
            <w:rPr>
              <w:rFonts w:ascii="Arial" w:hAnsi="Arial" w:cs="Arial"/>
              <w:b w:val="0"/>
              <w:sz w:val="40"/>
              <w:szCs w:val="40"/>
            </w:rPr>
          </w:pPr>
          <w:r w:rsidRPr="004E0F3E">
            <w:rPr>
              <w:rFonts w:ascii="Arial" w:hAnsi="Arial" w:cs="Arial"/>
              <w:b w:val="0"/>
              <w:sz w:val="28"/>
              <w:szCs w:val="40"/>
            </w:rPr>
            <w:t>Building</w:t>
          </w:r>
          <w:r>
            <w:rPr>
              <w:rFonts w:ascii="Arial" w:hAnsi="Arial" w:cs="Arial"/>
              <w:b w:val="0"/>
              <w:sz w:val="28"/>
              <w:szCs w:val="40"/>
            </w:rPr>
            <w:t>s</w:t>
          </w:r>
          <w:r w:rsidRPr="004E0F3E">
            <w:rPr>
              <w:rFonts w:ascii="Arial" w:hAnsi="Arial" w:cs="Arial"/>
              <w:b w:val="0"/>
              <w:sz w:val="28"/>
              <w:szCs w:val="40"/>
            </w:rPr>
            <w:t xml:space="preserve"> </w:t>
          </w:r>
          <w:r>
            <w:rPr>
              <w:rFonts w:ascii="Arial" w:hAnsi="Arial" w:cs="Arial"/>
              <w:b w:val="0"/>
              <w:sz w:val="28"/>
              <w:szCs w:val="40"/>
            </w:rPr>
            <w:t xml:space="preserve">Asset </w:t>
          </w:r>
          <w:r w:rsidRPr="004E0F3E">
            <w:rPr>
              <w:rFonts w:ascii="Arial" w:hAnsi="Arial" w:cs="Arial"/>
              <w:b w:val="0"/>
              <w:sz w:val="28"/>
              <w:szCs w:val="40"/>
            </w:rPr>
            <w:t>Management Plan</w:t>
          </w:r>
        </w:p>
      </w:tc>
    </w:tr>
  </w:tbl>
  <w:p w:rsidR="00496759" w:rsidRPr="004E0F3E" w:rsidRDefault="00496759" w:rsidP="004E0F3E">
    <w:pPr>
      <w:pStyle w:val="Header"/>
      <w:spacing w:after="0"/>
      <w:rPr>
        <w:rFonts w:ascii="Arial" w:hAnsi="Arial" w:cs="Arial"/>
        <w:b w:val="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072" w:type="dxa"/>
      <w:tblInd w:w="108" w:type="dxa"/>
      <w:tblBorders>
        <w:bottom w:val="single" w:sz="4" w:space="0" w:color="auto"/>
      </w:tblBorders>
      <w:tblLook w:val="0000" w:firstRow="0" w:lastRow="0" w:firstColumn="0" w:lastColumn="0" w:noHBand="0" w:noVBand="0"/>
    </w:tblPr>
    <w:tblGrid>
      <w:gridCol w:w="1088"/>
      <w:gridCol w:w="7984"/>
    </w:tblGrid>
    <w:tr w:rsidR="00496759" w:rsidRPr="004E0F3E" w:rsidTr="004E0F3E">
      <w:tc>
        <w:tcPr>
          <w:tcW w:w="1088" w:type="dxa"/>
        </w:tcPr>
        <w:p w:rsidR="00496759" w:rsidRPr="004E0F3E" w:rsidRDefault="00496759" w:rsidP="004E0F3E">
          <w:pPr>
            <w:pStyle w:val="Header"/>
            <w:rPr>
              <w:rFonts w:ascii="Arial" w:hAnsi="Arial" w:cs="Arial"/>
              <w:b w:val="0"/>
            </w:rPr>
          </w:pPr>
          <w:r w:rsidRPr="004E0F3E">
            <w:rPr>
              <w:rFonts w:ascii="Arial" w:hAnsi="Arial" w:cs="Arial"/>
              <w:b w:val="0"/>
              <w:sz w:val="20"/>
            </w:rPr>
            <w:object w:dxaOrig="4034" w:dyaOrig="35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9" type="#_x0000_t75" style="width:43.5pt;height:37.5pt" o:ole="">
                <v:imagedata r:id="rId1" o:title=""/>
              </v:shape>
              <o:OLEObject Type="Embed" ProgID="PBrush" ShapeID="_x0000_i1039" DrawAspect="Content" ObjectID="_1607929766" r:id="rId2"/>
            </w:object>
          </w:r>
        </w:p>
      </w:tc>
      <w:tc>
        <w:tcPr>
          <w:tcW w:w="7984" w:type="dxa"/>
        </w:tcPr>
        <w:p w:rsidR="00496759" w:rsidRPr="004E0F3E" w:rsidRDefault="00496759" w:rsidP="004E0F3E">
          <w:pPr>
            <w:pStyle w:val="Header"/>
            <w:jc w:val="right"/>
            <w:rPr>
              <w:rFonts w:ascii="Arial" w:hAnsi="Arial" w:cs="Arial"/>
              <w:b w:val="0"/>
            </w:rPr>
          </w:pPr>
        </w:p>
        <w:p w:rsidR="00496759" w:rsidRPr="004E0F3E" w:rsidRDefault="00496759" w:rsidP="004E0F3E">
          <w:pPr>
            <w:pStyle w:val="Header"/>
            <w:tabs>
              <w:tab w:val="right" w:pos="9056"/>
            </w:tabs>
            <w:jc w:val="right"/>
            <w:rPr>
              <w:rFonts w:ascii="Arial" w:hAnsi="Arial" w:cs="Arial"/>
              <w:b w:val="0"/>
              <w:sz w:val="40"/>
              <w:szCs w:val="40"/>
            </w:rPr>
          </w:pPr>
          <w:r w:rsidRPr="004E0F3E">
            <w:rPr>
              <w:rFonts w:ascii="Arial" w:hAnsi="Arial" w:cs="Arial"/>
              <w:b w:val="0"/>
              <w:sz w:val="28"/>
              <w:szCs w:val="40"/>
            </w:rPr>
            <w:t>Building</w:t>
          </w:r>
          <w:r>
            <w:rPr>
              <w:rFonts w:ascii="Arial" w:hAnsi="Arial" w:cs="Arial"/>
              <w:b w:val="0"/>
              <w:sz w:val="28"/>
              <w:szCs w:val="40"/>
            </w:rPr>
            <w:t>s</w:t>
          </w:r>
          <w:r w:rsidRPr="004E0F3E">
            <w:rPr>
              <w:rFonts w:ascii="Arial" w:hAnsi="Arial" w:cs="Arial"/>
              <w:b w:val="0"/>
              <w:sz w:val="28"/>
              <w:szCs w:val="40"/>
            </w:rPr>
            <w:t xml:space="preserve"> </w:t>
          </w:r>
          <w:r>
            <w:rPr>
              <w:rFonts w:ascii="Arial" w:hAnsi="Arial" w:cs="Arial"/>
              <w:b w:val="0"/>
              <w:sz w:val="28"/>
              <w:szCs w:val="40"/>
            </w:rPr>
            <w:t xml:space="preserve">Asset </w:t>
          </w:r>
          <w:r w:rsidRPr="004E0F3E">
            <w:rPr>
              <w:rFonts w:ascii="Arial" w:hAnsi="Arial" w:cs="Arial"/>
              <w:b w:val="0"/>
              <w:sz w:val="28"/>
              <w:szCs w:val="40"/>
            </w:rPr>
            <w:t>Management Plan</w:t>
          </w:r>
        </w:p>
      </w:tc>
    </w:tr>
  </w:tbl>
  <w:p w:rsidR="00496759" w:rsidRPr="004E0F3E" w:rsidRDefault="00496759" w:rsidP="004E0F3E">
    <w:pPr>
      <w:pStyle w:val="Header"/>
      <w:spacing w:after="0"/>
      <w:rPr>
        <w:rFonts w:ascii="Arial" w:hAnsi="Arial" w:cs="Arial"/>
        <w:b w:val="0"/>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5309" w:type="dxa"/>
      <w:tblInd w:w="108" w:type="dxa"/>
      <w:tblBorders>
        <w:bottom w:val="single" w:sz="4" w:space="0" w:color="auto"/>
      </w:tblBorders>
      <w:tblLook w:val="0000" w:firstRow="0" w:lastRow="0" w:firstColumn="0" w:lastColumn="0" w:noHBand="0" w:noVBand="0"/>
    </w:tblPr>
    <w:tblGrid>
      <w:gridCol w:w="1092"/>
      <w:gridCol w:w="14217"/>
    </w:tblGrid>
    <w:tr w:rsidR="00496759" w:rsidRPr="004E0F3E" w:rsidTr="006918D2">
      <w:tc>
        <w:tcPr>
          <w:tcW w:w="1092" w:type="dxa"/>
        </w:tcPr>
        <w:p w:rsidR="00496759" w:rsidRPr="004E0F3E" w:rsidRDefault="00496759" w:rsidP="00226205">
          <w:pPr>
            <w:pStyle w:val="Header"/>
            <w:rPr>
              <w:rFonts w:ascii="Arial" w:hAnsi="Arial" w:cs="Arial"/>
              <w:b w:val="0"/>
            </w:rPr>
          </w:pPr>
          <w:r w:rsidRPr="004E0F3E">
            <w:rPr>
              <w:rFonts w:ascii="Arial" w:hAnsi="Arial" w:cs="Arial"/>
              <w:b w:val="0"/>
              <w:sz w:val="20"/>
            </w:rPr>
            <w:object w:dxaOrig="4034" w:dyaOrig="35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0" type="#_x0000_t75" style="width:43.5pt;height:37.5pt" o:ole="">
                <v:imagedata r:id="rId1" o:title=""/>
              </v:shape>
              <o:OLEObject Type="Embed" ProgID="PBrush" ShapeID="_x0000_i1040" DrawAspect="Content" ObjectID="_1607929767" r:id="rId2"/>
            </w:object>
          </w:r>
        </w:p>
      </w:tc>
      <w:tc>
        <w:tcPr>
          <w:tcW w:w="14217" w:type="dxa"/>
        </w:tcPr>
        <w:p w:rsidR="00496759" w:rsidRPr="004E0F3E" w:rsidRDefault="00496759" w:rsidP="00226205">
          <w:pPr>
            <w:pStyle w:val="Header"/>
            <w:jc w:val="right"/>
            <w:rPr>
              <w:rFonts w:ascii="Arial" w:hAnsi="Arial" w:cs="Arial"/>
              <w:b w:val="0"/>
            </w:rPr>
          </w:pPr>
        </w:p>
        <w:p w:rsidR="00496759" w:rsidRPr="004E0F3E" w:rsidRDefault="00496759" w:rsidP="00226205">
          <w:pPr>
            <w:pStyle w:val="Header"/>
            <w:tabs>
              <w:tab w:val="right" w:pos="9056"/>
            </w:tabs>
            <w:jc w:val="right"/>
            <w:rPr>
              <w:rFonts w:ascii="Arial" w:hAnsi="Arial" w:cs="Arial"/>
              <w:b w:val="0"/>
              <w:sz w:val="40"/>
              <w:szCs w:val="40"/>
            </w:rPr>
          </w:pPr>
          <w:r w:rsidRPr="004E0F3E">
            <w:rPr>
              <w:rFonts w:ascii="Arial" w:hAnsi="Arial" w:cs="Arial"/>
              <w:b w:val="0"/>
              <w:sz w:val="28"/>
              <w:szCs w:val="40"/>
            </w:rPr>
            <w:t>Building</w:t>
          </w:r>
          <w:r>
            <w:rPr>
              <w:rFonts w:ascii="Arial" w:hAnsi="Arial" w:cs="Arial"/>
              <w:b w:val="0"/>
              <w:sz w:val="28"/>
              <w:szCs w:val="40"/>
            </w:rPr>
            <w:t>s</w:t>
          </w:r>
          <w:r w:rsidRPr="004E0F3E">
            <w:rPr>
              <w:rFonts w:ascii="Arial" w:hAnsi="Arial" w:cs="Arial"/>
              <w:b w:val="0"/>
              <w:sz w:val="28"/>
              <w:szCs w:val="40"/>
            </w:rPr>
            <w:t xml:space="preserve"> </w:t>
          </w:r>
          <w:r>
            <w:rPr>
              <w:rFonts w:ascii="Arial" w:hAnsi="Arial" w:cs="Arial"/>
              <w:b w:val="0"/>
              <w:sz w:val="28"/>
              <w:szCs w:val="40"/>
            </w:rPr>
            <w:t xml:space="preserve">Asset </w:t>
          </w:r>
          <w:r w:rsidRPr="004E0F3E">
            <w:rPr>
              <w:rFonts w:ascii="Arial" w:hAnsi="Arial" w:cs="Arial"/>
              <w:b w:val="0"/>
              <w:sz w:val="28"/>
              <w:szCs w:val="40"/>
            </w:rPr>
            <w:t>Management Plan</w:t>
          </w:r>
        </w:p>
      </w:tc>
    </w:tr>
  </w:tbl>
  <w:p w:rsidR="00496759" w:rsidRPr="004E0F3E" w:rsidRDefault="00496759" w:rsidP="00226205">
    <w:pPr>
      <w:pStyle w:val="Header"/>
      <w:spacing w:after="0"/>
      <w:rPr>
        <w:rFonts w:ascii="Arial" w:hAnsi="Arial" w:cs="Arial"/>
        <w:b w:val="0"/>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5026" w:type="dxa"/>
      <w:tblInd w:w="108" w:type="dxa"/>
      <w:tblBorders>
        <w:bottom w:val="single" w:sz="4" w:space="0" w:color="auto"/>
      </w:tblBorders>
      <w:tblLook w:val="0000" w:firstRow="0" w:lastRow="0" w:firstColumn="0" w:lastColumn="0" w:noHBand="0" w:noVBand="0"/>
    </w:tblPr>
    <w:tblGrid>
      <w:gridCol w:w="1092"/>
      <w:gridCol w:w="13934"/>
    </w:tblGrid>
    <w:tr w:rsidR="00496759" w:rsidRPr="004E0F3E" w:rsidTr="00B64C8D">
      <w:tc>
        <w:tcPr>
          <w:tcW w:w="1092" w:type="dxa"/>
        </w:tcPr>
        <w:p w:rsidR="00496759" w:rsidRPr="004E0F3E" w:rsidRDefault="00496759" w:rsidP="00B64C8D">
          <w:pPr>
            <w:pStyle w:val="Header"/>
            <w:rPr>
              <w:rFonts w:ascii="Arial" w:hAnsi="Arial" w:cs="Arial"/>
              <w:b w:val="0"/>
            </w:rPr>
          </w:pPr>
          <w:r w:rsidRPr="004E0F3E">
            <w:rPr>
              <w:rFonts w:ascii="Arial" w:hAnsi="Arial" w:cs="Arial"/>
              <w:b w:val="0"/>
              <w:sz w:val="20"/>
            </w:rPr>
            <w:object w:dxaOrig="4034" w:dyaOrig="35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1" type="#_x0000_t75" style="width:43.5pt;height:37.5pt" o:ole="">
                <v:imagedata r:id="rId1" o:title=""/>
              </v:shape>
              <o:OLEObject Type="Embed" ProgID="PBrush" ShapeID="_x0000_i1041" DrawAspect="Content" ObjectID="_1607929768" r:id="rId2"/>
            </w:object>
          </w:r>
        </w:p>
      </w:tc>
      <w:tc>
        <w:tcPr>
          <w:tcW w:w="13934" w:type="dxa"/>
        </w:tcPr>
        <w:p w:rsidR="00496759" w:rsidRPr="004E0F3E" w:rsidRDefault="00496759" w:rsidP="00B64C8D">
          <w:pPr>
            <w:pStyle w:val="Header"/>
            <w:jc w:val="right"/>
            <w:rPr>
              <w:rFonts w:ascii="Arial" w:hAnsi="Arial" w:cs="Arial"/>
              <w:b w:val="0"/>
            </w:rPr>
          </w:pPr>
        </w:p>
        <w:p w:rsidR="00496759" w:rsidRPr="004E0F3E" w:rsidRDefault="00496759" w:rsidP="00B64C8D">
          <w:pPr>
            <w:pStyle w:val="Header"/>
            <w:tabs>
              <w:tab w:val="right" w:pos="9056"/>
            </w:tabs>
            <w:jc w:val="right"/>
            <w:rPr>
              <w:rFonts w:ascii="Arial" w:hAnsi="Arial" w:cs="Arial"/>
              <w:b w:val="0"/>
              <w:sz w:val="40"/>
              <w:szCs w:val="40"/>
            </w:rPr>
          </w:pPr>
          <w:r w:rsidRPr="004E0F3E">
            <w:rPr>
              <w:rFonts w:ascii="Arial" w:hAnsi="Arial" w:cs="Arial"/>
              <w:b w:val="0"/>
              <w:sz w:val="28"/>
              <w:szCs w:val="40"/>
            </w:rPr>
            <w:t>Building</w:t>
          </w:r>
          <w:r>
            <w:rPr>
              <w:rFonts w:ascii="Arial" w:hAnsi="Arial" w:cs="Arial"/>
              <w:b w:val="0"/>
              <w:sz w:val="28"/>
              <w:szCs w:val="40"/>
            </w:rPr>
            <w:t>s</w:t>
          </w:r>
          <w:r w:rsidRPr="004E0F3E">
            <w:rPr>
              <w:rFonts w:ascii="Arial" w:hAnsi="Arial" w:cs="Arial"/>
              <w:b w:val="0"/>
              <w:sz w:val="28"/>
              <w:szCs w:val="40"/>
            </w:rPr>
            <w:t xml:space="preserve"> </w:t>
          </w:r>
          <w:r>
            <w:rPr>
              <w:rFonts w:ascii="Arial" w:hAnsi="Arial" w:cs="Arial"/>
              <w:b w:val="0"/>
              <w:sz w:val="28"/>
              <w:szCs w:val="40"/>
            </w:rPr>
            <w:t xml:space="preserve">Asset </w:t>
          </w:r>
          <w:r w:rsidRPr="004E0F3E">
            <w:rPr>
              <w:rFonts w:ascii="Arial" w:hAnsi="Arial" w:cs="Arial"/>
              <w:b w:val="0"/>
              <w:sz w:val="28"/>
              <w:szCs w:val="40"/>
            </w:rPr>
            <w:t>Management Plan</w:t>
          </w:r>
        </w:p>
      </w:tc>
    </w:tr>
  </w:tbl>
  <w:p w:rsidR="00496759" w:rsidRPr="004E0F3E" w:rsidRDefault="00496759" w:rsidP="00EB65F3">
    <w:pPr>
      <w:pStyle w:val="Header"/>
      <w:spacing w:after="0"/>
      <w:rPr>
        <w:rFonts w:ascii="Arial" w:hAnsi="Arial" w:cs="Arial"/>
        <w:b w:val="0"/>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072" w:type="dxa"/>
      <w:tblInd w:w="108" w:type="dxa"/>
      <w:tblBorders>
        <w:bottom w:val="single" w:sz="4" w:space="0" w:color="auto"/>
      </w:tblBorders>
      <w:tblLook w:val="0000" w:firstRow="0" w:lastRow="0" w:firstColumn="0" w:lastColumn="0" w:noHBand="0" w:noVBand="0"/>
    </w:tblPr>
    <w:tblGrid>
      <w:gridCol w:w="1088"/>
      <w:gridCol w:w="7984"/>
    </w:tblGrid>
    <w:tr w:rsidR="00496759" w:rsidRPr="004E0F3E" w:rsidTr="00B64C8D">
      <w:tc>
        <w:tcPr>
          <w:tcW w:w="1088" w:type="dxa"/>
        </w:tcPr>
        <w:p w:rsidR="00496759" w:rsidRPr="004E0F3E" w:rsidRDefault="00496759" w:rsidP="00B64C8D">
          <w:pPr>
            <w:pStyle w:val="Header"/>
            <w:rPr>
              <w:rFonts w:ascii="Arial" w:hAnsi="Arial" w:cs="Arial"/>
              <w:b w:val="0"/>
            </w:rPr>
          </w:pPr>
          <w:r w:rsidRPr="004E0F3E">
            <w:rPr>
              <w:rFonts w:ascii="Arial" w:hAnsi="Arial" w:cs="Arial"/>
              <w:b w:val="0"/>
              <w:sz w:val="20"/>
            </w:rPr>
            <w:object w:dxaOrig="4034" w:dyaOrig="35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2" type="#_x0000_t75" style="width:43.5pt;height:37.5pt" o:ole="">
                <v:imagedata r:id="rId1" o:title=""/>
              </v:shape>
              <o:OLEObject Type="Embed" ProgID="PBrush" ShapeID="_x0000_i1042" DrawAspect="Content" ObjectID="_1607929769" r:id="rId2"/>
            </w:object>
          </w:r>
        </w:p>
      </w:tc>
      <w:tc>
        <w:tcPr>
          <w:tcW w:w="7984" w:type="dxa"/>
        </w:tcPr>
        <w:p w:rsidR="00496759" w:rsidRPr="004E0F3E" w:rsidRDefault="00496759" w:rsidP="00CC75F2">
          <w:pPr>
            <w:pStyle w:val="Header"/>
            <w:tabs>
              <w:tab w:val="left" w:pos="5440"/>
            </w:tabs>
            <w:jc w:val="both"/>
            <w:rPr>
              <w:rFonts w:ascii="Arial" w:hAnsi="Arial" w:cs="Arial"/>
              <w:b w:val="0"/>
            </w:rPr>
          </w:pPr>
          <w:r>
            <w:rPr>
              <w:rFonts w:ascii="Arial" w:hAnsi="Arial" w:cs="Arial"/>
              <w:b w:val="0"/>
            </w:rPr>
            <w:tab/>
          </w:r>
          <w:r>
            <w:rPr>
              <w:rFonts w:ascii="Arial" w:hAnsi="Arial" w:cs="Arial"/>
              <w:b w:val="0"/>
            </w:rPr>
            <w:tab/>
          </w:r>
        </w:p>
        <w:p w:rsidR="00496759" w:rsidRPr="004E0F3E" w:rsidRDefault="00496759" w:rsidP="00B64C8D">
          <w:pPr>
            <w:pStyle w:val="Header"/>
            <w:tabs>
              <w:tab w:val="right" w:pos="9056"/>
            </w:tabs>
            <w:jc w:val="right"/>
            <w:rPr>
              <w:rFonts w:ascii="Arial" w:hAnsi="Arial" w:cs="Arial"/>
              <w:b w:val="0"/>
              <w:sz w:val="40"/>
              <w:szCs w:val="40"/>
            </w:rPr>
          </w:pPr>
          <w:r w:rsidRPr="004E0F3E">
            <w:rPr>
              <w:rFonts w:ascii="Arial" w:hAnsi="Arial" w:cs="Arial"/>
              <w:b w:val="0"/>
              <w:sz w:val="28"/>
              <w:szCs w:val="40"/>
            </w:rPr>
            <w:t>Building</w:t>
          </w:r>
          <w:r>
            <w:rPr>
              <w:rFonts w:ascii="Arial" w:hAnsi="Arial" w:cs="Arial"/>
              <w:b w:val="0"/>
              <w:sz w:val="28"/>
              <w:szCs w:val="40"/>
            </w:rPr>
            <w:t>s</w:t>
          </w:r>
          <w:r w:rsidRPr="004E0F3E">
            <w:rPr>
              <w:rFonts w:ascii="Arial" w:hAnsi="Arial" w:cs="Arial"/>
              <w:b w:val="0"/>
              <w:sz w:val="28"/>
              <w:szCs w:val="40"/>
            </w:rPr>
            <w:t xml:space="preserve"> </w:t>
          </w:r>
          <w:r>
            <w:rPr>
              <w:rFonts w:ascii="Arial" w:hAnsi="Arial" w:cs="Arial"/>
              <w:b w:val="0"/>
              <w:sz w:val="28"/>
              <w:szCs w:val="40"/>
            </w:rPr>
            <w:t xml:space="preserve">Asset </w:t>
          </w:r>
          <w:r w:rsidRPr="004E0F3E">
            <w:rPr>
              <w:rFonts w:ascii="Arial" w:hAnsi="Arial" w:cs="Arial"/>
              <w:b w:val="0"/>
              <w:sz w:val="28"/>
              <w:szCs w:val="40"/>
            </w:rPr>
            <w:t>Management Plan</w:t>
          </w:r>
        </w:p>
      </w:tc>
    </w:tr>
  </w:tbl>
  <w:p w:rsidR="00496759" w:rsidRPr="004E0F3E" w:rsidRDefault="00496759" w:rsidP="00EB65F3">
    <w:pPr>
      <w:pStyle w:val="Header"/>
      <w:spacing w:after="0"/>
      <w:rPr>
        <w:rFonts w:ascii="Arial" w:hAnsi="Arial" w:cs="Arial"/>
        <w:b w:val="0"/>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5026" w:type="dxa"/>
      <w:tblInd w:w="108" w:type="dxa"/>
      <w:tblBorders>
        <w:bottom w:val="single" w:sz="4" w:space="0" w:color="auto"/>
      </w:tblBorders>
      <w:tblLook w:val="0000" w:firstRow="0" w:lastRow="0" w:firstColumn="0" w:lastColumn="0" w:noHBand="0" w:noVBand="0"/>
    </w:tblPr>
    <w:tblGrid>
      <w:gridCol w:w="1092"/>
      <w:gridCol w:w="13934"/>
    </w:tblGrid>
    <w:tr w:rsidR="00496759" w:rsidRPr="004E0F3E" w:rsidTr="00CC75F2">
      <w:tc>
        <w:tcPr>
          <w:tcW w:w="1092" w:type="dxa"/>
        </w:tcPr>
        <w:p w:rsidR="00496759" w:rsidRPr="004E0F3E" w:rsidRDefault="00496759" w:rsidP="00CC75F2">
          <w:pPr>
            <w:pStyle w:val="Header"/>
            <w:rPr>
              <w:rFonts w:ascii="Arial" w:hAnsi="Arial" w:cs="Arial"/>
              <w:b w:val="0"/>
            </w:rPr>
          </w:pPr>
          <w:r w:rsidRPr="004E0F3E">
            <w:rPr>
              <w:rFonts w:ascii="Arial" w:hAnsi="Arial" w:cs="Arial"/>
              <w:b w:val="0"/>
              <w:sz w:val="20"/>
            </w:rPr>
            <w:object w:dxaOrig="4034" w:dyaOrig="35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3" type="#_x0000_t75" style="width:43.5pt;height:37.5pt" o:ole="">
                <v:imagedata r:id="rId1" o:title=""/>
              </v:shape>
              <o:OLEObject Type="Embed" ProgID="PBrush" ShapeID="_x0000_i1043" DrawAspect="Content" ObjectID="_1607929770" r:id="rId2"/>
            </w:object>
          </w:r>
        </w:p>
      </w:tc>
      <w:tc>
        <w:tcPr>
          <w:tcW w:w="13934" w:type="dxa"/>
        </w:tcPr>
        <w:p w:rsidR="00496759" w:rsidRPr="004E0F3E" w:rsidRDefault="00496759" w:rsidP="00CC75F2">
          <w:pPr>
            <w:pStyle w:val="Header"/>
            <w:jc w:val="right"/>
            <w:rPr>
              <w:rFonts w:ascii="Arial" w:hAnsi="Arial" w:cs="Arial"/>
              <w:b w:val="0"/>
            </w:rPr>
          </w:pPr>
        </w:p>
        <w:p w:rsidR="00496759" w:rsidRPr="004E0F3E" w:rsidRDefault="00496759" w:rsidP="00CC75F2">
          <w:pPr>
            <w:pStyle w:val="Header"/>
            <w:tabs>
              <w:tab w:val="right" w:pos="9056"/>
            </w:tabs>
            <w:jc w:val="right"/>
            <w:rPr>
              <w:rFonts w:ascii="Arial" w:hAnsi="Arial" w:cs="Arial"/>
              <w:b w:val="0"/>
              <w:sz w:val="40"/>
              <w:szCs w:val="40"/>
            </w:rPr>
          </w:pPr>
          <w:r w:rsidRPr="004E0F3E">
            <w:rPr>
              <w:rFonts w:ascii="Arial" w:hAnsi="Arial" w:cs="Arial"/>
              <w:b w:val="0"/>
              <w:sz w:val="28"/>
              <w:szCs w:val="40"/>
            </w:rPr>
            <w:t>Building</w:t>
          </w:r>
          <w:r>
            <w:rPr>
              <w:rFonts w:ascii="Arial" w:hAnsi="Arial" w:cs="Arial"/>
              <w:b w:val="0"/>
              <w:sz w:val="28"/>
              <w:szCs w:val="40"/>
            </w:rPr>
            <w:t>s</w:t>
          </w:r>
          <w:r w:rsidRPr="004E0F3E">
            <w:rPr>
              <w:rFonts w:ascii="Arial" w:hAnsi="Arial" w:cs="Arial"/>
              <w:b w:val="0"/>
              <w:sz w:val="28"/>
              <w:szCs w:val="40"/>
            </w:rPr>
            <w:t xml:space="preserve"> </w:t>
          </w:r>
          <w:r>
            <w:rPr>
              <w:rFonts w:ascii="Arial" w:hAnsi="Arial" w:cs="Arial"/>
              <w:b w:val="0"/>
              <w:sz w:val="28"/>
              <w:szCs w:val="40"/>
            </w:rPr>
            <w:t xml:space="preserve">Asset </w:t>
          </w:r>
          <w:r w:rsidRPr="004E0F3E">
            <w:rPr>
              <w:rFonts w:ascii="Arial" w:hAnsi="Arial" w:cs="Arial"/>
              <w:b w:val="0"/>
              <w:sz w:val="28"/>
              <w:szCs w:val="40"/>
            </w:rPr>
            <w:t>Management Plan</w:t>
          </w:r>
        </w:p>
      </w:tc>
    </w:tr>
  </w:tbl>
  <w:p w:rsidR="00496759" w:rsidRPr="004E0F3E" w:rsidRDefault="00496759" w:rsidP="00CC75F2">
    <w:pPr>
      <w:pStyle w:val="Header"/>
      <w:spacing w:after="0"/>
      <w:rPr>
        <w:rFonts w:ascii="Arial" w:hAnsi="Arial" w:cs="Arial"/>
        <w:b w:val="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05A6290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0FD82B84"/>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9376B62E"/>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3E0EF122"/>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7CE4AD1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7725168"/>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F72C2B2"/>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6E6D9EA"/>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8EA027A"/>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57F834D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765F4E"/>
    <w:multiLevelType w:val="hybridMultilevel"/>
    <w:tmpl w:val="F9D85B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0A31F19"/>
    <w:multiLevelType w:val="hybridMultilevel"/>
    <w:tmpl w:val="9794A4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2145D30"/>
    <w:multiLevelType w:val="hybridMultilevel"/>
    <w:tmpl w:val="ED8821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46F53B0"/>
    <w:multiLevelType w:val="hybridMultilevel"/>
    <w:tmpl w:val="85F459C6"/>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4" w15:restartNumberingAfterBreak="0">
    <w:nsid w:val="05652FF8"/>
    <w:multiLevelType w:val="hybridMultilevel"/>
    <w:tmpl w:val="D8D63D3C"/>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5" w15:restartNumberingAfterBreak="0">
    <w:nsid w:val="05A12371"/>
    <w:multiLevelType w:val="hybridMultilevel"/>
    <w:tmpl w:val="E282264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6" w15:restartNumberingAfterBreak="0">
    <w:nsid w:val="07FE51D1"/>
    <w:multiLevelType w:val="hybridMultilevel"/>
    <w:tmpl w:val="0016B95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7" w15:restartNumberingAfterBreak="0">
    <w:nsid w:val="08683FC4"/>
    <w:multiLevelType w:val="hybridMultilevel"/>
    <w:tmpl w:val="C5888316"/>
    <w:lvl w:ilvl="0" w:tplc="D6680944">
      <w:start w:val="1"/>
      <w:numFmt w:val="bullet"/>
      <w:pStyle w:val="TableBulletSecondLevel"/>
      <w:lvlText w:val=""/>
      <w:lvlJc w:val="left"/>
      <w:pPr>
        <w:tabs>
          <w:tab w:val="num" w:pos="567"/>
        </w:tabs>
        <w:ind w:left="567" w:hanging="283"/>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Symbo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Symbol"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Symbol"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0A773B76"/>
    <w:multiLevelType w:val="hybridMultilevel"/>
    <w:tmpl w:val="CB06216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9" w15:restartNumberingAfterBreak="0">
    <w:nsid w:val="10A4222F"/>
    <w:multiLevelType w:val="hybridMultilevel"/>
    <w:tmpl w:val="4DBA50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125612D1"/>
    <w:multiLevelType w:val="hybridMultilevel"/>
    <w:tmpl w:val="23D4F0F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14441A80"/>
    <w:multiLevelType w:val="hybridMultilevel"/>
    <w:tmpl w:val="9DFE946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2" w15:restartNumberingAfterBreak="0">
    <w:nsid w:val="145F2D65"/>
    <w:multiLevelType w:val="hybridMultilevel"/>
    <w:tmpl w:val="E35CCF9C"/>
    <w:lvl w:ilvl="0" w:tplc="325077CA">
      <w:start w:val="1"/>
      <w:numFmt w:val="bullet"/>
      <w:pStyle w:val="BulletSecondLevel"/>
      <w:lvlText w:val=""/>
      <w:lvlJc w:val="left"/>
      <w:pPr>
        <w:tabs>
          <w:tab w:val="num" w:pos="1741"/>
        </w:tabs>
        <w:ind w:left="1741" w:hanging="284"/>
      </w:pPr>
      <w:rPr>
        <w:rFonts w:ascii="Symbol" w:hAnsi="Symbol" w:hint="default"/>
      </w:rPr>
    </w:lvl>
    <w:lvl w:ilvl="1" w:tplc="0C090003">
      <w:start w:val="1"/>
      <w:numFmt w:val="bullet"/>
      <w:lvlText w:val="o"/>
      <w:lvlJc w:val="left"/>
      <w:pPr>
        <w:tabs>
          <w:tab w:val="num" w:pos="1440"/>
        </w:tabs>
        <w:ind w:left="1440" w:hanging="360"/>
      </w:pPr>
      <w:rPr>
        <w:rFonts w:ascii="Courier New" w:hAnsi="Courier New" w:cs="Symbol" w:hint="default"/>
      </w:rPr>
    </w:lvl>
    <w:lvl w:ilvl="2" w:tplc="0C090005">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Symbol"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Symbol"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147B6ED4"/>
    <w:multiLevelType w:val="hybridMultilevel"/>
    <w:tmpl w:val="25629A0C"/>
    <w:lvl w:ilvl="0" w:tplc="0C090001">
      <w:start w:val="1"/>
      <w:numFmt w:val="bullet"/>
      <w:lvlText w:val=""/>
      <w:lvlJc w:val="left"/>
      <w:pPr>
        <w:ind w:left="1429" w:hanging="360"/>
      </w:pPr>
      <w:rPr>
        <w:rFonts w:ascii="Symbol" w:hAnsi="Symbol" w:hint="default"/>
      </w:rPr>
    </w:lvl>
    <w:lvl w:ilvl="1" w:tplc="0C090003" w:tentative="1">
      <w:start w:val="1"/>
      <w:numFmt w:val="bullet"/>
      <w:lvlText w:val="o"/>
      <w:lvlJc w:val="left"/>
      <w:pPr>
        <w:ind w:left="2149" w:hanging="360"/>
      </w:pPr>
      <w:rPr>
        <w:rFonts w:ascii="Courier New" w:hAnsi="Courier New" w:cs="Courier New"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abstractNum w:abstractNumId="24" w15:restartNumberingAfterBreak="0">
    <w:nsid w:val="150B6AA4"/>
    <w:multiLevelType w:val="multilevel"/>
    <w:tmpl w:val="4D2025CA"/>
    <w:lvl w:ilvl="0">
      <w:start w:val="1"/>
      <w:numFmt w:val="none"/>
      <w:pStyle w:val="AppendixHeader1"/>
      <w:lvlText w:val=""/>
      <w:lvlJc w:val="left"/>
      <w:pPr>
        <w:tabs>
          <w:tab w:val="num" w:pos="1843"/>
        </w:tabs>
        <w:ind w:left="1843" w:hanging="1843"/>
      </w:pPr>
      <w:rPr>
        <w:rFonts w:hint="default"/>
      </w:rPr>
    </w:lvl>
    <w:lvl w:ilvl="1">
      <w:start w:val="1"/>
      <w:numFmt w:val="upperLetter"/>
      <w:pStyle w:val="AppendixHeader2"/>
      <w:lvlText w:val="Appendix %2:"/>
      <w:lvlJc w:val="left"/>
      <w:pPr>
        <w:tabs>
          <w:tab w:val="num" w:pos="1843"/>
        </w:tabs>
        <w:ind w:left="1843" w:hanging="1843"/>
      </w:pPr>
      <w:rPr>
        <w:rFonts w:hint="default"/>
      </w:rPr>
    </w:lvl>
    <w:lvl w:ilvl="2">
      <w:start w:val="1"/>
      <w:numFmt w:val="decimal"/>
      <w:pStyle w:val="AppendixHeader3"/>
      <w:lvlText w:val="%2%1.%3:"/>
      <w:lvlJc w:val="left"/>
      <w:pPr>
        <w:tabs>
          <w:tab w:val="num" w:pos="890"/>
        </w:tabs>
        <w:ind w:left="890" w:hanging="89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5" w15:restartNumberingAfterBreak="0">
    <w:nsid w:val="19E21AAC"/>
    <w:multiLevelType w:val="hybridMultilevel"/>
    <w:tmpl w:val="007AC4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1A584B6B"/>
    <w:multiLevelType w:val="hybridMultilevel"/>
    <w:tmpl w:val="2632BFC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7" w15:restartNumberingAfterBreak="0">
    <w:nsid w:val="1A6305E1"/>
    <w:multiLevelType w:val="hybridMultilevel"/>
    <w:tmpl w:val="6F1023F2"/>
    <w:lvl w:ilvl="0" w:tplc="539E29BC">
      <w:start w:val="1"/>
      <w:numFmt w:val="bullet"/>
      <w:pStyle w:val="BulletList2"/>
      <w:lvlText w:val="-"/>
      <w:lvlJc w:val="left"/>
      <w:pPr>
        <w:ind w:left="1080" w:hanging="360"/>
      </w:pPr>
      <w:rPr>
        <w:rFonts w:ascii="Arial" w:hAnsi="Aria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28" w15:restartNumberingAfterBreak="0">
    <w:nsid w:val="1A845D02"/>
    <w:multiLevelType w:val="multilevel"/>
    <w:tmpl w:val="B6E4DE76"/>
    <w:lvl w:ilvl="0">
      <w:start w:val="1"/>
      <w:numFmt w:val="decimal"/>
      <w:lvlText w:val="SR %1"/>
      <w:lvlJc w:val="left"/>
      <w:pPr>
        <w:tabs>
          <w:tab w:val="num" w:pos="720"/>
        </w:tabs>
        <w:ind w:left="360" w:hanging="360"/>
      </w:pPr>
      <w:rPr>
        <w:rFonts w:ascii="Arial" w:hAnsi="Arial" w:hint="default"/>
        <w:b/>
        <w:i w:val="0"/>
        <w:sz w:val="24"/>
      </w:rPr>
    </w:lvl>
    <w:lvl w:ilvl="1">
      <w:start w:val="1"/>
      <w:numFmt w:val="lowerLetter"/>
      <w:pStyle w:val="SRHeading1"/>
      <w:lvlText w:val="SR (%2)"/>
      <w:lvlJc w:val="left"/>
      <w:pPr>
        <w:tabs>
          <w:tab w:val="num" w:pos="1080"/>
        </w:tabs>
        <w:ind w:left="720" w:hanging="360"/>
      </w:pPr>
      <w:rPr>
        <w:rFonts w:ascii="Arial" w:hAnsi="Arial" w:hint="default"/>
        <w:b w:val="0"/>
        <w:i w:val="0"/>
        <w:sz w:val="20"/>
      </w:rPr>
    </w:lvl>
    <w:lvl w:ilvl="2">
      <w:start w:val="1"/>
      <w:numFmt w:val="lowerRoman"/>
      <w:lvlText w:val="%3)"/>
      <w:lvlJc w:val="left"/>
      <w:pPr>
        <w:tabs>
          <w:tab w:val="num" w:pos="144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9" w15:restartNumberingAfterBreak="0">
    <w:nsid w:val="1BD91328"/>
    <w:multiLevelType w:val="hybridMultilevel"/>
    <w:tmpl w:val="2B1057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1EBA7974"/>
    <w:multiLevelType w:val="hybridMultilevel"/>
    <w:tmpl w:val="6B8896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1F3C6CC2"/>
    <w:multiLevelType w:val="hybridMultilevel"/>
    <w:tmpl w:val="52D2D0F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2" w15:restartNumberingAfterBreak="0">
    <w:nsid w:val="1FEF5D5F"/>
    <w:multiLevelType w:val="multilevel"/>
    <w:tmpl w:val="EC2AB264"/>
    <w:lvl w:ilvl="0">
      <w:start w:val="1"/>
      <w:numFmt w:val="lowerLetter"/>
      <w:pStyle w:val="TableNumberSecondLevel"/>
      <w:lvlText w:val="%1)"/>
      <w:lvlJc w:val="left"/>
      <w:pPr>
        <w:tabs>
          <w:tab w:val="num" w:pos="568"/>
        </w:tabs>
        <w:ind w:left="568" w:hanging="284"/>
      </w:pPr>
      <w:rPr>
        <w:rFonts w:hint="default"/>
      </w:rPr>
    </w:lvl>
    <w:lvl w:ilvl="1">
      <w:start w:val="1"/>
      <w:numFmt w:val="lowerLetter"/>
      <w:lvlRestart w:val="0"/>
      <w:lvlText w:val="%1.%2."/>
      <w:lvlJc w:val="left"/>
      <w:pPr>
        <w:tabs>
          <w:tab w:val="num" w:pos="860"/>
        </w:tabs>
        <w:ind w:left="860" w:hanging="576"/>
      </w:pPr>
      <w:rPr>
        <w:rFonts w:hint="default"/>
      </w:rPr>
    </w:lvl>
    <w:lvl w:ilvl="2">
      <w:start w:val="1"/>
      <w:numFmt w:val="decimal"/>
      <w:lvlText w:val="%1.%2.%3"/>
      <w:lvlJc w:val="left"/>
      <w:pPr>
        <w:tabs>
          <w:tab w:val="num" w:pos="1004"/>
        </w:tabs>
        <w:ind w:left="1004" w:hanging="720"/>
      </w:pPr>
      <w:rPr>
        <w:rFonts w:hint="default"/>
      </w:rPr>
    </w:lvl>
    <w:lvl w:ilvl="3">
      <w:start w:val="1"/>
      <w:numFmt w:val="decimal"/>
      <w:lvlText w:val="%1.%2.%3.%4"/>
      <w:lvlJc w:val="left"/>
      <w:pPr>
        <w:tabs>
          <w:tab w:val="num" w:pos="1148"/>
        </w:tabs>
        <w:ind w:left="1148" w:hanging="864"/>
      </w:pPr>
      <w:rPr>
        <w:rFonts w:hint="default"/>
      </w:rPr>
    </w:lvl>
    <w:lvl w:ilvl="4">
      <w:start w:val="1"/>
      <w:numFmt w:val="decimal"/>
      <w:lvlText w:val="%1.%2.%3.%4.%5"/>
      <w:lvlJc w:val="left"/>
      <w:pPr>
        <w:tabs>
          <w:tab w:val="num" w:pos="1292"/>
        </w:tabs>
        <w:ind w:left="1292" w:hanging="1008"/>
      </w:pPr>
      <w:rPr>
        <w:rFonts w:hint="default"/>
      </w:rPr>
    </w:lvl>
    <w:lvl w:ilvl="5">
      <w:start w:val="1"/>
      <w:numFmt w:val="decimal"/>
      <w:lvlText w:val="%1.%2.%3.%4.%5.%6"/>
      <w:lvlJc w:val="left"/>
      <w:pPr>
        <w:tabs>
          <w:tab w:val="num" w:pos="1436"/>
        </w:tabs>
        <w:ind w:left="1436" w:hanging="1152"/>
      </w:pPr>
      <w:rPr>
        <w:rFonts w:hint="default"/>
      </w:rPr>
    </w:lvl>
    <w:lvl w:ilvl="6">
      <w:start w:val="1"/>
      <w:numFmt w:val="decimal"/>
      <w:lvlText w:val="%1.%2.%3.%4.%5.%6.%7"/>
      <w:lvlJc w:val="left"/>
      <w:pPr>
        <w:tabs>
          <w:tab w:val="num" w:pos="1580"/>
        </w:tabs>
        <w:ind w:left="1580" w:hanging="1296"/>
      </w:pPr>
      <w:rPr>
        <w:rFonts w:hint="default"/>
      </w:rPr>
    </w:lvl>
    <w:lvl w:ilvl="7">
      <w:start w:val="1"/>
      <w:numFmt w:val="decimal"/>
      <w:lvlText w:val="%1.%2.%3.%4.%5.%6.%7.%8"/>
      <w:lvlJc w:val="left"/>
      <w:pPr>
        <w:tabs>
          <w:tab w:val="num" w:pos="1724"/>
        </w:tabs>
        <w:ind w:left="1724" w:hanging="1440"/>
      </w:pPr>
      <w:rPr>
        <w:rFonts w:hint="default"/>
      </w:rPr>
    </w:lvl>
    <w:lvl w:ilvl="8">
      <w:start w:val="1"/>
      <w:numFmt w:val="decimal"/>
      <w:lvlText w:val="%1.%2.%3.%4.%5.%6.%7.%8.%9"/>
      <w:lvlJc w:val="left"/>
      <w:pPr>
        <w:tabs>
          <w:tab w:val="num" w:pos="1868"/>
        </w:tabs>
        <w:ind w:left="1868" w:hanging="1584"/>
      </w:pPr>
      <w:rPr>
        <w:rFonts w:hint="default"/>
      </w:rPr>
    </w:lvl>
  </w:abstractNum>
  <w:abstractNum w:abstractNumId="33" w15:restartNumberingAfterBreak="0">
    <w:nsid w:val="1FF37819"/>
    <w:multiLevelType w:val="hybridMultilevel"/>
    <w:tmpl w:val="6A92042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4" w15:restartNumberingAfterBreak="0">
    <w:nsid w:val="20EC32E8"/>
    <w:multiLevelType w:val="hybridMultilevel"/>
    <w:tmpl w:val="54268B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21A86579"/>
    <w:multiLevelType w:val="hybridMultilevel"/>
    <w:tmpl w:val="2206998E"/>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245A3999"/>
    <w:multiLevelType w:val="hybridMultilevel"/>
    <w:tmpl w:val="A7C487E8"/>
    <w:lvl w:ilvl="0" w:tplc="92728BE2">
      <w:start w:val="1"/>
      <w:numFmt w:val="bullet"/>
      <w:pStyle w:val="BulletList1"/>
      <w:lvlText w:val=""/>
      <w:lvlJc w:val="left"/>
      <w:pPr>
        <w:ind w:left="720" w:hanging="360"/>
      </w:pPr>
      <w:rPr>
        <w:rFonts w:ascii="Symbol" w:hAnsi="Symbol" w:hint="default"/>
      </w:rPr>
    </w:lvl>
    <w:lvl w:ilvl="1" w:tplc="46548968">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7" w15:restartNumberingAfterBreak="0">
    <w:nsid w:val="248708B3"/>
    <w:multiLevelType w:val="hybridMultilevel"/>
    <w:tmpl w:val="33D4BA24"/>
    <w:lvl w:ilvl="0" w:tplc="7660A54C">
      <w:start w:val="1"/>
      <w:numFmt w:val="decimal"/>
      <w:lvlText w:val="%1."/>
      <w:lvlJc w:val="left"/>
      <w:pPr>
        <w:ind w:left="720" w:hanging="360"/>
      </w:pPr>
      <w:rPr>
        <w:rFonts w:ascii="Arial" w:hAnsi="Arial" w:cs="Arial" w:hint="default"/>
        <w:sz w:val="16"/>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249814CF"/>
    <w:multiLevelType w:val="multilevel"/>
    <w:tmpl w:val="0F129208"/>
    <w:lvl w:ilvl="0">
      <w:start w:val="1"/>
      <w:numFmt w:val="decimal"/>
      <w:pStyle w:val="TableNumber"/>
      <w:lvlText w:val="%1."/>
      <w:lvlJc w:val="left"/>
      <w:pPr>
        <w:tabs>
          <w:tab w:val="num" w:pos="0"/>
        </w:tabs>
        <w:ind w:left="284" w:hanging="284"/>
      </w:pPr>
      <w:rPr>
        <w:rFonts w:hint="default"/>
      </w:rPr>
    </w:lvl>
    <w:lvl w:ilvl="1">
      <w:start w:val="1"/>
      <w:numFmt w:val="lowerLetter"/>
      <w:lvlRestart w:val="0"/>
      <w:lvlText w:val="%1.%2."/>
      <w:lvlJc w:val="left"/>
      <w:pPr>
        <w:tabs>
          <w:tab w:val="num" w:pos="860"/>
        </w:tabs>
        <w:ind w:left="860" w:hanging="576"/>
      </w:pPr>
      <w:rPr>
        <w:rFonts w:hint="default"/>
      </w:rPr>
    </w:lvl>
    <w:lvl w:ilvl="2">
      <w:start w:val="1"/>
      <w:numFmt w:val="decimal"/>
      <w:lvlText w:val="%1.%2.%3"/>
      <w:lvlJc w:val="left"/>
      <w:pPr>
        <w:tabs>
          <w:tab w:val="num" w:pos="1004"/>
        </w:tabs>
        <w:ind w:left="1004" w:hanging="720"/>
      </w:pPr>
      <w:rPr>
        <w:rFonts w:hint="default"/>
      </w:rPr>
    </w:lvl>
    <w:lvl w:ilvl="3">
      <w:start w:val="1"/>
      <w:numFmt w:val="decimal"/>
      <w:lvlText w:val="%1.%2.%3.%4"/>
      <w:lvlJc w:val="left"/>
      <w:pPr>
        <w:tabs>
          <w:tab w:val="num" w:pos="1148"/>
        </w:tabs>
        <w:ind w:left="1148" w:hanging="864"/>
      </w:pPr>
      <w:rPr>
        <w:rFonts w:hint="default"/>
      </w:rPr>
    </w:lvl>
    <w:lvl w:ilvl="4">
      <w:start w:val="1"/>
      <w:numFmt w:val="decimal"/>
      <w:lvlText w:val="%1.%2.%3.%4.%5"/>
      <w:lvlJc w:val="left"/>
      <w:pPr>
        <w:tabs>
          <w:tab w:val="num" w:pos="1292"/>
        </w:tabs>
        <w:ind w:left="1292" w:hanging="1008"/>
      </w:pPr>
      <w:rPr>
        <w:rFonts w:hint="default"/>
      </w:rPr>
    </w:lvl>
    <w:lvl w:ilvl="5">
      <w:start w:val="1"/>
      <w:numFmt w:val="decimal"/>
      <w:lvlText w:val="%1.%2.%3.%4.%5.%6"/>
      <w:lvlJc w:val="left"/>
      <w:pPr>
        <w:tabs>
          <w:tab w:val="num" w:pos="1436"/>
        </w:tabs>
        <w:ind w:left="1436" w:hanging="1152"/>
      </w:pPr>
      <w:rPr>
        <w:rFonts w:hint="default"/>
      </w:rPr>
    </w:lvl>
    <w:lvl w:ilvl="6">
      <w:start w:val="1"/>
      <w:numFmt w:val="decimal"/>
      <w:lvlText w:val="%1.%2.%3.%4.%5.%6.%7"/>
      <w:lvlJc w:val="left"/>
      <w:pPr>
        <w:tabs>
          <w:tab w:val="num" w:pos="1580"/>
        </w:tabs>
        <w:ind w:left="1580" w:hanging="1296"/>
      </w:pPr>
      <w:rPr>
        <w:rFonts w:hint="default"/>
      </w:rPr>
    </w:lvl>
    <w:lvl w:ilvl="7">
      <w:start w:val="1"/>
      <w:numFmt w:val="decimal"/>
      <w:lvlText w:val="%1.%2.%3.%4.%5.%6.%7.%8"/>
      <w:lvlJc w:val="left"/>
      <w:pPr>
        <w:tabs>
          <w:tab w:val="num" w:pos="1724"/>
        </w:tabs>
        <w:ind w:left="1724" w:hanging="1440"/>
      </w:pPr>
      <w:rPr>
        <w:rFonts w:hint="default"/>
      </w:rPr>
    </w:lvl>
    <w:lvl w:ilvl="8">
      <w:start w:val="1"/>
      <w:numFmt w:val="decimal"/>
      <w:lvlText w:val="%1.%2.%3.%4.%5.%6.%7.%8.%9"/>
      <w:lvlJc w:val="left"/>
      <w:pPr>
        <w:tabs>
          <w:tab w:val="num" w:pos="1868"/>
        </w:tabs>
        <w:ind w:left="1868" w:hanging="1584"/>
      </w:pPr>
      <w:rPr>
        <w:rFonts w:hint="default"/>
      </w:rPr>
    </w:lvl>
  </w:abstractNum>
  <w:abstractNum w:abstractNumId="39" w15:restartNumberingAfterBreak="0">
    <w:nsid w:val="25062047"/>
    <w:multiLevelType w:val="hybridMultilevel"/>
    <w:tmpl w:val="06FA0F3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0" w15:restartNumberingAfterBreak="0">
    <w:nsid w:val="25EE4CFD"/>
    <w:multiLevelType w:val="hybridMultilevel"/>
    <w:tmpl w:val="ABC2C5EE"/>
    <w:lvl w:ilvl="0" w:tplc="C4DA802C">
      <w:start w:val="1"/>
      <w:numFmt w:val="decimal"/>
      <w:pStyle w:val="Step"/>
      <w:lvlText w:val="%1."/>
      <w:lvlJc w:val="left"/>
      <w:pPr>
        <w:tabs>
          <w:tab w:val="num" w:pos="720"/>
        </w:tabs>
        <w:ind w:left="720" w:hanging="360"/>
      </w:pPr>
    </w:lvl>
    <w:lvl w:ilvl="1" w:tplc="A5D0BDF0" w:tentative="1">
      <w:start w:val="1"/>
      <w:numFmt w:val="lowerLetter"/>
      <w:lvlText w:val="%2."/>
      <w:lvlJc w:val="left"/>
      <w:pPr>
        <w:tabs>
          <w:tab w:val="num" w:pos="1440"/>
        </w:tabs>
        <w:ind w:left="1440" w:hanging="360"/>
      </w:pPr>
    </w:lvl>
    <w:lvl w:ilvl="2" w:tplc="493A9356" w:tentative="1">
      <w:start w:val="1"/>
      <w:numFmt w:val="lowerRoman"/>
      <w:lvlText w:val="%3."/>
      <w:lvlJc w:val="right"/>
      <w:pPr>
        <w:tabs>
          <w:tab w:val="num" w:pos="2160"/>
        </w:tabs>
        <w:ind w:left="2160" w:hanging="180"/>
      </w:pPr>
    </w:lvl>
    <w:lvl w:ilvl="3" w:tplc="D7B252CA" w:tentative="1">
      <w:start w:val="1"/>
      <w:numFmt w:val="decimal"/>
      <w:lvlText w:val="%4."/>
      <w:lvlJc w:val="left"/>
      <w:pPr>
        <w:tabs>
          <w:tab w:val="num" w:pos="2880"/>
        </w:tabs>
        <w:ind w:left="2880" w:hanging="360"/>
      </w:pPr>
    </w:lvl>
    <w:lvl w:ilvl="4" w:tplc="6012F938" w:tentative="1">
      <w:start w:val="1"/>
      <w:numFmt w:val="lowerLetter"/>
      <w:lvlText w:val="%5."/>
      <w:lvlJc w:val="left"/>
      <w:pPr>
        <w:tabs>
          <w:tab w:val="num" w:pos="3600"/>
        </w:tabs>
        <w:ind w:left="3600" w:hanging="360"/>
      </w:pPr>
    </w:lvl>
    <w:lvl w:ilvl="5" w:tplc="7F4ABB64" w:tentative="1">
      <w:start w:val="1"/>
      <w:numFmt w:val="lowerRoman"/>
      <w:lvlText w:val="%6."/>
      <w:lvlJc w:val="right"/>
      <w:pPr>
        <w:tabs>
          <w:tab w:val="num" w:pos="4320"/>
        </w:tabs>
        <w:ind w:left="4320" w:hanging="180"/>
      </w:pPr>
    </w:lvl>
    <w:lvl w:ilvl="6" w:tplc="602CDF88" w:tentative="1">
      <w:start w:val="1"/>
      <w:numFmt w:val="decimal"/>
      <w:lvlText w:val="%7."/>
      <w:lvlJc w:val="left"/>
      <w:pPr>
        <w:tabs>
          <w:tab w:val="num" w:pos="5040"/>
        </w:tabs>
        <w:ind w:left="5040" w:hanging="360"/>
      </w:pPr>
    </w:lvl>
    <w:lvl w:ilvl="7" w:tplc="0674083C" w:tentative="1">
      <w:start w:val="1"/>
      <w:numFmt w:val="lowerLetter"/>
      <w:lvlText w:val="%8."/>
      <w:lvlJc w:val="left"/>
      <w:pPr>
        <w:tabs>
          <w:tab w:val="num" w:pos="5760"/>
        </w:tabs>
        <w:ind w:left="5760" w:hanging="360"/>
      </w:pPr>
    </w:lvl>
    <w:lvl w:ilvl="8" w:tplc="29726FDA" w:tentative="1">
      <w:start w:val="1"/>
      <w:numFmt w:val="lowerRoman"/>
      <w:lvlText w:val="%9."/>
      <w:lvlJc w:val="right"/>
      <w:pPr>
        <w:tabs>
          <w:tab w:val="num" w:pos="6480"/>
        </w:tabs>
        <w:ind w:left="6480" w:hanging="180"/>
      </w:pPr>
    </w:lvl>
  </w:abstractNum>
  <w:abstractNum w:abstractNumId="41" w15:restartNumberingAfterBreak="0">
    <w:nsid w:val="2604216A"/>
    <w:multiLevelType w:val="hybridMultilevel"/>
    <w:tmpl w:val="2488FC4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15:restartNumberingAfterBreak="0">
    <w:nsid w:val="273264F3"/>
    <w:multiLevelType w:val="multilevel"/>
    <w:tmpl w:val="23C830BA"/>
    <w:lvl w:ilvl="0">
      <w:start w:val="1"/>
      <w:numFmt w:val="bullet"/>
      <w:lvlText w:val=""/>
      <w:lvlJc w:val="left"/>
      <w:pPr>
        <w:ind w:left="720" w:hanging="360"/>
      </w:pPr>
      <w:rPr>
        <w:rFonts w:ascii="Symbol" w:hAnsi="Symbol"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3" w15:restartNumberingAfterBreak="0">
    <w:nsid w:val="284775E3"/>
    <w:multiLevelType w:val="multilevel"/>
    <w:tmpl w:val="DA6AD37C"/>
    <w:lvl w:ilvl="0">
      <w:start w:val="1"/>
      <w:numFmt w:val="decimal"/>
      <w:pStyle w:val="Heading1"/>
      <w:lvlText w:val="%1"/>
      <w:lvlJc w:val="left"/>
      <w:pPr>
        <w:ind w:left="720" w:hanging="720"/>
      </w:pPr>
      <w:rPr>
        <w:rFonts w:ascii="Arial Bold" w:hAnsi="Arial Bold" w:hint="default"/>
        <w:b/>
        <w:i w:val="0"/>
        <w:color w:val="4F81BD"/>
        <w:sz w:val="28"/>
      </w:rPr>
    </w:lvl>
    <w:lvl w:ilvl="1">
      <w:start w:val="1"/>
      <w:numFmt w:val="decimal"/>
      <w:pStyle w:val="Heading2"/>
      <w:lvlText w:val="%1.%2"/>
      <w:lvlJc w:val="left"/>
      <w:pPr>
        <w:ind w:left="720" w:hanging="720"/>
      </w:pPr>
      <w:rPr>
        <w:rFonts w:ascii="Arial Bold" w:hAnsi="Arial Bold" w:hint="default"/>
        <w:b/>
        <w:i w:val="0"/>
        <w:sz w:val="20"/>
      </w:rPr>
    </w:lvl>
    <w:lvl w:ilvl="2">
      <w:start w:val="1"/>
      <w:numFmt w:val="decimal"/>
      <w:pStyle w:val="Heading3"/>
      <w:lvlText w:val="%1.%2.%3"/>
      <w:lvlJc w:val="left"/>
      <w:pPr>
        <w:ind w:left="1230" w:hanging="510"/>
      </w:pPr>
      <w:rPr>
        <w:rFonts w:ascii="Arial" w:hAnsi="Arial" w:hint="default"/>
        <w:b w:val="0"/>
        <w:i/>
        <w:caps w:val="0"/>
        <w:strike w:val="0"/>
        <w:dstrike w:val="0"/>
        <w:vanish w:val="0"/>
        <w:sz w:val="20"/>
        <w:vertAlign w:val="baseline"/>
      </w:rPr>
    </w:lvl>
    <w:lvl w:ilvl="3">
      <w:start w:val="1"/>
      <w:numFmt w:val="decimal"/>
      <w:lvlText w:val="%1.%2.%3.%4"/>
      <w:lvlJc w:val="left"/>
      <w:pPr>
        <w:ind w:left="720" w:hanging="720"/>
      </w:pPr>
      <w:rPr>
        <w:rFonts w:hint="default"/>
      </w:rPr>
    </w:lvl>
    <w:lvl w:ilvl="4">
      <w:start w:val="1"/>
      <w:numFmt w:val="decimal"/>
      <w:pStyle w:val="Heading5"/>
      <w:lvlText w:val="%1.%2.%3.%4.%5"/>
      <w:lvlJc w:val="left"/>
      <w:pPr>
        <w:ind w:left="720" w:hanging="720"/>
      </w:pPr>
      <w:rPr>
        <w:rFonts w:hint="default"/>
      </w:rPr>
    </w:lvl>
    <w:lvl w:ilvl="5">
      <w:start w:val="1"/>
      <w:numFmt w:val="decimal"/>
      <w:pStyle w:val="Heading6"/>
      <w:lvlText w:val="%1.%2.%3.%4.%5.%6"/>
      <w:lvlJc w:val="left"/>
      <w:pPr>
        <w:ind w:left="720" w:hanging="720"/>
      </w:pPr>
      <w:rPr>
        <w:rFonts w:hint="default"/>
      </w:rPr>
    </w:lvl>
    <w:lvl w:ilvl="6">
      <w:start w:val="1"/>
      <w:numFmt w:val="decimal"/>
      <w:pStyle w:val="Heading7"/>
      <w:lvlText w:val="%1.%2.%3.%4.%5.%6.%7"/>
      <w:lvlJc w:val="left"/>
      <w:pPr>
        <w:ind w:left="720" w:hanging="720"/>
      </w:pPr>
      <w:rPr>
        <w:rFonts w:hint="default"/>
      </w:rPr>
    </w:lvl>
    <w:lvl w:ilvl="7">
      <w:start w:val="1"/>
      <w:numFmt w:val="decimal"/>
      <w:pStyle w:val="Heading8"/>
      <w:lvlText w:val="%1.%2.%3.%4.%5.%6.%7.%8"/>
      <w:lvlJc w:val="left"/>
      <w:pPr>
        <w:ind w:left="720" w:hanging="720"/>
      </w:pPr>
      <w:rPr>
        <w:rFonts w:hint="default"/>
      </w:rPr>
    </w:lvl>
    <w:lvl w:ilvl="8">
      <w:start w:val="1"/>
      <w:numFmt w:val="decimal"/>
      <w:pStyle w:val="Heading9"/>
      <w:lvlText w:val="%1.%2.%3.%4.%5.%6.%7.%8.%9"/>
      <w:lvlJc w:val="left"/>
      <w:pPr>
        <w:ind w:left="720" w:hanging="720"/>
      </w:pPr>
      <w:rPr>
        <w:rFonts w:hint="default"/>
      </w:rPr>
    </w:lvl>
  </w:abstractNum>
  <w:abstractNum w:abstractNumId="44" w15:restartNumberingAfterBreak="0">
    <w:nsid w:val="28503D2E"/>
    <w:multiLevelType w:val="hybridMultilevel"/>
    <w:tmpl w:val="DA6AC9F6"/>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5" w15:restartNumberingAfterBreak="0">
    <w:nsid w:val="28F036B1"/>
    <w:multiLevelType w:val="multilevel"/>
    <w:tmpl w:val="0C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46" w15:restartNumberingAfterBreak="0">
    <w:nsid w:val="28F50A92"/>
    <w:multiLevelType w:val="hybridMultilevel"/>
    <w:tmpl w:val="5F9EAF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298E756B"/>
    <w:multiLevelType w:val="hybridMultilevel"/>
    <w:tmpl w:val="B62E99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2E7275B9"/>
    <w:multiLevelType w:val="hybridMultilevel"/>
    <w:tmpl w:val="2F2E5EF8"/>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9" w15:restartNumberingAfterBreak="0">
    <w:nsid w:val="35D159F1"/>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50" w15:restartNumberingAfterBreak="0">
    <w:nsid w:val="36051C45"/>
    <w:multiLevelType w:val="hybridMultilevel"/>
    <w:tmpl w:val="542A22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37672449"/>
    <w:multiLevelType w:val="hybridMultilevel"/>
    <w:tmpl w:val="7ED05B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378A6145"/>
    <w:multiLevelType w:val="hybridMultilevel"/>
    <w:tmpl w:val="0CB85DC0"/>
    <w:lvl w:ilvl="0" w:tplc="8E141752">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53" w15:restartNumberingAfterBreak="0">
    <w:nsid w:val="37BF6976"/>
    <w:multiLevelType w:val="hybridMultilevel"/>
    <w:tmpl w:val="5A1C71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39117C89"/>
    <w:multiLevelType w:val="multilevel"/>
    <w:tmpl w:val="E02A5AC6"/>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none"/>
      <w:lvlText w:val="-"/>
      <w:lvlJc w:val="left"/>
      <w:pPr>
        <w:tabs>
          <w:tab w:val="num" w:pos="2268"/>
        </w:tabs>
        <w:ind w:left="2268" w:hanging="567"/>
      </w:pPr>
      <w:rPr>
        <w:rFonts w:hint="default"/>
      </w:rPr>
    </w:lvl>
    <w:lvl w:ilvl="4">
      <w:start w:val="1"/>
      <w:numFmt w:val="lowerLetter"/>
      <w:lvlText w:val="(%5)"/>
      <w:lvlJc w:val="left"/>
      <w:pPr>
        <w:tabs>
          <w:tab w:val="num" w:pos="2835"/>
        </w:tabs>
        <w:ind w:left="2835" w:hanging="567"/>
      </w:pPr>
      <w:rPr>
        <w:rFonts w:hint="default"/>
      </w:rPr>
    </w:lvl>
    <w:lvl w:ilvl="5">
      <w:start w:val="1"/>
      <w:numFmt w:val="lowerRoman"/>
      <w:lvlText w:val="(%6)"/>
      <w:lvlJc w:val="left"/>
      <w:pPr>
        <w:tabs>
          <w:tab w:val="num" w:pos="3402"/>
        </w:tabs>
        <w:ind w:left="3402" w:hanging="567"/>
      </w:pPr>
      <w:rPr>
        <w:rFonts w:hint="default"/>
      </w:rPr>
    </w:lvl>
    <w:lvl w:ilvl="6">
      <w:start w:val="1"/>
      <w:numFmt w:val="none"/>
      <w:lvlText w:val="-"/>
      <w:lvlJc w:val="left"/>
      <w:pPr>
        <w:tabs>
          <w:tab w:val="num" w:pos="3969"/>
        </w:tabs>
        <w:ind w:left="3969" w:hanging="567"/>
      </w:pPr>
      <w:rPr>
        <w:rFonts w:hint="default"/>
      </w:rPr>
    </w:lvl>
    <w:lvl w:ilvl="7">
      <w:start w:val="1"/>
      <w:numFmt w:val="lowerLetter"/>
      <w:lvlText w:val="(%8)"/>
      <w:lvlJc w:val="left"/>
      <w:pPr>
        <w:tabs>
          <w:tab w:val="num" w:pos="4536"/>
        </w:tabs>
        <w:ind w:left="4536" w:hanging="567"/>
      </w:pPr>
      <w:rPr>
        <w:rFonts w:hint="default"/>
      </w:rPr>
    </w:lvl>
    <w:lvl w:ilvl="8">
      <w:start w:val="1"/>
      <w:numFmt w:val="lowerRoman"/>
      <w:lvlText w:val="(%9)"/>
      <w:lvlJc w:val="left"/>
      <w:pPr>
        <w:tabs>
          <w:tab w:val="num" w:pos="5103"/>
        </w:tabs>
        <w:ind w:left="5103" w:hanging="567"/>
      </w:pPr>
      <w:rPr>
        <w:rFonts w:hint="default"/>
      </w:rPr>
    </w:lvl>
  </w:abstractNum>
  <w:abstractNum w:abstractNumId="55" w15:restartNumberingAfterBreak="0">
    <w:nsid w:val="3A5B6A8A"/>
    <w:multiLevelType w:val="hybridMultilevel"/>
    <w:tmpl w:val="06F4378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6" w15:restartNumberingAfterBreak="0">
    <w:nsid w:val="3B1C6EEC"/>
    <w:multiLevelType w:val="multilevel"/>
    <w:tmpl w:val="FF5033F8"/>
    <w:lvl w:ilvl="0">
      <w:start w:val="1"/>
      <w:numFmt w:val="decimal"/>
      <w:lvlText w:val="SR %1"/>
      <w:lvlJc w:val="left"/>
      <w:pPr>
        <w:tabs>
          <w:tab w:val="num" w:pos="720"/>
        </w:tabs>
        <w:ind w:left="360" w:hanging="360"/>
      </w:pPr>
      <w:rPr>
        <w:rFonts w:ascii="Arial" w:hAnsi="Arial" w:hint="default"/>
        <w:b/>
        <w:i w:val="0"/>
        <w:sz w:val="24"/>
      </w:rPr>
    </w:lvl>
    <w:lvl w:ilvl="1">
      <w:start w:val="1"/>
      <w:numFmt w:val="lowerLetter"/>
      <w:pStyle w:val="SRHeading2"/>
      <w:lvlText w:val="SR (%2)"/>
      <w:lvlJc w:val="left"/>
      <w:pPr>
        <w:tabs>
          <w:tab w:val="num" w:pos="1080"/>
        </w:tabs>
        <w:ind w:left="720" w:hanging="360"/>
      </w:pPr>
      <w:rPr>
        <w:rFonts w:ascii="Arial" w:hAnsi="Arial" w:hint="default"/>
        <w:b w:val="0"/>
        <w:i w:val="0"/>
        <w:sz w:val="20"/>
      </w:rPr>
    </w:lvl>
    <w:lvl w:ilvl="2">
      <w:start w:val="1"/>
      <w:numFmt w:val="lowerRoman"/>
      <w:lvlText w:val="%3)"/>
      <w:lvlJc w:val="left"/>
      <w:pPr>
        <w:tabs>
          <w:tab w:val="num" w:pos="144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7" w15:restartNumberingAfterBreak="0">
    <w:nsid w:val="3D6C1008"/>
    <w:multiLevelType w:val="hybridMultilevel"/>
    <w:tmpl w:val="5C42B53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8" w15:restartNumberingAfterBreak="0">
    <w:nsid w:val="423D5E93"/>
    <w:multiLevelType w:val="hybridMultilevel"/>
    <w:tmpl w:val="8AE02796"/>
    <w:lvl w:ilvl="0" w:tplc="08090001">
      <w:start w:val="1"/>
      <w:numFmt w:val="bullet"/>
      <w:pStyle w:val="Bullet"/>
      <w:lvlText w:val=""/>
      <w:lvlJc w:val="left"/>
      <w:pPr>
        <w:tabs>
          <w:tab w:val="num" w:pos="283"/>
        </w:tabs>
        <w:ind w:left="283" w:hanging="283"/>
      </w:pPr>
      <w:rPr>
        <w:rFonts w:ascii="Symbol" w:hAnsi="Symbol" w:hint="default"/>
      </w:rPr>
    </w:lvl>
    <w:lvl w:ilvl="1" w:tplc="08090003" w:tentative="1">
      <w:start w:val="1"/>
      <w:numFmt w:val="bullet"/>
      <w:lvlText w:val="o"/>
      <w:lvlJc w:val="left"/>
      <w:pPr>
        <w:tabs>
          <w:tab w:val="num" w:pos="266"/>
        </w:tabs>
        <w:ind w:left="266" w:hanging="360"/>
      </w:pPr>
      <w:rPr>
        <w:rFonts w:ascii="Courier New" w:hAnsi="Courier New" w:cs="Symbol" w:hint="default"/>
      </w:rPr>
    </w:lvl>
    <w:lvl w:ilvl="2" w:tplc="08090005">
      <w:start w:val="1"/>
      <w:numFmt w:val="bullet"/>
      <w:lvlText w:val=""/>
      <w:lvlJc w:val="left"/>
      <w:pPr>
        <w:tabs>
          <w:tab w:val="num" w:pos="986"/>
        </w:tabs>
        <w:ind w:left="986" w:hanging="360"/>
      </w:pPr>
      <w:rPr>
        <w:rFonts w:ascii="Wingdings" w:hAnsi="Wingdings" w:hint="default"/>
      </w:rPr>
    </w:lvl>
    <w:lvl w:ilvl="3" w:tplc="08090001" w:tentative="1">
      <w:start w:val="1"/>
      <w:numFmt w:val="bullet"/>
      <w:lvlText w:val=""/>
      <w:lvlJc w:val="left"/>
      <w:pPr>
        <w:tabs>
          <w:tab w:val="num" w:pos="1706"/>
        </w:tabs>
        <w:ind w:left="1706" w:hanging="360"/>
      </w:pPr>
      <w:rPr>
        <w:rFonts w:ascii="Symbol" w:hAnsi="Symbol" w:hint="default"/>
      </w:rPr>
    </w:lvl>
    <w:lvl w:ilvl="4" w:tplc="08090003" w:tentative="1">
      <w:start w:val="1"/>
      <w:numFmt w:val="bullet"/>
      <w:lvlText w:val="o"/>
      <w:lvlJc w:val="left"/>
      <w:pPr>
        <w:tabs>
          <w:tab w:val="num" w:pos="2426"/>
        </w:tabs>
        <w:ind w:left="2426" w:hanging="360"/>
      </w:pPr>
      <w:rPr>
        <w:rFonts w:ascii="Courier New" w:hAnsi="Courier New" w:cs="Symbol" w:hint="default"/>
      </w:rPr>
    </w:lvl>
    <w:lvl w:ilvl="5" w:tplc="08090005" w:tentative="1">
      <w:start w:val="1"/>
      <w:numFmt w:val="bullet"/>
      <w:lvlText w:val=""/>
      <w:lvlJc w:val="left"/>
      <w:pPr>
        <w:tabs>
          <w:tab w:val="num" w:pos="3146"/>
        </w:tabs>
        <w:ind w:left="3146" w:hanging="360"/>
      </w:pPr>
      <w:rPr>
        <w:rFonts w:ascii="Wingdings" w:hAnsi="Wingdings" w:hint="default"/>
      </w:rPr>
    </w:lvl>
    <w:lvl w:ilvl="6" w:tplc="08090001" w:tentative="1">
      <w:start w:val="1"/>
      <w:numFmt w:val="bullet"/>
      <w:lvlText w:val=""/>
      <w:lvlJc w:val="left"/>
      <w:pPr>
        <w:tabs>
          <w:tab w:val="num" w:pos="3866"/>
        </w:tabs>
        <w:ind w:left="3866" w:hanging="360"/>
      </w:pPr>
      <w:rPr>
        <w:rFonts w:ascii="Symbol" w:hAnsi="Symbol" w:hint="default"/>
      </w:rPr>
    </w:lvl>
    <w:lvl w:ilvl="7" w:tplc="08090003" w:tentative="1">
      <w:start w:val="1"/>
      <w:numFmt w:val="bullet"/>
      <w:lvlText w:val="o"/>
      <w:lvlJc w:val="left"/>
      <w:pPr>
        <w:tabs>
          <w:tab w:val="num" w:pos="4586"/>
        </w:tabs>
        <w:ind w:left="4586" w:hanging="360"/>
      </w:pPr>
      <w:rPr>
        <w:rFonts w:ascii="Courier New" w:hAnsi="Courier New" w:cs="Symbol" w:hint="default"/>
      </w:rPr>
    </w:lvl>
    <w:lvl w:ilvl="8" w:tplc="08090005" w:tentative="1">
      <w:start w:val="1"/>
      <w:numFmt w:val="bullet"/>
      <w:lvlText w:val=""/>
      <w:lvlJc w:val="left"/>
      <w:pPr>
        <w:tabs>
          <w:tab w:val="num" w:pos="5306"/>
        </w:tabs>
        <w:ind w:left="5306" w:hanging="360"/>
      </w:pPr>
      <w:rPr>
        <w:rFonts w:ascii="Wingdings" w:hAnsi="Wingdings" w:hint="default"/>
      </w:rPr>
    </w:lvl>
  </w:abstractNum>
  <w:abstractNum w:abstractNumId="59" w15:restartNumberingAfterBreak="0">
    <w:nsid w:val="42864258"/>
    <w:multiLevelType w:val="hybridMultilevel"/>
    <w:tmpl w:val="0B26157A"/>
    <w:lvl w:ilvl="0" w:tplc="03A66AB4">
      <w:start w:val="1"/>
      <w:numFmt w:val="bullet"/>
      <w:pStyle w:val="TextBullet"/>
      <w:lvlText w:val=""/>
      <w:lvlJc w:val="left"/>
      <w:pPr>
        <w:tabs>
          <w:tab w:val="num" w:pos="397"/>
        </w:tabs>
        <w:ind w:left="397" w:hanging="227"/>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cs="Symbo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Symbol"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Symbol"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430C728E"/>
    <w:multiLevelType w:val="hybridMultilevel"/>
    <w:tmpl w:val="51C2EDDA"/>
    <w:lvl w:ilvl="0" w:tplc="8314295C">
      <w:start w:val="1"/>
      <w:numFmt w:val="lowerLetter"/>
      <w:pStyle w:val="NumberListSecondLevel"/>
      <w:lvlText w:val="%1)"/>
      <w:lvlJc w:val="left"/>
      <w:pPr>
        <w:tabs>
          <w:tab w:val="num" w:pos="1741"/>
        </w:tabs>
        <w:ind w:left="1741" w:hanging="284"/>
      </w:pPr>
      <w:rPr>
        <w:rFonts w:hint="default"/>
      </w:rPr>
    </w:lvl>
    <w:lvl w:ilvl="1" w:tplc="32E49A7A" w:tentative="1">
      <w:start w:val="1"/>
      <w:numFmt w:val="lowerLetter"/>
      <w:lvlText w:val="%2."/>
      <w:lvlJc w:val="left"/>
      <w:pPr>
        <w:tabs>
          <w:tab w:val="num" w:pos="1440"/>
        </w:tabs>
        <w:ind w:left="1440" w:hanging="360"/>
      </w:pPr>
    </w:lvl>
    <w:lvl w:ilvl="2" w:tplc="AE1AA770" w:tentative="1">
      <w:start w:val="1"/>
      <w:numFmt w:val="lowerRoman"/>
      <w:lvlText w:val="%3."/>
      <w:lvlJc w:val="right"/>
      <w:pPr>
        <w:tabs>
          <w:tab w:val="num" w:pos="2160"/>
        </w:tabs>
        <w:ind w:left="2160" w:hanging="180"/>
      </w:pPr>
    </w:lvl>
    <w:lvl w:ilvl="3" w:tplc="DF4E44D6" w:tentative="1">
      <w:start w:val="1"/>
      <w:numFmt w:val="decimal"/>
      <w:lvlText w:val="%4."/>
      <w:lvlJc w:val="left"/>
      <w:pPr>
        <w:tabs>
          <w:tab w:val="num" w:pos="2880"/>
        </w:tabs>
        <w:ind w:left="2880" w:hanging="360"/>
      </w:pPr>
    </w:lvl>
    <w:lvl w:ilvl="4" w:tplc="47B4297E" w:tentative="1">
      <w:start w:val="1"/>
      <w:numFmt w:val="lowerLetter"/>
      <w:lvlText w:val="%5."/>
      <w:lvlJc w:val="left"/>
      <w:pPr>
        <w:tabs>
          <w:tab w:val="num" w:pos="3600"/>
        </w:tabs>
        <w:ind w:left="3600" w:hanging="360"/>
      </w:pPr>
    </w:lvl>
    <w:lvl w:ilvl="5" w:tplc="5468841E" w:tentative="1">
      <w:start w:val="1"/>
      <w:numFmt w:val="lowerRoman"/>
      <w:lvlText w:val="%6."/>
      <w:lvlJc w:val="right"/>
      <w:pPr>
        <w:tabs>
          <w:tab w:val="num" w:pos="4320"/>
        </w:tabs>
        <w:ind w:left="4320" w:hanging="180"/>
      </w:pPr>
    </w:lvl>
    <w:lvl w:ilvl="6" w:tplc="002CCFC8" w:tentative="1">
      <w:start w:val="1"/>
      <w:numFmt w:val="decimal"/>
      <w:lvlText w:val="%7."/>
      <w:lvlJc w:val="left"/>
      <w:pPr>
        <w:tabs>
          <w:tab w:val="num" w:pos="5040"/>
        </w:tabs>
        <w:ind w:left="5040" w:hanging="360"/>
      </w:pPr>
    </w:lvl>
    <w:lvl w:ilvl="7" w:tplc="CE9AA62A" w:tentative="1">
      <w:start w:val="1"/>
      <w:numFmt w:val="lowerLetter"/>
      <w:lvlText w:val="%8."/>
      <w:lvlJc w:val="left"/>
      <w:pPr>
        <w:tabs>
          <w:tab w:val="num" w:pos="5760"/>
        </w:tabs>
        <w:ind w:left="5760" w:hanging="360"/>
      </w:pPr>
    </w:lvl>
    <w:lvl w:ilvl="8" w:tplc="35926D62" w:tentative="1">
      <w:start w:val="1"/>
      <w:numFmt w:val="lowerRoman"/>
      <w:lvlText w:val="%9."/>
      <w:lvlJc w:val="right"/>
      <w:pPr>
        <w:tabs>
          <w:tab w:val="num" w:pos="6480"/>
        </w:tabs>
        <w:ind w:left="6480" w:hanging="180"/>
      </w:pPr>
    </w:lvl>
  </w:abstractNum>
  <w:abstractNum w:abstractNumId="61" w15:restartNumberingAfterBreak="0">
    <w:nsid w:val="448F5914"/>
    <w:multiLevelType w:val="hybridMultilevel"/>
    <w:tmpl w:val="2B548CD8"/>
    <w:lvl w:ilvl="0" w:tplc="0C09000D">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2" w15:restartNumberingAfterBreak="0">
    <w:nsid w:val="44B80877"/>
    <w:multiLevelType w:val="hybridMultilevel"/>
    <w:tmpl w:val="F50A3AA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3" w15:restartNumberingAfterBreak="0">
    <w:nsid w:val="44C20E19"/>
    <w:multiLevelType w:val="hybridMultilevel"/>
    <w:tmpl w:val="E9F2B1C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4" w15:restartNumberingAfterBreak="0">
    <w:nsid w:val="457435E6"/>
    <w:multiLevelType w:val="hybridMultilevel"/>
    <w:tmpl w:val="D20802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5" w15:restartNumberingAfterBreak="0">
    <w:nsid w:val="45C43BF9"/>
    <w:multiLevelType w:val="hybridMultilevel"/>
    <w:tmpl w:val="ED601A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6" w15:restartNumberingAfterBreak="0">
    <w:nsid w:val="461252E0"/>
    <w:multiLevelType w:val="hybridMultilevel"/>
    <w:tmpl w:val="5DA02C7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7" w15:restartNumberingAfterBreak="0">
    <w:nsid w:val="46974143"/>
    <w:multiLevelType w:val="hybridMultilevel"/>
    <w:tmpl w:val="C882A5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8" w15:restartNumberingAfterBreak="0">
    <w:nsid w:val="47862E59"/>
    <w:multiLevelType w:val="hybridMultilevel"/>
    <w:tmpl w:val="9EE08E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9" w15:restartNumberingAfterBreak="0">
    <w:nsid w:val="48024AE4"/>
    <w:multiLevelType w:val="hybridMultilevel"/>
    <w:tmpl w:val="9932B0B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70" w15:restartNumberingAfterBreak="0">
    <w:nsid w:val="48FF1825"/>
    <w:multiLevelType w:val="hybridMultilevel"/>
    <w:tmpl w:val="0A12AABA"/>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71" w15:restartNumberingAfterBreak="0">
    <w:nsid w:val="49603E83"/>
    <w:multiLevelType w:val="hybridMultilevel"/>
    <w:tmpl w:val="B5D2E7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2" w15:restartNumberingAfterBreak="0">
    <w:nsid w:val="49823B51"/>
    <w:multiLevelType w:val="hybridMultilevel"/>
    <w:tmpl w:val="9CD4D8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3" w15:restartNumberingAfterBreak="0">
    <w:nsid w:val="4A9748E3"/>
    <w:multiLevelType w:val="hybridMultilevel"/>
    <w:tmpl w:val="CA7CB5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4" w15:restartNumberingAfterBreak="0">
    <w:nsid w:val="4CE36B03"/>
    <w:multiLevelType w:val="hybridMultilevel"/>
    <w:tmpl w:val="5B5C44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5" w15:restartNumberingAfterBreak="0">
    <w:nsid w:val="4F471238"/>
    <w:multiLevelType w:val="multilevel"/>
    <w:tmpl w:val="61E27540"/>
    <w:lvl w:ilvl="0">
      <w:start w:val="1"/>
      <w:numFmt w:val="decimal"/>
      <w:pStyle w:val="NumberList"/>
      <w:lvlText w:val="%1."/>
      <w:lvlJc w:val="left"/>
      <w:pPr>
        <w:tabs>
          <w:tab w:val="num" w:pos="1457"/>
        </w:tabs>
        <w:ind w:left="1458" w:hanging="284"/>
      </w:pPr>
      <w:rPr>
        <w:rFonts w:hint="default"/>
      </w:rPr>
    </w:lvl>
    <w:lvl w:ilvl="1">
      <w:start w:val="1"/>
      <w:numFmt w:val="lowerLetter"/>
      <w:lvlRestart w:val="0"/>
      <w:lvlText w:val="%1.%2"/>
      <w:lvlJc w:val="left"/>
      <w:pPr>
        <w:tabs>
          <w:tab w:val="num" w:pos="1750"/>
        </w:tabs>
        <w:ind w:left="1750" w:hanging="576"/>
      </w:pPr>
      <w:rPr>
        <w:rFonts w:hint="default"/>
      </w:rPr>
    </w:lvl>
    <w:lvl w:ilvl="2">
      <w:start w:val="1"/>
      <w:numFmt w:val="decimal"/>
      <w:lvlText w:val="%1.%2.%3"/>
      <w:lvlJc w:val="left"/>
      <w:pPr>
        <w:tabs>
          <w:tab w:val="num" w:pos="1894"/>
        </w:tabs>
        <w:ind w:left="1894" w:hanging="720"/>
      </w:pPr>
      <w:rPr>
        <w:rFonts w:hint="default"/>
      </w:rPr>
    </w:lvl>
    <w:lvl w:ilvl="3">
      <w:start w:val="1"/>
      <w:numFmt w:val="decimal"/>
      <w:lvlText w:val="%1.%2.%3.%4"/>
      <w:lvlJc w:val="left"/>
      <w:pPr>
        <w:tabs>
          <w:tab w:val="num" w:pos="2038"/>
        </w:tabs>
        <w:ind w:left="2038" w:hanging="864"/>
      </w:pPr>
      <w:rPr>
        <w:rFonts w:hint="default"/>
      </w:rPr>
    </w:lvl>
    <w:lvl w:ilvl="4">
      <w:start w:val="1"/>
      <w:numFmt w:val="decimal"/>
      <w:lvlText w:val="%1.%2.%3.%4.%5"/>
      <w:lvlJc w:val="left"/>
      <w:pPr>
        <w:tabs>
          <w:tab w:val="num" w:pos="2182"/>
        </w:tabs>
        <w:ind w:left="2182" w:hanging="1008"/>
      </w:pPr>
      <w:rPr>
        <w:rFonts w:hint="default"/>
      </w:rPr>
    </w:lvl>
    <w:lvl w:ilvl="5">
      <w:start w:val="1"/>
      <w:numFmt w:val="decimal"/>
      <w:lvlText w:val="%1.%2.%3.%4.%5.%6"/>
      <w:lvlJc w:val="left"/>
      <w:pPr>
        <w:tabs>
          <w:tab w:val="num" w:pos="2326"/>
        </w:tabs>
        <w:ind w:left="2326" w:hanging="1152"/>
      </w:pPr>
      <w:rPr>
        <w:rFonts w:hint="default"/>
      </w:rPr>
    </w:lvl>
    <w:lvl w:ilvl="6">
      <w:start w:val="1"/>
      <w:numFmt w:val="decimal"/>
      <w:lvlText w:val="%1.%2.%3.%4.%5.%6.%7"/>
      <w:lvlJc w:val="left"/>
      <w:pPr>
        <w:tabs>
          <w:tab w:val="num" w:pos="2470"/>
        </w:tabs>
        <w:ind w:left="2470" w:hanging="1296"/>
      </w:pPr>
      <w:rPr>
        <w:rFonts w:hint="default"/>
      </w:rPr>
    </w:lvl>
    <w:lvl w:ilvl="7">
      <w:start w:val="1"/>
      <w:numFmt w:val="decimal"/>
      <w:lvlText w:val="%1.%2.%3.%4.%5.%6.%7.%8"/>
      <w:lvlJc w:val="left"/>
      <w:pPr>
        <w:tabs>
          <w:tab w:val="num" w:pos="2614"/>
        </w:tabs>
        <w:ind w:left="2614" w:hanging="1440"/>
      </w:pPr>
      <w:rPr>
        <w:rFonts w:hint="default"/>
      </w:rPr>
    </w:lvl>
    <w:lvl w:ilvl="8">
      <w:start w:val="1"/>
      <w:numFmt w:val="decimal"/>
      <w:lvlText w:val="%1.%2.%3.%4.%5.%6.%7.%8.%9"/>
      <w:lvlJc w:val="left"/>
      <w:pPr>
        <w:tabs>
          <w:tab w:val="num" w:pos="2758"/>
        </w:tabs>
        <w:ind w:left="2758" w:hanging="1584"/>
      </w:pPr>
      <w:rPr>
        <w:rFonts w:hint="default"/>
      </w:rPr>
    </w:lvl>
  </w:abstractNum>
  <w:abstractNum w:abstractNumId="76" w15:restartNumberingAfterBreak="0">
    <w:nsid w:val="50865BC8"/>
    <w:multiLevelType w:val="hybridMultilevel"/>
    <w:tmpl w:val="AA843A1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77" w15:restartNumberingAfterBreak="0">
    <w:nsid w:val="509526DF"/>
    <w:multiLevelType w:val="hybridMultilevel"/>
    <w:tmpl w:val="C30899B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78" w15:restartNumberingAfterBreak="0">
    <w:nsid w:val="51B30409"/>
    <w:multiLevelType w:val="hybridMultilevel"/>
    <w:tmpl w:val="0F98A8AE"/>
    <w:lvl w:ilvl="0" w:tplc="08090001">
      <w:start w:val="1"/>
      <w:numFmt w:val="bullet"/>
      <w:lvlRestart w:val="0"/>
      <w:pStyle w:val="Style11ptAfter3pt"/>
      <w:lvlText w:val=""/>
      <w:lvlJc w:val="left"/>
      <w:pPr>
        <w:tabs>
          <w:tab w:val="num" w:pos="1287"/>
        </w:tabs>
        <w:ind w:left="1287" w:hanging="283"/>
      </w:pPr>
      <w:rPr>
        <w:rFonts w:ascii="Symbol" w:hAnsi="Symbol" w:hint="default"/>
        <w:sz w:val="20"/>
        <w:szCs w:val="20"/>
      </w:rPr>
    </w:lvl>
    <w:lvl w:ilvl="1" w:tplc="08090003">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79" w15:restartNumberingAfterBreak="0">
    <w:nsid w:val="52443B8A"/>
    <w:multiLevelType w:val="hybridMultilevel"/>
    <w:tmpl w:val="CF56CCB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80" w15:restartNumberingAfterBreak="0">
    <w:nsid w:val="524C74A8"/>
    <w:multiLevelType w:val="hybridMultilevel"/>
    <w:tmpl w:val="2946C108"/>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81" w15:restartNumberingAfterBreak="0">
    <w:nsid w:val="532C0BBA"/>
    <w:multiLevelType w:val="multilevel"/>
    <w:tmpl w:val="39527742"/>
    <w:lvl w:ilvl="0">
      <w:start w:val="1"/>
      <w:numFmt w:val="decimal"/>
      <w:lvlText w:val="SR %1"/>
      <w:lvlJc w:val="left"/>
      <w:pPr>
        <w:tabs>
          <w:tab w:val="num" w:pos="720"/>
        </w:tabs>
        <w:ind w:left="360" w:hanging="360"/>
      </w:pPr>
      <w:rPr>
        <w:rFonts w:ascii="Arial" w:hAnsi="Arial" w:hint="default"/>
        <w:b/>
        <w:i w:val="0"/>
        <w:sz w:val="24"/>
      </w:rPr>
    </w:lvl>
    <w:lvl w:ilvl="1">
      <w:start w:val="1"/>
      <w:numFmt w:val="lowerLetter"/>
      <w:pStyle w:val="SRHeadingB"/>
      <w:lvlText w:val="SR (%2)"/>
      <w:lvlJc w:val="left"/>
      <w:pPr>
        <w:tabs>
          <w:tab w:val="num" w:pos="1080"/>
        </w:tabs>
        <w:ind w:left="720" w:hanging="360"/>
      </w:pPr>
      <w:rPr>
        <w:rFonts w:ascii="Arial" w:hAnsi="Arial" w:hint="default"/>
        <w:b w:val="0"/>
        <w:i w:val="0"/>
        <w:sz w:val="20"/>
      </w:rPr>
    </w:lvl>
    <w:lvl w:ilvl="2">
      <w:start w:val="1"/>
      <w:numFmt w:val="lowerRoman"/>
      <w:lvlText w:val="%3)"/>
      <w:lvlJc w:val="left"/>
      <w:pPr>
        <w:tabs>
          <w:tab w:val="num" w:pos="144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2" w15:restartNumberingAfterBreak="0">
    <w:nsid w:val="56C33E65"/>
    <w:multiLevelType w:val="hybridMultilevel"/>
    <w:tmpl w:val="83805E5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3" w15:restartNumberingAfterBreak="0">
    <w:nsid w:val="56D731B7"/>
    <w:multiLevelType w:val="hybridMultilevel"/>
    <w:tmpl w:val="F732E6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4" w15:restartNumberingAfterBreak="0">
    <w:nsid w:val="58D36A52"/>
    <w:multiLevelType w:val="hybridMultilevel"/>
    <w:tmpl w:val="50043DE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85" w15:restartNumberingAfterBreak="0">
    <w:nsid w:val="5A08384D"/>
    <w:multiLevelType w:val="hybridMultilevel"/>
    <w:tmpl w:val="51DE09C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86" w15:restartNumberingAfterBreak="0">
    <w:nsid w:val="5A6529EC"/>
    <w:multiLevelType w:val="hybridMultilevel"/>
    <w:tmpl w:val="19E85D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7" w15:restartNumberingAfterBreak="0">
    <w:nsid w:val="5B2E45C0"/>
    <w:multiLevelType w:val="hybridMultilevel"/>
    <w:tmpl w:val="474C8D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8" w15:restartNumberingAfterBreak="0">
    <w:nsid w:val="5B8B3711"/>
    <w:multiLevelType w:val="singleLevel"/>
    <w:tmpl w:val="E956072A"/>
    <w:lvl w:ilvl="0">
      <w:start w:val="1"/>
      <w:numFmt w:val="decimal"/>
      <w:pStyle w:val="SRHeadingA"/>
      <w:lvlText w:val="SR %1"/>
      <w:lvlJc w:val="left"/>
      <w:pPr>
        <w:tabs>
          <w:tab w:val="num" w:pos="720"/>
        </w:tabs>
        <w:ind w:left="720" w:hanging="720"/>
      </w:pPr>
      <w:rPr>
        <w:rFonts w:ascii="Arial" w:hAnsi="Arial" w:hint="default"/>
        <w:b/>
        <w:i w:val="0"/>
        <w:sz w:val="24"/>
      </w:rPr>
    </w:lvl>
  </w:abstractNum>
  <w:abstractNum w:abstractNumId="89" w15:restartNumberingAfterBreak="0">
    <w:nsid w:val="5EED6AA9"/>
    <w:multiLevelType w:val="singleLevel"/>
    <w:tmpl w:val="DB7A76D6"/>
    <w:lvl w:ilvl="0">
      <w:start w:val="1"/>
      <w:numFmt w:val="bullet"/>
      <w:pStyle w:val="StyleBulletb111ptJustifiedAfter3pt"/>
      <w:lvlText w:val=""/>
      <w:lvlJc w:val="left"/>
      <w:pPr>
        <w:tabs>
          <w:tab w:val="num" w:pos="1077"/>
        </w:tabs>
        <w:ind w:left="1077" w:hanging="510"/>
      </w:pPr>
      <w:rPr>
        <w:rFonts w:ascii="Symbol" w:hAnsi="Symbol" w:hint="default"/>
      </w:rPr>
    </w:lvl>
  </w:abstractNum>
  <w:abstractNum w:abstractNumId="90" w15:restartNumberingAfterBreak="0">
    <w:nsid w:val="5FFB6905"/>
    <w:multiLevelType w:val="hybridMultilevel"/>
    <w:tmpl w:val="83E8F126"/>
    <w:lvl w:ilvl="0" w:tplc="0C090001">
      <w:start w:val="1"/>
      <w:numFmt w:val="bullet"/>
      <w:lvlText w:val=""/>
      <w:lvlJc w:val="left"/>
      <w:pPr>
        <w:ind w:left="1080" w:hanging="360"/>
      </w:pPr>
      <w:rPr>
        <w:rFonts w:ascii="Symbol" w:hAnsi="Symbol" w:hint="default"/>
      </w:rPr>
    </w:lvl>
    <w:lvl w:ilvl="1" w:tplc="0C090001">
      <w:start w:val="1"/>
      <w:numFmt w:val="bullet"/>
      <w:lvlText w:val=""/>
      <w:lvlJc w:val="left"/>
      <w:pPr>
        <w:tabs>
          <w:tab w:val="num" w:pos="1800"/>
        </w:tabs>
        <w:ind w:left="1800" w:hanging="360"/>
      </w:pPr>
      <w:rPr>
        <w:rFonts w:ascii="Symbol" w:hAnsi="Symbol" w:hint="default"/>
      </w:rPr>
    </w:lvl>
    <w:lvl w:ilvl="2" w:tplc="0C090005">
      <w:start w:val="1"/>
      <w:numFmt w:val="decimal"/>
      <w:lvlText w:val="%3."/>
      <w:lvlJc w:val="left"/>
      <w:pPr>
        <w:tabs>
          <w:tab w:val="num" w:pos="2520"/>
        </w:tabs>
        <w:ind w:left="2520" w:hanging="360"/>
      </w:pPr>
    </w:lvl>
    <w:lvl w:ilvl="3" w:tplc="0C090001">
      <w:start w:val="1"/>
      <w:numFmt w:val="decimal"/>
      <w:lvlText w:val="%4."/>
      <w:lvlJc w:val="left"/>
      <w:pPr>
        <w:tabs>
          <w:tab w:val="num" w:pos="3240"/>
        </w:tabs>
        <w:ind w:left="3240" w:hanging="360"/>
      </w:pPr>
    </w:lvl>
    <w:lvl w:ilvl="4" w:tplc="0C090003">
      <w:start w:val="1"/>
      <w:numFmt w:val="decimal"/>
      <w:lvlText w:val="%5."/>
      <w:lvlJc w:val="left"/>
      <w:pPr>
        <w:tabs>
          <w:tab w:val="num" w:pos="3960"/>
        </w:tabs>
        <w:ind w:left="3960" w:hanging="360"/>
      </w:pPr>
    </w:lvl>
    <w:lvl w:ilvl="5" w:tplc="0C090005">
      <w:start w:val="1"/>
      <w:numFmt w:val="decimal"/>
      <w:lvlText w:val="%6."/>
      <w:lvlJc w:val="left"/>
      <w:pPr>
        <w:tabs>
          <w:tab w:val="num" w:pos="4680"/>
        </w:tabs>
        <w:ind w:left="4680" w:hanging="360"/>
      </w:pPr>
    </w:lvl>
    <w:lvl w:ilvl="6" w:tplc="0C090001">
      <w:start w:val="1"/>
      <w:numFmt w:val="decimal"/>
      <w:lvlText w:val="%7."/>
      <w:lvlJc w:val="left"/>
      <w:pPr>
        <w:tabs>
          <w:tab w:val="num" w:pos="5400"/>
        </w:tabs>
        <w:ind w:left="5400" w:hanging="360"/>
      </w:pPr>
    </w:lvl>
    <w:lvl w:ilvl="7" w:tplc="0C090003">
      <w:start w:val="1"/>
      <w:numFmt w:val="decimal"/>
      <w:lvlText w:val="%8."/>
      <w:lvlJc w:val="left"/>
      <w:pPr>
        <w:tabs>
          <w:tab w:val="num" w:pos="6120"/>
        </w:tabs>
        <w:ind w:left="6120" w:hanging="360"/>
      </w:pPr>
    </w:lvl>
    <w:lvl w:ilvl="8" w:tplc="0C090005">
      <w:start w:val="1"/>
      <w:numFmt w:val="decimal"/>
      <w:lvlText w:val="%9."/>
      <w:lvlJc w:val="left"/>
      <w:pPr>
        <w:tabs>
          <w:tab w:val="num" w:pos="6840"/>
        </w:tabs>
        <w:ind w:left="6840" w:hanging="360"/>
      </w:pPr>
    </w:lvl>
  </w:abstractNum>
  <w:abstractNum w:abstractNumId="91" w15:restartNumberingAfterBreak="0">
    <w:nsid w:val="61DE5482"/>
    <w:multiLevelType w:val="hybridMultilevel"/>
    <w:tmpl w:val="8FC852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2" w15:restartNumberingAfterBreak="0">
    <w:nsid w:val="62231715"/>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3" w15:restartNumberingAfterBreak="0">
    <w:nsid w:val="62D13203"/>
    <w:multiLevelType w:val="hybridMultilevel"/>
    <w:tmpl w:val="BB34473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94" w15:restartNumberingAfterBreak="0">
    <w:nsid w:val="62D26B07"/>
    <w:multiLevelType w:val="hybridMultilevel"/>
    <w:tmpl w:val="890E46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5" w15:restartNumberingAfterBreak="0">
    <w:nsid w:val="639235D6"/>
    <w:multiLevelType w:val="hybridMultilevel"/>
    <w:tmpl w:val="FC1455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6" w15:restartNumberingAfterBreak="0">
    <w:nsid w:val="63D364AA"/>
    <w:multiLevelType w:val="hybridMultilevel"/>
    <w:tmpl w:val="46CA1C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7" w15:restartNumberingAfterBreak="0">
    <w:nsid w:val="64154873"/>
    <w:multiLevelType w:val="hybridMultilevel"/>
    <w:tmpl w:val="4D449F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8" w15:restartNumberingAfterBreak="0">
    <w:nsid w:val="64270504"/>
    <w:multiLevelType w:val="hybridMultilevel"/>
    <w:tmpl w:val="624C9DD2"/>
    <w:lvl w:ilvl="0" w:tplc="8E142558">
      <w:start w:val="1"/>
      <w:numFmt w:val="bullet"/>
      <w:lvlText w:val=""/>
      <w:lvlJc w:val="left"/>
      <w:pPr>
        <w:ind w:left="1215" w:hanging="855"/>
      </w:pPr>
      <w:rPr>
        <w:rFonts w:ascii="Symbol" w:hAnsi="Symbol" w:hint="default"/>
      </w:rPr>
    </w:lvl>
    <w:lvl w:ilvl="1" w:tplc="0C09000B">
      <w:start w:val="1"/>
      <w:numFmt w:val="bullet"/>
      <w:lvlText w:val=""/>
      <w:lvlJc w:val="left"/>
      <w:pPr>
        <w:ind w:left="1440" w:hanging="360"/>
      </w:pPr>
      <w:rPr>
        <w:rFonts w:ascii="Wingdings" w:hAnsi="Wingdings"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9" w15:restartNumberingAfterBreak="0">
    <w:nsid w:val="66341C96"/>
    <w:multiLevelType w:val="hybridMultilevel"/>
    <w:tmpl w:val="AD8C477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00" w15:restartNumberingAfterBreak="0">
    <w:nsid w:val="66EC449C"/>
    <w:multiLevelType w:val="hybridMultilevel"/>
    <w:tmpl w:val="9E6E5AA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01" w15:restartNumberingAfterBreak="0">
    <w:nsid w:val="67491936"/>
    <w:multiLevelType w:val="hybridMultilevel"/>
    <w:tmpl w:val="C70A4C2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2" w15:restartNumberingAfterBreak="0">
    <w:nsid w:val="68781AAE"/>
    <w:multiLevelType w:val="hybridMultilevel"/>
    <w:tmpl w:val="636A49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3" w15:restartNumberingAfterBreak="0">
    <w:nsid w:val="68C94239"/>
    <w:multiLevelType w:val="hybridMultilevel"/>
    <w:tmpl w:val="8E06E80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04" w15:restartNumberingAfterBreak="0">
    <w:nsid w:val="69162D3F"/>
    <w:multiLevelType w:val="hybridMultilevel"/>
    <w:tmpl w:val="171E2F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5" w15:restartNumberingAfterBreak="0">
    <w:nsid w:val="6AE47F23"/>
    <w:multiLevelType w:val="hybridMultilevel"/>
    <w:tmpl w:val="540243B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6" w15:restartNumberingAfterBreak="0">
    <w:nsid w:val="6B753261"/>
    <w:multiLevelType w:val="hybridMultilevel"/>
    <w:tmpl w:val="1A0A7200"/>
    <w:lvl w:ilvl="0" w:tplc="F298430A">
      <w:start w:val="1"/>
      <w:numFmt w:val="bullet"/>
      <w:pStyle w:val="TableList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07" w15:restartNumberingAfterBreak="0">
    <w:nsid w:val="6C012AEB"/>
    <w:multiLevelType w:val="hybridMultilevel"/>
    <w:tmpl w:val="7074B2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8" w15:restartNumberingAfterBreak="0">
    <w:nsid w:val="6C636B13"/>
    <w:multiLevelType w:val="hybridMultilevel"/>
    <w:tmpl w:val="EC40076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09" w15:restartNumberingAfterBreak="0">
    <w:nsid w:val="6D3009C9"/>
    <w:multiLevelType w:val="hybridMultilevel"/>
    <w:tmpl w:val="EF1EEF4E"/>
    <w:lvl w:ilvl="0" w:tplc="EFA2D722">
      <w:start w:val="1"/>
      <w:numFmt w:val="bullet"/>
      <w:pStyle w:val="TableBullet"/>
      <w:lvlText w:val=""/>
      <w:lvlJc w:val="left"/>
      <w:pPr>
        <w:tabs>
          <w:tab w:val="num" w:pos="284"/>
        </w:tabs>
        <w:ind w:left="284" w:hanging="284"/>
      </w:pPr>
      <w:rPr>
        <w:rFonts w:ascii="Symbol" w:hAnsi="Symbol" w:hint="default"/>
      </w:rPr>
    </w:lvl>
    <w:lvl w:ilvl="1" w:tplc="E82A3222" w:tentative="1">
      <w:start w:val="1"/>
      <w:numFmt w:val="bullet"/>
      <w:lvlText w:val="o"/>
      <w:lvlJc w:val="left"/>
      <w:pPr>
        <w:tabs>
          <w:tab w:val="num" w:pos="1440"/>
        </w:tabs>
        <w:ind w:left="1440" w:hanging="360"/>
      </w:pPr>
      <w:rPr>
        <w:rFonts w:ascii="Courier New" w:hAnsi="Courier New" w:cs="Symbol" w:hint="default"/>
      </w:rPr>
    </w:lvl>
    <w:lvl w:ilvl="2" w:tplc="926498FA" w:tentative="1">
      <w:start w:val="1"/>
      <w:numFmt w:val="bullet"/>
      <w:lvlText w:val=""/>
      <w:lvlJc w:val="left"/>
      <w:pPr>
        <w:tabs>
          <w:tab w:val="num" w:pos="2160"/>
        </w:tabs>
        <w:ind w:left="2160" w:hanging="360"/>
      </w:pPr>
      <w:rPr>
        <w:rFonts w:ascii="Wingdings" w:hAnsi="Wingdings" w:hint="default"/>
      </w:rPr>
    </w:lvl>
    <w:lvl w:ilvl="3" w:tplc="43022512" w:tentative="1">
      <w:start w:val="1"/>
      <w:numFmt w:val="bullet"/>
      <w:lvlText w:val=""/>
      <w:lvlJc w:val="left"/>
      <w:pPr>
        <w:tabs>
          <w:tab w:val="num" w:pos="2880"/>
        </w:tabs>
        <w:ind w:left="2880" w:hanging="360"/>
      </w:pPr>
      <w:rPr>
        <w:rFonts w:ascii="Symbol" w:hAnsi="Symbol" w:hint="default"/>
      </w:rPr>
    </w:lvl>
    <w:lvl w:ilvl="4" w:tplc="80A833A0" w:tentative="1">
      <w:start w:val="1"/>
      <w:numFmt w:val="bullet"/>
      <w:lvlText w:val="o"/>
      <w:lvlJc w:val="left"/>
      <w:pPr>
        <w:tabs>
          <w:tab w:val="num" w:pos="3600"/>
        </w:tabs>
        <w:ind w:left="3600" w:hanging="360"/>
      </w:pPr>
      <w:rPr>
        <w:rFonts w:ascii="Courier New" w:hAnsi="Courier New" w:cs="Symbol" w:hint="default"/>
      </w:rPr>
    </w:lvl>
    <w:lvl w:ilvl="5" w:tplc="EB8040D0" w:tentative="1">
      <w:start w:val="1"/>
      <w:numFmt w:val="bullet"/>
      <w:lvlText w:val=""/>
      <w:lvlJc w:val="left"/>
      <w:pPr>
        <w:tabs>
          <w:tab w:val="num" w:pos="4320"/>
        </w:tabs>
        <w:ind w:left="4320" w:hanging="360"/>
      </w:pPr>
      <w:rPr>
        <w:rFonts w:ascii="Wingdings" w:hAnsi="Wingdings" w:hint="default"/>
      </w:rPr>
    </w:lvl>
    <w:lvl w:ilvl="6" w:tplc="C13A6422" w:tentative="1">
      <w:start w:val="1"/>
      <w:numFmt w:val="bullet"/>
      <w:lvlText w:val=""/>
      <w:lvlJc w:val="left"/>
      <w:pPr>
        <w:tabs>
          <w:tab w:val="num" w:pos="5040"/>
        </w:tabs>
        <w:ind w:left="5040" w:hanging="360"/>
      </w:pPr>
      <w:rPr>
        <w:rFonts w:ascii="Symbol" w:hAnsi="Symbol" w:hint="default"/>
      </w:rPr>
    </w:lvl>
    <w:lvl w:ilvl="7" w:tplc="C3AC2736" w:tentative="1">
      <w:start w:val="1"/>
      <w:numFmt w:val="bullet"/>
      <w:lvlText w:val="o"/>
      <w:lvlJc w:val="left"/>
      <w:pPr>
        <w:tabs>
          <w:tab w:val="num" w:pos="5760"/>
        </w:tabs>
        <w:ind w:left="5760" w:hanging="360"/>
      </w:pPr>
      <w:rPr>
        <w:rFonts w:ascii="Courier New" w:hAnsi="Courier New" w:cs="Symbol" w:hint="default"/>
      </w:rPr>
    </w:lvl>
    <w:lvl w:ilvl="8" w:tplc="A2E0ED16" w:tentative="1">
      <w:start w:val="1"/>
      <w:numFmt w:val="bullet"/>
      <w:lvlText w:val=""/>
      <w:lvlJc w:val="left"/>
      <w:pPr>
        <w:tabs>
          <w:tab w:val="num" w:pos="6480"/>
        </w:tabs>
        <w:ind w:left="6480" w:hanging="360"/>
      </w:pPr>
      <w:rPr>
        <w:rFonts w:ascii="Wingdings" w:hAnsi="Wingdings" w:hint="default"/>
      </w:rPr>
    </w:lvl>
  </w:abstractNum>
  <w:abstractNum w:abstractNumId="110" w15:restartNumberingAfterBreak="0">
    <w:nsid w:val="6E904BB7"/>
    <w:multiLevelType w:val="hybridMultilevel"/>
    <w:tmpl w:val="CDD4DA7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11" w15:restartNumberingAfterBreak="0">
    <w:nsid w:val="6ED1268B"/>
    <w:multiLevelType w:val="hybridMultilevel"/>
    <w:tmpl w:val="C1BA8410"/>
    <w:lvl w:ilvl="0" w:tplc="9BB2762A">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12" w15:restartNumberingAfterBreak="0">
    <w:nsid w:val="6FAC660B"/>
    <w:multiLevelType w:val="hybridMultilevel"/>
    <w:tmpl w:val="09D0D0D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13" w15:restartNumberingAfterBreak="0">
    <w:nsid w:val="71A81B52"/>
    <w:multiLevelType w:val="hybridMultilevel"/>
    <w:tmpl w:val="AE9061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4" w15:restartNumberingAfterBreak="0">
    <w:nsid w:val="72B02D1A"/>
    <w:multiLevelType w:val="hybridMultilevel"/>
    <w:tmpl w:val="08D63FB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15" w15:restartNumberingAfterBreak="0">
    <w:nsid w:val="7484389A"/>
    <w:multiLevelType w:val="hybridMultilevel"/>
    <w:tmpl w:val="92EA9442"/>
    <w:lvl w:ilvl="0" w:tplc="2DBE47AA">
      <w:start w:val="1"/>
      <w:numFmt w:val="bullet"/>
      <w:pStyle w:val="StyleArial10ptLeft254cm"/>
      <w:lvlText w:val=""/>
      <w:lvlJc w:val="left"/>
      <w:pPr>
        <w:tabs>
          <w:tab w:val="num" w:pos="170"/>
        </w:tabs>
        <w:ind w:left="170" w:hanging="170"/>
      </w:pPr>
      <w:rPr>
        <w:rFonts w:ascii="Symbol" w:hAnsi="Symbol" w:hint="default"/>
        <w:color w:val="auto"/>
        <w:sz w:val="16"/>
        <w:szCs w:val="16"/>
      </w:rPr>
    </w:lvl>
    <w:lvl w:ilvl="1" w:tplc="08090001">
      <w:start w:val="1"/>
      <w:numFmt w:val="bullet"/>
      <w:lvlText w:val=""/>
      <w:lvlJc w:val="left"/>
      <w:pPr>
        <w:tabs>
          <w:tab w:val="num" w:pos="1440"/>
        </w:tabs>
        <w:ind w:left="1440" w:hanging="360"/>
      </w:pPr>
      <w:rPr>
        <w:rFonts w:ascii="Symbol" w:hAnsi="Symbol" w:hint="default"/>
        <w:color w:val="auto"/>
        <w:sz w:val="16"/>
        <w:szCs w:val="16"/>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6" w15:restartNumberingAfterBreak="0">
    <w:nsid w:val="77A543B6"/>
    <w:multiLevelType w:val="hybridMultilevel"/>
    <w:tmpl w:val="A7D8876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7" w15:restartNumberingAfterBreak="0">
    <w:nsid w:val="7F8F7335"/>
    <w:multiLevelType w:val="hybridMultilevel"/>
    <w:tmpl w:val="F4B4382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18" w15:restartNumberingAfterBreak="0">
    <w:nsid w:val="7FD44DC2"/>
    <w:multiLevelType w:val="hybridMultilevel"/>
    <w:tmpl w:val="31421F2E"/>
    <w:lvl w:ilvl="0" w:tplc="0C090001">
      <w:start w:val="1"/>
      <w:numFmt w:val="bullet"/>
      <w:lvlText w:val=""/>
      <w:lvlJc w:val="left"/>
      <w:pPr>
        <w:tabs>
          <w:tab w:val="num" w:pos="720"/>
        </w:tabs>
        <w:ind w:left="720" w:hanging="360"/>
      </w:pPr>
      <w:rPr>
        <w:rFonts w:ascii="Symbol" w:hAnsi="Symbol" w:hint="default"/>
      </w:rPr>
    </w:lvl>
    <w:lvl w:ilvl="1" w:tplc="08090003" w:tentative="1">
      <w:start w:val="1"/>
      <w:numFmt w:val="lowerLetter"/>
      <w:lvlText w:val="%2."/>
      <w:lvlJc w:val="left"/>
      <w:pPr>
        <w:tabs>
          <w:tab w:val="num" w:pos="1440"/>
        </w:tabs>
        <w:ind w:left="1440" w:hanging="360"/>
      </w:pPr>
    </w:lvl>
    <w:lvl w:ilvl="2" w:tplc="08090005" w:tentative="1">
      <w:start w:val="1"/>
      <w:numFmt w:val="lowerRoman"/>
      <w:lvlText w:val="%3."/>
      <w:lvlJc w:val="right"/>
      <w:pPr>
        <w:tabs>
          <w:tab w:val="num" w:pos="2160"/>
        </w:tabs>
        <w:ind w:left="2160" w:hanging="180"/>
      </w:pPr>
    </w:lvl>
    <w:lvl w:ilvl="3" w:tplc="08090001" w:tentative="1">
      <w:start w:val="1"/>
      <w:numFmt w:val="decimal"/>
      <w:lvlText w:val="%4."/>
      <w:lvlJc w:val="left"/>
      <w:pPr>
        <w:tabs>
          <w:tab w:val="num" w:pos="2880"/>
        </w:tabs>
        <w:ind w:left="2880" w:hanging="360"/>
      </w:pPr>
    </w:lvl>
    <w:lvl w:ilvl="4" w:tplc="08090003" w:tentative="1">
      <w:start w:val="1"/>
      <w:numFmt w:val="lowerLetter"/>
      <w:lvlText w:val="%5."/>
      <w:lvlJc w:val="left"/>
      <w:pPr>
        <w:tabs>
          <w:tab w:val="num" w:pos="3600"/>
        </w:tabs>
        <w:ind w:left="3600" w:hanging="360"/>
      </w:pPr>
    </w:lvl>
    <w:lvl w:ilvl="5" w:tplc="08090005" w:tentative="1">
      <w:start w:val="1"/>
      <w:numFmt w:val="lowerRoman"/>
      <w:lvlText w:val="%6."/>
      <w:lvlJc w:val="right"/>
      <w:pPr>
        <w:tabs>
          <w:tab w:val="num" w:pos="4320"/>
        </w:tabs>
        <w:ind w:left="4320" w:hanging="180"/>
      </w:pPr>
    </w:lvl>
    <w:lvl w:ilvl="6" w:tplc="08090001" w:tentative="1">
      <w:start w:val="1"/>
      <w:numFmt w:val="decimal"/>
      <w:lvlText w:val="%7."/>
      <w:lvlJc w:val="left"/>
      <w:pPr>
        <w:tabs>
          <w:tab w:val="num" w:pos="5040"/>
        </w:tabs>
        <w:ind w:left="5040" w:hanging="360"/>
      </w:pPr>
    </w:lvl>
    <w:lvl w:ilvl="7" w:tplc="08090003" w:tentative="1">
      <w:start w:val="1"/>
      <w:numFmt w:val="lowerLetter"/>
      <w:lvlText w:val="%8."/>
      <w:lvlJc w:val="left"/>
      <w:pPr>
        <w:tabs>
          <w:tab w:val="num" w:pos="5760"/>
        </w:tabs>
        <w:ind w:left="5760" w:hanging="360"/>
      </w:pPr>
    </w:lvl>
    <w:lvl w:ilvl="8" w:tplc="08090005" w:tentative="1">
      <w:start w:val="1"/>
      <w:numFmt w:val="lowerRoman"/>
      <w:lvlText w:val="%9."/>
      <w:lvlJc w:val="right"/>
      <w:pPr>
        <w:tabs>
          <w:tab w:val="num" w:pos="6480"/>
        </w:tabs>
        <w:ind w:left="6480" w:hanging="180"/>
      </w:pPr>
    </w:lvl>
  </w:abstractNum>
  <w:num w:numId="1">
    <w:abstractNumId w:val="28"/>
  </w:num>
  <w:num w:numId="2">
    <w:abstractNumId w:val="56"/>
  </w:num>
  <w:num w:numId="3">
    <w:abstractNumId w:val="88"/>
  </w:num>
  <w:num w:numId="4">
    <w:abstractNumId w:val="81"/>
  </w:num>
  <w:num w:numId="5">
    <w:abstractNumId w:val="40"/>
  </w:num>
  <w:num w:numId="6">
    <w:abstractNumId w:val="59"/>
  </w:num>
  <w:num w:numId="7">
    <w:abstractNumId w:val="49"/>
  </w:num>
  <w:num w:numId="8">
    <w:abstractNumId w:val="92"/>
  </w:num>
  <w:num w:numId="9">
    <w:abstractNumId w:val="45"/>
  </w:num>
  <w:num w:numId="10">
    <w:abstractNumId w:val="9"/>
  </w:num>
  <w:num w:numId="11">
    <w:abstractNumId w:val="7"/>
  </w:num>
  <w:num w:numId="12">
    <w:abstractNumId w:val="6"/>
  </w:num>
  <w:num w:numId="13">
    <w:abstractNumId w:val="5"/>
  </w:num>
  <w:num w:numId="14">
    <w:abstractNumId w:val="4"/>
  </w:num>
  <w:num w:numId="15">
    <w:abstractNumId w:val="8"/>
  </w:num>
  <w:num w:numId="16">
    <w:abstractNumId w:val="3"/>
  </w:num>
  <w:num w:numId="17">
    <w:abstractNumId w:val="2"/>
  </w:num>
  <w:num w:numId="18">
    <w:abstractNumId w:val="1"/>
  </w:num>
  <w:num w:numId="19">
    <w:abstractNumId w:val="0"/>
  </w:num>
  <w:num w:numId="20">
    <w:abstractNumId w:val="75"/>
  </w:num>
  <w:num w:numId="21">
    <w:abstractNumId w:val="32"/>
  </w:num>
  <w:num w:numId="22">
    <w:abstractNumId w:val="22"/>
  </w:num>
  <w:num w:numId="23">
    <w:abstractNumId w:val="17"/>
  </w:num>
  <w:num w:numId="24">
    <w:abstractNumId w:val="24"/>
  </w:num>
  <w:num w:numId="25">
    <w:abstractNumId w:val="109"/>
  </w:num>
  <w:num w:numId="26">
    <w:abstractNumId w:val="58"/>
  </w:num>
  <w:num w:numId="27">
    <w:abstractNumId w:val="60"/>
  </w:num>
  <w:num w:numId="28">
    <w:abstractNumId w:val="38"/>
  </w:num>
  <w:num w:numId="29">
    <w:abstractNumId w:val="115"/>
  </w:num>
  <w:num w:numId="30">
    <w:abstractNumId w:val="106"/>
  </w:num>
  <w:num w:numId="31">
    <w:abstractNumId w:val="36"/>
  </w:num>
  <w:num w:numId="32">
    <w:abstractNumId w:val="27"/>
  </w:num>
  <w:num w:numId="33">
    <w:abstractNumId w:val="78"/>
  </w:num>
  <w:num w:numId="34">
    <w:abstractNumId w:val="89"/>
  </w:num>
  <w:num w:numId="35">
    <w:abstractNumId w:val="98"/>
  </w:num>
  <w:num w:numId="36">
    <w:abstractNumId w:val="118"/>
  </w:num>
  <w:num w:numId="37">
    <w:abstractNumId w:val="12"/>
  </w:num>
  <w:num w:numId="38">
    <w:abstractNumId w:val="43"/>
  </w:num>
  <w:num w:numId="39">
    <w:abstractNumId w:val="15"/>
  </w:num>
  <w:num w:numId="40">
    <w:abstractNumId w:val="103"/>
  </w:num>
  <w:num w:numId="41">
    <w:abstractNumId w:val="84"/>
  </w:num>
  <w:num w:numId="42">
    <w:abstractNumId w:val="90"/>
  </w:num>
  <w:num w:numId="43">
    <w:abstractNumId w:val="16"/>
  </w:num>
  <w:num w:numId="44">
    <w:abstractNumId w:val="82"/>
  </w:num>
  <w:num w:numId="45">
    <w:abstractNumId w:val="61"/>
  </w:num>
  <w:num w:numId="46">
    <w:abstractNumId w:val="42"/>
  </w:num>
  <w:num w:numId="47">
    <w:abstractNumId w:val="30"/>
  </w:num>
  <w:num w:numId="48">
    <w:abstractNumId w:val="19"/>
  </w:num>
  <w:num w:numId="49">
    <w:abstractNumId w:val="83"/>
  </w:num>
  <w:num w:numId="50">
    <w:abstractNumId w:val="20"/>
  </w:num>
  <w:num w:numId="51">
    <w:abstractNumId w:val="116"/>
  </w:num>
  <w:num w:numId="52">
    <w:abstractNumId w:val="104"/>
  </w:num>
  <w:num w:numId="53">
    <w:abstractNumId w:val="95"/>
  </w:num>
  <w:num w:numId="54">
    <w:abstractNumId w:val="10"/>
  </w:num>
  <w:num w:numId="55">
    <w:abstractNumId w:val="63"/>
  </w:num>
  <w:num w:numId="56">
    <w:abstractNumId w:val="108"/>
  </w:num>
  <w:num w:numId="57">
    <w:abstractNumId w:val="99"/>
  </w:num>
  <w:num w:numId="58">
    <w:abstractNumId w:val="46"/>
  </w:num>
  <w:num w:numId="59">
    <w:abstractNumId w:val="91"/>
  </w:num>
  <w:num w:numId="60">
    <w:abstractNumId w:val="97"/>
  </w:num>
  <w:num w:numId="61">
    <w:abstractNumId w:val="55"/>
  </w:num>
  <w:num w:numId="62">
    <w:abstractNumId w:val="96"/>
  </w:num>
  <w:num w:numId="63">
    <w:abstractNumId w:val="101"/>
  </w:num>
  <w:num w:numId="64">
    <w:abstractNumId w:val="86"/>
  </w:num>
  <w:num w:numId="65">
    <w:abstractNumId w:val="18"/>
  </w:num>
  <w:num w:numId="66">
    <w:abstractNumId w:val="74"/>
  </w:num>
  <w:num w:numId="67">
    <w:abstractNumId w:val="41"/>
  </w:num>
  <w:num w:numId="68">
    <w:abstractNumId w:val="100"/>
  </w:num>
  <w:num w:numId="69">
    <w:abstractNumId w:val="77"/>
  </w:num>
  <w:num w:numId="70">
    <w:abstractNumId w:val="76"/>
  </w:num>
  <w:num w:numId="71">
    <w:abstractNumId w:val="11"/>
  </w:num>
  <w:num w:numId="72">
    <w:abstractNumId w:val="110"/>
  </w:num>
  <w:num w:numId="73">
    <w:abstractNumId w:val="107"/>
  </w:num>
  <w:num w:numId="74">
    <w:abstractNumId w:val="72"/>
  </w:num>
  <w:num w:numId="75">
    <w:abstractNumId w:val="67"/>
  </w:num>
  <w:num w:numId="76">
    <w:abstractNumId w:val="94"/>
  </w:num>
  <w:num w:numId="77">
    <w:abstractNumId w:val="102"/>
  </w:num>
  <w:num w:numId="78">
    <w:abstractNumId w:val="117"/>
  </w:num>
  <w:num w:numId="79">
    <w:abstractNumId w:val="85"/>
  </w:num>
  <w:num w:numId="80">
    <w:abstractNumId w:val="71"/>
  </w:num>
  <w:num w:numId="81">
    <w:abstractNumId w:val="25"/>
  </w:num>
  <w:num w:numId="82">
    <w:abstractNumId w:val="53"/>
  </w:num>
  <w:num w:numId="83">
    <w:abstractNumId w:val="52"/>
  </w:num>
  <w:num w:numId="84">
    <w:abstractNumId w:val="48"/>
  </w:num>
  <w:num w:numId="85">
    <w:abstractNumId w:val="39"/>
  </w:num>
  <w:num w:numId="86">
    <w:abstractNumId w:val="26"/>
  </w:num>
  <w:num w:numId="87">
    <w:abstractNumId w:val="31"/>
  </w:num>
  <w:num w:numId="88">
    <w:abstractNumId w:val="69"/>
  </w:num>
  <w:num w:numId="89">
    <w:abstractNumId w:val="70"/>
  </w:num>
  <w:num w:numId="90">
    <w:abstractNumId w:val="64"/>
  </w:num>
  <w:num w:numId="91">
    <w:abstractNumId w:val="14"/>
  </w:num>
  <w:num w:numId="92">
    <w:abstractNumId w:val="62"/>
  </w:num>
  <w:num w:numId="93">
    <w:abstractNumId w:val="93"/>
  </w:num>
  <w:num w:numId="94">
    <w:abstractNumId w:val="13"/>
  </w:num>
  <w:num w:numId="95">
    <w:abstractNumId w:val="50"/>
  </w:num>
  <w:num w:numId="96">
    <w:abstractNumId w:val="79"/>
  </w:num>
  <w:num w:numId="97">
    <w:abstractNumId w:val="44"/>
  </w:num>
  <w:num w:numId="98">
    <w:abstractNumId w:val="114"/>
  </w:num>
  <w:num w:numId="99">
    <w:abstractNumId w:val="111"/>
  </w:num>
  <w:num w:numId="100">
    <w:abstractNumId w:val="80"/>
  </w:num>
  <w:num w:numId="101">
    <w:abstractNumId w:val="112"/>
  </w:num>
  <w:num w:numId="102">
    <w:abstractNumId w:val="87"/>
  </w:num>
  <w:num w:numId="103">
    <w:abstractNumId w:val="66"/>
  </w:num>
  <w:num w:numId="104">
    <w:abstractNumId w:val="23"/>
  </w:num>
  <w:num w:numId="105">
    <w:abstractNumId w:val="105"/>
  </w:num>
  <w:num w:numId="106">
    <w:abstractNumId w:val="21"/>
  </w:num>
  <w:num w:numId="107">
    <w:abstractNumId w:val="65"/>
  </w:num>
  <w:num w:numId="108">
    <w:abstractNumId w:val="57"/>
  </w:num>
  <w:num w:numId="109">
    <w:abstractNumId w:val="34"/>
  </w:num>
  <w:num w:numId="110">
    <w:abstractNumId w:val="113"/>
  </w:num>
  <w:num w:numId="111">
    <w:abstractNumId w:val="47"/>
  </w:num>
  <w:num w:numId="112">
    <w:abstractNumId w:val="73"/>
  </w:num>
  <w:num w:numId="113">
    <w:abstractNumId w:val="37"/>
  </w:num>
  <w:num w:numId="114">
    <w:abstractNumId w:val="29"/>
  </w:num>
  <w:num w:numId="115">
    <w:abstractNumId w:val="68"/>
  </w:num>
  <w:num w:numId="116">
    <w:abstractNumId w:val="35"/>
  </w:num>
  <w:num w:numId="117">
    <w:abstractNumId w:val="33"/>
  </w:num>
  <w:num w:numId="118">
    <w:abstractNumId w:val="51"/>
  </w:num>
  <w:num w:numId="119">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F47478"/>
    <w:rsid w:val="000040F4"/>
    <w:rsid w:val="00006F61"/>
    <w:rsid w:val="00011098"/>
    <w:rsid w:val="00012E46"/>
    <w:rsid w:val="00014D19"/>
    <w:rsid w:val="00015169"/>
    <w:rsid w:val="00016220"/>
    <w:rsid w:val="0002409D"/>
    <w:rsid w:val="00025CE4"/>
    <w:rsid w:val="00027AAF"/>
    <w:rsid w:val="000300B0"/>
    <w:rsid w:val="00032B1F"/>
    <w:rsid w:val="00032E29"/>
    <w:rsid w:val="00034555"/>
    <w:rsid w:val="00034876"/>
    <w:rsid w:val="00034F79"/>
    <w:rsid w:val="0004068D"/>
    <w:rsid w:val="00040D3A"/>
    <w:rsid w:val="0004448D"/>
    <w:rsid w:val="00044AF5"/>
    <w:rsid w:val="00046632"/>
    <w:rsid w:val="000474F2"/>
    <w:rsid w:val="00047CBC"/>
    <w:rsid w:val="000504D3"/>
    <w:rsid w:val="00050793"/>
    <w:rsid w:val="000526AF"/>
    <w:rsid w:val="000559AF"/>
    <w:rsid w:val="00056019"/>
    <w:rsid w:val="00061763"/>
    <w:rsid w:val="0006389C"/>
    <w:rsid w:val="00065965"/>
    <w:rsid w:val="00070BD5"/>
    <w:rsid w:val="00071C95"/>
    <w:rsid w:val="00073EB9"/>
    <w:rsid w:val="00074230"/>
    <w:rsid w:val="000745A7"/>
    <w:rsid w:val="0008506F"/>
    <w:rsid w:val="00085EB8"/>
    <w:rsid w:val="00086D5D"/>
    <w:rsid w:val="000873C4"/>
    <w:rsid w:val="00091242"/>
    <w:rsid w:val="00091C93"/>
    <w:rsid w:val="000922E4"/>
    <w:rsid w:val="000940D4"/>
    <w:rsid w:val="00094746"/>
    <w:rsid w:val="00094B33"/>
    <w:rsid w:val="00095058"/>
    <w:rsid w:val="000A0C29"/>
    <w:rsid w:val="000A11F6"/>
    <w:rsid w:val="000A1DC7"/>
    <w:rsid w:val="000A5195"/>
    <w:rsid w:val="000A75D1"/>
    <w:rsid w:val="000A7DD2"/>
    <w:rsid w:val="000B0ACB"/>
    <w:rsid w:val="000B1BF2"/>
    <w:rsid w:val="000B40BF"/>
    <w:rsid w:val="000B4AFC"/>
    <w:rsid w:val="000B568A"/>
    <w:rsid w:val="000B592C"/>
    <w:rsid w:val="000B5F97"/>
    <w:rsid w:val="000B68CF"/>
    <w:rsid w:val="000C0D10"/>
    <w:rsid w:val="000C21CD"/>
    <w:rsid w:val="000C2DBE"/>
    <w:rsid w:val="000C3996"/>
    <w:rsid w:val="000C476C"/>
    <w:rsid w:val="000C4E4D"/>
    <w:rsid w:val="000C59F3"/>
    <w:rsid w:val="000C6931"/>
    <w:rsid w:val="000C7E96"/>
    <w:rsid w:val="000D03B7"/>
    <w:rsid w:val="000D0E1B"/>
    <w:rsid w:val="000D1365"/>
    <w:rsid w:val="000D3674"/>
    <w:rsid w:val="000D7CB2"/>
    <w:rsid w:val="000E1A78"/>
    <w:rsid w:val="000E22E0"/>
    <w:rsid w:val="000E710D"/>
    <w:rsid w:val="000E7FA6"/>
    <w:rsid w:val="000F258E"/>
    <w:rsid w:val="000F3C1A"/>
    <w:rsid w:val="000F4B3A"/>
    <w:rsid w:val="00100755"/>
    <w:rsid w:val="00100D34"/>
    <w:rsid w:val="00101C46"/>
    <w:rsid w:val="00102F8A"/>
    <w:rsid w:val="001047E2"/>
    <w:rsid w:val="00105DCC"/>
    <w:rsid w:val="001066E5"/>
    <w:rsid w:val="0011082B"/>
    <w:rsid w:val="00113665"/>
    <w:rsid w:val="00114778"/>
    <w:rsid w:val="0011514D"/>
    <w:rsid w:val="0012012A"/>
    <w:rsid w:val="00121307"/>
    <w:rsid w:val="001216E2"/>
    <w:rsid w:val="00121ED5"/>
    <w:rsid w:val="0012538F"/>
    <w:rsid w:val="00125736"/>
    <w:rsid w:val="00125D9F"/>
    <w:rsid w:val="00127CDE"/>
    <w:rsid w:val="00134428"/>
    <w:rsid w:val="00134890"/>
    <w:rsid w:val="0014050D"/>
    <w:rsid w:val="00141C83"/>
    <w:rsid w:val="001431CB"/>
    <w:rsid w:val="00144B1E"/>
    <w:rsid w:val="00146E7F"/>
    <w:rsid w:val="001479F2"/>
    <w:rsid w:val="00151053"/>
    <w:rsid w:val="00151ED6"/>
    <w:rsid w:val="001525AF"/>
    <w:rsid w:val="00154088"/>
    <w:rsid w:val="00155F35"/>
    <w:rsid w:val="00160D23"/>
    <w:rsid w:val="00161B90"/>
    <w:rsid w:val="00164162"/>
    <w:rsid w:val="00165E3A"/>
    <w:rsid w:val="00166338"/>
    <w:rsid w:val="00170236"/>
    <w:rsid w:val="00172C10"/>
    <w:rsid w:val="00172E60"/>
    <w:rsid w:val="00173392"/>
    <w:rsid w:val="00180A28"/>
    <w:rsid w:val="00182E00"/>
    <w:rsid w:val="0018363D"/>
    <w:rsid w:val="00184168"/>
    <w:rsid w:val="00185437"/>
    <w:rsid w:val="00185B47"/>
    <w:rsid w:val="00187FF6"/>
    <w:rsid w:val="001907C9"/>
    <w:rsid w:val="001909A3"/>
    <w:rsid w:val="001921FD"/>
    <w:rsid w:val="00193120"/>
    <w:rsid w:val="0019515B"/>
    <w:rsid w:val="00195933"/>
    <w:rsid w:val="001A059D"/>
    <w:rsid w:val="001A2AFB"/>
    <w:rsid w:val="001A3DD1"/>
    <w:rsid w:val="001B08C8"/>
    <w:rsid w:val="001B630B"/>
    <w:rsid w:val="001C0B66"/>
    <w:rsid w:val="001C1F9A"/>
    <w:rsid w:val="001C45EC"/>
    <w:rsid w:val="001C4DA2"/>
    <w:rsid w:val="001C5C42"/>
    <w:rsid w:val="001C5EBC"/>
    <w:rsid w:val="001D0A3A"/>
    <w:rsid w:val="001D0A55"/>
    <w:rsid w:val="001D0E77"/>
    <w:rsid w:val="001D145C"/>
    <w:rsid w:val="001D3122"/>
    <w:rsid w:val="001D3C6D"/>
    <w:rsid w:val="001D4880"/>
    <w:rsid w:val="001D5333"/>
    <w:rsid w:val="001D60AE"/>
    <w:rsid w:val="001D6C1F"/>
    <w:rsid w:val="001E0514"/>
    <w:rsid w:val="001E17E7"/>
    <w:rsid w:val="001E1E12"/>
    <w:rsid w:val="001E1FD3"/>
    <w:rsid w:val="001E268E"/>
    <w:rsid w:val="001E32B3"/>
    <w:rsid w:val="001E3E86"/>
    <w:rsid w:val="001E67FF"/>
    <w:rsid w:val="001E774F"/>
    <w:rsid w:val="001E7A9D"/>
    <w:rsid w:val="001F0BCD"/>
    <w:rsid w:val="001F2457"/>
    <w:rsid w:val="001F4752"/>
    <w:rsid w:val="001F4DDE"/>
    <w:rsid w:val="002020E7"/>
    <w:rsid w:val="002046E8"/>
    <w:rsid w:val="00206A51"/>
    <w:rsid w:val="002073E0"/>
    <w:rsid w:val="00212F7B"/>
    <w:rsid w:val="00213B0C"/>
    <w:rsid w:val="00214CFE"/>
    <w:rsid w:val="00220582"/>
    <w:rsid w:val="00221B61"/>
    <w:rsid w:val="00222036"/>
    <w:rsid w:val="0022210A"/>
    <w:rsid w:val="0022300E"/>
    <w:rsid w:val="00225F61"/>
    <w:rsid w:val="00226145"/>
    <w:rsid w:val="00226205"/>
    <w:rsid w:val="00226504"/>
    <w:rsid w:val="0022659D"/>
    <w:rsid w:val="002274A1"/>
    <w:rsid w:val="00227C09"/>
    <w:rsid w:val="00232676"/>
    <w:rsid w:val="00233825"/>
    <w:rsid w:val="00234C18"/>
    <w:rsid w:val="0023551D"/>
    <w:rsid w:val="00236FB3"/>
    <w:rsid w:val="00237E04"/>
    <w:rsid w:val="002403C6"/>
    <w:rsid w:val="00240A89"/>
    <w:rsid w:val="002417C0"/>
    <w:rsid w:val="002426FF"/>
    <w:rsid w:val="00242822"/>
    <w:rsid w:val="0024282A"/>
    <w:rsid w:val="0024326F"/>
    <w:rsid w:val="00243A62"/>
    <w:rsid w:val="00244094"/>
    <w:rsid w:val="0024611A"/>
    <w:rsid w:val="00250198"/>
    <w:rsid w:val="002502A7"/>
    <w:rsid w:val="00252A9E"/>
    <w:rsid w:val="002573A3"/>
    <w:rsid w:val="0025746C"/>
    <w:rsid w:val="002579B6"/>
    <w:rsid w:val="002620F4"/>
    <w:rsid w:val="002625E9"/>
    <w:rsid w:val="0026410B"/>
    <w:rsid w:val="002641CB"/>
    <w:rsid w:val="00265E77"/>
    <w:rsid w:val="002678D6"/>
    <w:rsid w:val="002702CB"/>
    <w:rsid w:val="00271668"/>
    <w:rsid w:val="00272423"/>
    <w:rsid w:val="0027433E"/>
    <w:rsid w:val="00275A9B"/>
    <w:rsid w:val="002778C6"/>
    <w:rsid w:val="00282CBA"/>
    <w:rsid w:val="002835B4"/>
    <w:rsid w:val="00283EA9"/>
    <w:rsid w:val="00286013"/>
    <w:rsid w:val="00290697"/>
    <w:rsid w:val="002921DF"/>
    <w:rsid w:val="00292731"/>
    <w:rsid w:val="00292C4F"/>
    <w:rsid w:val="00293344"/>
    <w:rsid w:val="002A1910"/>
    <w:rsid w:val="002A1951"/>
    <w:rsid w:val="002A68F0"/>
    <w:rsid w:val="002B10A6"/>
    <w:rsid w:val="002B19A0"/>
    <w:rsid w:val="002B25DA"/>
    <w:rsid w:val="002B2887"/>
    <w:rsid w:val="002B4615"/>
    <w:rsid w:val="002B60C6"/>
    <w:rsid w:val="002C24B0"/>
    <w:rsid w:val="002C3CE2"/>
    <w:rsid w:val="002C5F7F"/>
    <w:rsid w:val="002C6A03"/>
    <w:rsid w:val="002D0BBB"/>
    <w:rsid w:val="002D13C2"/>
    <w:rsid w:val="002D143B"/>
    <w:rsid w:val="002D1816"/>
    <w:rsid w:val="002D3E31"/>
    <w:rsid w:val="002D4917"/>
    <w:rsid w:val="002D4F72"/>
    <w:rsid w:val="002D56CA"/>
    <w:rsid w:val="002D5AB5"/>
    <w:rsid w:val="002D6DC5"/>
    <w:rsid w:val="002E2578"/>
    <w:rsid w:val="002E3FD9"/>
    <w:rsid w:val="002E4F63"/>
    <w:rsid w:val="002F0D1A"/>
    <w:rsid w:val="002F0D5C"/>
    <w:rsid w:val="002F2DC8"/>
    <w:rsid w:val="002F2F1E"/>
    <w:rsid w:val="002F5ADD"/>
    <w:rsid w:val="002F6FCE"/>
    <w:rsid w:val="002F775C"/>
    <w:rsid w:val="00301285"/>
    <w:rsid w:val="0030130C"/>
    <w:rsid w:val="0030271E"/>
    <w:rsid w:val="003037B9"/>
    <w:rsid w:val="00304A65"/>
    <w:rsid w:val="00306101"/>
    <w:rsid w:val="00306C00"/>
    <w:rsid w:val="00310D0E"/>
    <w:rsid w:val="0031289E"/>
    <w:rsid w:val="0031481D"/>
    <w:rsid w:val="00315135"/>
    <w:rsid w:val="00320A08"/>
    <w:rsid w:val="00321251"/>
    <w:rsid w:val="00321D9F"/>
    <w:rsid w:val="00324A20"/>
    <w:rsid w:val="0032670E"/>
    <w:rsid w:val="00327551"/>
    <w:rsid w:val="00327C54"/>
    <w:rsid w:val="00331C9F"/>
    <w:rsid w:val="00335B3A"/>
    <w:rsid w:val="00336030"/>
    <w:rsid w:val="003360DF"/>
    <w:rsid w:val="0033721F"/>
    <w:rsid w:val="0034013D"/>
    <w:rsid w:val="00340BAF"/>
    <w:rsid w:val="00341C26"/>
    <w:rsid w:val="00341DE6"/>
    <w:rsid w:val="00341F12"/>
    <w:rsid w:val="003438FD"/>
    <w:rsid w:val="003444C8"/>
    <w:rsid w:val="00344B67"/>
    <w:rsid w:val="00345660"/>
    <w:rsid w:val="003461D0"/>
    <w:rsid w:val="00347118"/>
    <w:rsid w:val="0035086B"/>
    <w:rsid w:val="00350FA4"/>
    <w:rsid w:val="003531D7"/>
    <w:rsid w:val="00355797"/>
    <w:rsid w:val="00357674"/>
    <w:rsid w:val="00357A6D"/>
    <w:rsid w:val="00357ED3"/>
    <w:rsid w:val="003619B7"/>
    <w:rsid w:val="0036205C"/>
    <w:rsid w:val="003626EE"/>
    <w:rsid w:val="003633E8"/>
    <w:rsid w:val="00365BAF"/>
    <w:rsid w:val="00366B3E"/>
    <w:rsid w:val="0037126C"/>
    <w:rsid w:val="00371B8A"/>
    <w:rsid w:val="00373B8F"/>
    <w:rsid w:val="00375A5A"/>
    <w:rsid w:val="00376754"/>
    <w:rsid w:val="003771CA"/>
    <w:rsid w:val="00377A71"/>
    <w:rsid w:val="00380FE6"/>
    <w:rsid w:val="00382DA4"/>
    <w:rsid w:val="003838CF"/>
    <w:rsid w:val="003844A2"/>
    <w:rsid w:val="00385418"/>
    <w:rsid w:val="00386247"/>
    <w:rsid w:val="00386632"/>
    <w:rsid w:val="00386BF9"/>
    <w:rsid w:val="0038772A"/>
    <w:rsid w:val="0039065F"/>
    <w:rsid w:val="0039469A"/>
    <w:rsid w:val="003A410E"/>
    <w:rsid w:val="003A45AA"/>
    <w:rsid w:val="003B0E1A"/>
    <w:rsid w:val="003B255B"/>
    <w:rsid w:val="003B4E24"/>
    <w:rsid w:val="003B5AE2"/>
    <w:rsid w:val="003B7425"/>
    <w:rsid w:val="003B782E"/>
    <w:rsid w:val="003C050D"/>
    <w:rsid w:val="003C125A"/>
    <w:rsid w:val="003C1399"/>
    <w:rsid w:val="003C3755"/>
    <w:rsid w:val="003C7AB3"/>
    <w:rsid w:val="003C7ACF"/>
    <w:rsid w:val="003D1B7B"/>
    <w:rsid w:val="003D20CD"/>
    <w:rsid w:val="003D24A3"/>
    <w:rsid w:val="003D368E"/>
    <w:rsid w:val="003D4F40"/>
    <w:rsid w:val="003D54FD"/>
    <w:rsid w:val="003D57F3"/>
    <w:rsid w:val="003E158C"/>
    <w:rsid w:val="003E5B9F"/>
    <w:rsid w:val="003E5CB5"/>
    <w:rsid w:val="003F4F0B"/>
    <w:rsid w:val="003F5111"/>
    <w:rsid w:val="003F75E2"/>
    <w:rsid w:val="003F78F8"/>
    <w:rsid w:val="00400446"/>
    <w:rsid w:val="00400D52"/>
    <w:rsid w:val="00403380"/>
    <w:rsid w:val="00405D49"/>
    <w:rsid w:val="00406CD7"/>
    <w:rsid w:val="00407B6C"/>
    <w:rsid w:val="004105C2"/>
    <w:rsid w:val="00412181"/>
    <w:rsid w:val="0041272D"/>
    <w:rsid w:val="00412EEB"/>
    <w:rsid w:val="00413DC5"/>
    <w:rsid w:val="00415A9D"/>
    <w:rsid w:val="00415F10"/>
    <w:rsid w:val="00416AB7"/>
    <w:rsid w:val="00420047"/>
    <w:rsid w:val="00421A99"/>
    <w:rsid w:val="00422C8B"/>
    <w:rsid w:val="00422CEB"/>
    <w:rsid w:val="004247DA"/>
    <w:rsid w:val="004260B8"/>
    <w:rsid w:val="00427161"/>
    <w:rsid w:val="0042776D"/>
    <w:rsid w:val="00430953"/>
    <w:rsid w:val="00430AD7"/>
    <w:rsid w:val="00431BDD"/>
    <w:rsid w:val="0043479C"/>
    <w:rsid w:val="00435095"/>
    <w:rsid w:val="00435CAE"/>
    <w:rsid w:val="00435EC7"/>
    <w:rsid w:val="00437184"/>
    <w:rsid w:val="00437262"/>
    <w:rsid w:val="004416EE"/>
    <w:rsid w:val="004429DB"/>
    <w:rsid w:val="0044362C"/>
    <w:rsid w:val="0045016F"/>
    <w:rsid w:val="004508C7"/>
    <w:rsid w:val="00452312"/>
    <w:rsid w:val="00452813"/>
    <w:rsid w:val="00452CD7"/>
    <w:rsid w:val="004557C6"/>
    <w:rsid w:val="004562DB"/>
    <w:rsid w:val="00457A98"/>
    <w:rsid w:val="00460484"/>
    <w:rsid w:val="00460A63"/>
    <w:rsid w:val="00461DFD"/>
    <w:rsid w:val="004656D9"/>
    <w:rsid w:val="00465C70"/>
    <w:rsid w:val="00471F68"/>
    <w:rsid w:val="00472812"/>
    <w:rsid w:val="00475B4F"/>
    <w:rsid w:val="0047689D"/>
    <w:rsid w:val="00477293"/>
    <w:rsid w:val="004824E8"/>
    <w:rsid w:val="0048647E"/>
    <w:rsid w:val="004864C9"/>
    <w:rsid w:val="0048684F"/>
    <w:rsid w:val="00487414"/>
    <w:rsid w:val="00487E62"/>
    <w:rsid w:val="00491044"/>
    <w:rsid w:val="00491369"/>
    <w:rsid w:val="004920A0"/>
    <w:rsid w:val="00493D2A"/>
    <w:rsid w:val="0049408C"/>
    <w:rsid w:val="004940F0"/>
    <w:rsid w:val="0049484E"/>
    <w:rsid w:val="00494961"/>
    <w:rsid w:val="0049584B"/>
    <w:rsid w:val="00496752"/>
    <w:rsid w:val="00496759"/>
    <w:rsid w:val="00497ABA"/>
    <w:rsid w:val="004A066A"/>
    <w:rsid w:val="004A0CB5"/>
    <w:rsid w:val="004A2387"/>
    <w:rsid w:val="004A3081"/>
    <w:rsid w:val="004A4481"/>
    <w:rsid w:val="004A4BA0"/>
    <w:rsid w:val="004A5546"/>
    <w:rsid w:val="004A630C"/>
    <w:rsid w:val="004A7246"/>
    <w:rsid w:val="004A7CFA"/>
    <w:rsid w:val="004B0D5B"/>
    <w:rsid w:val="004B1B4F"/>
    <w:rsid w:val="004B306D"/>
    <w:rsid w:val="004B7CF7"/>
    <w:rsid w:val="004C04B1"/>
    <w:rsid w:val="004C27D1"/>
    <w:rsid w:val="004C34E5"/>
    <w:rsid w:val="004C7158"/>
    <w:rsid w:val="004C7290"/>
    <w:rsid w:val="004D03D1"/>
    <w:rsid w:val="004D04AA"/>
    <w:rsid w:val="004D0D61"/>
    <w:rsid w:val="004D1617"/>
    <w:rsid w:val="004D2F1B"/>
    <w:rsid w:val="004D3B31"/>
    <w:rsid w:val="004D4A82"/>
    <w:rsid w:val="004E0154"/>
    <w:rsid w:val="004E0F3E"/>
    <w:rsid w:val="004E3B29"/>
    <w:rsid w:val="004E49AD"/>
    <w:rsid w:val="004E4BB8"/>
    <w:rsid w:val="004E5EA8"/>
    <w:rsid w:val="004E7B10"/>
    <w:rsid w:val="004F1A31"/>
    <w:rsid w:val="004F5DF2"/>
    <w:rsid w:val="00501035"/>
    <w:rsid w:val="00501D54"/>
    <w:rsid w:val="00503FDF"/>
    <w:rsid w:val="005043F5"/>
    <w:rsid w:val="00505FE9"/>
    <w:rsid w:val="005113C9"/>
    <w:rsid w:val="005122EC"/>
    <w:rsid w:val="00514D7F"/>
    <w:rsid w:val="0051661A"/>
    <w:rsid w:val="00521137"/>
    <w:rsid w:val="00522071"/>
    <w:rsid w:val="00523005"/>
    <w:rsid w:val="005346A6"/>
    <w:rsid w:val="005359E0"/>
    <w:rsid w:val="00536F3F"/>
    <w:rsid w:val="00536FDE"/>
    <w:rsid w:val="0053750A"/>
    <w:rsid w:val="005419D7"/>
    <w:rsid w:val="00542C05"/>
    <w:rsid w:val="00542CA3"/>
    <w:rsid w:val="0054361F"/>
    <w:rsid w:val="00545C2A"/>
    <w:rsid w:val="005535F3"/>
    <w:rsid w:val="00554054"/>
    <w:rsid w:val="00556175"/>
    <w:rsid w:val="00557666"/>
    <w:rsid w:val="005612CD"/>
    <w:rsid w:val="005624AC"/>
    <w:rsid w:val="0056292D"/>
    <w:rsid w:val="00570C90"/>
    <w:rsid w:val="00571A9A"/>
    <w:rsid w:val="005732CA"/>
    <w:rsid w:val="005740EF"/>
    <w:rsid w:val="00576476"/>
    <w:rsid w:val="00582916"/>
    <w:rsid w:val="00582CB0"/>
    <w:rsid w:val="00583329"/>
    <w:rsid w:val="005851F8"/>
    <w:rsid w:val="00587891"/>
    <w:rsid w:val="00597DBF"/>
    <w:rsid w:val="005A07D9"/>
    <w:rsid w:val="005A0B57"/>
    <w:rsid w:val="005A478A"/>
    <w:rsid w:val="005A63DB"/>
    <w:rsid w:val="005A672B"/>
    <w:rsid w:val="005A7FC8"/>
    <w:rsid w:val="005B0B1B"/>
    <w:rsid w:val="005B1E91"/>
    <w:rsid w:val="005B4E4B"/>
    <w:rsid w:val="005B52A1"/>
    <w:rsid w:val="005C134F"/>
    <w:rsid w:val="005C38DE"/>
    <w:rsid w:val="005C59D4"/>
    <w:rsid w:val="005C66FB"/>
    <w:rsid w:val="005D0479"/>
    <w:rsid w:val="005D08A0"/>
    <w:rsid w:val="005D0BFE"/>
    <w:rsid w:val="005D1AF9"/>
    <w:rsid w:val="005D1C45"/>
    <w:rsid w:val="005D32B6"/>
    <w:rsid w:val="005D47C9"/>
    <w:rsid w:val="005D6B44"/>
    <w:rsid w:val="005D6C81"/>
    <w:rsid w:val="005E4E72"/>
    <w:rsid w:val="005E5635"/>
    <w:rsid w:val="005E6B65"/>
    <w:rsid w:val="005E6FC1"/>
    <w:rsid w:val="005F048A"/>
    <w:rsid w:val="005F198D"/>
    <w:rsid w:val="005F230A"/>
    <w:rsid w:val="005F23C0"/>
    <w:rsid w:val="005F31BF"/>
    <w:rsid w:val="005F4FB7"/>
    <w:rsid w:val="005F598D"/>
    <w:rsid w:val="005F6479"/>
    <w:rsid w:val="005F65B0"/>
    <w:rsid w:val="005F7081"/>
    <w:rsid w:val="005F7F02"/>
    <w:rsid w:val="00600E2F"/>
    <w:rsid w:val="0060116F"/>
    <w:rsid w:val="0060294F"/>
    <w:rsid w:val="00602B52"/>
    <w:rsid w:val="00605EE1"/>
    <w:rsid w:val="0060695C"/>
    <w:rsid w:val="0060722B"/>
    <w:rsid w:val="006107DD"/>
    <w:rsid w:val="006110DF"/>
    <w:rsid w:val="00611C9D"/>
    <w:rsid w:val="00613737"/>
    <w:rsid w:val="00617ADC"/>
    <w:rsid w:val="00620C2E"/>
    <w:rsid w:val="00621227"/>
    <w:rsid w:val="00622336"/>
    <w:rsid w:val="0062287A"/>
    <w:rsid w:val="00622DC3"/>
    <w:rsid w:val="00623901"/>
    <w:rsid w:val="006241C1"/>
    <w:rsid w:val="006261B0"/>
    <w:rsid w:val="0062635B"/>
    <w:rsid w:val="00626535"/>
    <w:rsid w:val="006272BE"/>
    <w:rsid w:val="006274AA"/>
    <w:rsid w:val="00631669"/>
    <w:rsid w:val="006331D1"/>
    <w:rsid w:val="00636348"/>
    <w:rsid w:val="00640C4A"/>
    <w:rsid w:val="00641754"/>
    <w:rsid w:val="006421CE"/>
    <w:rsid w:val="0064286D"/>
    <w:rsid w:val="00643860"/>
    <w:rsid w:val="0064709E"/>
    <w:rsid w:val="00647506"/>
    <w:rsid w:val="00655FC7"/>
    <w:rsid w:val="00656F4D"/>
    <w:rsid w:val="00661A75"/>
    <w:rsid w:val="00662D09"/>
    <w:rsid w:val="0066457E"/>
    <w:rsid w:val="00665749"/>
    <w:rsid w:val="0066712F"/>
    <w:rsid w:val="006718A2"/>
    <w:rsid w:val="006724AD"/>
    <w:rsid w:val="0067277B"/>
    <w:rsid w:val="006729B6"/>
    <w:rsid w:val="00672A30"/>
    <w:rsid w:val="0067372F"/>
    <w:rsid w:val="006743A6"/>
    <w:rsid w:val="00675AFD"/>
    <w:rsid w:val="00677B94"/>
    <w:rsid w:val="006809A1"/>
    <w:rsid w:val="006814EE"/>
    <w:rsid w:val="00681746"/>
    <w:rsid w:val="00684A02"/>
    <w:rsid w:val="0068659C"/>
    <w:rsid w:val="006918D2"/>
    <w:rsid w:val="00692B4A"/>
    <w:rsid w:val="00693594"/>
    <w:rsid w:val="006945FF"/>
    <w:rsid w:val="0069727B"/>
    <w:rsid w:val="00697F74"/>
    <w:rsid w:val="006A3458"/>
    <w:rsid w:val="006A6C2D"/>
    <w:rsid w:val="006B0F1E"/>
    <w:rsid w:val="006B1855"/>
    <w:rsid w:val="006B2197"/>
    <w:rsid w:val="006B3E31"/>
    <w:rsid w:val="006B6AB8"/>
    <w:rsid w:val="006B718B"/>
    <w:rsid w:val="006B741D"/>
    <w:rsid w:val="006C6D1B"/>
    <w:rsid w:val="006C70AC"/>
    <w:rsid w:val="006C7138"/>
    <w:rsid w:val="006C7701"/>
    <w:rsid w:val="006C7CED"/>
    <w:rsid w:val="006D144C"/>
    <w:rsid w:val="006D442D"/>
    <w:rsid w:val="006D5434"/>
    <w:rsid w:val="006D6E45"/>
    <w:rsid w:val="006D7A09"/>
    <w:rsid w:val="006E1DC9"/>
    <w:rsid w:val="006E3CE2"/>
    <w:rsid w:val="006E407F"/>
    <w:rsid w:val="006E4331"/>
    <w:rsid w:val="006E45A6"/>
    <w:rsid w:val="006E68C6"/>
    <w:rsid w:val="006E7C9A"/>
    <w:rsid w:val="006F2B8D"/>
    <w:rsid w:val="006F5650"/>
    <w:rsid w:val="006F599F"/>
    <w:rsid w:val="006F6C17"/>
    <w:rsid w:val="006F6EFF"/>
    <w:rsid w:val="007015DD"/>
    <w:rsid w:val="00701C84"/>
    <w:rsid w:val="0070296D"/>
    <w:rsid w:val="007029DC"/>
    <w:rsid w:val="00704BA9"/>
    <w:rsid w:val="00707874"/>
    <w:rsid w:val="00712030"/>
    <w:rsid w:val="00712056"/>
    <w:rsid w:val="007120E6"/>
    <w:rsid w:val="00712B4D"/>
    <w:rsid w:val="00712E15"/>
    <w:rsid w:val="007135A8"/>
    <w:rsid w:val="00713E8D"/>
    <w:rsid w:val="00716D63"/>
    <w:rsid w:val="007171A1"/>
    <w:rsid w:val="00717461"/>
    <w:rsid w:val="00721C7D"/>
    <w:rsid w:val="00723A4A"/>
    <w:rsid w:val="00723A8C"/>
    <w:rsid w:val="00723EC9"/>
    <w:rsid w:val="007243A8"/>
    <w:rsid w:val="00724EA9"/>
    <w:rsid w:val="00727523"/>
    <w:rsid w:val="00727C8C"/>
    <w:rsid w:val="00727E08"/>
    <w:rsid w:val="007313C2"/>
    <w:rsid w:val="00731832"/>
    <w:rsid w:val="007329BC"/>
    <w:rsid w:val="0073313F"/>
    <w:rsid w:val="007339A8"/>
    <w:rsid w:val="0073405C"/>
    <w:rsid w:val="00734FF3"/>
    <w:rsid w:val="00736CFB"/>
    <w:rsid w:val="00737599"/>
    <w:rsid w:val="00737B7A"/>
    <w:rsid w:val="00737ED2"/>
    <w:rsid w:val="0074167A"/>
    <w:rsid w:val="007419B2"/>
    <w:rsid w:val="00741CA3"/>
    <w:rsid w:val="00742251"/>
    <w:rsid w:val="0074349F"/>
    <w:rsid w:val="00743E94"/>
    <w:rsid w:val="0074425A"/>
    <w:rsid w:val="00746635"/>
    <w:rsid w:val="0074748D"/>
    <w:rsid w:val="00747F70"/>
    <w:rsid w:val="00751CEC"/>
    <w:rsid w:val="0075523E"/>
    <w:rsid w:val="0075593D"/>
    <w:rsid w:val="00757130"/>
    <w:rsid w:val="00760C69"/>
    <w:rsid w:val="00760D65"/>
    <w:rsid w:val="007612EB"/>
    <w:rsid w:val="00763E17"/>
    <w:rsid w:val="00765223"/>
    <w:rsid w:val="00766943"/>
    <w:rsid w:val="00766DC0"/>
    <w:rsid w:val="00766F52"/>
    <w:rsid w:val="007708F0"/>
    <w:rsid w:val="0077153D"/>
    <w:rsid w:val="00772C14"/>
    <w:rsid w:val="0077464F"/>
    <w:rsid w:val="007747FC"/>
    <w:rsid w:val="007762DC"/>
    <w:rsid w:val="0077670A"/>
    <w:rsid w:val="00776EB5"/>
    <w:rsid w:val="00777BEF"/>
    <w:rsid w:val="0078032A"/>
    <w:rsid w:val="00783D07"/>
    <w:rsid w:val="007840B8"/>
    <w:rsid w:val="007843EB"/>
    <w:rsid w:val="00784515"/>
    <w:rsid w:val="00784901"/>
    <w:rsid w:val="00784C71"/>
    <w:rsid w:val="007861EB"/>
    <w:rsid w:val="007864C1"/>
    <w:rsid w:val="0078674E"/>
    <w:rsid w:val="007871EF"/>
    <w:rsid w:val="00787A4A"/>
    <w:rsid w:val="00791003"/>
    <w:rsid w:val="007925BB"/>
    <w:rsid w:val="0079269E"/>
    <w:rsid w:val="007926EC"/>
    <w:rsid w:val="00793722"/>
    <w:rsid w:val="007937C9"/>
    <w:rsid w:val="00793A9E"/>
    <w:rsid w:val="007945BC"/>
    <w:rsid w:val="007953BB"/>
    <w:rsid w:val="007957AA"/>
    <w:rsid w:val="00795B56"/>
    <w:rsid w:val="007A07E6"/>
    <w:rsid w:val="007A2237"/>
    <w:rsid w:val="007A23AE"/>
    <w:rsid w:val="007A2A0F"/>
    <w:rsid w:val="007A62DC"/>
    <w:rsid w:val="007A6B18"/>
    <w:rsid w:val="007B1D96"/>
    <w:rsid w:val="007B2A4F"/>
    <w:rsid w:val="007B2F6C"/>
    <w:rsid w:val="007B5662"/>
    <w:rsid w:val="007B7283"/>
    <w:rsid w:val="007C0D43"/>
    <w:rsid w:val="007C1328"/>
    <w:rsid w:val="007C1F3C"/>
    <w:rsid w:val="007C2938"/>
    <w:rsid w:val="007C38E6"/>
    <w:rsid w:val="007C4D80"/>
    <w:rsid w:val="007C5324"/>
    <w:rsid w:val="007C62B3"/>
    <w:rsid w:val="007C70ED"/>
    <w:rsid w:val="007C79CF"/>
    <w:rsid w:val="007D07B3"/>
    <w:rsid w:val="007D566C"/>
    <w:rsid w:val="007D5FE6"/>
    <w:rsid w:val="007D64D0"/>
    <w:rsid w:val="007E0D79"/>
    <w:rsid w:val="007E3CEF"/>
    <w:rsid w:val="007E6157"/>
    <w:rsid w:val="007E61C2"/>
    <w:rsid w:val="007E6AFD"/>
    <w:rsid w:val="007E7E80"/>
    <w:rsid w:val="007F1CE4"/>
    <w:rsid w:val="00800B72"/>
    <w:rsid w:val="00802264"/>
    <w:rsid w:val="00802C8C"/>
    <w:rsid w:val="00805393"/>
    <w:rsid w:val="008065F3"/>
    <w:rsid w:val="00811374"/>
    <w:rsid w:val="008113F0"/>
    <w:rsid w:val="00811E35"/>
    <w:rsid w:val="00813B54"/>
    <w:rsid w:val="00815B76"/>
    <w:rsid w:val="00816FA5"/>
    <w:rsid w:val="00817A2A"/>
    <w:rsid w:val="00817F69"/>
    <w:rsid w:val="00820D58"/>
    <w:rsid w:val="008216BA"/>
    <w:rsid w:val="0082201E"/>
    <w:rsid w:val="00822ABC"/>
    <w:rsid w:val="00823258"/>
    <w:rsid w:val="008233FB"/>
    <w:rsid w:val="00825540"/>
    <w:rsid w:val="008312F9"/>
    <w:rsid w:val="00831913"/>
    <w:rsid w:val="00832004"/>
    <w:rsid w:val="008342C4"/>
    <w:rsid w:val="008348B5"/>
    <w:rsid w:val="00834E8B"/>
    <w:rsid w:val="00835964"/>
    <w:rsid w:val="00840383"/>
    <w:rsid w:val="00840CD9"/>
    <w:rsid w:val="00847210"/>
    <w:rsid w:val="008473C2"/>
    <w:rsid w:val="00852378"/>
    <w:rsid w:val="00852F5D"/>
    <w:rsid w:val="0085357E"/>
    <w:rsid w:val="00854A7F"/>
    <w:rsid w:val="00855C1B"/>
    <w:rsid w:val="00855CC7"/>
    <w:rsid w:val="008635C9"/>
    <w:rsid w:val="0086416F"/>
    <w:rsid w:val="008702B4"/>
    <w:rsid w:val="008736C2"/>
    <w:rsid w:val="00873B74"/>
    <w:rsid w:val="00874AF1"/>
    <w:rsid w:val="00877B83"/>
    <w:rsid w:val="00883500"/>
    <w:rsid w:val="008845EA"/>
    <w:rsid w:val="00885282"/>
    <w:rsid w:val="00885310"/>
    <w:rsid w:val="00885589"/>
    <w:rsid w:val="0088591C"/>
    <w:rsid w:val="0089033E"/>
    <w:rsid w:val="008909FC"/>
    <w:rsid w:val="00890E07"/>
    <w:rsid w:val="00891707"/>
    <w:rsid w:val="00892A5D"/>
    <w:rsid w:val="00892C25"/>
    <w:rsid w:val="008938D3"/>
    <w:rsid w:val="00893AC2"/>
    <w:rsid w:val="008967AC"/>
    <w:rsid w:val="00897C2D"/>
    <w:rsid w:val="008A4815"/>
    <w:rsid w:val="008A4C37"/>
    <w:rsid w:val="008B0CE7"/>
    <w:rsid w:val="008B4178"/>
    <w:rsid w:val="008B7BE0"/>
    <w:rsid w:val="008B7EDF"/>
    <w:rsid w:val="008C0560"/>
    <w:rsid w:val="008C0981"/>
    <w:rsid w:val="008C39BB"/>
    <w:rsid w:val="008C41BE"/>
    <w:rsid w:val="008C4775"/>
    <w:rsid w:val="008C4D19"/>
    <w:rsid w:val="008C5B9E"/>
    <w:rsid w:val="008C7C3D"/>
    <w:rsid w:val="008D1AAC"/>
    <w:rsid w:val="008D324C"/>
    <w:rsid w:val="008D4799"/>
    <w:rsid w:val="008D47CA"/>
    <w:rsid w:val="008D6AD2"/>
    <w:rsid w:val="008D6EB9"/>
    <w:rsid w:val="008D71F3"/>
    <w:rsid w:val="008D7984"/>
    <w:rsid w:val="008E2AF6"/>
    <w:rsid w:val="008E2EFC"/>
    <w:rsid w:val="008E4178"/>
    <w:rsid w:val="008E706D"/>
    <w:rsid w:val="008F0480"/>
    <w:rsid w:val="008F063B"/>
    <w:rsid w:val="008F18D9"/>
    <w:rsid w:val="008F1A1C"/>
    <w:rsid w:val="008F4D87"/>
    <w:rsid w:val="008F4F08"/>
    <w:rsid w:val="008F558A"/>
    <w:rsid w:val="008F5636"/>
    <w:rsid w:val="00902AB0"/>
    <w:rsid w:val="00903694"/>
    <w:rsid w:val="0090414C"/>
    <w:rsid w:val="00905758"/>
    <w:rsid w:val="00910283"/>
    <w:rsid w:val="0091425F"/>
    <w:rsid w:val="009151B3"/>
    <w:rsid w:val="00915B89"/>
    <w:rsid w:val="00915C99"/>
    <w:rsid w:val="009161AA"/>
    <w:rsid w:val="009169D4"/>
    <w:rsid w:val="009170C7"/>
    <w:rsid w:val="00917417"/>
    <w:rsid w:val="009176EA"/>
    <w:rsid w:val="00920DB6"/>
    <w:rsid w:val="00922AFE"/>
    <w:rsid w:val="00923CD3"/>
    <w:rsid w:val="00927AFA"/>
    <w:rsid w:val="00927F73"/>
    <w:rsid w:val="00930909"/>
    <w:rsid w:val="00930F2E"/>
    <w:rsid w:val="00934EBA"/>
    <w:rsid w:val="00944186"/>
    <w:rsid w:val="00950182"/>
    <w:rsid w:val="0095272E"/>
    <w:rsid w:val="00952F9E"/>
    <w:rsid w:val="009550B0"/>
    <w:rsid w:val="00955F1D"/>
    <w:rsid w:val="00960358"/>
    <w:rsid w:val="00963199"/>
    <w:rsid w:val="00963F3F"/>
    <w:rsid w:val="00964C8A"/>
    <w:rsid w:val="00966DD0"/>
    <w:rsid w:val="00967097"/>
    <w:rsid w:val="00972DB2"/>
    <w:rsid w:val="009732BA"/>
    <w:rsid w:val="0097467A"/>
    <w:rsid w:val="0097719A"/>
    <w:rsid w:val="00977D68"/>
    <w:rsid w:val="00980783"/>
    <w:rsid w:val="0098148F"/>
    <w:rsid w:val="00983B25"/>
    <w:rsid w:val="00984DE9"/>
    <w:rsid w:val="0098598A"/>
    <w:rsid w:val="00985D76"/>
    <w:rsid w:val="00986E3D"/>
    <w:rsid w:val="00990ECB"/>
    <w:rsid w:val="00991238"/>
    <w:rsid w:val="00991989"/>
    <w:rsid w:val="00991F6E"/>
    <w:rsid w:val="009920E5"/>
    <w:rsid w:val="00992D7F"/>
    <w:rsid w:val="00995CD7"/>
    <w:rsid w:val="00995D43"/>
    <w:rsid w:val="00995D61"/>
    <w:rsid w:val="009961E4"/>
    <w:rsid w:val="009965C5"/>
    <w:rsid w:val="00996742"/>
    <w:rsid w:val="009976C3"/>
    <w:rsid w:val="009A0EC1"/>
    <w:rsid w:val="009A115C"/>
    <w:rsid w:val="009A1F1E"/>
    <w:rsid w:val="009A3E79"/>
    <w:rsid w:val="009A3EAA"/>
    <w:rsid w:val="009A496D"/>
    <w:rsid w:val="009A7487"/>
    <w:rsid w:val="009B0A3F"/>
    <w:rsid w:val="009B157E"/>
    <w:rsid w:val="009B1940"/>
    <w:rsid w:val="009B244A"/>
    <w:rsid w:val="009B4274"/>
    <w:rsid w:val="009B690D"/>
    <w:rsid w:val="009C23D6"/>
    <w:rsid w:val="009C3577"/>
    <w:rsid w:val="009C3B60"/>
    <w:rsid w:val="009C5DE0"/>
    <w:rsid w:val="009C6DD9"/>
    <w:rsid w:val="009D0498"/>
    <w:rsid w:val="009D1333"/>
    <w:rsid w:val="009D3A6E"/>
    <w:rsid w:val="009E0729"/>
    <w:rsid w:val="009E18DE"/>
    <w:rsid w:val="009E4066"/>
    <w:rsid w:val="009E4B10"/>
    <w:rsid w:val="009E5B93"/>
    <w:rsid w:val="009E5CA8"/>
    <w:rsid w:val="009E688B"/>
    <w:rsid w:val="009E73D6"/>
    <w:rsid w:val="009F08A5"/>
    <w:rsid w:val="009F0ACF"/>
    <w:rsid w:val="009F1178"/>
    <w:rsid w:val="009F2FCB"/>
    <w:rsid w:val="009F2FE6"/>
    <w:rsid w:val="009F3C9A"/>
    <w:rsid w:val="009F4819"/>
    <w:rsid w:val="009F4DB8"/>
    <w:rsid w:val="009F4FE1"/>
    <w:rsid w:val="00A00129"/>
    <w:rsid w:val="00A008DA"/>
    <w:rsid w:val="00A03CCD"/>
    <w:rsid w:val="00A04061"/>
    <w:rsid w:val="00A04ADF"/>
    <w:rsid w:val="00A06794"/>
    <w:rsid w:val="00A07062"/>
    <w:rsid w:val="00A07CCA"/>
    <w:rsid w:val="00A104A8"/>
    <w:rsid w:val="00A10D7C"/>
    <w:rsid w:val="00A10EFC"/>
    <w:rsid w:val="00A1332E"/>
    <w:rsid w:val="00A1477A"/>
    <w:rsid w:val="00A15251"/>
    <w:rsid w:val="00A22F94"/>
    <w:rsid w:val="00A237D2"/>
    <w:rsid w:val="00A23C47"/>
    <w:rsid w:val="00A24029"/>
    <w:rsid w:val="00A24486"/>
    <w:rsid w:val="00A249BF"/>
    <w:rsid w:val="00A26916"/>
    <w:rsid w:val="00A32246"/>
    <w:rsid w:val="00A331AF"/>
    <w:rsid w:val="00A340BD"/>
    <w:rsid w:val="00A34BF7"/>
    <w:rsid w:val="00A3657E"/>
    <w:rsid w:val="00A377F1"/>
    <w:rsid w:val="00A37EBF"/>
    <w:rsid w:val="00A40530"/>
    <w:rsid w:val="00A40665"/>
    <w:rsid w:val="00A4288D"/>
    <w:rsid w:val="00A42E55"/>
    <w:rsid w:val="00A431C9"/>
    <w:rsid w:val="00A43B5D"/>
    <w:rsid w:val="00A46317"/>
    <w:rsid w:val="00A478A1"/>
    <w:rsid w:val="00A50F27"/>
    <w:rsid w:val="00A512E1"/>
    <w:rsid w:val="00A5494E"/>
    <w:rsid w:val="00A54993"/>
    <w:rsid w:val="00A561FD"/>
    <w:rsid w:val="00A56239"/>
    <w:rsid w:val="00A56570"/>
    <w:rsid w:val="00A56F69"/>
    <w:rsid w:val="00A60A78"/>
    <w:rsid w:val="00A65590"/>
    <w:rsid w:val="00A66759"/>
    <w:rsid w:val="00A67816"/>
    <w:rsid w:val="00A71288"/>
    <w:rsid w:val="00A71854"/>
    <w:rsid w:val="00A72567"/>
    <w:rsid w:val="00A72801"/>
    <w:rsid w:val="00A72AAD"/>
    <w:rsid w:val="00A73114"/>
    <w:rsid w:val="00A76050"/>
    <w:rsid w:val="00A80027"/>
    <w:rsid w:val="00A83F81"/>
    <w:rsid w:val="00A85178"/>
    <w:rsid w:val="00A851E1"/>
    <w:rsid w:val="00A87921"/>
    <w:rsid w:val="00A90C1E"/>
    <w:rsid w:val="00A920CD"/>
    <w:rsid w:val="00A95143"/>
    <w:rsid w:val="00A95BAE"/>
    <w:rsid w:val="00A95E9F"/>
    <w:rsid w:val="00A96C5C"/>
    <w:rsid w:val="00AA130C"/>
    <w:rsid w:val="00AA1A4D"/>
    <w:rsid w:val="00AA1E61"/>
    <w:rsid w:val="00AA2C4C"/>
    <w:rsid w:val="00AA47F9"/>
    <w:rsid w:val="00AA4F16"/>
    <w:rsid w:val="00AA5445"/>
    <w:rsid w:val="00AA6D64"/>
    <w:rsid w:val="00AA777B"/>
    <w:rsid w:val="00AA7F44"/>
    <w:rsid w:val="00AB0298"/>
    <w:rsid w:val="00AB2113"/>
    <w:rsid w:val="00AB2E19"/>
    <w:rsid w:val="00AB34FD"/>
    <w:rsid w:val="00AB66D2"/>
    <w:rsid w:val="00AB739B"/>
    <w:rsid w:val="00AB76D0"/>
    <w:rsid w:val="00AC1764"/>
    <w:rsid w:val="00AC5FD2"/>
    <w:rsid w:val="00AD07B0"/>
    <w:rsid w:val="00AD12EA"/>
    <w:rsid w:val="00AD1310"/>
    <w:rsid w:val="00AE0AB4"/>
    <w:rsid w:val="00AE2922"/>
    <w:rsid w:val="00AE3D66"/>
    <w:rsid w:val="00AE496E"/>
    <w:rsid w:val="00AE50E9"/>
    <w:rsid w:val="00AE6490"/>
    <w:rsid w:val="00AE70D8"/>
    <w:rsid w:val="00AE7860"/>
    <w:rsid w:val="00AE7C6E"/>
    <w:rsid w:val="00AF0787"/>
    <w:rsid w:val="00AF1E1D"/>
    <w:rsid w:val="00AF3361"/>
    <w:rsid w:val="00AF38C9"/>
    <w:rsid w:val="00AF5C36"/>
    <w:rsid w:val="00AF6392"/>
    <w:rsid w:val="00AF7A75"/>
    <w:rsid w:val="00AF7FEB"/>
    <w:rsid w:val="00B000ED"/>
    <w:rsid w:val="00B00CDB"/>
    <w:rsid w:val="00B024E8"/>
    <w:rsid w:val="00B03A89"/>
    <w:rsid w:val="00B06697"/>
    <w:rsid w:val="00B07D0D"/>
    <w:rsid w:val="00B1195E"/>
    <w:rsid w:val="00B12327"/>
    <w:rsid w:val="00B12904"/>
    <w:rsid w:val="00B142B8"/>
    <w:rsid w:val="00B14353"/>
    <w:rsid w:val="00B14A6C"/>
    <w:rsid w:val="00B16A51"/>
    <w:rsid w:val="00B16B27"/>
    <w:rsid w:val="00B17333"/>
    <w:rsid w:val="00B20B53"/>
    <w:rsid w:val="00B22AE9"/>
    <w:rsid w:val="00B254B5"/>
    <w:rsid w:val="00B255CE"/>
    <w:rsid w:val="00B26F78"/>
    <w:rsid w:val="00B270CC"/>
    <w:rsid w:val="00B277ED"/>
    <w:rsid w:val="00B27BDC"/>
    <w:rsid w:val="00B30595"/>
    <w:rsid w:val="00B32D79"/>
    <w:rsid w:val="00B33729"/>
    <w:rsid w:val="00B353EA"/>
    <w:rsid w:val="00B3590F"/>
    <w:rsid w:val="00B3591D"/>
    <w:rsid w:val="00B3678D"/>
    <w:rsid w:val="00B37222"/>
    <w:rsid w:val="00B40F12"/>
    <w:rsid w:val="00B41689"/>
    <w:rsid w:val="00B42EDC"/>
    <w:rsid w:val="00B4348A"/>
    <w:rsid w:val="00B436D2"/>
    <w:rsid w:val="00B47901"/>
    <w:rsid w:val="00B5103D"/>
    <w:rsid w:val="00B542E8"/>
    <w:rsid w:val="00B55424"/>
    <w:rsid w:val="00B559CA"/>
    <w:rsid w:val="00B56827"/>
    <w:rsid w:val="00B61021"/>
    <w:rsid w:val="00B61B98"/>
    <w:rsid w:val="00B64C8D"/>
    <w:rsid w:val="00B66298"/>
    <w:rsid w:val="00B66C68"/>
    <w:rsid w:val="00B706B2"/>
    <w:rsid w:val="00B723BC"/>
    <w:rsid w:val="00B74ACE"/>
    <w:rsid w:val="00B76343"/>
    <w:rsid w:val="00B77D83"/>
    <w:rsid w:val="00B81459"/>
    <w:rsid w:val="00B84D20"/>
    <w:rsid w:val="00B8638C"/>
    <w:rsid w:val="00B876F1"/>
    <w:rsid w:val="00B91F27"/>
    <w:rsid w:val="00B92AE3"/>
    <w:rsid w:val="00B93D57"/>
    <w:rsid w:val="00B97ABE"/>
    <w:rsid w:val="00BA0E7F"/>
    <w:rsid w:val="00BA1320"/>
    <w:rsid w:val="00BA1BBB"/>
    <w:rsid w:val="00BA3820"/>
    <w:rsid w:val="00BA5406"/>
    <w:rsid w:val="00BB0AD7"/>
    <w:rsid w:val="00BB11F4"/>
    <w:rsid w:val="00BB15E4"/>
    <w:rsid w:val="00BB2CC2"/>
    <w:rsid w:val="00BB3887"/>
    <w:rsid w:val="00BB4D03"/>
    <w:rsid w:val="00BB5962"/>
    <w:rsid w:val="00BB683F"/>
    <w:rsid w:val="00BB710B"/>
    <w:rsid w:val="00BB7380"/>
    <w:rsid w:val="00BC0499"/>
    <w:rsid w:val="00BC171C"/>
    <w:rsid w:val="00BC1885"/>
    <w:rsid w:val="00BC6B04"/>
    <w:rsid w:val="00BC6B48"/>
    <w:rsid w:val="00BC7333"/>
    <w:rsid w:val="00BC74AF"/>
    <w:rsid w:val="00BD0018"/>
    <w:rsid w:val="00BD150A"/>
    <w:rsid w:val="00BD23B9"/>
    <w:rsid w:val="00BD27D6"/>
    <w:rsid w:val="00BD3EE5"/>
    <w:rsid w:val="00BD4089"/>
    <w:rsid w:val="00BD4AED"/>
    <w:rsid w:val="00BD4C97"/>
    <w:rsid w:val="00BD6EA2"/>
    <w:rsid w:val="00BD6F5D"/>
    <w:rsid w:val="00BD77A7"/>
    <w:rsid w:val="00BE1669"/>
    <w:rsid w:val="00BE1CC2"/>
    <w:rsid w:val="00BE3DB6"/>
    <w:rsid w:val="00BE6193"/>
    <w:rsid w:val="00BE6259"/>
    <w:rsid w:val="00BE65AB"/>
    <w:rsid w:val="00BE6EC1"/>
    <w:rsid w:val="00BE7426"/>
    <w:rsid w:val="00BF2D22"/>
    <w:rsid w:val="00BF3878"/>
    <w:rsid w:val="00BF4CAF"/>
    <w:rsid w:val="00BF5697"/>
    <w:rsid w:val="00BF7A67"/>
    <w:rsid w:val="00C00E41"/>
    <w:rsid w:val="00C0125F"/>
    <w:rsid w:val="00C0201E"/>
    <w:rsid w:val="00C02A91"/>
    <w:rsid w:val="00C10084"/>
    <w:rsid w:val="00C11510"/>
    <w:rsid w:val="00C13753"/>
    <w:rsid w:val="00C13842"/>
    <w:rsid w:val="00C14E62"/>
    <w:rsid w:val="00C174C5"/>
    <w:rsid w:val="00C229B7"/>
    <w:rsid w:val="00C2374A"/>
    <w:rsid w:val="00C25A76"/>
    <w:rsid w:val="00C320AC"/>
    <w:rsid w:val="00C32842"/>
    <w:rsid w:val="00C34F72"/>
    <w:rsid w:val="00C3690D"/>
    <w:rsid w:val="00C36B7A"/>
    <w:rsid w:val="00C37CB2"/>
    <w:rsid w:val="00C430D7"/>
    <w:rsid w:val="00C44259"/>
    <w:rsid w:val="00C459CB"/>
    <w:rsid w:val="00C47D09"/>
    <w:rsid w:val="00C515D8"/>
    <w:rsid w:val="00C51FF9"/>
    <w:rsid w:val="00C52F07"/>
    <w:rsid w:val="00C52F92"/>
    <w:rsid w:val="00C54E36"/>
    <w:rsid w:val="00C557AE"/>
    <w:rsid w:val="00C5619B"/>
    <w:rsid w:val="00C562B3"/>
    <w:rsid w:val="00C578AE"/>
    <w:rsid w:val="00C578DD"/>
    <w:rsid w:val="00C631B9"/>
    <w:rsid w:val="00C6605E"/>
    <w:rsid w:val="00C663BE"/>
    <w:rsid w:val="00C70C58"/>
    <w:rsid w:val="00C71CFE"/>
    <w:rsid w:val="00C753E7"/>
    <w:rsid w:val="00C76A7A"/>
    <w:rsid w:val="00C8003E"/>
    <w:rsid w:val="00C816DF"/>
    <w:rsid w:val="00C832F4"/>
    <w:rsid w:val="00C835BD"/>
    <w:rsid w:val="00C85022"/>
    <w:rsid w:val="00C912AB"/>
    <w:rsid w:val="00C91464"/>
    <w:rsid w:val="00C91BF4"/>
    <w:rsid w:val="00C925E7"/>
    <w:rsid w:val="00C92A10"/>
    <w:rsid w:val="00C932DC"/>
    <w:rsid w:val="00C940FF"/>
    <w:rsid w:val="00C94308"/>
    <w:rsid w:val="00C95945"/>
    <w:rsid w:val="00C972C2"/>
    <w:rsid w:val="00CA0407"/>
    <w:rsid w:val="00CA484B"/>
    <w:rsid w:val="00CA734F"/>
    <w:rsid w:val="00CB19E2"/>
    <w:rsid w:val="00CB495A"/>
    <w:rsid w:val="00CB4E0A"/>
    <w:rsid w:val="00CB58DD"/>
    <w:rsid w:val="00CC05EC"/>
    <w:rsid w:val="00CC13E8"/>
    <w:rsid w:val="00CC1D53"/>
    <w:rsid w:val="00CC1E50"/>
    <w:rsid w:val="00CC1F59"/>
    <w:rsid w:val="00CC2552"/>
    <w:rsid w:val="00CC25E9"/>
    <w:rsid w:val="00CC3E9D"/>
    <w:rsid w:val="00CC614F"/>
    <w:rsid w:val="00CC75F2"/>
    <w:rsid w:val="00CD065C"/>
    <w:rsid w:val="00CD08B1"/>
    <w:rsid w:val="00CD1798"/>
    <w:rsid w:val="00CD1A39"/>
    <w:rsid w:val="00CD2E5D"/>
    <w:rsid w:val="00CD3766"/>
    <w:rsid w:val="00CD51C6"/>
    <w:rsid w:val="00CD7BAF"/>
    <w:rsid w:val="00CD7D4F"/>
    <w:rsid w:val="00CE0EF8"/>
    <w:rsid w:val="00CE11FC"/>
    <w:rsid w:val="00CE161C"/>
    <w:rsid w:val="00CE1D57"/>
    <w:rsid w:val="00CE1F9E"/>
    <w:rsid w:val="00CE31C4"/>
    <w:rsid w:val="00CE3312"/>
    <w:rsid w:val="00CE58F1"/>
    <w:rsid w:val="00CE5EFF"/>
    <w:rsid w:val="00CE6691"/>
    <w:rsid w:val="00CF006C"/>
    <w:rsid w:val="00CF1416"/>
    <w:rsid w:val="00CF1595"/>
    <w:rsid w:val="00CF2212"/>
    <w:rsid w:val="00CF2AC0"/>
    <w:rsid w:val="00CF6A2B"/>
    <w:rsid w:val="00CF7F1C"/>
    <w:rsid w:val="00CF7FEB"/>
    <w:rsid w:val="00D0053E"/>
    <w:rsid w:val="00D00681"/>
    <w:rsid w:val="00D012DC"/>
    <w:rsid w:val="00D01E49"/>
    <w:rsid w:val="00D048BF"/>
    <w:rsid w:val="00D079CB"/>
    <w:rsid w:val="00D1049E"/>
    <w:rsid w:val="00D106DA"/>
    <w:rsid w:val="00D168B7"/>
    <w:rsid w:val="00D16B75"/>
    <w:rsid w:val="00D17B90"/>
    <w:rsid w:val="00D20934"/>
    <w:rsid w:val="00D222CF"/>
    <w:rsid w:val="00D2319F"/>
    <w:rsid w:val="00D2445C"/>
    <w:rsid w:val="00D24C93"/>
    <w:rsid w:val="00D263FC"/>
    <w:rsid w:val="00D26E0D"/>
    <w:rsid w:val="00D3086D"/>
    <w:rsid w:val="00D3382E"/>
    <w:rsid w:val="00D36168"/>
    <w:rsid w:val="00D363CC"/>
    <w:rsid w:val="00D365E9"/>
    <w:rsid w:val="00D41EE9"/>
    <w:rsid w:val="00D42C2E"/>
    <w:rsid w:val="00D435CF"/>
    <w:rsid w:val="00D44E90"/>
    <w:rsid w:val="00D4580E"/>
    <w:rsid w:val="00D50F34"/>
    <w:rsid w:val="00D51E33"/>
    <w:rsid w:val="00D5251A"/>
    <w:rsid w:val="00D56037"/>
    <w:rsid w:val="00D57F6F"/>
    <w:rsid w:val="00D57F95"/>
    <w:rsid w:val="00D60852"/>
    <w:rsid w:val="00D6236F"/>
    <w:rsid w:val="00D62675"/>
    <w:rsid w:val="00D63D8A"/>
    <w:rsid w:val="00D64A1E"/>
    <w:rsid w:val="00D654B4"/>
    <w:rsid w:val="00D70D72"/>
    <w:rsid w:val="00D71851"/>
    <w:rsid w:val="00D72C0B"/>
    <w:rsid w:val="00D7374D"/>
    <w:rsid w:val="00D742C1"/>
    <w:rsid w:val="00D81B08"/>
    <w:rsid w:val="00D82652"/>
    <w:rsid w:val="00D847E6"/>
    <w:rsid w:val="00D858D7"/>
    <w:rsid w:val="00D85C80"/>
    <w:rsid w:val="00D85F05"/>
    <w:rsid w:val="00D87902"/>
    <w:rsid w:val="00D90FDE"/>
    <w:rsid w:val="00D91D60"/>
    <w:rsid w:val="00D9216D"/>
    <w:rsid w:val="00D92B88"/>
    <w:rsid w:val="00D935DA"/>
    <w:rsid w:val="00D94252"/>
    <w:rsid w:val="00D955A6"/>
    <w:rsid w:val="00D95743"/>
    <w:rsid w:val="00DA0D16"/>
    <w:rsid w:val="00DA4425"/>
    <w:rsid w:val="00DA476A"/>
    <w:rsid w:val="00DA737C"/>
    <w:rsid w:val="00DB15DB"/>
    <w:rsid w:val="00DB2D76"/>
    <w:rsid w:val="00DB6173"/>
    <w:rsid w:val="00DB6826"/>
    <w:rsid w:val="00DB6C3B"/>
    <w:rsid w:val="00DC3873"/>
    <w:rsid w:val="00DC3EAE"/>
    <w:rsid w:val="00DC4B78"/>
    <w:rsid w:val="00DC7882"/>
    <w:rsid w:val="00DD29D3"/>
    <w:rsid w:val="00DD2B93"/>
    <w:rsid w:val="00DD4DA2"/>
    <w:rsid w:val="00DD5E9C"/>
    <w:rsid w:val="00DD5F07"/>
    <w:rsid w:val="00DD62F6"/>
    <w:rsid w:val="00DD6366"/>
    <w:rsid w:val="00DD71BA"/>
    <w:rsid w:val="00DD7221"/>
    <w:rsid w:val="00DE1973"/>
    <w:rsid w:val="00DE2A09"/>
    <w:rsid w:val="00DE5250"/>
    <w:rsid w:val="00DE5F00"/>
    <w:rsid w:val="00DE7719"/>
    <w:rsid w:val="00DF0C54"/>
    <w:rsid w:val="00DF1ACE"/>
    <w:rsid w:val="00DF1BEC"/>
    <w:rsid w:val="00DF1D3F"/>
    <w:rsid w:val="00E00A71"/>
    <w:rsid w:val="00E03521"/>
    <w:rsid w:val="00E06114"/>
    <w:rsid w:val="00E062A4"/>
    <w:rsid w:val="00E0679E"/>
    <w:rsid w:val="00E07083"/>
    <w:rsid w:val="00E1108C"/>
    <w:rsid w:val="00E113F5"/>
    <w:rsid w:val="00E13D96"/>
    <w:rsid w:val="00E13F39"/>
    <w:rsid w:val="00E1485D"/>
    <w:rsid w:val="00E150ED"/>
    <w:rsid w:val="00E164A3"/>
    <w:rsid w:val="00E16D30"/>
    <w:rsid w:val="00E170FD"/>
    <w:rsid w:val="00E21366"/>
    <w:rsid w:val="00E247EC"/>
    <w:rsid w:val="00E263CA"/>
    <w:rsid w:val="00E27317"/>
    <w:rsid w:val="00E2779B"/>
    <w:rsid w:val="00E31A19"/>
    <w:rsid w:val="00E31FCD"/>
    <w:rsid w:val="00E35140"/>
    <w:rsid w:val="00E361D4"/>
    <w:rsid w:val="00E37017"/>
    <w:rsid w:val="00E40078"/>
    <w:rsid w:val="00E41681"/>
    <w:rsid w:val="00E416BC"/>
    <w:rsid w:val="00E41908"/>
    <w:rsid w:val="00E420DA"/>
    <w:rsid w:val="00E450AD"/>
    <w:rsid w:val="00E52D28"/>
    <w:rsid w:val="00E52D37"/>
    <w:rsid w:val="00E534D0"/>
    <w:rsid w:val="00E566D0"/>
    <w:rsid w:val="00E60359"/>
    <w:rsid w:val="00E60728"/>
    <w:rsid w:val="00E6320C"/>
    <w:rsid w:val="00E6444B"/>
    <w:rsid w:val="00E65525"/>
    <w:rsid w:val="00E656F1"/>
    <w:rsid w:val="00E67A8D"/>
    <w:rsid w:val="00E71988"/>
    <w:rsid w:val="00E720E5"/>
    <w:rsid w:val="00E72241"/>
    <w:rsid w:val="00E734D2"/>
    <w:rsid w:val="00E7541F"/>
    <w:rsid w:val="00E819FE"/>
    <w:rsid w:val="00E81B9B"/>
    <w:rsid w:val="00E83B56"/>
    <w:rsid w:val="00E85997"/>
    <w:rsid w:val="00E85DDD"/>
    <w:rsid w:val="00E85E94"/>
    <w:rsid w:val="00E86716"/>
    <w:rsid w:val="00E86D23"/>
    <w:rsid w:val="00E875DC"/>
    <w:rsid w:val="00E87A57"/>
    <w:rsid w:val="00E90C0E"/>
    <w:rsid w:val="00E91F14"/>
    <w:rsid w:val="00E93138"/>
    <w:rsid w:val="00E93534"/>
    <w:rsid w:val="00E93B71"/>
    <w:rsid w:val="00E93B8B"/>
    <w:rsid w:val="00E95BE5"/>
    <w:rsid w:val="00E95CB5"/>
    <w:rsid w:val="00E96749"/>
    <w:rsid w:val="00E96F28"/>
    <w:rsid w:val="00EA18F9"/>
    <w:rsid w:val="00EA250C"/>
    <w:rsid w:val="00EA37A7"/>
    <w:rsid w:val="00EA42FF"/>
    <w:rsid w:val="00EA519E"/>
    <w:rsid w:val="00EB04FF"/>
    <w:rsid w:val="00EB058C"/>
    <w:rsid w:val="00EB30FE"/>
    <w:rsid w:val="00EB4B0F"/>
    <w:rsid w:val="00EB59AB"/>
    <w:rsid w:val="00EB5C13"/>
    <w:rsid w:val="00EB65F3"/>
    <w:rsid w:val="00EB6B49"/>
    <w:rsid w:val="00EB7ACA"/>
    <w:rsid w:val="00EC1078"/>
    <w:rsid w:val="00EC2B9C"/>
    <w:rsid w:val="00EC2FD6"/>
    <w:rsid w:val="00EC3726"/>
    <w:rsid w:val="00EC3B6A"/>
    <w:rsid w:val="00EC3D98"/>
    <w:rsid w:val="00EC65FB"/>
    <w:rsid w:val="00EC7692"/>
    <w:rsid w:val="00ED1E30"/>
    <w:rsid w:val="00ED290D"/>
    <w:rsid w:val="00ED394A"/>
    <w:rsid w:val="00ED3BE6"/>
    <w:rsid w:val="00ED3F35"/>
    <w:rsid w:val="00ED5A14"/>
    <w:rsid w:val="00ED5E16"/>
    <w:rsid w:val="00ED6B47"/>
    <w:rsid w:val="00ED6DFB"/>
    <w:rsid w:val="00ED7235"/>
    <w:rsid w:val="00ED7798"/>
    <w:rsid w:val="00EE0F60"/>
    <w:rsid w:val="00EE1696"/>
    <w:rsid w:val="00EE2D4E"/>
    <w:rsid w:val="00EE317D"/>
    <w:rsid w:val="00EE3EC8"/>
    <w:rsid w:val="00EE4BEA"/>
    <w:rsid w:val="00EE4CC1"/>
    <w:rsid w:val="00EE6DBC"/>
    <w:rsid w:val="00EE73E2"/>
    <w:rsid w:val="00EF0DAD"/>
    <w:rsid w:val="00EF3253"/>
    <w:rsid w:val="00EF579E"/>
    <w:rsid w:val="00EF6696"/>
    <w:rsid w:val="00EF67D3"/>
    <w:rsid w:val="00EF6BA6"/>
    <w:rsid w:val="00F034C5"/>
    <w:rsid w:val="00F04A1B"/>
    <w:rsid w:val="00F068FC"/>
    <w:rsid w:val="00F06939"/>
    <w:rsid w:val="00F11810"/>
    <w:rsid w:val="00F141FC"/>
    <w:rsid w:val="00F1457E"/>
    <w:rsid w:val="00F15DFF"/>
    <w:rsid w:val="00F20879"/>
    <w:rsid w:val="00F21064"/>
    <w:rsid w:val="00F23B6F"/>
    <w:rsid w:val="00F23CA1"/>
    <w:rsid w:val="00F2443D"/>
    <w:rsid w:val="00F25676"/>
    <w:rsid w:val="00F2724B"/>
    <w:rsid w:val="00F31652"/>
    <w:rsid w:val="00F32C90"/>
    <w:rsid w:val="00F357F3"/>
    <w:rsid w:val="00F35B89"/>
    <w:rsid w:val="00F35D4E"/>
    <w:rsid w:val="00F35E94"/>
    <w:rsid w:val="00F3761D"/>
    <w:rsid w:val="00F429E8"/>
    <w:rsid w:val="00F43CDC"/>
    <w:rsid w:val="00F46FC5"/>
    <w:rsid w:val="00F47478"/>
    <w:rsid w:val="00F52BC5"/>
    <w:rsid w:val="00F53181"/>
    <w:rsid w:val="00F549EC"/>
    <w:rsid w:val="00F575D3"/>
    <w:rsid w:val="00F602AC"/>
    <w:rsid w:val="00F61DBC"/>
    <w:rsid w:val="00F62D9D"/>
    <w:rsid w:val="00F6408E"/>
    <w:rsid w:val="00F6463F"/>
    <w:rsid w:val="00F66E87"/>
    <w:rsid w:val="00F67DD9"/>
    <w:rsid w:val="00F71DC8"/>
    <w:rsid w:val="00F72E9C"/>
    <w:rsid w:val="00F73B55"/>
    <w:rsid w:val="00F821C8"/>
    <w:rsid w:val="00F838AF"/>
    <w:rsid w:val="00F85FED"/>
    <w:rsid w:val="00F92992"/>
    <w:rsid w:val="00F93F43"/>
    <w:rsid w:val="00FA169C"/>
    <w:rsid w:val="00FA1C9A"/>
    <w:rsid w:val="00FA325B"/>
    <w:rsid w:val="00FA4217"/>
    <w:rsid w:val="00FA6200"/>
    <w:rsid w:val="00FB26DC"/>
    <w:rsid w:val="00FB2B5A"/>
    <w:rsid w:val="00FB2B94"/>
    <w:rsid w:val="00FB38C3"/>
    <w:rsid w:val="00FB4F8A"/>
    <w:rsid w:val="00FB6D48"/>
    <w:rsid w:val="00FB77AA"/>
    <w:rsid w:val="00FB7FC1"/>
    <w:rsid w:val="00FC1619"/>
    <w:rsid w:val="00FC22F4"/>
    <w:rsid w:val="00FC35C8"/>
    <w:rsid w:val="00FC370B"/>
    <w:rsid w:val="00FC3865"/>
    <w:rsid w:val="00FC56CD"/>
    <w:rsid w:val="00FC6F0D"/>
    <w:rsid w:val="00FC790B"/>
    <w:rsid w:val="00FC7C66"/>
    <w:rsid w:val="00FC7F70"/>
    <w:rsid w:val="00FD02C0"/>
    <w:rsid w:val="00FD43CD"/>
    <w:rsid w:val="00FD47FC"/>
    <w:rsid w:val="00FD4B0B"/>
    <w:rsid w:val="00FD7564"/>
    <w:rsid w:val="00FD76B1"/>
    <w:rsid w:val="00FD77CC"/>
    <w:rsid w:val="00FE0470"/>
    <w:rsid w:val="00FE24F9"/>
    <w:rsid w:val="00FE326B"/>
    <w:rsid w:val="00FE42F9"/>
    <w:rsid w:val="00FE794E"/>
    <w:rsid w:val="00FF0874"/>
    <w:rsid w:val="00FF0B54"/>
    <w:rsid w:val="00FF3BDC"/>
    <w:rsid w:val="00FF6033"/>
    <w:rsid w:val="00FF69BF"/>
    <w:rsid w:val="00FF746A"/>
    <w:rsid w:val="00FF75E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rules v:ext="edit">
        <o:r id="V:Rule1" type="connector" idref="#_x0000_s1222">
          <o:proxy end="" idref="#_x0000_s1066" connectloc="2"/>
        </o:r>
        <o:r id="V:Rule2" type="connector" idref="#AutoShape 18"/>
        <o:r id="V:Rule3" type="connector" idref="#_x0000_s1223">
          <o:proxy start="" idref="#_x0000_s1188" connectloc="1"/>
        </o:r>
        <o:r id="V:Rule4" type="connector" idref="#_x0000_s1244">
          <o:proxy start="" idref="#_x0000_s1066" connectloc="4"/>
          <o:proxy end="" idref="#_x0000_s1113" connectloc="0"/>
        </o:r>
      </o:rules>
    </o:shapelayout>
  </w:shapeDefaults>
  <w:decimalSymbol w:val="."/>
  <w:listSeparator w:val=","/>
  <w15:docId w15:val="{E41F6B87-1FC0-418E-B122-4776DD7E24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imes New Roman" w:hAnsi="Arial" w:cstheme="minorBidi"/>
        <w:lang w:val="en-AU" w:eastAsia="en-AU"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64C8D"/>
    <w:pPr>
      <w:jc w:val="both"/>
    </w:pPr>
  </w:style>
  <w:style w:type="paragraph" w:styleId="Heading1">
    <w:name w:val="heading 1"/>
    <w:next w:val="BodyText"/>
    <w:link w:val="Heading1Char"/>
    <w:uiPriority w:val="9"/>
    <w:qFormat/>
    <w:rsid w:val="002F775C"/>
    <w:pPr>
      <w:keepLines/>
      <w:pageBreakBefore/>
      <w:numPr>
        <w:numId w:val="38"/>
      </w:numPr>
      <w:spacing w:before="240" w:after="120"/>
      <w:jc w:val="both"/>
      <w:outlineLvl w:val="0"/>
    </w:pPr>
    <w:rPr>
      <w:rFonts w:cs="Arial"/>
      <w:b/>
      <w:iCs/>
      <w:color w:val="4F81BD"/>
      <w:sz w:val="28"/>
      <w:szCs w:val="32"/>
      <w:lang w:val="en-NZ" w:eastAsia="en-US"/>
    </w:rPr>
  </w:style>
  <w:style w:type="paragraph" w:styleId="Heading2">
    <w:name w:val="heading 2"/>
    <w:next w:val="BodyText"/>
    <w:link w:val="Heading2Char"/>
    <w:uiPriority w:val="9"/>
    <w:qFormat/>
    <w:rsid w:val="00CF2212"/>
    <w:pPr>
      <w:keepNext/>
      <w:numPr>
        <w:ilvl w:val="1"/>
        <w:numId w:val="38"/>
      </w:numPr>
      <w:spacing w:before="120" w:after="120"/>
      <w:jc w:val="both"/>
      <w:outlineLvl w:val="1"/>
    </w:pPr>
    <w:rPr>
      <w:rFonts w:cs="Arial"/>
      <w:b/>
      <w:iCs/>
      <w:lang w:val="en-GB" w:eastAsia="en-US"/>
    </w:rPr>
  </w:style>
  <w:style w:type="paragraph" w:styleId="Heading3">
    <w:name w:val="heading 3"/>
    <w:aliases w:val="Heading 3 Char"/>
    <w:next w:val="BodyText"/>
    <w:link w:val="Heading3Char1"/>
    <w:uiPriority w:val="9"/>
    <w:qFormat/>
    <w:rsid w:val="00E062A4"/>
    <w:pPr>
      <w:keepNext/>
      <w:numPr>
        <w:ilvl w:val="2"/>
        <w:numId w:val="38"/>
      </w:numPr>
      <w:spacing w:before="240" w:after="120"/>
      <w:outlineLvl w:val="2"/>
    </w:pPr>
    <w:rPr>
      <w:b/>
      <w:iCs/>
      <w:color w:val="000000"/>
      <w:sz w:val="24"/>
      <w:lang w:val="en-NZ" w:eastAsia="en-US"/>
    </w:rPr>
  </w:style>
  <w:style w:type="paragraph" w:styleId="Heading4">
    <w:name w:val="heading 4"/>
    <w:aliases w:val="H4"/>
    <w:basedOn w:val="Normal"/>
    <w:next w:val="BodyText"/>
    <w:qFormat/>
    <w:rsid w:val="00B64C8D"/>
    <w:pPr>
      <w:tabs>
        <w:tab w:val="right" w:pos="9027"/>
        <w:tab w:val="right" w:pos="9070"/>
      </w:tabs>
      <w:outlineLvl w:val="3"/>
    </w:pPr>
    <w:rPr>
      <w:b/>
      <w:i/>
      <w:color w:val="548DD4" w:themeColor="text2" w:themeTint="99"/>
      <w:sz w:val="28"/>
      <w:lang w:val="en-US"/>
    </w:rPr>
  </w:style>
  <w:style w:type="paragraph" w:styleId="Heading5">
    <w:name w:val="heading 5"/>
    <w:basedOn w:val="About3"/>
    <w:next w:val="BodyText"/>
    <w:qFormat/>
    <w:rsid w:val="00E062A4"/>
    <w:pPr>
      <w:numPr>
        <w:ilvl w:val="4"/>
      </w:numPr>
      <w:jc w:val="both"/>
      <w:outlineLvl w:val="4"/>
    </w:pPr>
    <w:rPr>
      <w:szCs w:val="24"/>
      <w:lang w:val="en-GB"/>
    </w:rPr>
  </w:style>
  <w:style w:type="paragraph" w:styleId="Heading6">
    <w:name w:val="heading 6"/>
    <w:basedOn w:val="Normal"/>
    <w:next w:val="Normal"/>
    <w:qFormat/>
    <w:rsid w:val="00E062A4"/>
    <w:pPr>
      <w:numPr>
        <w:ilvl w:val="5"/>
        <w:numId w:val="38"/>
      </w:numPr>
      <w:outlineLvl w:val="5"/>
    </w:pPr>
    <w:rPr>
      <w:sz w:val="22"/>
    </w:rPr>
  </w:style>
  <w:style w:type="paragraph" w:styleId="Heading7">
    <w:name w:val="heading 7"/>
    <w:basedOn w:val="Normal"/>
    <w:next w:val="Normal"/>
    <w:qFormat/>
    <w:rsid w:val="00E062A4"/>
    <w:pPr>
      <w:numPr>
        <w:ilvl w:val="6"/>
        <w:numId w:val="38"/>
      </w:numPr>
      <w:outlineLvl w:val="6"/>
    </w:pPr>
    <w:rPr>
      <w:sz w:val="22"/>
    </w:rPr>
  </w:style>
  <w:style w:type="paragraph" w:styleId="Heading8">
    <w:name w:val="heading 8"/>
    <w:basedOn w:val="About3"/>
    <w:next w:val="BodyText"/>
    <w:qFormat/>
    <w:rsid w:val="00E062A4"/>
    <w:pPr>
      <w:numPr>
        <w:ilvl w:val="7"/>
      </w:numPr>
      <w:outlineLvl w:val="7"/>
    </w:pPr>
    <w:rPr>
      <w:lang w:val="en-GB"/>
    </w:rPr>
  </w:style>
  <w:style w:type="paragraph" w:styleId="Heading9">
    <w:name w:val="heading 9"/>
    <w:basedOn w:val="Heading1"/>
    <w:next w:val="BodyText"/>
    <w:qFormat/>
    <w:rsid w:val="00E062A4"/>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aliases w:val="bt"/>
    <w:link w:val="BodyTextChar"/>
    <w:rsid w:val="00F47478"/>
    <w:pPr>
      <w:spacing w:before="60" w:after="60"/>
      <w:ind w:left="890"/>
    </w:pPr>
    <w:rPr>
      <w:rFonts w:ascii="Verdana" w:hAnsi="Verdana"/>
      <w:iCs/>
      <w:sz w:val="18"/>
      <w:lang w:val="en-GB" w:eastAsia="en-US"/>
    </w:rPr>
  </w:style>
  <w:style w:type="character" w:customStyle="1" w:styleId="BodyTextChar">
    <w:name w:val="Body Text Char"/>
    <w:aliases w:val="bt Char"/>
    <w:link w:val="BodyText"/>
    <w:rsid w:val="00F47478"/>
    <w:rPr>
      <w:rFonts w:ascii="Verdana" w:hAnsi="Verdana"/>
      <w:iCs/>
      <w:sz w:val="18"/>
      <w:lang w:val="en-GB" w:eastAsia="en-US" w:bidi="ar-SA"/>
    </w:rPr>
  </w:style>
  <w:style w:type="paragraph" w:styleId="TOC1">
    <w:name w:val="toc 1"/>
    <w:basedOn w:val="Normal"/>
    <w:next w:val="Normal"/>
    <w:autoRedefine/>
    <w:uiPriority w:val="39"/>
    <w:qFormat/>
    <w:rsid w:val="00522071"/>
    <w:pPr>
      <w:tabs>
        <w:tab w:val="right" w:pos="9072"/>
      </w:tabs>
      <w:spacing w:before="60" w:after="60"/>
      <w:ind w:left="567" w:hanging="567"/>
    </w:pPr>
    <w:rPr>
      <w:b/>
      <w:noProof/>
    </w:rPr>
  </w:style>
  <w:style w:type="paragraph" w:customStyle="1" w:styleId="TextBullet">
    <w:name w:val="Text Bullet"/>
    <w:basedOn w:val="Normal"/>
    <w:semiHidden/>
    <w:rsid w:val="00F47478"/>
    <w:pPr>
      <w:numPr>
        <w:numId w:val="6"/>
      </w:numPr>
      <w:spacing w:after="120"/>
    </w:pPr>
  </w:style>
  <w:style w:type="paragraph" w:customStyle="1" w:styleId="SectionHeading">
    <w:name w:val="Section Heading"/>
    <w:basedOn w:val="Normal"/>
    <w:semiHidden/>
    <w:rsid w:val="00F47478"/>
    <w:pPr>
      <w:spacing w:after="120"/>
      <w:jc w:val="center"/>
    </w:pPr>
    <w:rPr>
      <w:b/>
      <w:noProof/>
      <w:sz w:val="36"/>
    </w:rPr>
  </w:style>
  <w:style w:type="paragraph" w:customStyle="1" w:styleId="Subheading">
    <w:name w:val="Subheading"/>
    <w:basedOn w:val="Heading2"/>
    <w:next w:val="BodyText"/>
    <w:link w:val="SubheadingChar"/>
    <w:rsid w:val="00F47478"/>
    <w:pPr>
      <w:numPr>
        <w:ilvl w:val="0"/>
        <w:numId w:val="0"/>
      </w:numPr>
    </w:pPr>
  </w:style>
  <w:style w:type="paragraph" w:customStyle="1" w:styleId="Subheading2">
    <w:name w:val="Subheading 2"/>
    <w:basedOn w:val="Normal"/>
    <w:next w:val="Normal"/>
    <w:semiHidden/>
    <w:rsid w:val="00F47478"/>
    <w:pPr>
      <w:keepNext/>
      <w:spacing w:before="240" w:after="120"/>
    </w:pPr>
    <w:rPr>
      <w:b/>
    </w:rPr>
  </w:style>
  <w:style w:type="paragraph" w:styleId="TOC2">
    <w:name w:val="toc 2"/>
    <w:basedOn w:val="Normal"/>
    <w:next w:val="Normal"/>
    <w:autoRedefine/>
    <w:uiPriority w:val="39"/>
    <w:qFormat/>
    <w:rsid w:val="00EB59AB"/>
    <w:pPr>
      <w:tabs>
        <w:tab w:val="left" w:pos="1134"/>
        <w:tab w:val="right" w:pos="9072"/>
      </w:tabs>
      <w:spacing w:before="60" w:after="60"/>
      <w:ind w:left="1134" w:hanging="567"/>
    </w:pPr>
    <w:rPr>
      <w:iCs/>
      <w:noProof/>
      <w:lang w:val="en-NZ" w:eastAsia="en-US"/>
    </w:rPr>
  </w:style>
  <w:style w:type="character" w:styleId="FootnoteReference">
    <w:name w:val="footnote reference"/>
    <w:rsid w:val="00F47478"/>
    <w:rPr>
      <w:rFonts w:ascii="Verdana" w:hAnsi="Verdana"/>
      <w:iCs/>
      <w:sz w:val="18"/>
      <w:vertAlign w:val="superscript"/>
      <w:lang w:val="en-NZ" w:eastAsia="en-US" w:bidi="ar-SA"/>
    </w:rPr>
  </w:style>
  <w:style w:type="character" w:styleId="PageNumber">
    <w:name w:val="page number"/>
    <w:semiHidden/>
    <w:rsid w:val="00F47478"/>
    <w:rPr>
      <w:rFonts w:ascii="Arial" w:hAnsi="Arial"/>
      <w:iCs/>
      <w:sz w:val="18"/>
      <w:lang w:val="en-NZ" w:eastAsia="en-US" w:bidi="ar-SA"/>
    </w:rPr>
  </w:style>
  <w:style w:type="paragraph" w:customStyle="1" w:styleId="TableHeading">
    <w:name w:val="Table Heading"/>
    <w:link w:val="TableHeadingChar"/>
    <w:rsid w:val="00F47478"/>
    <w:pPr>
      <w:keepNext/>
      <w:suppressAutoHyphens/>
      <w:spacing w:before="60" w:after="60"/>
    </w:pPr>
    <w:rPr>
      <w:b/>
      <w:iCs/>
      <w:sz w:val="18"/>
      <w:lang w:val="en-NZ" w:eastAsia="en-US"/>
    </w:rPr>
  </w:style>
  <w:style w:type="paragraph" w:styleId="FootnoteText">
    <w:name w:val="footnote text"/>
    <w:basedOn w:val="Normal"/>
    <w:link w:val="FootnoteTextChar"/>
    <w:rsid w:val="00F47478"/>
    <w:rPr>
      <w:rFonts w:ascii="Verdana" w:hAnsi="Verdana"/>
      <w:sz w:val="16"/>
      <w:szCs w:val="16"/>
    </w:rPr>
  </w:style>
  <w:style w:type="paragraph" w:styleId="Header">
    <w:name w:val="header"/>
    <w:link w:val="HeaderChar"/>
    <w:uiPriority w:val="99"/>
    <w:rsid w:val="00F47478"/>
    <w:pPr>
      <w:tabs>
        <w:tab w:val="center" w:pos="5046"/>
        <w:tab w:val="right" w:pos="10093"/>
      </w:tabs>
      <w:spacing w:after="240"/>
    </w:pPr>
    <w:rPr>
      <w:rFonts w:ascii="Verdana" w:hAnsi="Verdana"/>
      <w:b/>
      <w:iCs/>
      <w:sz w:val="18"/>
      <w:lang w:val="en-NZ" w:eastAsia="en-US"/>
    </w:rPr>
  </w:style>
  <w:style w:type="paragraph" w:styleId="Footer">
    <w:name w:val="footer"/>
    <w:link w:val="FooterChar"/>
    <w:uiPriority w:val="99"/>
    <w:rsid w:val="00F47478"/>
    <w:pPr>
      <w:spacing w:before="60" w:after="60"/>
    </w:pPr>
    <w:rPr>
      <w:rFonts w:ascii="Verdana" w:hAnsi="Verdana"/>
      <w:iCs/>
      <w:sz w:val="16"/>
      <w:lang w:val="en-NZ" w:eastAsia="en-US"/>
    </w:rPr>
  </w:style>
  <w:style w:type="paragraph" w:styleId="TOC3">
    <w:name w:val="toc 3"/>
    <w:basedOn w:val="Normal"/>
    <w:next w:val="Normal"/>
    <w:autoRedefine/>
    <w:uiPriority w:val="39"/>
    <w:qFormat/>
    <w:rsid w:val="004D4A82"/>
    <w:pPr>
      <w:tabs>
        <w:tab w:val="left" w:pos="1701"/>
        <w:tab w:val="right" w:pos="9072"/>
      </w:tabs>
      <w:spacing w:before="60" w:after="60"/>
      <w:ind w:left="1134"/>
    </w:pPr>
    <w:rPr>
      <w:iCs/>
      <w:noProof/>
      <w:lang w:val="en-NZ" w:eastAsia="en-US"/>
    </w:rPr>
  </w:style>
  <w:style w:type="paragraph" w:styleId="TOC4">
    <w:name w:val="toc 4"/>
    <w:basedOn w:val="Normal"/>
    <w:next w:val="Normal"/>
    <w:autoRedefine/>
    <w:uiPriority w:val="39"/>
    <w:rsid w:val="00F47478"/>
    <w:pPr>
      <w:ind w:left="720"/>
    </w:pPr>
  </w:style>
  <w:style w:type="paragraph" w:styleId="TOC5">
    <w:name w:val="toc 5"/>
    <w:basedOn w:val="Normal"/>
    <w:next w:val="Normal"/>
    <w:autoRedefine/>
    <w:uiPriority w:val="39"/>
    <w:rsid w:val="00F47478"/>
    <w:pPr>
      <w:ind w:left="960"/>
    </w:pPr>
  </w:style>
  <w:style w:type="paragraph" w:styleId="TOC6">
    <w:name w:val="toc 6"/>
    <w:basedOn w:val="Normal"/>
    <w:next w:val="Normal"/>
    <w:autoRedefine/>
    <w:uiPriority w:val="39"/>
    <w:rsid w:val="00F47478"/>
    <w:pPr>
      <w:ind w:left="1200"/>
    </w:pPr>
  </w:style>
  <w:style w:type="paragraph" w:styleId="TOC7">
    <w:name w:val="toc 7"/>
    <w:basedOn w:val="Normal"/>
    <w:next w:val="Normal"/>
    <w:autoRedefine/>
    <w:uiPriority w:val="39"/>
    <w:rsid w:val="00F47478"/>
    <w:pPr>
      <w:ind w:left="1440"/>
    </w:pPr>
  </w:style>
  <w:style w:type="paragraph" w:styleId="TOC8">
    <w:name w:val="toc 8"/>
    <w:basedOn w:val="Normal"/>
    <w:next w:val="Normal"/>
    <w:autoRedefine/>
    <w:uiPriority w:val="39"/>
    <w:rsid w:val="00F47478"/>
    <w:pPr>
      <w:ind w:left="1680"/>
    </w:pPr>
  </w:style>
  <w:style w:type="paragraph" w:styleId="TOC9">
    <w:name w:val="toc 9"/>
    <w:basedOn w:val="Normal"/>
    <w:next w:val="Normal"/>
    <w:autoRedefine/>
    <w:uiPriority w:val="39"/>
    <w:rsid w:val="00F47478"/>
    <w:pPr>
      <w:ind w:left="1920"/>
    </w:pPr>
  </w:style>
  <w:style w:type="paragraph" w:customStyle="1" w:styleId="DocInfoTxt">
    <w:name w:val="Doc Info Txt"/>
    <w:basedOn w:val="Normal"/>
    <w:semiHidden/>
    <w:rsid w:val="00F47478"/>
  </w:style>
  <w:style w:type="paragraph" w:customStyle="1" w:styleId="DocInfoStorage">
    <w:name w:val="Doc Info Storage"/>
    <w:basedOn w:val="Normal"/>
    <w:semiHidden/>
    <w:rsid w:val="00F47478"/>
    <w:rPr>
      <w:sz w:val="16"/>
    </w:rPr>
  </w:style>
  <w:style w:type="character" w:customStyle="1" w:styleId="BodyTextbeforetableChar">
    <w:name w:val="Body Text before table Char"/>
    <w:link w:val="BodyTextbeforetable"/>
    <w:rsid w:val="00F47478"/>
    <w:rPr>
      <w:rFonts w:ascii="Verdana" w:hAnsi="Verdana"/>
      <w:iCs/>
      <w:sz w:val="18"/>
      <w:lang w:val="en-NZ" w:eastAsia="en-US" w:bidi="ar-SA"/>
    </w:rPr>
  </w:style>
  <w:style w:type="paragraph" w:customStyle="1" w:styleId="TableText">
    <w:name w:val="Table Text"/>
    <w:link w:val="TableTextChar"/>
    <w:rsid w:val="00F47478"/>
    <w:pPr>
      <w:suppressAutoHyphens/>
      <w:spacing w:before="60" w:after="60"/>
    </w:pPr>
    <w:rPr>
      <w:rFonts w:ascii="Verdana" w:hAnsi="Verdana"/>
      <w:iCs/>
      <w:sz w:val="17"/>
      <w:lang w:val="en-NZ"/>
    </w:rPr>
  </w:style>
  <w:style w:type="paragraph" w:customStyle="1" w:styleId="BodyTextaftertable">
    <w:name w:val="Body Text after table"/>
    <w:basedOn w:val="BodyText"/>
    <w:next w:val="BodyText"/>
    <w:rsid w:val="00F47478"/>
    <w:pPr>
      <w:spacing w:before="180"/>
    </w:pPr>
  </w:style>
  <w:style w:type="paragraph" w:styleId="DocumentMap">
    <w:name w:val="Document Map"/>
    <w:basedOn w:val="Normal"/>
    <w:semiHidden/>
    <w:rsid w:val="00F47478"/>
    <w:pPr>
      <w:shd w:val="clear" w:color="auto" w:fill="000080"/>
    </w:pPr>
    <w:rPr>
      <w:rFonts w:ascii="Tahoma" w:hAnsi="Tahoma" w:cs="Tahoma"/>
    </w:rPr>
  </w:style>
  <w:style w:type="paragraph" w:customStyle="1" w:styleId="BodyTextBoldChar">
    <w:name w:val="Body Text + Bold Char"/>
    <w:basedOn w:val="BodyText"/>
    <w:semiHidden/>
    <w:rsid w:val="00F47478"/>
    <w:rPr>
      <w:b/>
      <w:sz w:val="22"/>
    </w:rPr>
  </w:style>
  <w:style w:type="paragraph" w:customStyle="1" w:styleId="BodyText1">
    <w:name w:val="BodyText 1"/>
    <w:basedOn w:val="Normal"/>
    <w:semiHidden/>
    <w:rsid w:val="00F47478"/>
    <w:pPr>
      <w:spacing w:after="240"/>
      <w:ind w:left="990"/>
    </w:pPr>
    <w:rPr>
      <w:rFonts w:ascii="HelveticaNeueRoman" w:hAnsi="HelveticaNeueRoman"/>
      <w:lang w:val="en-US"/>
    </w:rPr>
  </w:style>
  <w:style w:type="paragraph" w:customStyle="1" w:styleId="BodyText2">
    <w:name w:val="BodyText 2"/>
    <w:basedOn w:val="Normal"/>
    <w:semiHidden/>
    <w:rsid w:val="00F47478"/>
    <w:pPr>
      <w:spacing w:after="240"/>
      <w:ind w:left="1710"/>
    </w:pPr>
    <w:rPr>
      <w:rFonts w:ascii="HelveticaNeueRoman" w:hAnsi="HelveticaNeueRoman"/>
      <w:lang w:val="en-US"/>
    </w:rPr>
  </w:style>
  <w:style w:type="paragraph" w:customStyle="1" w:styleId="BodyText3">
    <w:name w:val="BodyText 3"/>
    <w:basedOn w:val="Normal"/>
    <w:semiHidden/>
    <w:rsid w:val="00F47478"/>
    <w:pPr>
      <w:spacing w:after="240"/>
      <w:ind w:left="2189"/>
    </w:pPr>
    <w:rPr>
      <w:rFonts w:ascii="HelveticaNeueRoman" w:hAnsi="HelveticaNeueRoman"/>
      <w:lang w:val="en-US"/>
    </w:rPr>
  </w:style>
  <w:style w:type="paragraph" w:customStyle="1" w:styleId="BodyText4">
    <w:name w:val="BodyText 4"/>
    <w:basedOn w:val="BodyText3"/>
    <w:semiHidden/>
    <w:rsid w:val="00F47478"/>
    <w:pPr>
      <w:ind w:left="3119"/>
    </w:pPr>
  </w:style>
  <w:style w:type="character" w:customStyle="1" w:styleId="TableTextChar">
    <w:name w:val="Table Text Char"/>
    <w:link w:val="TableText"/>
    <w:rsid w:val="00F47478"/>
    <w:rPr>
      <w:rFonts w:ascii="Verdana" w:hAnsi="Verdana"/>
      <w:iCs/>
      <w:sz w:val="17"/>
      <w:lang w:val="en-NZ" w:eastAsia="en-AU" w:bidi="ar-SA"/>
    </w:rPr>
  </w:style>
  <w:style w:type="paragraph" w:customStyle="1" w:styleId="BulletList20">
    <w:name w:val="BulletList 2"/>
    <w:basedOn w:val="BodyText2"/>
    <w:semiHidden/>
    <w:rsid w:val="00F47478"/>
    <w:pPr>
      <w:tabs>
        <w:tab w:val="left" w:pos="624"/>
      </w:tabs>
      <w:spacing w:after="0"/>
      <w:ind w:left="624" w:hanging="397"/>
      <w:jc w:val="left"/>
    </w:pPr>
  </w:style>
  <w:style w:type="paragraph" w:customStyle="1" w:styleId="BulletList3">
    <w:name w:val="BulletList 3"/>
    <w:basedOn w:val="BodyText3"/>
    <w:semiHidden/>
    <w:rsid w:val="00F47478"/>
    <w:pPr>
      <w:tabs>
        <w:tab w:val="left" w:pos="814"/>
      </w:tabs>
      <w:spacing w:after="0"/>
      <w:ind w:left="737" w:hanging="283"/>
      <w:jc w:val="left"/>
    </w:pPr>
  </w:style>
  <w:style w:type="paragraph" w:customStyle="1" w:styleId="Commands">
    <w:name w:val="Commands"/>
    <w:basedOn w:val="BodyText"/>
    <w:rsid w:val="00F47478"/>
    <w:pPr>
      <w:autoSpaceDE w:val="0"/>
      <w:autoSpaceDN w:val="0"/>
      <w:adjustRightInd w:val="0"/>
      <w:spacing w:before="20" w:after="20"/>
      <w:ind w:left="1775" w:hanging="357"/>
    </w:pPr>
    <w:rPr>
      <w:rFonts w:ascii="Courier New" w:hAnsi="Courier New" w:cs="Courier New"/>
      <w:sz w:val="16"/>
      <w:lang w:val="en-US"/>
    </w:rPr>
  </w:style>
  <w:style w:type="paragraph" w:customStyle="1" w:styleId="FooterLandscape">
    <w:name w:val="Footer Landscape"/>
    <w:rsid w:val="00F47478"/>
    <w:pPr>
      <w:tabs>
        <w:tab w:val="center" w:pos="6946"/>
        <w:tab w:val="right" w:pos="13892"/>
      </w:tabs>
      <w:spacing w:before="60" w:after="60"/>
    </w:pPr>
    <w:rPr>
      <w:rFonts w:ascii="Verdana" w:hAnsi="Verdana"/>
      <w:iCs/>
      <w:sz w:val="16"/>
      <w:lang w:val="en-NZ" w:eastAsia="en-US"/>
    </w:rPr>
  </w:style>
  <w:style w:type="paragraph" w:customStyle="1" w:styleId="Normal2">
    <w:name w:val="Normal 2"/>
    <w:basedOn w:val="Normal"/>
    <w:rsid w:val="00F47478"/>
    <w:pPr>
      <w:spacing w:before="120" w:after="120"/>
      <w:ind w:left="431"/>
    </w:pPr>
    <w:rPr>
      <w:sz w:val="24"/>
    </w:rPr>
  </w:style>
  <w:style w:type="paragraph" w:customStyle="1" w:styleId="SRHeading1">
    <w:name w:val="SR Heading 1"/>
    <w:basedOn w:val="Normal"/>
    <w:autoRedefine/>
    <w:semiHidden/>
    <w:rsid w:val="00F47478"/>
    <w:pPr>
      <w:numPr>
        <w:ilvl w:val="1"/>
        <w:numId w:val="1"/>
      </w:numPr>
      <w:spacing w:after="120"/>
    </w:pPr>
    <w:rPr>
      <w:b/>
    </w:rPr>
  </w:style>
  <w:style w:type="paragraph" w:customStyle="1" w:styleId="SRHeading2">
    <w:name w:val="SR Heading 2"/>
    <w:basedOn w:val="Normal"/>
    <w:autoRedefine/>
    <w:semiHidden/>
    <w:rsid w:val="00F47478"/>
    <w:pPr>
      <w:numPr>
        <w:ilvl w:val="1"/>
        <w:numId w:val="2"/>
      </w:numPr>
      <w:spacing w:after="120"/>
    </w:pPr>
    <w:rPr>
      <w:b/>
      <w:sz w:val="24"/>
      <w:lang w:val="en-US"/>
    </w:rPr>
  </w:style>
  <w:style w:type="paragraph" w:customStyle="1" w:styleId="SRHeadingA">
    <w:name w:val="SR Heading A"/>
    <w:basedOn w:val="Normal"/>
    <w:autoRedefine/>
    <w:semiHidden/>
    <w:rsid w:val="00F47478"/>
    <w:pPr>
      <w:numPr>
        <w:numId w:val="3"/>
      </w:numPr>
      <w:spacing w:after="120"/>
    </w:pPr>
    <w:rPr>
      <w:b/>
      <w:sz w:val="24"/>
    </w:rPr>
  </w:style>
  <w:style w:type="paragraph" w:customStyle="1" w:styleId="SRHeadingB">
    <w:name w:val="SR Heading B"/>
    <w:basedOn w:val="SRHeadingA"/>
    <w:autoRedefine/>
    <w:semiHidden/>
    <w:rsid w:val="00F47478"/>
    <w:pPr>
      <w:numPr>
        <w:ilvl w:val="1"/>
        <w:numId w:val="4"/>
      </w:numPr>
    </w:pPr>
    <w:rPr>
      <w:sz w:val="22"/>
    </w:rPr>
  </w:style>
  <w:style w:type="paragraph" w:customStyle="1" w:styleId="Step">
    <w:name w:val="Step"/>
    <w:basedOn w:val="Normal"/>
    <w:semiHidden/>
    <w:rsid w:val="00F47478"/>
    <w:pPr>
      <w:numPr>
        <w:numId w:val="5"/>
      </w:numPr>
      <w:spacing w:after="120"/>
      <w:jc w:val="center"/>
    </w:pPr>
    <w:rPr>
      <w:rFonts w:ascii="Times New Roman" w:hAnsi="Times New Roman"/>
      <w:sz w:val="24"/>
      <w:szCs w:val="24"/>
    </w:rPr>
  </w:style>
  <w:style w:type="paragraph" w:customStyle="1" w:styleId="StyleHeading1Left">
    <w:name w:val="Style Heading 1 + Left"/>
    <w:basedOn w:val="Heading1"/>
    <w:semiHidden/>
    <w:rsid w:val="00F47478"/>
    <w:pPr>
      <w:numPr>
        <w:numId w:val="0"/>
      </w:numPr>
    </w:pPr>
    <w:rPr>
      <w:bCs/>
      <w:iCs w:val="0"/>
    </w:rPr>
  </w:style>
  <w:style w:type="paragraph" w:customStyle="1" w:styleId="StyleHeading3Left0cmFirstline0cm">
    <w:name w:val="Style Heading 3 + Left:  0 cm First line:  0 cm"/>
    <w:basedOn w:val="Heading3"/>
    <w:autoRedefine/>
    <w:semiHidden/>
    <w:rsid w:val="00F47478"/>
    <w:rPr>
      <w:bCs/>
    </w:rPr>
  </w:style>
  <w:style w:type="paragraph" w:customStyle="1" w:styleId="Style1">
    <w:name w:val="Style1"/>
    <w:basedOn w:val="Normal"/>
    <w:semiHidden/>
    <w:rsid w:val="00F47478"/>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s>
      <w:spacing w:after="120"/>
    </w:pPr>
    <w:rPr>
      <w:rFonts w:ascii="HelveticaNeueRoman" w:hAnsi="HelveticaNeueRoman"/>
    </w:rPr>
  </w:style>
  <w:style w:type="paragraph" w:customStyle="1" w:styleId="About1">
    <w:name w:val="About1"/>
    <w:basedOn w:val="Heading1"/>
    <w:next w:val="BodyText"/>
    <w:rsid w:val="00F47478"/>
    <w:pPr>
      <w:numPr>
        <w:numId w:val="0"/>
      </w:numPr>
    </w:pPr>
  </w:style>
  <w:style w:type="paragraph" w:customStyle="1" w:styleId="About2">
    <w:name w:val="About2"/>
    <w:basedOn w:val="Heading2"/>
    <w:next w:val="BodyText"/>
    <w:rsid w:val="00F47478"/>
    <w:pPr>
      <w:numPr>
        <w:ilvl w:val="0"/>
        <w:numId w:val="0"/>
      </w:numPr>
    </w:pPr>
  </w:style>
  <w:style w:type="paragraph" w:customStyle="1" w:styleId="UCHeading1">
    <w:name w:val="UC Heading 1"/>
    <w:basedOn w:val="Normal"/>
    <w:autoRedefine/>
    <w:semiHidden/>
    <w:rsid w:val="00F47478"/>
    <w:pPr>
      <w:spacing w:after="120"/>
    </w:pPr>
    <w:rPr>
      <w:b/>
      <w:sz w:val="24"/>
    </w:rPr>
  </w:style>
  <w:style w:type="paragraph" w:customStyle="1" w:styleId="UCHeading2">
    <w:name w:val="UC Heading 2"/>
    <w:basedOn w:val="Normal"/>
    <w:autoRedefine/>
    <w:semiHidden/>
    <w:rsid w:val="00F47478"/>
    <w:pPr>
      <w:tabs>
        <w:tab w:val="left" w:pos="2835"/>
      </w:tabs>
      <w:spacing w:after="120"/>
    </w:pPr>
    <w:rPr>
      <w:b/>
    </w:rPr>
  </w:style>
  <w:style w:type="paragraph" w:customStyle="1" w:styleId="xl24">
    <w:name w:val="xl24"/>
    <w:basedOn w:val="Normal"/>
    <w:semiHidden/>
    <w:rsid w:val="00F47478"/>
    <w:pPr>
      <w:spacing w:before="100" w:beforeAutospacing="1" w:after="100" w:afterAutospacing="1"/>
    </w:pPr>
    <w:rPr>
      <w:rFonts w:ascii="Arial Unicode MS" w:eastAsia="Arial Unicode MS" w:hAnsi="Arial Unicode MS" w:cs="Arial Unicode MS"/>
      <w:sz w:val="24"/>
      <w:szCs w:val="24"/>
    </w:rPr>
  </w:style>
  <w:style w:type="numbering" w:styleId="111111">
    <w:name w:val="Outline List 2"/>
    <w:basedOn w:val="NoList"/>
    <w:semiHidden/>
    <w:rsid w:val="00F47478"/>
    <w:pPr>
      <w:numPr>
        <w:numId w:val="7"/>
      </w:numPr>
    </w:pPr>
  </w:style>
  <w:style w:type="numbering" w:styleId="1ai">
    <w:name w:val="Outline List 1"/>
    <w:basedOn w:val="NoList"/>
    <w:semiHidden/>
    <w:rsid w:val="00F47478"/>
    <w:pPr>
      <w:numPr>
        <w:numId w:val="8"/>
      </w:numPr>
    </w:pPr>
  </w:style>
  <w:style w:type="numbering" w:styleId="ArticleSection">
    <w:name w:val="Outline List 3"/>
    <w:basedOn w:val="NoList"/>
    <w:semiHidden/>
    <w:rsid w:val="00F47478"/>
    <w:pPr>
      <w:numPr>
        <w:numId w:val="9"/>
      </w:numPr>
    </w:pPr>
  </w:style>
  <w:style w:type="paragraph" w:styleId="BalloonText">
    <w:name w:val="Balloon Text"/>
    <w:basedOn w:val="Normal"/>
    <w:semiHidden/>
    <w:rsid w:val="00F47478"/>
    <w:rPr>
      <w:rFonts w:ascii="Tahoma" w:hAnsi="Tahoma" w:cs="Tahoma"/>
      <w:sz w:val="16"/>
      <w:szCs w:val="16"/>
    </w:rPr>
  </w:style>
  <w:style w:type="paragraph" w:styleId="BlockText">
    <w:name w:val="Block Text"/>
    <w:basedOn w:val="Normal"/>
    <w:rsid w:val="00F47478"/>
    <w:pPr>
      <w:spacing w:after="120"/>
      <w:ind w:left="1440" w:right="1440"/>
    </w:pPr>
  </w:style>
  <w:style w:type="paragraph" w:styleId="BodyText20">
    <w:name w:val="Body Text 2"/>
    <w:basedOn w:val="Normal"/>
    <w:rsid w:val="00F47478"/>
    <w:pPr>
      <w:spacing w:after="120" w:line="480" w:lineRule="auto"/>
    </w:pPr>
  </w:style>
  <w:style w:type="paragraph" w:styleId="BodyText30">
    <w:name w:val="Body Text 3"/>
    <w:basedOn w:val="Normal"/>
    <w:semiHidden/>
    <w:rsid w:val="00F47478"/>
    <w:pPr>
      <w:spacing w:after="120"/>
    </w:pPr>
    <w:rPr>
      <w:sz w:val="16"/>
      <w:szCs w:val="16"/>
    </w:rPr>
  </w:style>
  <w:style w:type="paragraph" w:styleId="BodyTextFirstIndent">
    <w:name w:val="Body Text First Indent"/>
    <w:basedOn w:val="BodyText"/>
    <w:semiHidden/>
    <w:rsid w:val="00F47478"/>
    <w:pPr>
      <w:spacing w:after="120"/>
      <w:ind w:firstLine="210"/>
    </w:pPr>
    <w:rPr>
      <w:lang w:val="en-NZ"/>
    </w:rPr>
  </w:style>
  <w:style w:type="paragraph" w:styleId="BodyTextIndent">
    <w:name w:val="Body Text Indent"/>
    <w:basedOn w:val="Normal"/>
    <w:semiHidden/>
    <w:rsid w:val="00F47478"/>
    <w:pPr>
      <w:spacing w:after="120"/>
      <w:ind w:left="283"/>
    </w:pPr>
  </w:style>
  <w:style w:type="paragraph" w:styleId="BodyTextFirstIndent2">
    <w:name w:val="Body Text First Indent 2"/>
    <w:basedOn w:val="BodyTextIndent"/>
    <w:semiHidden/>
    <w:rsid w:val="00F47478"/>
    <w:pPr>
      <w:ind w:firstLine="210"/>
    </w:pPr>
  </w:style>
  <w:style w:type="paragraph" w:styleId="BodyTextIndent2">
    <w:name w:val="Body Text Indent 2"/>
    <w:basedOn w:val="Normal"/>
    <w:semiHidden/>
    <w:rsid w:val="00F47478"/>
    <w:pPr>
      <w:spacing w:after="120" w:line="480" w:lineRule="auto"/>
      <w:ind w:left="283"/>
    </w:pPr>
  </w:style>
  <w:style w:type="paragraph" w:styleId="BodyTextIndent3">
    <w:name w:val="Body Text Indent 3"/>
    <w:basedOn w:val="Normal"/>
    <w:semiHidden/>
    <w:rsid w:val="00F47478"/>
    <w:pPr>
      <w:spacing w:after="120"/>
      <w:ind w:left="283"/>
    </w:pPr>
    <w:rPr>
      <w:sz w:val="16"/>
      <w:szCs w:val="16"/>
    </w:rPr>
  </w:style>
  <w:style w:type="paragraph" w:styleId="Caption">
    <w:name w:val="caption"/>
    <w:next w:val="BodyText"/>
    <w:link w:val="CaptionChar"/>
    <w:qFormat/>
    <w:rsid w:val="00F47478"/>
    <w:pPr>
      <w:spacing w:before="120" w:after="180"/>
      <w:ind w:left="890"/>
    </w:pPr>
    <w:rPr>
      <w:rFonts w:ascii="Verdana" w:hAnsi="Verdana"/>
      <w:b/>
      <w:bCs/>
      <w:i/>
      <w:iCs/>
      <w:sz w:val="17"/>
      <w:lang w:val="en-NZ" w:eastAsia="en-US"/>
    </w:rPr>
  </w:style>
  <w:style w:type="paragraph" w:styleId="Closing">
    <w:name w:val="Closing"/>
    <w:basedOn w:val="Normal"/>
    <w:semiHidden/>
    <w:rsid w:val="00F47478"/>
    <w:pPr>
      <w:ind w:left="4252"/>
    </w:pPr>
  </w:style>
  <w:style w:type="character" w:styleId="CommentReference">
    <w:name w:val="annotation reference"/>
    <w:uiPriority w:val="99"/>
    <w:semiHidden/>
    <w:rsid w:val="00F47478"/>
    <w:rPr>
      <w:rFonts w:ascii="Verdana" w:hAnsi="Verdana"/>
      <w:iCs/>
      <w:sz w:val="16"/>
      <w:szCs w:val="16"/>
      <w:lang w:val="en-NZ" w:eastAsia="en-US" w:bidi="ar-SA"/>
    </w:rPr>
  </w:style>
  <w:style w:type="paragraph" w:styleId="CommentText">
    <w:name w:val="annotation text"/>
    <w:basedOn w:val="Normal"/>
    <w:link w:val="CommentTextChar"/>
    <w:uiPriority w:val="99"/>
    <w:semiHidden/>
    <w:rsid w:val="00F47478"/>
  </w:style>
  <w:style w:type="paragraph" w:styleId="CommentSubject">
    <w:name w:val="annotation subject"/>
    <w:basedOn w:val="CommentText"/>
    <w:next w:val="CommentText"/>
    <w:semiHidden/>
    <w:rsid w:val="00F47478"/>
    <w:rPr>
      <w:b/>
      <w:bCs/>
    </w:rPr>
  </w:style>
  <w:style w:type="paragraph" w:styleId="Date">
    <w:name w:val="Date"/>
    <w:basedOn w:val="Normal"/>
    <w:next w:val="Normal"/>
    <w:semiHidden/>
    <w:rsid w:val="00F47478"/>
  </w:style>
  <w:style w:type="paragraph" w:styleId="E-mailSignature">
    <w:name w:val="E-mail Signature"/>
    <w:basedOn w:val="Normal"/>
    <w:semiHidden/>
    <w:rsid w:val="00F47478"/>
  </w:style>
  <w:style w:type="character" w:styleId="Emphasis">
    <w:name w:val="Emphasis"/>
    <w:qFormat/>
    <w:rsid w:val="00F47478"/>
    <w:rPr>
      <w:rFonts w:ascii="Verdana" w:hAnsi="Verdana"/>
      <w:i/>
      <w:iCs/>
      <w:sz w:val="18"/>
      <w:lang w:val="en-NZ" w:eastAsia="en-US" w:bidi="ar-SA"/>
    </w:rPr>
  </w:style>
  <w:style w:type="character" w:styleId="EndnoteReference">
    <w:name w:val="endnote reference"/>
    <w:semiHidden/>
    <w:rsid w:val="00F47478"/>
    <w:rPr>
      <w:rFonts w:ascii="Verdana" w:hAnsi="Verdana"/>
      <w:iCs/>
      <w:sz w:val="18"/>
      <w:vertAlign w:val="superscript"/>
      <w:lang w:val="en-NZ" w:eastAsia="en-US" w:bidi="ar-SA"/>
    </w:rPr>
  </w:style>
  <w:style w:type="paragraph" w:styleId="EndnoteText">
    <w:name w:val="endnote text"/>
    <w:basedOn w:val="Normal"/>
    <w:semiHidden/>
    <w:rsid w:val="00F47478"/>
  </w:style>
  <w:style w:type="paragraph" w:styleId="EnvelopeAddress">
    <w:name w:val="envelope address"/>
    <w:basedOn w:val="Normal"/>
    <w:semiHidden/>
    <w:rsid w:val="00F47478"/>
    <w:pPr>
      <w:framePr w:w="7920" w:h="1980" w:hRule="exact" w:hSpace="180" w:wrap="auto" w:hAnchor="page" w:xAlign="center" w:yAlign="bottom"/>
      <w:ind w:left="2880"/>
    </w:pPr>
    <w:rPr>
      <w:rFonts w:cs="Arial"/>
      <w:sz w:val="24"/>
      <w:szCs w:val="24"/>
    </w:rPr>
  </w:style>
  <w:style w:type="paragraph" w:styleId="EnvelopeReturn">
    <w:name w:val="envelope return"/>
    <w:basedOn w:val="Normal"/>
    <w:semiHidden/>
    <w:rsid w:val="00F47478"/>
    <w:rPr>
      <w:rFonts w:cs="Arial"/>
    </w:rPr>
  </w:style>
  <w:style w:type="character" w:styleId="FollowedHyperlink">
    <w:name w:val="FollowedHyperlink"/>
    <w:uiPriority w:val="99"/>
    <w:rsid w:val="00F47478"/>
    <w:rPr>
      <w:rFonts w:ascii="Verdana" w:hAnsi="Verdana"/>
      <w:iCs/>
      <w:color w:val="800080"/>
      <w:sz w:val="17"/>
      <w:u w:val="single"/>
      <w:lang w:val="en-NZ" w:eastAsia="en-US" w:bidi="ar-SA"/>
    </w:rPr>
  </w:style>
  <w:style w:type="character" w:styleId="HTMLAcronym">
    <w:name w:val="HTML Acronym"/>
    <w:semiHidden/>
    <w:rsid w:val="00F47478"/>
    <w:rPr>
      <w:rFonts w:ascii="Verdana" w:hAnsi="Verdana"/>
      <w:iCs/>
      <w:sz w:val="18"/>
      <w:lang w:val="en-NZ" w:eastAsia="en-US" w:bidi="ar-SA"/>
    </w:rPr>
  </w:style>
  <w:style w:type="paragraph" w:styleId="HTMLAddress">
    <w:name w:val="HTML Address"/>
    <w:basedOn w:val="Normal"/>
    <w:semiHidden/>
    <w:rsid w:val="00F47478"/>
    <w:rPr>
      <w:i/>
    </w:rPr>
  </w:style>
  <w:style w:type="character" w:styleId="HTMLCite">
    <w:name w:val="HTML Cite"/>
    <w:semiHidden/>
    <w:rsid w:val="00F47478"/>
    <w:rPr>
      <w:rFonts w:ascii="Verdana" w:hAnsi="Verdana"/>
      <w:i/>
      <w:iCs/>
      <w:sz w:val="18"/>
      <w:lang w:val="en-NZ" w:eastAsia="en-US" w:bidi="ar-SA"/>
    </w:rPr>
  </w:style>
  <w:style w:type="character" w:styleId="HTMLCode">
    <w:name w:val="HTML Code"/>
    <w:semiHidden/>
    <w:rsid w:val="00F47478"/>
    <w:rPr>
      <w:rFonts w:ascii="Courier New" w:hAnsi="Courier New" w:cs="Courier New"/>
      <w:iCs/>
      <w:sz w:val="20"/>
      <w:szCs w:val="20"/>
      <w:lang w:val="en-NZ" w:eastAsia="en-US" w:bidi="ar-SA"/>
    </w:rPr>
  </w:style>
  <w:style w:type="character" w:styleId="HTMLDefinition">
    <w:name w:val="HTML Definition"/>
    <w:semiHidden/>
    <w:rsid w:val="00F47478"/>
    <w:rPr>
      <w:rFonts w:ascii="Verdana" w:hAnsi="Verdana"/>
      <w:i/>
      <w:iCs/>
      <w:sz w:val="18"/>
      <w:lang w:val="en-NZ" w:eastAsia="en-US" w:bidi="ar-SA"/>
    </w:rPr>
  </w:style>
  <w:style w:type="character" w:styleId="HTMLKeyboard">
    <w:name w:val="HTML Keyboard"/>
    <w:semiHidden/>
    <w:rsid w:val="00F47478"/>
    <w:rPr>
      <w:rFonts w:ascii="Courier New" w:hAnsi="Courier New" w:cs="Courier New"/>
      <w:iCs/>
      <w:sz w:val="20"/>
      <w:szCs w:val="20"/>
      <w:lang w:val="en-NZ" w:eastAsia="en-US" w:bidi="ar-SA"/>
    </w:rPr>
  </w:style>
  <w:style w:type="paragraph" w:styleId="HTMLPreformatted">
    <w:name w:val="HTML Preformatted"/>
    <w:basedOn w:val="Normal"/>
    <w:semiHidden/>
    <w:rsid w:val="00F47478"/>
    <w:rPr>
      <w:rFonts w:ascii="Courier New" w:hAnsi="Courier New" w:cs="Courier New"/>
    </w:rPr>
  </w:style>
  <w:style w:type="character" w:styleId="HTMLSample">
    <w:name w:val="HTML Sample"/>
    <w:semiHidden/>
    <w:rsid w:val="00F47478"/>
    <w:rPr>
      <w:rFonts w:ascii="Courier New" w:hAnsi="Courier New" w:cs="Courier New"/>
      <w:iCs/>
      <w:sz w:val="18"/>
      <w:lang w:val="en-NZ" w:eastAsia="en-US" w:bidi="ar-SA"/>
    </w:rPr>
  </w:style>
  <w:style w:type="character" w:styleId="HTMLTypewriter">
    <w:name w:val="HTML Typewriter"/>
    <w:semiHidden/>
    <w:rsid w:val="00F47478"/>
    <w:rPr>
      <w:rFonts w:ascii="Courier New" w:hAnsi="Courier New" w:cs="Courier New"/>
      <w:iCs/>
      <w:sz w:val="20"/>
      <w:szCs w:val="20"/>
      <w:lang w:val="en-NZ" w:eastAsia="en-US" w:bidi="ar-SA"/>
    </w:rPr>
  </w:style>
  <w:style w:type="character" w:styleId="HTMLVariable">
    <w:name w:val="HTML Variable"/>
    <w:semiHidden/>
    <w:rsid w:val="00F47478"/>
    <w:rPr>
      <w:rFonts w:ascii="Verdana" w:hAnsi="Verdana"/>
      <w:i/>
      <w:iCs/>
      <w:sz w:val="18"/>
      <w:lang w:val="en-NZ" w:eastAsia="en-US" w:bidi="ar-SA"/>
    </w:rPr>
  </w:style>
  <w:style w:type="character" w:styleId="Hyperlink">
    <w:name w:val="Hyperlink"/>
    <w:uiPriority w:val="99"/>
    <w:rsid w:val="006261B0"/>
    <w:rPr>
      <w:rFonts w:ascii="Arial Bold" w:hAnsi="Arial Bold"/>
      <w:b w:val="0"/>
      <w:i w:val="0"/>
      <w:iCs/>
      <w:caps w:val="0"/>
      <w:smallCaps w:val="0"/>
      <w:strike w:val="0"/>
      <w:dstrike w:val="0"/>
      <w:vanish w:val="0"/>
      <w:color w:val="auto"/>
      <w:sz w:val="20"/>
      <w:szCs w:val="17"/>
      <w:u w:val="none"/>
      <w:vertAlign w:val="baseline"/>
      <w:lang w:val="en-NZ" w:eastAsia="en-US" w:bidi="ar-SA"/>
    </w:rPr>
  </w:style>
  <w:style w:type="paragraph" w:styleId="Index1">
    <w:name w:val="index 1"/>
    <w:basedOn w:val="Normal"/>
    <w:next w:val="Normal"/>
    <w:autoRedefine/>
    <w:semiHidden/>
    <w:rsid w:val="00F47478"/>
    <w:pPr>
      <w:ind w:left="240" w:hanging="240"/>
    </w:pPr>
    <w:rPr>
      <w:rFonts w:ascii="Times New Roman" w:hAnsi="Times New Roman"/>
      <w:sz w:val="24"/>
      <w:szCs w:val="24"/>
      <w:lang w:val="en-US"/>
    </w:rPr>
  </w:style>
  <w:style w:type="paragraph" w:styleId="Index2">
    <w:name w:val="index 2"/>
    <w:basedOn w:val="Normal"/>
    <w:next w:val="Normal"/>
    <w:autoRedefine/>
    <w:semiHidden/>
    <w:rsid w:val="00F47478"/>
    <w:pPr>
      <w:ind w:left="400" w:hanging="200"/>
    </w:pPr>
  </w:style>
  <w:style w:type="paragraph" w:styleId="Index3">
    <w:name w:val="index 3"/>
    <w:basedOn w:val="Normal"/>
    <w:next w:val="Normal"/>
    <w:autoRedefine/>
    <w:semiHidden/>
    <w:rsid w:val="00F47478"/>
    <w:pPr>
      <w:ind w:left="600" w:hanging="200"/>
    </w:pPr>
  </w:style>
  <w:style w:type="paragraph" w:styleId="Index4">
    <w:name w:val="index 4"/>
    <w:basedOn w:val="Normal"/>
    <w:next w:val="Normal"/>
    <w:autoRedefine/>
    <w:semiHidden/>
    <w:rsid w:val="00F47478"/>
    <w:pPr>
      <w:ind w:left="800" w:hanging="200"/>
    </w:pPr>
  </w:style>
  <w:style w:type="paragraph" w:styleId="Index5">
    <w:name w:val="index 5"/>
    <w:basedOn w:val="Normal"/>
    <w:next w:val="Normal"/>
    <w:autoRedefine/>
    <w:semiHidden/>
    <w:rsid w:val="00F47478"/>
    <w:pPr>
      <w:ind w:left="1000" w:hanging="200"/>
    </w:pPr>
  </w:style>
  <w:style w:type="paragraph" w:styleId="Index6">
    <w:name w:val="index 6"/>
    <w:basedOn w:val="Normal"/>
    <w:next w:val="Normal"/>
    <w:autoRedefine/>
    <w:semiHidden/>
    <w:rsid w:val="00F47478"/>
    <w:pPr>
      <w:ind w:left="1200" w:hanging="200"/>
    </w:pPr>
  </w:style>
  <w:style w:type="paragraph" w:styleId="Index7">
    <w:name w:val="index 7"/>
    <w:basedOn w:val="Normal"/>
    <w:next w:val="Normal"/>
    <w:autoRedefine/>
    <w:semiHidden/>
    <w:rsid w:val="00F47478"/>
    <w:pPr>
      <w:ind w:left="1400" w:hanging="200"/>
    </w:pPr>
  </w:style>
  <w:style w:type="paragraph" w:styleId="Index8">
    <w:name w:val="index 8"/>
    <w:basedOn w:val="Normal"/>
    <w:next w:val="Normal"/>
    <w:autoRedefine/>
    <w:semiHidden/>
    <w:rsid w:val="00F47478"/>
    <w:pPr>
      <w:ind w:left="1600" w:hanging="200"/>
    </w:pPr>
  </w:style>
  <w:style w:type="paragraph" w:styleId="Index9">
    <w:name w:val="index 9"/>
    <w:basedOn w:val="Normal"/>
    <w:next w:val="Normal"/>
    <w:autoRedefine/>
    <w:semiHidden/>
    <w:rsid w:val="00F47478"/>
    <w:pPr>
      <w:ind w:left="1800" w:hanging="200"/>
    </w:pPr>
  </w:style>
  <w:style w:type="paragraph" w:styleId="IndexHeading">
    <w:name w:val="index heading"/>
    <w:basedOn w:val="Normal"/>
    <w:next w:val="Index1"/>
    <w:semiHidden/>
    <w:rsid w:val="00F47478"/>
    <w:rPr>
      <w:rFonts w:ascii="Times New Roman" w:hAnsi="Times New Roman"/>
      <w:sz w:val="24"/>
      <w:szCs w:val="24"/>
      <w:lang w:val="en-US"/>
    </w:rPr>
  </w:style>
  <w:style w:type="character" w:styleId="LineNumber">
    <w:name w:val="line number"/>
    <w:semiHidden/>
    <w:rsid w:val="00F47478"/>
    <w:rPr>
      <w:rFonts w:ascii="Verdana" w:hAnsi="Verdana"/>
      <w:iCs/>
      <w:sz w:val="18"/>
      <w:lang w:val="en-NZ" w:eastAsia="en-US" w:bidi="ar-SA"/>
    </w:rPr>
  </w:style>
  <w:style w:type="paragraph" w:styleId="List">
    <w:name w:val="List"/>
    <w:basedOn w:val="Normal"/>
    <w:semiHidden/>
    <w:rsid w:val="00F47478"/>
    <w:pPr>
      <w:ind w:left="283" w:hanging="283"/>
    </w:pPr>
  </w:style>
  <w:style w:type="paragraph" w:styleId="List2">
    <w:name w:val="List 2"/>
    <w:basedOn w:val="Normal"/>
    <w:semiHidden/>
    <w:rsid w:val="00F47478"/>
    <w:pPr>
      <w:ind w:left="566" w:hanging="283"/>
    </w:pPr>
  </w:style>
  <w:style w:type="paragraph" w:styleId="List3">
    <w:name w:val="List 3"/>
    <w:basedOn w:val="Normal"/>
    <w:semiHidden/>
    <w:rsid w:val="00F47478"/>
    <w:pPr>
      <w:ind w:left="849" w:hanging="283"/>
    </w:pPr>
  </w:style>
  <w:style w:type="paragraph" w:styleId="List4">
    <w:name w:val="List 4"/>
    <w:basedOn w:val="Normal"/>
    <w:semiHidden/>
    <w:rsid w:val="00F47478"/>
    <w:pPr>
      <w:ind w:left="1132" w:hanging="283"/>
    </w:pPr>
  </w:style>
  <w:style w:type="paragraph" w:styleId="List5">
    <w:name w:val="List 5"/>
    <w:basedOn w:val="Normal"/>
    <w:semiHidden/>
    <w:rsid w:val="00F47478"/>
    <w:pPr>
      <w:ind w:left="1415" w:hanging="283"/>
    </w:pPr>
  </w:style>
  <w:style w:type="paragraph" w:styleId="ListBullet">
    <w:name w:val="List Bullet"/>
    <w:basedOn w:val="Normal"/>
    <w:autoRedefine/>
    <w:semiHidden/>
    <w:rsid w:val="00F47478"/>
    <w:pPr>
      <w:numPr>
        <w:numId w:val="10"/>
      </w:numPr>
    </w:pPr>
  </w:style>
  <w:style w:type="paragraph" w:styleId="ListBullet2">
    <w:name w:val="List Bullet 2"/>
    <w:basedOn w:val="Normal"/>
    <w:autoRedefine/>
    <w:semiHidden/>
    <w:rsid w:val="00F47478"/>
    <w:pPr>
      <w:numPr>
        <w:numId w:val="11"/>
      </w:numPr>
    </w:pPr>
  </w:style>
  <w:style w:type="paragraph" w:styleId="ListBullet3">
    <w:name w:val="List Bullet 3"/>
    <w:basedOn w:val="Normal"/>
    <w:autoRedefine/>
    <w:semiHidden/>
    <w:rsid w:val="00F47478"/>
    <w:pPr>
      <w:numPr>
        <w:numId w:val="12"/>
      </w:numPr>
    </w:pPr>
  </w:style>
  <w:style w:type="paragraph" w:styleId="ListBullet4">
    <w:name w:val="List Bullet 4"/>
    <w:basedOn w:val="Normal"/>
    <w:autoRedefine/>
    <w:semiHidden/>
    <w:rsid w:val="00F47478"/>
    <w:pPr>
      <w:numPr>
        <w:numId w:val="13"/>
      </w:numPr>
    </w:pPr>
  </w:style>
  <w:style w:type="paragraph" w:styleId="ListBullet5">
    <w:name w:val="List Bullet 5"/>
    <w:basedOn w:val="Normal"/>
    <w:autoRedefine/>
    <w:semiHidden/>
    <w:rsid w:val="00F47478"/>
    <w:pPr>
      <w:numPr>
        <w:numId w:val="14"/>
      </w:numPr>
    </w:pPr>
  </w:style>
  <w:style w:type="paragraph" w:styleId="ListContinue">
    <w:name w:val="List Continue"/>
    <w:basedOn w:val="Normal"/>
    <w:semiHidden/>
    <w:rsid w:val="00F47478"/>
    <w:pPr>
      <w:spacing w:after="120"/>
      <w:ind w:left="283"/>
    </w:pPr>
  </w:style>
  <w:style w:type="paragraph" w:styleId="ListContinue2">
    <w:name w:val="List Continue 2"/>
    <w:basedOn w:val="Normal"/>
    <w:semiHidden/>
    <w:rsid w:val="00F47478"/>
    <w:pPr>
      <w:spacing w:after="120"/>
      <w:ind w:left="566"/>
    </w:pPr>
  </w:style>
  <w:style w:type="paragraph" w:styleId="ListContinue3">
    <w:name w:val="List Continue 3"/>
    <w:basedOn w:val="Normal"/>
    <w:semiHidden/>
    <w:rsid w:val="00F47478"/>
    <w:pPr>
      <w:spacing w:after="120"/>
      <w:ind w:left="849"/>
    </w:pPr>
  </w:style>
  <w:style w:type="paragraph" w:styleId="ListContinue4">
    <w:name w:val="List Continue 4"/>
    <w:basedOn w:val="Normal"/>
    <w:semiHidden/>
    <w:rsid w:val="00F47478"/>
    <w:pPr>
      <w:spacing w:after="120"/>
      <w:ind w:left="1132"/>
    </w:pPr>
  </w:style>
  <w:style w:type="paragraph" w:styleId="ListContinue5">
    <w:name w:val="List Continue 5"/>
    <w:basedOn w:val="Normal"/>
    <w:semiHidden/>
    <w:rsid w:val="00F47478"/>
    <w:pPr>
      <w:spacing w:after="120"/>
      <w:ind w:left="1415"/>
    </w:pPr>
  </w:style>
  <w:style w:type="paragraph" w:styleId="ListNumber">
    <w:name w:val="List Number"/>
    <w:basedOn w:val="Normal"/>
    <w:semiHidden/>
    <w:rsid w:val="00F47478"/>
    <w:pPr>
      <w:numPr>
        <w:numId w:val="15"/>
      </w:numPr>
    </w:pPr>
  </w:style>
  <w:style w:type="paragraph" w:styleId="ListNumber2">
    <w:name w:val="List Number 2"/>
    <w:basedOn w:val="Normal"/>
    <w:semiHidden/>
    <w:rsid w:val="00F47478"/>
    <w:pPr>
      <w:numPr>
        <w:numId w:val="16"/>
      </w:numPr>
    </w:pPr>
  </w:style>
  <w:style w:type="paragraph" w:styleId="ListNumber3">
    <w:name w:val="List Number 3"/>
    <w:basedOn w:val="Normal"/>
    <w:semiHidden/>
    <w:rsid w:val="00F47478"/>
    <w:pPr>
      <w:numPr>
        <w:numId w:val="17"/>
      </w:numPr>
    </w:pPr>
  </w:style>
  <w:style w:type="paragraph" w:styleId="ListNumber4">
    <w:name w:val="List Number 4"/>
    <w:basedOn w:val="Normal"/>
    <w:semiHidden/>
    <w:rsid w:val="00F47478"/>
    <w:pPr>
      <w:numPr>
        <w:numId w:val="18"/>
      </w:numPr>
    </w:pPr>
  </w:style>
  <w:style w:type="paragraph" w:styleId="ListNumber5">
    <w:name w:val="List Number 5"/>
    <w:basedOn w:val="Normal"/>
    <w:semiHidden/>
    <w:rsid w:val="00F47478"/>
    <w:pPr>
      <w:numPr>
        <w:numId w:val="19"/>
      </w:numPr>
    </w:pPr>
  </w:style>
  <w:style w:type="paragraph" w:styleId="MacroText">
    <w:name w:val="macro"/>
    <w:semiHidden/>
    <w:rsid w:val="00F47478"/>
    <w:pPr>
      <w:tabs>
        <w:tab w:val="left" w:pos="480"/>
        <w:tab w:val="left" w:pos="960"/>
        <w:tab w:val="left" w:pos="1440"/>
        <w:tab w:val="left" w:pos="1920"/>
        <w:tab w:val="left" w:pos="2400"/>
        <w:tab w:val="left" w:pos="2880"/>
        <w:tab w:val="left" w:pos="3360"/>
        <w:tab w:val="left" w:pos="3840"/>
        <w:tab w:val="left" w:pos="4320"/>
      </w:tabs>
      <w:spacing w:before="60" w:after="60"/>
    </w:pPr>
    <w:rPr>
      <w:rFonts w:ascii="Courier New" w:hAnsi="Courier New" w:cs="Courier New"/>
      <w:iCs/>
      <w:lang w:val="en-NZ" w:eastAsia="en-US"/>
    </w:rPr>
  </w:style>
  <w:style w:type="paragraph" w:styleId="MessageHeader">
    <w:name w:val="Message Header"/>
    <w:basedOn w:val="Normal"/>
    <w:semiHidden/>
    <w:rsid w:val="00F47478"/>
    <w:pPr>
      <w:pBdr>
        <w:top w:val="single" w:sz="6" w:space="1" w:color="auto"/>
        <w:left w:val="single" w:sz="6" w:space="1" w:color="auto"/>
        <w:bottom w:val="single" w:sz="6" w:space="1" w:color="auto"/>
        <w:right w:val="single" w:sz="6" w:space="1" w:color="auto"/>
      </w:pBdr>
      <w:shd w:val="pct20" w:color="auto" w:fill="auto"/>
      <w:ind w:left="1134" w:hanging="1134"/>
    </w:pPr>
    <w:rPr>
      <w:rFonts w:cs="Arial"/>
      <w:sz w:val="24"/>
      <w:szCs w:val="24"/>
    </w:rPr>
  </w:style>
  <w:style w:type="paragraph" w:styleId="NormalWeb">
    <w:name w:val="Normal (Web)"/>
    <w:basedOn w:val="Normal"/>
    <w:uiPriority w:val="99"/>
    <w:rsid w:val="00F47478"/>
    <w:rPr>
      <w:rFonts w:ascii="Times New Roman" w:hAnsi="Times New Roman"/>
      <w:sz w:val="24"/>
      <w:szCs w:val="24"/>
    </w:rPr>
  </w:style>
  <w:style w:type="paragraph" w:styleId="NormalIndent">
    <w:name w:val="Normal Indent"/>
    <w:basedOn w:val="Normal"/>
    <w:semiHidden/>
    <w:rsid w:val="00F47478"/>
    <w:pPr>
      <w:ind w:left="720"/>
    </w:pPr>
  </w:style>
  <w:style w:type="paragraph" w:styleId="NoteHeading">
    <w:name w:val="Note Heading"/>
    <w:basedOn w:val="Normal"/>
    <w:next w:val="Normal"/>
    <w:semiHidden/>
    <w:rsid w:val="00F47478"/>
  </w:style>
  <w:style w:type="paragraph" w:styleId="PlainText">
    <w:name w:val="Plain Text"/>
    <w:basedOn w:val="Normal"/>
    <w:semiHidden/>
    <w:rsid w:val="00F47478"/>
    <w:rPr>
      <w:rFonts w:ascii="Courier New" w:hAnsi="Courier New" w:cs="Courier New"/>
    </w:rPr>
  </w:style>
  <w:style w:type="paragraph" w:styleId="Salutation">
    <w:name w:val="Salutation"/>
    <w:basedOn w:val="Normal"/>
    <w:next w:val="Normal"/>
    <w:semiHidden/>
    <w:rsid w:val="00F47478"/>
  </w:style>
  <w:style w:type="paragraph" w:styleId="Signature">
    <w:name w:val="Signature"/>
    <w:basedOn w:val="Normal"/>
    <w:semiHidden/>
    <w:rsid w:val="00F47478"/>
    <w:pPr>
      <w:ind w:left="4252"/>
    </w:pPr>
  </w:style>
  <w:style w:type="character" w:styleId="Strong">
    <w:name w:val="Strong"/>
    <w:qFormat/>
    <w:rsid w:val="00F47478"/>
    <w:rPr>
      <w:rFonts w:ascii="Verdana" w:hAnsi="Verdana"/>
      <w:b/>
      <w:bCs/>
      <w:iCs/>
      <w:sz w:val="18"/>
      <w:lang w:val="en-NZ" w:eastAsia="en-US" w:bidi="ar-SA"/>
    </w:rPr>
  </w:style>
  <w:style w:type="paragraph" w:styleId="Subtitle">
    <w:name w:val="Subtitle"/>
    <w:basedOn w:val="Normal"/>
    <w:qFormat/>
    <w:rsid w:val="00F47478"/>
    <w:pPr>
      <w:jc w:val="center"/>
      <w:outlineLvl w:val="1"/>
    </w:pPr>
    <w:rPr>
      <w:rFonts w:cs="Arial"/>
      <w:sz w:val="24"/>
      <w:szCs w:val="24"/>
    </w:rPr>
  </w:style>
  <w:style w:type="table" w:styleId="Table3Deffects1">
    <w:name w:val="Table 3D effects 1"/>
    <w:basedOn w:val="TableNormal"/>
    <w:semiHidden/>
    <w:rsid w:val="00F47478"/>
    <w:pPr>
      <w:spacing w:before="60" w:after="60"/>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F47478"/>
    <w:pPr>
      <w:spacing w:before="60" w:after="60"/>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F47478"/>
    <w:pPr>
      <w:spacing w:before="60" w:after="60"/>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F47478"/>
    <w:pPr>
      <w:spacing w:before="60" w:after="6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F47478"/>
    <w:pPr>
      <w:spacing w:before="60" w:after="60"/>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F47478"/>
    <w:pPr>
      <w:spacing w:before="60" w:after="60"/>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F47478"/>
    <w:pPr>
      <w:spacing w:before="60" w:after="60"/>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F47478"/>
    <w:pPr>
      <w:spacing w:before="60" w:after="60"/>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F47478"/>
    <w:pPr>
      <w:spacing w:before="60" w:after="60"/>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F47478"/>
    <w:pPr>
      <w:spacing w:before="60" w:after="60"/>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F47478"/>
    <w:pPr>
      <w:spacing w:before="60" w:after="60"/>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F47478"/>
    <w:pPr>
      <w:spacing w:before="60" w:after="60"/>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F47478"/>
    <w:pPr>
      <w:spacing w:before="60" w:after="60"/>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F47478"/>
    <w:pPr>
      <w:spacing w:before="60" w:after="60"/>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F47478"/>
    <w:pPr>
      <w:spacing w:before="60" w:after="60"/>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F47478"/>
    <w:pPr>
      <w:spacing w:before="60" w:after="60"/>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F47478"/>
    <w:pPr>
      <w:spacing w:before="60" w:after="6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aliases w:val="Deloitte,Table Definitions Grid"/>
    <w:basedOn w:val="TableNormal"/>
    <w:uiPriority w:val="59"/>
    <w:rsid w:val="00F47478"/>
    <w:pPr>
      <w:spacing w:before="60" w:after="60"/>
    </w:pPr>
    <w:rPr>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F47478"/>
    <w:pPr>
      <w:spacing w:before="60" w:after="6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F47478"/>
    <w:pPr>
      <w:spacing w:before="60" w:after="60"/>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F47478"/>
    <w:pPr>
      <w:spacing w:before="60" w:after="60"/>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F47478"/>
    <w:pPr>
      <w:spacing w:before="60" w:after="60"/>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F47478"/>
    <w:pPr>
      <w:spacing w:before="60" w:after="6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F47478"/>
    <w:pPr>
      <w:spacing w:before="60" w:after="60"/>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F47478"/>
    <w:pPr>
      <w:spacing w:before="60" w:after="60"/>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F47478"/>
    <w:pPr>
      <w:spacing w:before="60" w:after="60"/>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F47478"/>
    <w:pPr>
      <w:spacing w:before="60" w:after="60"/>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F47478"/>
    <w:pPr>
      <w:spacing w:before="60" w:after="60"/>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F47478"/>
    <w:pPr>
      <w:spacing w:before="60" w:after="60"/>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F47478"/>
    <w:pPr>
      <w:spacing w:before="60" w:after="60"/>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F47478"/>
    <w:pPr>
      <w:spacing w:before="60" w:after="60"/>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F47478"/>
    <w:pPr>
      <w:spacing w:before="60" w:after="60"/>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F47478"/>
    <w:pPr>
      <w:spacing w:before="60" w:after="60"/>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F47478"/>
    <w:pPr>
      <w:spacing w:before="60" w:after="60"/>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semiHidden/>
    <w:rsid w:val="00F47478"/>
    <w:pPr>
      <w:ind w:left="200" w:hanging="200"/>
    </w:pPr>
  </w:style>
  <w:style w:type="paragraph" w:styleId="TableofFigures">
    <w:name w:val="table of figures"/>
    <w:basedOn w:val="Normal"/>
    <w:next w:val="Normal"/>
    <w:uiPriority w:val="99"/>
    <w:rsid w:val="006107DD"/>
    <w:pPr>
      <w:tabs>
        <w:tab w:val="right" w:leader="dot" w:pos="9639"/>
      </w:tabs>
      <w:spacing w:before="60" w:after="60"/>
    </w:pPr>
  </w:style>
  <w:style w:type="table" w:styleId="TableProfessional">
    <w:name w:val="Table Professional"/>
    <w:basedOn w:val="TableNormal"/>
    <w:semiHidden/>
    <w:rsid w:val="00F47478"/>
    <w:pPr>
      <w:spacing w:before="60" w:after="6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F47478"/>
    <w:pPr>
      <w:spacing w:before="60" w:after="60"/>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F47478"/>
    <w:pPr>
      <w:spacing w:before="60" w:after="60"/>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F47478"/>
    <w:pPr>
      <w:spacing w:before="60" w:after="60"/>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F47478"/>
    <w:pPr>
      <w:spacing w:before="60" w:after="60"/>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F47478"/>
    <w:pPr>
      <w:spacing w:before="60" w:after="60"/>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F47478"/>
    <w:pPr>
      <w:spacing w:before="60" w:after="6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F47478"/>
    <w:pPr>
      <w:spacing w:before="60" w:after="60"/>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F47478"/>
    <w:pPr>
      <w:spacing w:before="60" w:after="60"/>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F47478"/>
    <w:pPr>
      <w:spacing w:before="60" w:after="60"/>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qFormat/>
    <w:rsid w:val="00F47478"/>
    <w:pPr>
      <w:spacing w:before="1400"/>
      <w:jc w:val="center"/>
    </w:pPr>
    <w:rPr>
      <w:b/>
      <w:iCs/>
      <w:sz w:val="44"/>
      <w:lang w:val="en-NZ" w:eastAsia="en-US"/>
    </w:rPr>
  </w:style>
  <w:style w:type="paragraph" w:styleId="TOAHeading">
    <w:name w:val="toa heading"/>
    <w:basedOn w:val="Normal"/>
    <w:next w:val="Normal"/>
    <w:semiHidden/>
    <w:rsid w:val="00F47478"/>
    <w:pPr>
      <w:spacing w:before="120"/>
    </w:pPr>
    <w:rPr>
      <w:rFonts w:cs="Arial"/>
      <w:b/>
      <w:bCs/>
      <w:sz w:val="24"/>
      <w:szCs w:val="24"/>
    </w:rPr>
  </w:style>
  <w:style w:type="paragraph" w:customStyle="1" w:styleId="TableBullet">
    <w:name w:val="Table Bullet"/>
    <w:aliases w:val="tbu"/>
    <w:basedOn w:val="TableText"/>
    <w:link w:val="TableBulletChar"/>
    <w:rsid w:val="00F47478"/>
    <w:pPr>
      <w:numPr>
        <w:numId w:val="25"/>
      </w:numPr>
      <w:tabs>
        <w:tab w:val="clear" w:pos="284"/>
        <w:tab w:val="num" w:pos="360"/>
      </w:tabs>
      <w:spacing w:before="40" w:after="40"/>
      <w:ind w:left="0" w:firstLine="0"/>
    </w:pPr>
  </w:style>
  <w:style w:type="paragraph" w:customStyle="1" w:styleId="HeaderLandscape">
    <w:name w:val="Header Landscape"/>
    <w:rsid w:val="00F47478"/>
    <w:pPr>
      <w:tabs>
        <w:tab w:val="center" w:pos="6946"/>
        <w:tab w:val="right" w:pos="13892"/>
      </w:tabs>
      <w:spacing w:after="240"/>
    </w:pPr>
    <w:rPr>
      <w:rFonts w:ascii="Verdana" w:hAnsi="Verdana"/>
      <w:b/>
      <w:iCs/>
      <w:sz w:val="18"/>
      <w:lang w:val="en-NZ" w:eastAsia="en-US"/>
    </w:rPr>
  </w:style>
  <w:style w:type="paragraph" w:customStyle="1" w:styleId="Bullet">
    <w:name w:val="Bullet"/>
    <w:aliases w:val="b1"/>
    <w:rsid w:val="00F47478"/>
    <w:pPr>
      <w:numPr>
        <w:numId w:val="26"/>
      </w:numPr>
      <w:spacing w:before="40" w:after="40"/>
    </w:pPr>
    <w:rPr>
      <w:rFonts w:ascii="Verdana" w:hAnsi="Verdana"/>
      <w:iCs/>
      <w:sz w:val="18"/>
      <w:lang w:val="en-NZ" w:eastAsia="en-US"/>
    </w:rPr>
  </w:style>
  <w:style w:type="paragraph" w:customStyle="1" w:styleId="NumberList">
    <w:name w:val="Number List"/>
    <w:rsid w:val="00F47478"/>
    <w:pPr>
      <w:numPr>
        <w:numId w:val="20"/>
      </w:numPr>
      <w:spacing w:before="40" w:after="40"/>
    </w:pPr>
    <w:rPr>
      <w:rFonts w:ascii="Verdana" w:hAnsi="Verdana"/>
      <w:iCs/>
      <w:sz w:val="18"/>
      <w:lang w:val="en-GB" w:eastAsia="en-US"/>
    </w:rPr>
  </w:style>
  <w:style w:type="paragraph" w:customStyle="1" w:styleId="TableNumber">
    <w:name w:val="Table Number"/>
    <w:basedOn w:val="TableText"/>
    <w:rsid w:val="00F47478"/>
    <w:pPr>
      <w:numPr>
        <w:numId w:val="28"/>
      </w:numPr>
      <w:spacing w:before="40" w:after="40"/>
    </w:pPr>
  </w:style>
  <w:style w:type="paragraph" w:customStyle="1" w:styleId="About3">
    <w:name w:val="About3"/>
    <w:basedOn w:val="Heading3"/>
    <w:next w:val="BodyText"/>
    <w:rsid w:val="00F47478"/>
  </w:style>
  <w:style w:type="paragraph" w:customStyle="1" w:styleId="TableofContents">
    <w:name w:val="Table of Contents"/>
    <w:basedOn w:val="Heading1"/>
    <w:next w:val="BodyText"/>
    <w:rsid w:val="00F47478"/>
    <w:pPr>
      <w:numPr>
        <w:numId w:val="0"/>
      </w:numPr>
      <w:spacing w:after="180"/>
    </w:pPr>
  </w:style>
  <w:style w:type="paragraph" w:customStyle="1" w:styleId="BodyTextbeforetable">
    <w:name w:val="Body Text before table"/>
    <w:basedOn w:val="BodyText"/>
    <w:next w:val="BodyText"/>
    <w:link w:val="BodyTextbeforetableChar"/>
    <w:rsid w:val="00F47478"/>
    <w:pPr>
      <w:spacing w:after="180"/>
    </w:pPr>
    <w:rPr>
      <w:lang w:val="en-NZ"/>
    </w:rPr>
  </w:style>
  <w:style w:type="paragraph" w:customStyle="1" w:styleId="AppendixHeader2">
    <w:name w:val="Appendix Header 2"/>
    <w:basedOn w:val="Heading2"/>
    <w:next w:val="BodyText"/>
    <w:rsid w:val="00F47478"/>
    <w:pPr>
      <w:numPr>
        <w:numId w:val="24"/>
      </w:numPr>
    </w:pPr>
    <w:rPr>
      <w:lang w:val="en-NZ"/>
    </w:rPr>
  </w:style>
  <w:style w:type="paragraph" w:customStyle="1" w:styleId="AppendixHeader3">
    <w:name w:val="Appendix Header 3"/>
    <w:basedOn w:val="AppendixHeader2"/>
    <w:next w:val="BodyText"/>
    <w:rsid w:val="00F47478"/>
    <w:pPr>
      <w:numPr>
        <w:ilvl w:val="2"/>
      </w:numPr>
      <w:outlineLvl w:val="2"/>
    </w:pPr>
    <w:rPr>
      <w:sz w:val="24"/>
    </w:rPr>
  </w:style>
  <w:style w:type="paragraph" w:customStyle="1" w:styleId="AppendixHeader1">
    <w:name w:val="Appendix Header 1"/>
    <w:basedOn w:val="Heading1"/>
    <w:next w:val="BodyText"/>
    <w:rsid w:val="00F47478"/>
    <w:pPr>
      <w:numPr>
        <w:numId w:val="24"/>
      </w:numPr>
    </w:pPr>
  </w:style>
  <w:style w:type="paragraph" w:customStyle="1" w:styleId="TableCommands">
    <w:name w:val="Table Commands"/>
    <w:basedOn w:val="Commands"/>
    <w:rsid w:val="00F47478"/>
    <w:pPr>
      <w:ind w:left="641"/>
    </w:pPr>
    <w:rPr>
      <w:lang w:val="en-NZ"/>
    </w:rPr>
  </w:style>
  <w:style w:type="paragraph" w:customStyle="1" w:styleId="NumberListSecondLevel">
    <w:name w:val="Number List Second Level"/>
    <w:rsid w:val="00F47478"/>
    <w:pPr>
      <w:numPr>
        <w:numId w:val="27"/>
      </w:numPr>
      <w:spacing w:before="20" w:after="20"/>
    </w:pPr>
    <w:rPr>
      <w:rFonts w:ascii="Verdana" w:hAnsi="Verdana"/>
      <w:iCs/>
      <w:sz w:val="18"/>
      <w:lang w:val="en-GB" w:eastAsia="en-US"/>
    </w:rPr>
  </w:style>
  <w:style w:type="character" w:customStyle="1" w:styleId="Heading3Char1">
    <w:name w:val="Heading 3 Char1"/>
    <w:aliases w:val="Heading 3 Char Char"/>
    <w:link w:val="Heading3"/>
    <w:uiPriority w:val="9"/>
    <w:rsid w:val="00E062A4"/>
    <w:rPr>
      <w:b/>
      <w:iCs/>
      <w:color w:val="000000"/>
      <w:sz w:val="24"/>
      <w:lang w:val="en-NZ" w:eastAsia="en-US"/>
    </w:rPr>
  </w:style>
  <w:style w:type="paragraph" w:customStyle="1" w:styleId="BulletSecondLevel">
    <w:name w:val="Bullet Second Level"/>
    <w:basedOn w:val="Bullet"/>
    <w:rsid w:val="00F47478"/>
    <w:pPr>
      <w:numPr>
        <w:numId w:val="22"/>
      </w:numPr>
      <w:spacing w:before="20" w:after="20"/>
    </w:pPr>
    <w:rPr>
      <w:rFonts w:cs="Arial"/>
      <w:szCs w:val="24"/>
    </w:rPr>
  </w:style>
  <w:style w:type="paragraph" w:customStyle="1" w:styleId="TableBulletSecondLevel">
    <w:name w:val="Table Bullet Second Level"/>
    <w:basedOn w:val="TableBullet"/>
    <w:rsid w:val="00F47478"/>
    <w:pPr>
      <w:numPr>
        <w:numId w:val="23"/>
      </w:numPr>
      <w:tabs>
        <w:tab w:val="clear" w:pos="567"/>
        <w:tab w:val="num" w:pos="360"/>
      </w:tabs>
      <w:spacing w:before="20" w:after="20"/>
      <w:ind w:left="568" w:hanging="284"/>
    </w:pPr>
  </w:style>
  <w:style w:type="paragraph" w:customStyle="1" w:styleId="BodyTextBold">
    <w:name w:val="Body Text + Bold"/>
    <w:basedOn w:val="BodyText"/>
    <w:semiHidden/>
    <w:rsid w:val="00F47478"/>
    <w:pPr>
      <w:keepLines/>
      <w:ind w:left="0"/>
      <w:jc w:val="both"/>
    </w:pPr>
    <w:rPr>
      <w:b/>
      <w:iCs w:val="0"/>
      <w:sz w:val="22"/>
    </w:rPr>
  </w:style>
  <w:style w:type="character" w:customStyle="1" w:styleId="TableHeadingChar">
    <w:name w:val="Table Heading Char"/>
    <w:link w:val="TableHeading"/>
    <w:rsid w:val="00F47478"/>
    <w:rPr>
      <w:rFonts w:ascii="Arial" w:hAnsi="Arial"/>
      <w:b/>
      <w:iCs/>
      <w:sz w:val="18"/>
      <w:lang w:val="en-NZ" w:eastAsia="en-US" w:bidi="ar-SA"/>
    </w:rPr>
  </w:style>
  <w:style w:type="character" w:customStyle="1" w:styleId="Emphasise">
    <w:name w:val="Emphasise"/>
    <w:rsid w:val="00F47478"/>
    <w:rPr>
      <w:rFonts w:ascii="Arial" w:hAnsi="Arial"/>
      <w:b/>
      <w:iCs/>
      <w:sz w:val="18"/>
      <w:szCs w:val="18"/>
      <w:effect w:val="none"/>
      <w:lang w:val="en-NZ" w:eastAsia="en-US" w:bidi="ar-SA"/>
    </w:rPr>
  </w:style>
  <w:style w:type="paragraph" w:customStyle="1" w:styleId="TableNumberSecondLevel">
    <w:name w:val="Table Number Second Level"/>
    <w:basedOn w:val="TableBulletSecondLevel"/>
    <w:rsid w:val="00F47478"/>
    <w:pPr>
      <w:numPr>
        <w:numId w:val="21"/>
      </w:numPr>
    </w:pPr>
  </w:style>
  <w:style w:type="character" w:customStyle="1" w:styleId="Heading3CharCharChar">
    <w:name w:val="Heading 3 Char Char Char"/>
    <w:rsid w:val="00FB2B5A"/>
    <w:rPr>
      <w:bCs/>
      <w:i/>
      <w:color w:val="auto"/>
      <w:sz w:val="20"/>
      <w:lang w:val="en-AU"/>
    </w:rPr>
  </w:style>
  <w:style w:type="paragraph" w:customStyle="1" w:styleId="CarattereCarattereCharCharChar">
    <w:name w:val="Carattere Carattere Char Char Char"/>
    <w:basedOn w:val="Normal"/>
    <w:rsid w:val="00F47478"/>
    <w:pPr>
      <w:spacing w:after="160" w:line="240" w:lineRule="exact"/>
    </w:pPr>
    <w:rPr>
      <w:rFonts w:ascii="Verdana" w:hAnsi="Verdana"/>
    </w:rPr>
  </w:style>
  <w:style w:type="character" w:customStyle="1" w:styleId="HeaderChar">
    <w:name w:val="Header Char"/>
    <w:link w:val="Header"/>
    <w:uiPriority w:val="99"/>
    <w:rsid w:val="0032583C"/>
    <w:rPr>
      <w:rFonts w:ascii="Verdana" w:hAnsi="Verdana"/>
      <w:b/>
      <w:iCs/>
      <w:sz w:val="18"/>
      <w:lang w:val="en-NZ" w:eastAsia="en-US" w:bidi="ar-SA"/>
    </w:rPr>
  </w:style>
  <w:style w:type="character" w:customStyle="1" w:styleId="FooterChar">
    <w:name w:val="Footer Char"/>
    <w:link w:val="Footer"/>
    <w:uiPriority w:val="99"/>
    <w:rsid w:val="006A462F"/>
    <w:rPr>
      <w:rFonts w:ascii="Verdana" w:hAnsi="Verdana"/>
      <w:iCs/>
      <w:sz w:val="16"/>
      <w:lang w:val="en-NZ" w:eastAsia="en-US" w:bidi="ar-SA"/>
    </w:rPr>
  </w:style>
  <w:style w:type="character" w:customStyle="1" w:styleId="Heading2Char">
    <w:name w:val="Heading 2 Char"/>
    <w:link w:val="Heading2"/>
    <w:uiPriority w:val="9"/>
    <w:rsid w:val="00CF2212"/>
    <w:rPr>
      <w:rFonts w:cs="Arial"/>
      <w:b/>
      <w:iCs/>
      <w:lang w:val="en-GB" w:eastAsia="en-US"/>
    </w:rPr>
  </w:style>
  <w:style w:type="character" w:customStyle="1" w:styleId="SubheadingChar">
    <w:name w:val="Subheading Char"/>
    <w:basedOn w:val="Heading2Char"/>
    <w:link w:val="Subheading"/>
    <w:rsid w:val="003B4F33"/>
    <w:rPr>
      <w:rFonts w:ascii="Arial" w:hAnsi="Arial" w:cs="Arial"/>
      <w:b/>
      <w:iCs/>
      <w:sz w:val="28"/>
      <w:lang w:val="en-GB" w:eastAsia="en-US"/>
    </w:rPr>
  </w:style>
  <w:style w:type="paragraph" w:customStyle="1" w:styleId="XPRODiNormal">
    <w:name w:val="XPRODi Normal"/>
    <w:rsid w:val="008639A6"/>
    <w:rPr>
      <w:rFonts w:ascii="Tahoma" w:hAnsi="Tahoma"/>
      <w:sz w:val="22"/>
      <w:lang w:val="en-NZ" w:eastAsia="en-US"/>
    </w:rPr>
  </w:style>
  <w:style w:type="paragraph" w:customStyle="1" w:styleId="TableHeaderText">
    <w:name w:val="Table Header Text"/>
    <w:basedOn w:val="XPRODiNormal"/>
    <w:rsid w:val="00373741"/>
    <w:pPr>
      <w:ind w:left="60" w:right="60"/>
      <w:jc w:val="center"/>
    </w:pPr>
    <w:rPr>
      <w:b/>
    </w:rPr>
  </w:style>
  <w:style w:type="paragraph" w:customStyle="1" w:styleId="Default">
    <w:name w:val="Default"/>
    <w:rsid w:val="00E6277D"/>
    <w:pPr>
      <w:autoSpaceDE w:val="0"/>
      <w:autoSpaceDN w:val="0"/>
      <w:adjustRightInd w:val="0"/>
    </w:pPr>
    <w:rPr>
      <w:rFonts w:ascii="Futura Medium" w:hAnsi="Futura Medium" w:cs="Futura Medium"/>
      <w:color w:val="000000"/>
      <w:sz w:val="24"/>
      <w:szCs w:val="24"/>
      <w:lang w:val="en-NZ" w:eastAsia="en-NZ"/>
    </w:rPr>
  </w:style>
  <w:style w:type="paragraph" w:customStyle="1" w:styleId="SP8323597">
    <w:name w:val="SP.8.323597"/>
    <w:basedOn w:val="Default"/>
    <w:next w:val="Default"/>
    <w:uiPriority w:val="99"/>
    <w:rsid w:val="00175350"/>
    <w:rPr>
      <w:rFonts w:ascii="PJIBE B+ Courier" w:hAnsi="PJIBE B+ Courier" w:cs="Times New Roman"/>
      <w:color w:val="auto"/>
    </w:rPr>
  </w:style>
  <w:style w:type="character" w:customStyle="1" w:styleId="SC8241699">
    <w:name w:val="SC.8.241699"/>
    <w:uiPriority w:val="99"/>
    <w:rsid w:val="00175350"/>
    <w:rPr>
      <w:rFonts w:cs="PJIBE B+ Courier"/>
      <w:color w:val="000000"/>
      <w:sz w:val="20"/>
      <w:szCs w:val="20"/>
    </w:rPr>
  </w:style>
  <w:style w:type="paragraph" w:customStyle="1" w:styleId="SP8323595">
    <w:name w:val="SP.8.323595"/>
    <w:basedOn w:val="Default"/>
    <w:next w:val="Default"/>
    <w:uiPriority w:val="99"/>
    <w:rsid w:val="00C93D3F"/>
    <w:rPr>
      <w:rFonts w:ascii="Futura Md" w:hAnsi="Futura Md" w:cs="Times New Roman"/>
      <w:color w:val="auto"/>
    </w:rPr>
  </w:style>
  <w:style w:type="character" w:customStyle="1" w:styleId="SC8241712">
    <w:name w:val="SC.8.241712"/>
    <w:uiPriority w:val="99"/>
    <w:rsid w:val="00C93D3F"/>
    <w:rPr>
      <w:rFonts w:cs="Futura Md"/>
      <w:b/>
      <w:bCs/>
      <w:color w:val="003299"/>
      <w:sz w:val="18"/>
      <w:szCs w:val="18"/>
    </w:rPr>
  </w:style>
  <w:style w:type="paragraph" w:customStyle="1" w:styleId="SP8323610">
    <w:name w:val="SP.8.323610"/>
    <w:basedOn w:val="Default"/>
    <w:next w:val="Default"/>
    <w:uiPriority w:val="99"/>
    <w:rsid w:val="00C93D3F"/>
    <w:rPr>
      <w:rFonts w:ascii="Futura Md" w:hAnsi="Futura Md" w:cs="Times New Roman"/>
      <w:color w:val="auto"/>
    </w:rPr>
  </w:style>
  <w:style w:type="paragraph" w:customStyle="1" w:styleId="Body">
    <w:name w:val="Body"/>
    <w:aliases w:val="b,b Char Char,b Char Char Char Char Char Char Char Char"/>
    <w:link w:val="BodyChar"/>
    <w:rsid w:val="00203697"/>
    <w:pPr>
      <w:spacing w:before="60" w:after="120" w:line="220" w:lineRule="atLeast"/>
    </w:pPr>
    <w:rPr>
      <w:sz w:val="16"/>
      <w:lang w:eastAsia="en-US"/>
    </w:rPr>
  </w:style>
  <w:style w:type="character" w:customStyle="1" w:styleId="BodyChar">
    <w:name w:val="Body Char"/>
    <w:aliases w:val="b Char,b Char Char Char,b Char Char Char Char Char Char Char Char Char"/>
    <w:link w:val="Body"/>
    <w:rsid w:val="00203697"/>
    <w:rPr>
      <w:rFonts w:ascii="Arial" w:hAnsi="Arial"/>
      <w:sz w:val="16"/>
      <w:lang w:val="en-AU" w:eastAsia="en-US" w:bidi="ar-SA"/>
    </w:rPr>
  </w:style>
  <w:style w:type="character" w:customStyle="1" w:styleId="TableBulletChar">
    <w:name w:val="Table Bullet Char"/>
    <w:aliases w:val="tbu Char"/>
    <w:link w:val="TableBullet"/>
    <w:rsid w:val="00203697"/>
    <w:rPr>
      <w:rFonts w:ascii="Verdana" w:hAnsi="Verdana"/>
      <w:iCs/>
      <w:sz w:val="17"/>
      <w:lang w:val="en-NZ"/>
    </w:rPr>
  </w:style>
  <w:style w:type="paragraph" w:customStyle="1" w:styleId="TableBody">
    <w:name w:val="Table Body"/>
    <w:aliases w:val="tb"/>
    <w:basedOn w:val="Body"/>
    <w:link w:val="TableBodyChar"/>
    <w:rsid w:val="00203697"/>
    <w:pPr>
      <w:spacing w:before="120" w:after="60" w:line="240" w:lineRule="auto"/>
    </w:pPr>
    <w:rPr>
      <w:snapToGrid w:val="0"/>
      <w:sz w:val="14"/>
      <w:lang w:val="en-US"/>
    </w:rPr>
  </w:style>
  <w:style w:type="character" w:customStyle="1" w:styleId="TableBodyChar">
    <w:name w:val="Table Body Char"/>
    <w:aliases w:val="tb Char"/>
    <w:link w:val="TableBody"/>
    <w:rsid w:val="00203697"/>
    <w:rPr>
      <w:rFonts w:ascii="Arial" w:hAnsi="Arial"/>
      <w:snapToGrid w:val="0"/>
      <w:sz w:val="14"/>
      <w:lang w:val="en-US" w:eastAsia="en-US" w:bidi="ar-SA"/>
    </w:rPr>
  </w:style>
  <w:style w:type="paragraph" w:styleId="TOCHeading">
    <w:name w:val="TOC Heading"/>
    <w:basedOn w:val="Heading1"/>
    <w:next w:val="Normal"/>
    <w:uiPriority w:val="39"/>
    <w:qFormat/>
    <w:rsid w:val="00203697"/>
    <w:pPr>
      <w:keepNext/>
      <w:pageBreakBefore w:val="0"/>
      <w:numPr>
        <w:numId w:val="0"/>
      </w:numPr>
      <w:spacing w:before="480" w:after="0" w:line="276" w:lineRule="auto"/>
      <w:outlineLvl w:val="9"/>
    </w:pPr>
    <w:rPr>
      <w:rFonts w:ascii="Cambria" w:hAnsi="Cambria"/>
      <w:bCs/>
      <w:iCs w:val="0"/>
      <w:color w:val="365F91"/>
      <w:szCs w:val="28"/>
      <w:lang w:val="en-US"/>
    </w:rPr>
  </w:style>
  <w:style w:type="paragraph" w:styleId="ListParagraph">
    <w:name w:val="List Paragraph"/>
    <w:basedOn w:val="Normal"/>
    <w:link w:val="ListParagraphChar"/>
    <w:uiPriority w:val="34"/>
    <w:qFormat/>
    <w:rsid w:val="00203697"/>
    <w:pPr>
      <w:ind w:left="720"/>
    </w:pPr>
    <w:rPr>
      <w:rFonts w:ascii="Times New Roman" w:hAnsi="Times New Roman"/>
      <w:iCs/>
      <w:sz w:val="24"/>
      <w:szCs w:val="24"/>
    </w:rPr>
  </w:style>
  <w:style w:type="paragraph" w:customStyle="1" w:styleId="Guidelines">
    <w:name w:val="Guidelines"/>
    <w:basedOn w:val="Normal"/>
    <w:link w:val="GuidelinesChar"/>
    <w:autoRedefine/>
    <w:rsid w:val="00503FDF"/>
    <w:pPr>
      <w:tabs>
        <w:tab w:val="left" w:pos="540"/>
      </w:tabs>
    </w:pPr>
    <w:rPr>
      <w:iCs/>
    </w:rPr>
  </w:style>
  <w:style w:type="character" w:customStyle="1" w:styleId="GuidelinesChar">
    <w:name w:val="Guidelines Char"/>
    <w:link w:val="Guidelines"/>
    <w:rsid w:val="00503FDF"/>
    <w:rPr>
      <w:rFonts w:ascii="Arial" w:hAnsi="Arial"/>
      <w:lang w:val="en-NZ" w:eastAsia="en-GB"/>
    </w:rPr>
  </w:style>
  <w:style w:type="paragraph" w:customStyle="1" w:styleId="BodyText10">
    <w:name w:val="Body Text1"/>
    <w:basedOn w:val="Normal"/>
    <w:link w:val="BodytextChar0"/>
    <w:rsid w:val="001512F8"/>
    <w:pPr>
      <w:tabs>
        <w:tab w:val="left" w:pos="567"/>
      </w:tabs>
      <w:spacing w:after="180" w:line="240" w:lineRule="exact"/>
      <w:ind w:left="567"/>
    </w:pPr>
    <w:rPr>
      <w:rFonts w:cs="Arial"/>
      <w:iCs/>
      <w:color w:val="1C1C1C"/>
    </w:rPr>
  </w:style>
  <w:style w:type="character" w:customStyle="1" w:styleId="BodytextChar0">
    <w:name w:val="Body text Char"/>
    <w:link w:val="BodyText10"/>
    <w:rsid w:val="001512F8"/>
    <w:rPr>
      <w:rFonts w:ascii="Arial" w:hAnsi="Arial" w:cs="Arial"/>
      <w:color w:val="1C1C1C"/>
      <w:lang w:val="en-NZ" w:eastAsia="en-US" w:bidi="ar-SA"/>
    </w:rPr>
  </w:style>
  <w:style w:type="table" w:customStyle="1" w:styleId="Assettablefinancial">
    <w:name w:val="Asset table financial"/>
    <w:basedOn w:val="TableNormal"/>
    <w:rsid w:val="001512F8"/>
    <w:pPr>
      <w:spacing w:before="60" w:after="60" w:line="240" w:lineRule="exact"/>
      <w:jc w:val="right"/>
    </w:pPr>
    <w:rPr>
      <w:sz w:val="16"/>
    </w:rPr>
    <w:tblPr>
      <w:tblInd w:w="675" w:type="dxa"/>
    </w:tblPr>
    <w:tblStylePr w:type="firstRow">
      <w:rPr>
        <w:b/>
      </w:rPr>
      <w:tblPr/>
      <w:tcPr>
        <w:shd w:val="clear" w:color="auto" w:fill="E6E6E6"/>
      </w:tcPr>
    </w:tblStylePr>
    <w:tblStylePr w:type="lastRow">
      <w:tblPr/>
      <w:tcPr>
        <w:tcBorders>
          <w:top w:val="dotted" w:sz="2" w:space="0" w:color="808080"/>
          <w:left w:val="nil"/>
          <w:bottom w:val="dotted" w:sz="2" w:space="0" w:color="808080"/>
          <w:right w:val="nil"/>
          <w:insideH w:val="nil"/>
          <w:insideV w:val="nil"/>
          <w:tl2br w:val="nil"/>
          <w:tr2bl w:val="nil"/>
        </w:tcBorders>
      </w:tcPr>
    </w:tblStylePr>
    <w:tblStylePr w:type="firstCol">
      <w:pPr>
        <w:jc w:val="left"/>
      </w:pPr>
      <w:rPr>
        <w:b/>
      </w:rPr>
      <w:tblPr/>
      <w:tcPr>
        <w:shd w:val="clear" w:color="auto" w:fill="E6E6E6"/>
      </w:tcPr>
    </w:tblStylePr>
  </w:style>
  <w:style w:type="paragraph" w:customStyle="1" w:styleId="Tableheader">
    <w:name w:val="Table header"/>
    <w:basedOn w:val="Normal"/>
    <w:rsid w:val="002372C2"/>
    <w:pPr>
      <w:spacing w:line="240" w:lineRule="exact"/>
    </w:pPr>
    <w:rPr>
      <w:rFonts w:cs="Arial"/>
      <w:b/>
      <w:iCs/>
      <w:color w:val="1C1C1C"/>
      <w:sz w:val="16"/>
    </w:rPr>
  </w:style>
  <w:style w:type="paragraph" w:customStyle="1" w:styleId="Tabletext0">
    <w:name w:val="Table text"/>
    <w:basedOn w:val="Normal"/>
    <w:link w:val="TabletextChar0"/>
    <w:rsid w:val="002372C2"/>
    <w:pPr>
      <w:spacing w:line="240" w:lineRule="exact"/>
    </w:pPr>
    <w:rPr>
      <w:rFonts w:cs="Arial"/>
      <w:iCs/>
      <w:color w:val="1C1C1C"/>
      <w:sz w:val="16"/>
    </w:rPr>
  </w:style>
  <w:style w:type="paragraph" w:customStyle="1" w:styleId="Assetmainsubhead1">
    <w:name w:val="Asset main subhead 1"/>
    <w:autoRedefine/>
    <w:rsid w:val="00775AEC"/>
    <w:pPr>
      <w:spacing w:before="360" w:after="200" w:line="240" w:lineRule="exact"/>
    </w:pPr>
    <w:rPr>
      <w:rFonts w:cs="Arial"/>
      <w:b/>
      <w:color w:val="1C1C1C"/>
      <w:sz w:val="36"/>
      <w:szCs w:val="36"/>
      <w:lang w:eastAsia="en-US"/>
    </w:rPr>
  </w:style>
  <w:style w:type="paragraph" w:customStyle="1" w:styleId="1Text">
    <w:name w:val="1 Text"/>
    <w:basedOn w:val="Normal"/>
    <w:link w:val="1TextChar"/>
    <w:qFormat/>
    <w:rsid w:val="007E6AFD"/>
    <w:pPr>
      <w:spacing w:after="120" w:line="240" w:lineRule="atLeast"/>
    </w:pPr>
  </w:style>
  <w:style w:type="character" w:customStyle="1" w:styleId="1TextChar">
    <w:name w:val="1 Text Char"/>
    <w:link w:val="1Text"/>
    <w:rsid w:val="007E6AFD"/>
    <w:rPr>
      <w:rFonts w:ascii="Arial" w:hAnsi="Arial"/>
      <w:iCs/>
      <w:lang w:eastAsia="en-US" w:bidi="ar-SA"/>
    </w:rPr>
  </w:style>
  <w:style w:type="paragraph" w:customStyle="1" w:styleId="TableHeader0">
    <w:name w:val="Table Header"/>
    <w:rsid w:val="00CF006C"/>
    <w:pPr>
      <w:keepNext/>
      <w:spacing w:before="40" w:after="40"/>
    </w:pPr>
    <w:rPr>
      <w:rFonts w:ascii="Arial Narrow" w:hAnsi="Arial Narrow"/>
      <w:bCs/>
      <w:iCs/>
      <w:lang w:val="en-GB" w:eastAsia="en-GB"/>
    </w:rPr>
  </w:style>
  <w:style w:type="paragraph" w:customStyle="1" w:styleId="StyleArial10ptLeft254cm">
    <w:name w:val="Style Arial 10 pt Left:  2.54 cm"/>
    <w:basedOn w:val="Normal"/>
    <w:rsid w:val="00CF006C"/>
    <w:pPr>
      <w:numPr>
        <w:numId w:val="29"/>
      </w:numPr>
    </w:pPr>
    <w:rPr>
      <w:rFonts w:cs="Arial"/>
      <w:iCs/>
      <w:sz w:val="22"/>
    </w:rPr>
  </w:style>
  <w:style w:type="paragraph" w:customStyle="1" w:styleId="Input-Subject">
    <w:name w:val="Input-Subject"/>
    <w:basedOn w:val="Normal"/>
    <w:next w:val="Normal"/>
    <w:semiHidden/>
    <w:rsid w:val="00CF006C"/>
    <w:pPr>
      <w:pBdr>
        <w:top w:val="single" w:sz="4" w:space="4" w:color="auto"/>
      </w:pBdr>
      <w:tabs>
        <w:tab w:val="left" w:pos="1418"/>
        <w:tab w:val="left" w:pos="5670"/>
        <w:tab w:val="left" w:pos="6521"/>
      </w:tabs>
      <w:spacing w:before="140"/>
      <w:ind w:left="1418" w:hanging="1418"/>
    </w:pPr>
    <w:rPr>
      <w:rFonts w:cs="Arial"/>
      <w:iCs/>
      <w:sz w:val="22"/>
    </w:rPr>
  </w:style>
  <w:style w:type="table" w:customStyle="1" w:styleId="TableGrid10">
    <w:name w:val="Table Grid1"/>
    <w:basedOn w:val="TableNormal"/>
    <w:next w:val="TableGrid"/>
    <w:rsid w:val="00F35E94"/>
    <w:rPr>
      <w:sz w:val="16"/>
    </w:rPr>
    <w:tblPr>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
    <w:tblStylePr w:type="firstRow">
      <w:rPr>
        <w:rFonts w:ascii="LetterGothic" w:hAnsi="LetterGothic"/>
        <w:b/>
        <w:bCs/>
        <w:color w:val="auto"/>
        <w:sz w:val="16"/>
      </w:rPr>
      <w:tblPr/>
      <w:tcPr>
        <w:tcBorders>
          <w:top w:val="single" w:sz="4" w:space="0" w:color="BFBFBF"/>
          <w:left w:val="single" w:sz="4" w:space="0" w:color="BFBFBF"/>
          <w:bottom w:val="single" w:sz="4" w:space="0" w:color="BFBFBF"/>
          <w:right w:val="single" w:sz="4" w:space="0" w:color="BFBFBF"/>
          <w:insideH w:val="single" w:sz="4" w:space="0" w:color="BFBFBF"/>
          <w:insideV w:val="single" w:sz="4" w:space="0" w:color="BFBFBF"/>
          <w:tl2br w:val="nil"/>
          <w:tr2bl w:val="nil"/>
        </w:tcBorders>
        <w:shd w:val="clear" w:color="auto" w:fill="CCCCCC"/>
      </w:tcPr>
    </w:tblStylePr>
  </w:style>
  <w:style w:type="character" w:customStyle="1" w:styleId="TabletextChar0">
    <w:name w:val="Table text Char"/>
    <w:link w:val="Tabletext0"/>
    <w:rsid w:val="00F35E94"/>
    <w:rPr>
      <w:rFonts w:ascii="Arial" w:hAnsi="Arial" w:cs="Arial"/>
      <w:color w:val="1C1C1C"/>
      <w:sz w:val="16"/>
      <w:lang w:val="en-NZ" w:eastAsia="en-US" w:bidi="ar-SA"/>
    </w:rPr>
  </w:style>
  <w:style w:type="paragraph" w:customStyle="1" w:styleId="BodyText11">
    <w:name w:val="Body Text11"/>
    <w:basedOn w:val="Normal"/>
    <w:rsid w:val="00DF1BEC"/>
    <w:pPr>
      <w:tabs>
        <w:tab w:val="left" w:pos="567"/>
      </w:tabs>
      <w:spacing w:after="180" w:line="240" w:lineRule="exact"/>
      <w:ind w:left="567"/>
    </w:pPr>
    <w:rPr>
      <w:rFonts w:cs="Arial"/>
      <w:iCs/>
      <w:color w:val="1C1C1C"/>
    </w:rPr>
  </w:style>
  <w:style w:type="paragraph" w:customStyle="1" w:styleId="BodyText0">
    <w:name w:val="BodyText"/>
    <w:basedOn w:val="Normal"/>
    <w:qFormat/>
    <w:rsid w:val="00CE31C4"/>
    <w:pPr>
      <w:spacing w:after="200"/>
    </w:pPr>
    <w:rPr>
      <w:rFonts w:eastAsia="Arial"/>
      <w:iCs/>
      <w:color w:val="212121"/>
    </w:rPr>
  </w:style>
  <w:style w:type="paragraph" w:customStyle="1" w:styleId="TableListBullet">
    <w:name w:val="TableListBullet"/>
    <w:basedOn w:val="Normal"/>
    <w:qFormat/>
    <w:rsid w:val="00944186"/>
    <w:pPr>
      <w:numPr>
        <w:numId w:val="30"/>
      </w:numPr>
      <w:tabs>
        <w:tab w:val="clear" w:pos="360"/>
        <w:tab w:val="num" w:pos="720"/>
      </w:tabs>
      <w:spacing w:after="120"/>
    </w:pPr>
    <w:rPr>
      <w:rFonts w:eastAsia="Arial" w:cs="Arial"/>
      <w:iCs/>
      <w:color w:val="212121"/>
      <w:szCs w:val="19"/>
    </w:rPr>
  </w:style>
  <w:style w:type="paragraph" w:customStyle="1" w:styleId="AMPbody">
    <w:name w:val="AMPbody"/>
    <w:basedOn w:val="BodyText"/>
    <w:qFormat/>
    <w:rsid w:val="00944186"/>
    <w:pPr>
      <w:spacing w:before="0" w:after="120" w:line="276" w:lineRule="auto"/>
      <w:ind w:left="0"/>
    </w:pPr>
    <w:rPr>
      <w:rFonts w:ascii="Arial" w:eastAsia="Calibri" w:hAnsi="Arial"/>
      <w:iCs w:val="0"/>
      <w:sz w:val="20"/>
      <w:lang w:val="en-NZ"/>
    </w:rPr>
  </w:style>
  <w:style w:type="paragraph" w:customStyle="1" w:styleId="Table">
    <w:name w:val="Table"/>
    <w:basedOn w:val="Normal"/>
    <w:rsid w:val="00944186"/>
    <w:pPr>
      <w:spacing w:before="120" w:after="120"/>
    </w:pPr>
    <w:rPr>
      <w:iCs/>
    </w:rPr>
  </w:style>
  <w:style w:type="table" w:customStyle="1" w:styleId="Table1">
    <w:name w:val="Table1"/>
    <w:basedOn w:val="TableNormal"/>
    <w:uiPriority w:val="99"/>
    <w:rsid w:val="00FD47FC"/>
    <w:pPr>
      <w:spacing w:before="60" w:after="60"/>
    </w:pPr>
    <w:rPr>
      <w:rFonts w:eastAsia="Arial"/>
      <w:lang w:val="en-NZ" w:eastAsia="en-US"/>
    </w:rPr>
    <w:tblPr>
      <w:tblStyleRowBandSize w:val="1"/>
      <w:tblInd w:w="113"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rPr>
      <w:cantSplit/>
    </w:trPr>
    <w:tblStylePr w:type="firstRow">
      <w:pPr>
        <w:jc w:val="center"/>
      </w:pPr>
      <w:rPr>
        <w:rFonts w:ascii="Arial" w:hAnsi="Arial"/>
        <w:b/>
        <w:sz w:val="20"/>
      </w:rPr>
      <w:tblPr/>
      <w:trPr>
        <w:cantSplit w:val="0"/>
      </w:trPr>
      <w:tcPr>
        <w:shd w:val="clear" w:color="auto" w:fill="A6A6A6"/>
        <w:vAlign w:val="center"/>
      </w:tcPr>
    </w:tblStylePr>
    <w:tblStylePr w:type="band1Horz">
      <w:tblPr/>
      <w:tcPr>
        <w:shd w:val="clear" w:color="auto" w:fill="F2F2F2"/>
      </w:tcPr>
    </w:tblStylePr>
    <w:tblStylePr w:type="band2Horz">
      <w:tblPr/>
      <w:tcPr>
        <w:shd w:val="clear" w:color="auto" w:fill="D9D9D9"/>
      </w:tcPr>
    </w:tblStylePr>
  </w:style>
  <w:style w:type="paragraph" w:customStyle="1" w:styleId="CellBody">
    <w:name w:val="CellBody"/>
    <w:rsid w:val="00471F68"/>
    <w:pPr>
      <w:autoSpaceDE w:val="0"/>
      <w:autoSpaceDN w:val="0"/>
      <w:adjustRightInd w:val="0"/>
      <w:spacing w:line="280" w:lineRule="atLeast"/>
    </w:pPr>
    <w:rPr>
      <w:color w:val="000000"/>
      <w:w w:val="0"/>
      <w:sz w:val="24"/>
      <w:szCs w:val="24"/>
      <w:lang w:val="en-GB" w:eastAsia="en-GB"/>
    </w:rPr>
  </w:style>
  <w:style w:type="paragraph" w:customStyle="1" w:styleId="CellHeading">
    <w:name w:val="CellHeading"/>
    <w:rsid w:val="00471F68"/>
    <w:pPr>
      <w:suppressAutoHyphens/>
      <w:autoSpaceDE w:val="0"/>
      <w:autoSpaceDN w:val="0"/>
      <w:adjustRightInd w:val="0"/>
      <w:spacing w:line="280" w:lineRule="atLeast"/>
      <w:jc w:val="center"/>
    </w:pPr>
    <w:rPr>
      <w:color w:val="000000"/>
      <w:w w:val="0"/>
      <w:sz w:val="24"/>
      <w:szCs w:val="24"/>
      <w:lang w:val="en-GB" w:eastAsia="en-GB"/>
    </w:rPr>
  </w:style>
  <w:style w:type="paragraph" w:customStyle="1" w:styleId="BulletBodytext">
    <w:name w:val="Bullet Body text"/>
    <w:basedOn w:val="Normal"/>
    <w:link w:val="BulletBodytextChar"/>
    <w:rsid w:val="00F21064"/>
    <w:pPr>
      <w:spacing w:after="120"/>
      <w:ind w:left="1683"/>
    </w:pPr>
    <w:rPr>
      <w:rFonts w:eastAsia="MS Mincho"/>
      <w:iCs/>
      <w:lang w:eastAsia="ja-JP"/>
    </w:rPr>
  </w:style>
  <w:style w:type="character" w:customStyle="1" w:styleId="BulletBodytextChar">
    <w:name w:val="Bullet Body text Char"/>
    <w:link w:val="BulletBodytext"/>
    <w:locked/>
    <w:rsid w:val="00F21064"/>
    <w:rPr>
      <w:rFonts w:ascii="Arial" w:eastAsia="MS Mincho" w:hAnsi="Arial"/>
      <w:lang w:val="en-NZ" w:eastAsia="ja-JP"/>
    </w:rPr>
  </w:style>
  <w:style w:type="table" w:customStyle="1" w:styleId="Texttable">
    <w:name w:val="Text table"/>
    <w:basedOn w:val="TableNormal"/>
    <w:uiPriority w:val="99"/>
    <w:rsid w:val="009A1F1E"/>
    <w:rPr>
      <w:rFonts w:eastAsia="Arial"/>
      <w:sz w:val="22"/>
      <w:lang w:val="en-NZ" w:eastAsia="en-US"/>
    </w:rPr>
    <w:tblPr>
      <w:tblBorders>
        <w:top w:val="single" w:sz="2" w:space="0" w:color="F2F2F2"/>
        <w:left w:val="single" w:sz="2" w:space="0" w:color="F2F2F2"/>
        <w:bottom w:val="single" w:sz="2" w:space="0" w:color="F2F2F2"/>
        <w:right w:val="single" w:sz="2" w:space="0" w:color="F2F2F2"/>
        <w:insideH w:val="single" w:sz="2" w:space="0" w:color="F2F2F2"/>
        <w:insideV w:val="single" w:sz="2" w:space="0" w:color="F2F2F2"/>
      </w:tblBorders>
    </w:tblPr>
  </w:style>
  <w:style w:type="paragraph" w:customStyle="1" w:styleId="BulletList1">
    <w:name w:val="BulletList1"/>
    <w:basedOn w:val="BodyText"/>
    <w:uiPriority w:val="99"/>
    <w:qFormat/>
    <w:rsid w:val="00A22F94"/>
    <w:pPr>
      <w:numPr>
        <w:numId w:val="31"/>
      </w:numPr>
      <w:spacing w:before="0" w:after="120" w:line="276" w:lineRule="auto"/>
    </w:pPr>
    <w:rPr>
      <w:rFonts w:ascii="Arial" w:eastAsia="Arial" w:hAnsi="Arial"/>
      <w:iCs w:val="0"/>
      <w:color w:val="212121"/>
      <w:sz w:val="20"/>
      <w:lang w:val="en-NZ"/>
    </w:rPr>
  </w:style>
  <w:style w:type="paragraph" w:customStyle="1" w:styleId="Source">
    <w:name w:val="Source"/>
    <w:basedOn w:val="Caption"/>
    <w:next w:val="BodyText0"/>
    <w:qFormat/>
    <w:rsid w:val="00101C46"/>
    <w:pPr>
      <w:spacing w:before="0" w:after="0"/>
      <w:ind w:left="0"/>
    </w:pPr>
    <w:rPr>
      <w:rFonts w:ascii="Arial" w:eastAsia="Arial" w:hAnsi="Arial"/>
      <w:i w:val="0"/>
      <w:iCs w:val="0"/>
      <w:color w:val="45ABE8"/>
      <w:sz w:val="18"/>
      <w:szCs w:val="18"/>
    </w:rPr>
  </w:style>
  <w:style w:type="character" w:customStyle="1" w:styleId="CommentTextChar">
    <w:name w:val="Comment Text Char"/>
    <w:link w:val="CommentText"/>
    <w:uiPriority w:val="99"/>
    <w:semiHidden/>
    <w:rsid w:val="00101C46"/>
    <w:rPr>
      <w:rFonts w:ascii="Arial" w:hAnsi="Arial"/>
      <w:iCs/>
      <w:sz w:val="18"/>
      <w:lang w:val="en-NZ" w:eastAsia="en-US"/>
    </w:rPr>
  </w:style>
  <w:style w:type="paragraph" w:customStyle="1" w:styleId="BulletList2">
    <w:name w:val="BulletList2"/>
    <w:basedOn w:val="BulletList1"/>
    <w:uiPriority w:val="99"/>
    <w:qFormat/>
    <w:rsid w:val="007313C2"/>
    <w:pPr>
      <w:numPr>
        <w:numId w:val="32"/>
      </w:numPr>
    </w:pPr>
  </w:style>
  <w:style w:type="character" w:customStyle="1" w:styleId="FootnoteTextChar">
    <w:name w:val="Footnote Text Char"/>
    <w:link w:val="FootnoteText"/>
    <w:locked/>
    <w:rsid w:val="00BA3820"/>
    <w:rPr>
      <w:rFonts w:ascii="Verdana" w:hAnsi="Verdana"/>
      <w:iCs/>
      <w:sz w:val="16"/>
      <w:szCs w:val="16"/>
      <w:lang w:eastAsia="en-US"/>
    </w:rPr>
  </w:style>
  <w:style w:type="character" w:customStyle="1" w:styleId="ListParagraphChar">
    <w:name w:val="List Paragraph Char"/>
    <w:link w:val="ListParagraph"/>
    <w:uiPriority w:val="99"/>
    <w:locked/>
    <w:rsid w:val="009B0A3F"/>
    <w:rPr>
      <w:sz w:val="24"/>
      <w:szCs w:val="24"/>
      <w:lang w:val="en-GB" w:eastAsia="en-GB"/>
    </w:rPr>
  </w:style>
  <w:style w:type="character" w:customStyle="1" w:styleId="CaptionChar">
    <w:name w:val="Caption Char"/>
    <w:link w:val="Caption"/>
    <w:locked/>
    <w:rsid w:val="008F0480"/>
    <w:rPr>
      <w:rFonts w:ascii="Verdana" w:hAnsi="Verdana"/>
      <w:b/>
      <w:bCs/>
      <w:i/>
      <w:iCs/>
      <w:sz w:val="17"/>
      <w:lang w:val="en-NZ" w:eastAsia="en-US"/>
    </w:rPr>
  </w:style>
  <w:style w:type="paragraph" w:customStyle="1" w:styleId="Style11ptAfter3pt">
    <w:name w:val="Style 11 pt After:  3 pt"/>
    <w:basedOn w:val="Normal"/>
    <w:rsid w:val="009A115C"/>
    <w:pPr>
      <w:numPr>
        <w:numId w:val="33"/>
      </w:numPr>
    </w:pPr>
    <w:rPr>
      <w:iCs/>
      <w:szCs w:val="24"/>
    </w:rPr>
  </w:style>
  <w:style w:type="paragraph" w:customStyle="1" w:styleId="StyleBulletb111ptJustifiedAfter3pt">
    <w:name w:val="Style Bulletb1 + 11 pt Justified After:  3 pt"/>
    <w:basedOn w:val="Normal"/>
    <w:rsid w:val="00905758"/>
    <w:pPr>
      <w:widowControl w:val="0"/>
      <w:numPr>
        <w:numId w:val="34"/>
      </w:numPr>
    </w:pPr>
    <w:rPr>
      <w:iCs/>
      <w:lang w:val="en-US"/>
    </w:rPr>
  </w:style>
  <w:style w:type="paragraph" w:customStyle="1" w:styleId="Indent1">
    <w:name w:val="Indent1"/>
    <w:basedOn w:val="Normal"/>
    <w:link w:val="Indent1Char"/>
    <w:rsid w:val="00742251"/>
    <w:pPr>
      <w:ind w:left="720"/>
    </w:pPr>
    <w:rPr>
      <w:iCs/>
    </w:rPr>
  </w:style>
  <w:style w:type="character" w:customStyle="1" w:styleId="Indent1Char">
    <w:name w:val="Indent1 Char"/>
    <w:basedOn w:val="DefaultParagraphFont"/>
    <w:link w:val="Indent1"/>
    <w:rsid w:val="00742251"/>
    <w:rPr>
      <w:rFonts w:ascii="Arial" w:hAnsi="Arial"/>
      <w:lang w:val="en-GB" w:eastAsia="en-US"/>
    </w:rPr>
  </w:style>
  <w:style w:type="paragraph" w:customStyle="1" w:styleId="Style11ptLeft2cm">
    <w:name w:val="Style 11 pt Left:  2 cm"/>
    <w:basedOn w:val="Normal"/>
    <w:link w:val="Style11ptLeft2cmChar"/>
    <w:rsid w:val="00742251"/>
    <w:pPr>
      <w:ind w:left="1134"/>
    </w:pPr>
    <w:rPr>
      <w:iCs/>
    </w:rPr>
  </w:style>
  <w:style w:type="character" w:customStyle="1" w:styleId="Style11ptLeft2cmChar">
    <w:name w:val="Style 11 pt Left:  2 cm Char"/>
    <w:basedOn w:val="DefaultParagraphFont"/>
    <w:link w:val="Style11ptLeft2cm"/>
    <w:rsid w:val="00742251"/>
    <w:rPr>
      <w:rFonts w:ascii="Arial" w:hAnsi="Arial"/>
      <w:lang w:eastAsia="en-US"/>
    </w:rPr>
  </w:style>
  <w:style w:type="paragraph" w:customStyle="1" w:styleId="StyleBodyText11ptLeft1cmAfter0pt">
    <w:name w:val="Style Body Text + 11 pt Left:  1 cm After:  0 pt"/>
    <w:basedOn w:val="BodyText"/>
    <w:rsid w:val="00742251"/>
    <w:pPr>
      <w:spacing w:before="0" w:after="0"/>
      <w:ind w:left="567"/>
      <w:jc w:val="both"/>
    </w:pPr>
    <w:rPr>
      <w:rFonts w:ascii="Arial" w:hAnsi="Arial"/>
      <w:iCs w:val="0"/>
      <w:sz w:val="20"/>
      <w:lang w:val="en-AU"/>
    </w:rPr>
  </w:style>
  <w:style w:type="paragraph" w:customStyle="1" w:styleId="StyleBulletArialNarrowBlue">
    <w:name w:val="Style Bullet + Arial Narrow Blue"/>
    <w:basedOn w:val="Normal"/>
    <w:autoRedefine/>
    <w:rsid w:val="00C10084"/>
    <w:rPr>
      <w:rFonts w:ascii="Arial Narrow" w:hAnsi="Arial Narrow"/>
      <w:iCs/>
      <w:color w:val="0000FF"/>
      <w:sz w:val="24"/>
      <w:szCs w:val="24"/>
      <w:lang w:val="en-US"/>
    </w:rPr>
  </w:style>
  <w:style w:type="character" w:customStyle="1" w:styleId="ColourGray">
    <w:name w:val="Colour Gray"/>
    <w:rsid w:val="004E4BB8"/>
    <w:rPr>
      <w:color w:val="A7A7A7"/>
    </w:rPr>
  </w:style>
  <w:style w:type="paragraph" w:customStyle="1" w:styleId="StyleHeading212ptNotItalicBrownJustified">
    <w:name w:val="Style Heading 2 + 12 pt Not Italic Brown Justified"/>
    <w:basedOn w:val="Heading2"/>
    <w:autoRedefine/>
    <w:rsid w:val="00154088"/>
    <w:pPr>
      <w:numPr>
        <w:ilvl w:val="0"/>
        <w:numId w:val="0"/>
      </w:numPr>
      <w:tabs>
        <w:tab w:val="num" w:pos="851"/>
      </w:tabs>
      <w:ind w:left="851" w:hanging="851"/>
    </w:pPr>
    <w:rPr>
      <w:rFonts w:ascii="Arial Narrow" w:hAnsi="Arial Narrow"/>
      <w:bCs/>
      <w:iCs w:val="0"/>
      <w:color w:val="0000FF"/>
      <w:szCs w:val="28"/>
      <w:lang w:val="en-NZ"/>
    </w:rPr>
  </w:style>
  <w:style w:type="paragraph" w:customStyle="1" w:styleId="StyleHeading3ArialNarrow11ptJustifiedBefore6ptAf">
    <w:name w:val="Style Heading 3 + Arial Narrow 11 pt Justified Before:  6 pt Af..."/>
    <w:basedOn w:val="Heading3"/>
    <w:autoRedefine/>
    <w:rsid w:val="00154088"/>
    <w:pPr>
      <w:tabs>
        <w:tab w:val="num" w:pos="720"/>
      </w:tabs>
      <w:ind w:left="720" w:hanging="720"/>
      <w:jc w:val="both"/>
    </w:pPr>
    <w:rPr>
      <w:rFonts w:ascii="Arial Narrow" w:hAnsi="Arial Narrow"/>
      <w:bCs/>
      <w:iCs w:val="0"/>
      <w:color w:val="0000FF"/>
      <w:sz w:val="26"/>
    </w:rPr>
  </w:style>
  <w:style w:type="paragraph" w:customStyle="1" w:styleId="BodyTextArialNarrow12ptBlackJustified">
    <w:name w:val="Body Text + Arial Narrow 12 pt Black Justified"/>
    <w:basedOn w:val="BodyText"/>
    <w:autoRedefine/>
    <w:rsid w:val="00154088"/>
    <w:pPr>
      <w:tabs>
        <w:tab w:val="left" w:pos="0"/>
      </w:tabs>
      <w:spacing w:before="0" w:after="120"/>
      <w:ind w:left="0"/>
    </w:pPr>
    <w:rPr>
      <w:rFonts w:ascii="Arial Narrow" w:hAnsi="Arial Narrow"/>
      <w:iCs w:val="0"/>
      <w:color w:val="000080"/>
      <w:sz w:val="24"/>
    </w:rPr>
  </w:style>
  <w:style w:type="paragraph" w:customStyle="1" w:styleId="TableText1">
    <w:name w:val="TableText"/>
    <w:basedOn w:val="Normal"/>
    <w:rsid w:val="0062287A"/>
    <w:pPr>
      <w:tabs>
        <w:tab w:val="left" w:pos="794"/>
        <w:tab w:val="left" w:pos="1247"/>
        <w:tab w:val="left" w:pos="1701"/>
      </w:tabs>
      <w:spacing w:after="80"/>
    </w:pPr>
    <w:rPr>
      <w:iCs/>
      <w:sz w:val="19"/>
    </w:rPr>
  </w:style>
  <w:style w:type="paragraph" w:customStyle="1" w:styleId="TableHeadLeft">
    <w:name w:val="Table Head Left"/>
    <w:basedOn w:val="Normal"/>
    <w:rsid w:val="0062287A"/>
    <w:pPr>
      <w:spacing w:before="180"/>
    </w:pPr>
    <w:rPr>
      <w:rFonts w:ascii="Tahoma" w:hAnsi="Tahoma"/>
      <w:iCs/>
      <w:szCs w:val="24"/>
    </w:rPr>
  </w:style>
  <w:style w:type="character" w:customStyle="1" w:styleId="Heading1Char">
    <w:name w:val="Heading 1 Char"/>
    <w:link w:val="Heading1"/>
    <w:uiPriority w:val="9"/>
    <w:rsid w:val="002F775C"/>
    <w:rPr>
      <w:rFonts w:cs="Arial"/>
      <w:b/>
      <w:iCs/>
      <w:color w:val="4F81BD"/>
      <w:sz w:val="28"/>
      <w:szCs w:val="32"/>
      <w:lang w:val="en-NZ" w:eastAsia="en-US"/>
    </w:rPr>
  </w:style>
  <w:style w:type="paragraph" w:customStyle="1" w:styleId="StyleCaption11ptBefore4pt">
    <w:name w:val="Style Caption + 11 pt Before:  4 pt"/>
    <w:basedOn w:val="Caption"/>
    <w:rsid w:val="006D7A09"/>
    <w:pPr>
      <w:spacing w:before="80" w:after="200"/>
      <w:ind w:left="0"/>
      <w:jc w:val="center"/>
    </w:pPr>
    <w:rPr>
      <w:rFonts w:ascii="Arial" w:hAnsi="Arial"/>
      <w:i w:val="0"/>
      <w:iCs w:val="0"/>
      <w:color w:val="4F81BD"/>
      <w:sz w:val="20"/>
    </w:rPr>
  </w:style>
  <w:style w:type="paragraph" w:customStyle="1" w:styleId="xl70">
    <w:name w:val="xl70"/>
    <w:basedOn w:val="Normal"/>
    <w:rsid w:val="007C70ED"/>
    <w:pPr>
      <w:spacing w:before="100" w:beforeAutospacing="1" w:after="100" w:afterAutospacing="1"/>
    </w:pPr>
    <w:rPr>
      <w:rFonts w:eastAsia="Arial Unicode MS" w:cs="Arial"/>
      <w:iCs/>
      <w:sz w:val="16"/>
      <w:szCs w:val="16"/>
    </w:rPr>
  </w:style>
  <w:style w:type="paragraph" w:customStyle="1" w:styleId="MLCBODY3">
    <w:name w:val="MLC BODY3"/>
    <w:basedOn w:val="Normal"/>
    <w:rsid w:val="002D1816"/>
    <w:pPr>
      <w:spacing w:after="240"/>
      <w:ind w:left="2552"/>
    </w:pPr>
    <w:rPr>
      <w:rFonts w:ascii="CG Times (W1)" w:hAnsi="CG Times (W1)"/>
      <w:iCs/>
      <w:sz w:val="24"/>
      <w:lang w:val="en-US"/>
    </w:rPr>
  </w:style>
  <w:style w:type="paragraph" w:customStyle="1" w:styleId="body1">
    <w:name w:val="body1"/>
    <w:basedOn w:val="Normal"/>
    <w:rsid w:val="00AD1310"/>
    <w:pPr>
      <w:spacing w:before="100" w:beforeAutospacing="1" w:after="100" w:afterAutospacing="1"/>
    </w:pPr>
    <w:rPr>
      <w:rFonts w:ascii="Times New Roman" w:hAnsi="Times New Roman"/>
      <w:iCs/>
      <w:sz w:val="24"/>
      <w:szCs w:val="24"/>
    </w:rPr>
  </w:style>
  <w:style w:type="paragraph" w:customStyle="1" w:styleId="body0">
    <w:name w:val="body"/>
    <w:basedOn w:val="Normal"/>
    <w:rsid w:val="00AD1310"/>
    <w:pPr>
      <w:spacing w:before="100" w:beforeAutospacing="1" w:after="100" w:afterAutospacing="1"/>
    </w:pPr>
    <w:rPr>
      <w:rFonts w:ascii="Times New Roman" w:hAnsi="Times New Roman"/>
      <w:iCs/>
      <w:sz w:val="24"/>
      <w:szCs w:val="24"/>
    </w:rPr>
  </w:style>
  <w:style w:type="paragraph" w:customStyle="1" w:styleId="Tableheading0">
    <w:name w:val="Table heading"/>
    <w:basedOn w:val="Normal"/>
    <w:rsid w:val="00AD1310"/>
    <w:pPr>
      <w:spacing w:before="20" w:after="20"/>
      <w:jc w:val="center"/>
    </w:pPr>
    <w:rPr>
      <w:rFonts w:ascii="Arial Narrow" w:hAnsi="Arial Narrow"/>
      <w:b/>
      <w:iCs/>
      <w:spacing w:val="8"/>
    </w:rPr>
  </w:style>
  <w:style w:type="paragraph" w:customStyle="1" w:styleId="BodyText21">
    <w:name w:val="Body Text2"/>
    <w:basedOn w:val="BodyText"/>
    <w:rsid w:val="00874AF1"/>
    <w:pPr>
      <w:spacing w:before="120" w:after="240"/>
      <w:ind w:left="0"/>
    </w:pPr>
    <w:rPr>
      <w:rFonts w:ascii="Arial" w:hAnsi="Arial"/>
      <w:iCs w:val="0"/>
      <w:sz w:val="24"/>
      <w:lang w:val="en-US" w:eastAsia="en-AU"/>
    </w:rPr>
  </w:style>
  <w:style w:type="paragraph" w:customStyle="1" w:styleId="CTAMPBody">
    <w:name w:val="CT AMP Body"/>
    <w:basedOn w:val="Normal"/>
    <w:link w:val="CTAMPBodyChar"/>
    <w:uiPriority w:val="99"/>
    <w:rsid w:val="00E31FCD"/>
    <w:pPr>
      <w:spacing w:after="240"/>
    </w:pPr>
    <w:rPr>
      <w:rFonts w:ascii="Calibri" w:eastAsia="Calibri" w:hAnsi="Calibri"/>
      <w:iCs/>
    </w:rPr>
  </w:style>
  <w:style w:type="character" w:customStyle="1" w:styleId="CTAMPBodyChar">
    <w:name w:val="CT AMP Body Char"/>
    <w:link w:val="CTAMPBody"/>
    <w:uiPriority w:val="99"/>
    <w:locked/>
    <w:rsid w:val="00E31FCD"/>
    <w:rPr>
      <w:rFonts w:ascii="Calibri" w:eastAsia="Calibri" w:hAnsi="Calibri"/>
    </w:rPr>
  </w:style>
  <w:style w:type="paragraph" w:customStyle="1" w:styleId="Para2">
    <w:name w:val="Para_2"/>
    <w:basedOn w:val="Normal"/>
    <w:link w:val="Para2Char"/>
    <w:rsid w:val="00E31FCD"/>
    <w:pPr>
      <w:spacing w:after="120"/>
      <w:ind w:left="1418"/>
    </w:pPr>
    <w:rPr>
      <w:rFonts w:eastAsia="Calibri"/>
      <w:iCs/>
      <w:color w:val="000000"/>
    </w:rPr>
  </w:style>
  <w:style w:type="character" w:customStyle="1" w:styleId="Para2Char">
    <w:name w:val="Para_2 Char"/>
    <w:link w:val="Para2"/>
    <w:locked/>
    <w:rsid w:val="00E31FCD"/>
    <w:rPr>
      <w:rFonts w:ascii="Arial" w:eastAsia="Calibri" w:hAnsi="Arial"/>
      <w:color w:val="000000"/>
      <w:lang w:val="en-GB"/>
    </w:rPr>
  </w:style>
  <w:style w:type="paragraph" w:customStyle="1" w:styleId="StyleHeading210ptAfter3pt">
    <w:name w:val="Style Heading 2 + 10 pt After:  3 pt"/>
    <w:basedOn w:val="Heading2"/>
    <w:rsid w:val="003B782E"/>
    <w:pPr>
      <w:spacing w:after="60"/>
    </w:pPr>
    <w:rPr>
      <w:bCs/>
      <w:iCs w:val="0"/>
    </w:rPr>
  </w:style>
  <w:style w:type="paragraph" w:styleId="IntenseQuote">
    <w:name w:val="Intense Quote"/>
    <w:basedOn w:val="Normal"/>
    <w:next w:val="Normal"/>
    <w:link w:val="IntenseQuoteChar"/>
    <w:uiPriority w:val="30"/>
    <w:qFormat/>
    <w:rsid w:val="006107DD"/>
    <w:pPr>
      <w:pBdr>
        <w:bottom w:val="single" w:sz="4" w:space="4" w:color="4F81BD"/>
      </w:pBdr>
      <w:spacing w:before="200" w:after="280"/>
      <w:ind w:left="936" w:right="936"/>
      <w:jc w:val="left"/>
    </w:pPr>
    <w:rPr>
      <w:b/>
      <w:bCs/>
      <w:i/>
      <w:color w:val="4F81BD"/>
      <w:lang w:eastAsia="en-US"/>
    </w:rPr>
  </w:style>
  <w:style w:type="character" w:customStyle="1" w:styleId="IntenseQuoteChar">
    <w:name w:val="Intense Quote Char"/>
    <w:basedOn w:val="DefaultParagraphFont"/>
    <w:link w:val="IntenseQuote"/>
    <w:uiPriority w:val="30"/>
    <w:rsid w:val="006107DD"/>
    <w:rPr>
      <w:rFonts w:ascii="Arial" w:hAnsi="Arial"/>
      <w:b/>
      <w:bCs/>
      <w:i/>
      <w:iCs/>
      <w:color w:val="4F81BD"/>
      <w:lang w:eastAsia="en-US"/>
    </w:rPr>
  </w:style>
  <w:style w:type="paragraph" w:customStyle="1" w:styleId="StyleHeading3Heading3Char10ptBefore6pt">
    <w:name w:val="Style Heading 3Heading 3 Char + 10 pt Before:  6 pt"/>
    <w:basedOn w:val="Heading3"/>
    <w:rsid w:val="003E5B9F"/>
    <w:pPr>
      <w:tabs>
        <w:tab w:val="left" w:pos="709"/>
      </w:tabs>
      <w:spacing w:before="120"/>
      <w:ind w:left="709" w:hanging="709"/>
    </w:pPr>
    <w:rPr>
      <w:rFonts w:cs="Times New Roman"/>
      <w:b w:val="0"/>
      <w:bCs/>
      <w:i/>
      <w:iCs w:val="0"/>
      <w:sz w:val="20"/>
    </w:rPr>
  </w:style>
  <w:style w:type="paragraph" w:customStyle="1" w:styleId="StyleLeft125cm">
    <w:name w:val="Style Left:  1.25 cm"/>
    <w:basedOn w:val="Normal"/>
    <w:rsid w:val="0022300E"/>
    <w:pPr>
      <w:ind w:left="720"/>
    </w:pPr>
    <w:rPr>
      <w:rFonts w:cs="Times New Roman"/>
    </w:rPr>
  </w:style>
  <w:style w:type="character" w:styleId="IntenseEmphasis">
    <w:name w:val="Intense Emphasis"/>
    <w:uiPriority w:val="21"/>
    <w:qFormat/>
    <w:rsid w:val="009E73D6"/>
    <w:rPr>
      <w:b/>
      <w:bCs/>
      <w:i/>
      <w:iCs/>
      <w:color w:val="4F81BD"/>
    </w:rPr>
  </w:style>
  <w:style w:type="paragraph" w:customStyle="1" w:styleId="font5">
    <w:name w:val="font5"/>
    <w:basedOn w:val="Normal"/>
    <w:rsid w:val="00CC75F2"/>
    <w:pPr>
      <w:spacing w:before="100" w:beforeAutospacing="1" w:after="100" w:afterAutospacing="1"/>
      <w:jc w:val="left"/>
    </w:pPr>
    <w:rPr>
      <w:rFonts w:cs="Arial"/>
      <w:color w:val="000000"/>
      <w:sz w:val="18"/>
      <w:szCs w:val="18"/>
    </w:rPr>
  </w:style>
  <w:style w:type="paragraph" w:customStyle="1" w:styleId="font6">
    <w:name w:val="font6"/>
    <w:basedOn w:val="Normal"/>
    <w:rsid w:val="00CC75F2"/>
    <w:pPr>
      <w:spacing w:before="100" w:beforeAutospacing="1" w:after="100" w:afterAutospacing="1"/>
      <w:jc w:val="left"/>
    </w:pPr>
    <w:rPr>
      <w:rFonts w:cs="Arial"/>
      <w:i/>
      <w:iCs/>
      <w:color w:val="000000"/>
      <w:sz w:val="18"/>
      <w:szCs w:val="18"/>
    </w:rPr>
  </w:style>
  <w:style w:type="paragraph" w:customStyle="1" w:styleId="font7">
    <w:name w:val="font7"/>
    <w:basedOn w:val="Normal"/>
    <w:rsid w:val="00CC75F2"/>
    <w:pPr>
      <w:spacing w:before="100" w:beforeAutospacing="1" w:after="100" w:afterAutospacing="1"/>
      <w:jc w:val="left"/>
    </w:pPr>
    <w:rPr>
      <w:rFonts w:cs="Arial"/>
      <w:sz w:val="18"/>
      <w:szCs w:val="18"/>
    </w:rPr>
  </w:style>
  <w:style w:type="paragraph" w:customStyle="1" w:styleId="xl63">
    <w:name w:val="xl63"/>
    <w:basedOn w:val="Normal"/>
    <w:rsid w:val="00CC75F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cs="Arial"/>
      <w:sz w:val="18"/>
      <w:szCs w:val="18"/>
    </w:rPr>
  </w:style>
  <w:style w:type="paragraph" w:customStyle="1" w:styleId="xl64">
    <w:name w:val="xl64"/>
    <w:basedOn w:val="Normal"/>
    <w:rsid w:val="00CC75F2"/>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left"/>
      <w:textAlignment w:val="top"/>
    </w:pPr>
    <w:rPr>
      <w:rFonts w:cs="Arial"/>
      <w:b/>
      <w:bCs/>
      <w:sz w:val="18"/>
      <w:szCs w:val="18"/>
    </w:rPr>
  </w:style>
  <w:style w:type="paragraph" w:customStyle="1" w:styleId="xl65">
    <w:name w:val="xl65"/>
    <w:basedOn w:val="Normal"/>
    <w:rsid w:val="00CC75F2"/>
    <w:pPr>
      <w:pBdr>
        <w:top w:val="single" w:sz="4" w:space="0" w:color="auto"/>
        <w:left w:val="single" w:sz="4" w:space="0" w:color="auto"/>
        <w:bottom w:val="single" w:sz="4" w:space="0" w:color="auto"/>
      </w:pBdr>
      <w:spacing w:before="100" w:beforeAutospacing="1" w:after="100" w:afterAutospacing="1"/>
      <w:jc w:val="left"/>
      <w:textAlignment w:val="top"/>
    </w:pPr>
    <w:rPr>
      <w:rFonts w:cs="Arial"/>
      <w:sz w:val="18"/>
      <w:szCs w:val="18"/>
    </w:rPr>
  </w:style>
  <w:style w:type="paragraph" w:customStyle="1" w:styleId="xl66">
    <w:name w:val="xl66"/>
    <w:basedOn w:val="Normal"/>
    <w:rsid w:val="00CC75F2"/>
    <w:pPr>
      <w:pBdr>
        <w:top w:val="single" w:sz="4" w:space="0" w:color="auto"/>
        <w:bottom w:val="single" w:sz="4" w:space="0" w:color="auto"/>
      </w:pBdr>
      <w:spacing w:before="100" w:beforeAutospacing="1" w:after="100" w:afterAutospacing="1"/>
      <w:jc w:val="left"/>
      <w:textAlignment w:val="top"/>
    </w:pPr>
    <w:rPr>
      <w:rFonts w:cs="Arial"/>
      <w:sz w:val="18"/>
      <w:szCs w:val="18"/>
    </w:rPr>
  </w:style>
  <w:style w:type="paragraph" w:customStyle="1" w:styleId="xl67">
    <w:name w:val="xl67"/>
    <w:basedOn w:val="Normal"/>
    <w:rsid w:val="00CC75F2"/>
    <w:pPr>
      <w:pBdr>
        <w:top w:val="single" w:sz="4" w:space="0" w:color="auto"/>
        <w:bottom w:val="single" w:sz="4" w:space="0" w:color="auto"/>
        <w:right w:val="single" w:sz="4" w:space="0" w:color="auto"/>
      </w:pBdr>
      <w:spacing w:before="100" w:beforeAutospacing="1" w:after="100" w:afterAutospacing="1"/>
      <w:jc w:val="left"/>
      <w:textAlignment w:val="top"/>
    </w:pPr>
    <w:rPr>
      <w:rFonts w:cs="Arial"/>
      <w:sz w:val="18"/>
      <w:szCs w:val="18"/>
    </w:rPr>
  </w:style>
  <w:style w:type="paragraph" w:customStyle="1" w:styleId="xl68">
    <w:name w:val="xl68"/>
    <w:basedOn w:val="Normal"/>
    <w:rsid w:val="00CC75F2"/>
    <w:pPr>
      <w:spacing w:before="100" w:beforeAutospacing="1" w:after="100" w:afterAutospacing="1"/>
      <w:jc w:val="left"/>
      <w:textAlignment w:val="top"/>
    </w:pPr>
    <w:rPr>
      <w:rFonts w:cs="Arial"/>
      <w:b/>
      <w:bCs/>
      <w:sz w:val="18"/>
      <w:szCs w:val="18"/>
    </w:rPr>
  </w:style>
  <w:style w:type="paragraph" w:customStyle="1" w:styleId="xl69">
    <w:name w:val="xl69"/>
    <w:basedOn w:val="Normal"/>
    <w:rsid w:val="00CC75F2"/>
    <w:pPr>
      <w:spacing w:before="100" w:beforeAutospacing="1" w:after="100" w:afterAutospacing="1"/>
      <w:jc w:val="left"/>
      <w:textAlignment w:val="top"/>
    </w:pPr>
    <w:rPr>
      <w:rFonts w:cs="Arial"/>
      <w:sz w:val="18"/>
      <w:szCs w:val="18"/>
    </w:rPr>
  </w:style>
  <w:style w:type="paragraph" w:customStyle="1" w:styleId="xl71">
    <w:name w:val="xl71"/>
    <w:basedOn w:val="Normal"/>
    <w:rsid w:val="00CC75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cs="Arial"/>
      <w:sz w:val="18"/>
      <w:szCs w:val="18"/>
    </w:rPr>
  </w:style>
  <w:style w:type="paragraph" w:customStyle="1" w:styleId="xl72">
    <w:name w:val="xl72"/>
    <w:basedOn w:val="Normal"/>
    <w:rsid w:val="00CC75F2"/>
    <w:pPr>
      <w:spacing w:before="100" w:beforeAutospacing="1" w:after="100" w:afterAutospacing="1"/>
      <w:jc w:val="center"/>
      <w:textAlignment w:val="top"/>
    </w:pPr>
    <w:rPr>
      <w:rFonts w:cs="Arial"/>
      <w:sz w:val="18"/>
      <w:szCs w:val="18"/>
    </w:rPr>
  </w:style>
  <w:style w:type="paragraph" w:styleId="NoSpacing">
    <w:name w:val="No Spacing"/>
    <w:link w:val="NoSpacingChar"/>
    <w:uiPriority w:val="1"/>
    <w:qFormat/>
    <w:rsid w:val="00226205"/>
    <w:rPr>
      <w:rFonts w:eastAsiaTheme="minorHAnsi"/>
      <w:sz w:val="22"/>
      <w:szCs w:val="22"/>
      <w:lang w:eastAsia="en-US"/>
    </w:rPr>
  </w:style>
  <w:style w:type="character" w:customStyle="1" w:styleId="NoSpacingChar">
    <w:name w:val="No Spacing Char"/>
    <w:basedOn w:val="DefaultParagraphFont"/>
    <w:link w:val="NoSpacing"/>
    <w:uiPriority w:val="1"/>
    <w:rsid w:val="00226205"/>
    <w:rPr>
      <w:rFonts w:eastAsiaTheme="minorHAns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7189535">
      <w:bodyDiv w:val="1"/>
      <w:marLeft w:val="0"/>
      <w:marRight w:val="0"/>
      <w:marTop w:val="0"/>
      <w:marBottom w:val="0"/>
      <w:divBdr>
        <w:top w:val="none" w:sz="0" w:space="0" w:color="auto"/>
        <w:left w:val="none" w:sz="0" w:space="0" w:color="auto"/>
        <w:bottom w:val="none" w:sz="0" w:space="0" w:color="auto"/>
        <w:right w:val="none" w:sz="0" w:space="0" w:color="auto"/>
      </w:divBdr>
    </w:div>
    <w:div w:id="145242494">
      <w:bodyDiv w:val="1"/>
      <w:marLeft w:val="0"/>
      <w:marRight w:val="0"/>
      <w:marTop w:val="0"/>
      <w:marBottom w:val="0"/>
      <w:divBdr>
        <w:top w:val="none" w:sz="0" w:space="0" w:color="auto"/>
        <w:left w:val="none" w:sz="0" w:space="0" w:color="auto"/>
        <w:bottom w:val="none" w:sz="0" w:space="0" w:color="auto"/>
        <w:right w:val="none" w:sz="0" w:space="0" w:color="auto"/>
      </w:divBdr>
    </w:div>
    <w:div w:id="150099215">
      <w:bodyDiv w:val="1"/>
      <w:marLeft w:val="0"/>
      <w:marRight w:val="0"/>
      <w:marTop w:val="0"/>
      <w:marBottom w:val="0"/>
      <w:divBdr>
        <w:top w:val="none" w:sz="0" w:space="0" w:color="auto"/>
        <w:left w:val="none" w:sz="0" w:space="0" w:color="auto"/>
        <w:bottom w:val="none" w:sz="0" w:space="0" w:color="auto"/>
        <w:right w:val="none" w:sz="0" w:space="0" w:color="auto"/>
      </w:divBdr>
      <w:divsChild>
        <w:div w:id="105083796">
          <w:marLeft w:val="547"/>
          <w:marRight w:val="0"/>
          <w:marTop w:val="0"/>
          <w:marBottom w:val="0"/>
          <w:divBdr>
            <w:top w:val="none" w:sz="0" w:space="0" w:color="auto"/>
            <w:left w:val="none" w:sz="0" w:space="0" w:color="auto"/>
            <w:bottom w:val="none" w:sz="0" w:space="0" w:color="auto"/>
            <w:right w:val="none" w:sz="0" w:space="0" w:color="auto"/>
          </w:divBdr>
        </w:div>
        <w:div w:id="504784026">
          <w:marLeft w:val="547"/>
          <w:marRight w:val="0"/>
          <w:marTop w:val="0"/>
          <w:marBottom w:val="0"/>
          <w:divBdr>
            <w:top w:val="none" w:sz="0" w:space="0" w:color="auto"/>
            <w:left w:val="none" w:sz="0" w:space="0" w:color="auto"/>
            <w:bottom w:val="none" w:sz="0" w:space="0" w:color="auto"/>
            <w:right w:val="none" w:sz="0" w:space="0" w:color="auto"/>
          </w:divBdr>
        </w:div>
        <w:div w:id="707030336">
          <w:marLeft w:val="547"/>
          <w:marRight w:val="0"/>
          <w:marTop w:val="0"/>
          <w:marBottom w:val="0"/>
          <w:divBdr>
            <w:top w:val="none" w:sz="0" w:space="0" w:color="auto"/>
            <w:left w:val="none" w:sz="0" w:space="0" w:color="auto"/>
            <w:bottom w:val="none" w:sz="0" w:space="0" w:color="auto"/>
            <w:right w:val="none" w:sz="0" w:space="0" w:color="auto"/>
          </w:divBdr>
        </w:div>
        <w:div w:id="1204904865">
          <w:marLeft w:val="547"/>
          <w:marRight w:val="0"/>
          <w:marTop w:val="0"/>
          <w:marBottom w:val="0"/>
          <w:divBdr>
            <w:top w:val="none" w:sz="0" w:space="0" w:color="auto"/>
            <w:left w:val="none" w:sz="0" w:space="0" w:color="auto"/>
            <w:bottom w:val="none" w:sz="0" w:space="0" w:color="auto"/>
            <w:right w:val="none" w:sz="0" w:space="0" w:color="auto"/>
          </w:divBdr>
        </w:div>
      </w:divsChild>
    </w:div>
    <w:div w:id="203904558">
      <w:bodyDiv w:val="1"/>
      <w:marLeft w:val="0"/>
      <w:marRight w:val="0"/>
      <w:marTop w:val="0"/>
      <w:marBottom w:val="0"/>
      <w:divBdr>
        <w:top w:val="none" w:sz="0" w:space="0" w:color="auto"/>
        <w:left w:val="none" w:sz="0" w:space="0" w:color="auto"/>
        <w:bottom w:val="none" w:sz="0" w:space="0" w:color="auto"/>
        <w:right w:val="none" w:sz="0" w:space="0" w:color="auto"/>
      </w:divBdr>
    </w:div>
    <w:div w:id="299925444">
      <w:bodyDiv w:val="1"/>
      <w:marLeft w:val="0"/>
      <w:marRight w:val="0"/>
      <w:marTop w:val="0"/>
      <w:marBottom w:val="0"/>
      <w:divBdr>
        <w:top w:val="none" w:sz="0" w:space="0" w:color="auto"/>
        <w:left w:val="none" w:sz="0" w:space="0" w:color="auto"/>
        <w:bottom w:val="none" w:sz="0" w:space="0" w:color="auto"/>
        <w:right w:val="none" w:sz="0" w:space="0" w:color="auto"/>
      </w:divBdr>
    </w:div>
    <w:div w:id="371685405">
      <w:bodyDiv w:val="1"/>
      <w:marLeft w:val="0"/>
      <w:marRight w:val="0"/>
      <w:marTop w:val="0"/>
      <w:marBottom w:val="0"/>
      <w:divBdr>
        <w:top w:val="none" w:sz="0" w:space="0" w:color="auto"/>
        <w:left w:val="none" w:sz="0" w:space="0" w:color="auto"/>
        <w:bottom w:val="none" w:sz="0" w:space="0" w:color="auto"/>
        <w:right w:val="none" w:sz="0" w:space="0" w:color="auto"/>
      </w:divBdr>
    </w:div>
    <w:div w:id="458571555">
      <w:bodyDiv w:val="1"/>
      <w:marLeft w:val="0"/>
      <w:marRight w:val="0"/>
      <w:marTop w:val="0"/>
      <w:marBottom w:val="0"/>
      <w:divBdr>
        <w:top w:val="none" w:sz="0" w:space="0" w:color="auto"/>
        <w:left w:val="none" w:sz="0" w:space="0" w:color="auto"/>
        <w:bottom w:val="none" w:sz="0" w:space="0" w:color="auto"/>
        <w:right w:val="none" w:sz="0" w:space="0" w:color="auto"/>
      </w:divBdr>
    </w:div>
    <w:div w:id="604726641">
      <w:bodyDiv w:val="1"/>
      <w:marLeft w:val="0"/>
      <w:marRight w:val="0"/>
      <w:marTop w:val="0"/>
      <w:marBottom w:val="0"/>
      <w:divBdr>
        <w:top w:val="none" w:sz="0" w:space="0" w:color="auto"/>
        <w:left w:val="none" w:sz="0" w:space="0" w:color="auto"/>
        <w:bottom w:val="none" w:sz="0" w:space="0" w:color="auto"/>
        <w:right w:val="none" w:sz="0" w:space="0" w:color="auto"/>
      </w:divBdr>
    </w:div>
    <w:div w:id="625890594">
      <w:bodyDiv w:val="1"/>
      <w:marLeft w:val="0"/>
      <w:marRight w:val="0"/>
      <w:marTop w:val="0"/>
      <w:marBottom w:val="0"/>
      <w:divBdr>
        <w:top w:val="none" w:sz="0" w:space="0" w:color="auto"/>
        <w:left w:val="none" w:sz="0" w:space="0" w:color="auto"/>
        <w:bottom w:val="none" w:sz="0" w:space="0" w:color="auto"/>
        <w:right w:val="none" w:sz="0" w:space="0" w:color="auto"/>
      </w:divBdr>
    </w:div>
    <w:div w:id="692732242">
      <w:bodyDiv w:val="1"/>
      <w:marLeft w:val="0"/>
      <w:marRight w:val="0"/>
      <w:marTop w:val="0"/>
      <w:marBottom w:val="0"/>
      <w:divBdr>
        <w:top w:val="none" w:sz="0" w:space="0" w:color="auto"/>
        <w:left w:val="none" w:sz="0" w:space="0" w:color="auto"/>
        <w:bottom w:val="none" w:sz="0" w:space="0" w:color="auto"/>
        <w:right w:val="none" w:sz="0" w:space="0" w:color="auto"/>
      </w:divBdr>
    </w:div>
    <w:div w:id="703558154">
      <w:bodyDiv w:val="1"/>
      <w:marLeft w:val="0"/>
      <w:marRight w:val="0"/>
      <w:marTop w:val="0"/>
      <w:marBottom w:val="0"/>
      <w:divBdr>
        <w:top w:val="none" w:sz="0" w:space="0" w:color="auto"/>
        <w:left w:val="none" w:sz="0" w:space="0" w:color="auto"/>
        <w:bottom w:val="none" w:sz="0" w:space="0" w:color="auto"/>
        <w:right w:val="none" w:sz="0" w:space="0" w:color="auto"/>
      </w:divBdr>
    </w:div>
    <w:div w:id="736366920">
      <w:bodyDiv w:val="1"/>
      <w:marLeft w:val="0"/>
      <w:marRight w:val="0"/>
      <w:marTop w:val="0"/>
      <w:marBottom w:val="0"/>
      <w:divBdr>
        <w:top w:val="none" w:sz="0" w:space="0" w:color="auto"/>
        <w:left w:val="none" w:sz="0" w:space="0" w:color="auto"/>
        <w:bottom w:val="none" w:sz="0" w:space="0" w:color="auto"/>
        <w:right w:val="none" w:sz="0" w:space="0" w:color="auto"/>
      </w:divBdr>
    </w:div>
    <w:div w:id="752359144">
      <w:bodyDiv w:val="1"/>
      <w:marLeft w:val="0"/>
      <w:marRight w:val="0"/>
      <w:marTop w:val="0"/>
      <w:marBottom w:val="0"/>
      <w:divBdr>
        <w:top w:val="none" w:sz="0" w:space="0" w:color="auto"/>
        <w:left w:val="none" w:sz="0" w:space="0" w:color="auto"/>
        <w:bottom w:val="none" w:sz="0" w:space="0" w:color="auto"/>
        <w:right w:val="none" w:sz="0" w:space="0" w:color="auto"/>
      </w:divBdr>
      <w:divsChild>
        <w:div w:id="556279949">
          <w:marLeft w:val="547"/>
          <w:marRight w:val="0"/>
          <w:marTop w:val="0"/>
          <w:marBottom w:val="0"/>
          <w:divBdr>
            <w:top w:val="none" w:sz="0" w:space="0" w:color="auto"/>
            <w:left w:val="none" w:sz="0" w:space="0" w:color="auto"/>
            <w:bottom w:val="none" w:sz="0" w:space="0" w:color="auto"/>
            <w:right w:val="none" w:sz="0" w:space="0" w:color="auto"/>
          </w:divBdr>
        </w:div>
        <w:div w:id="1250507614">
          <w:marLeft w:val="547"/>
          <w:marRight w:val="0"/>
          <w:marTop w:val="0"/>
          <w:marBottom w:val="0"/>
          <w:divBdr>
            <w:top w:val="none" w:sz="0" w:space="0" w:color="auto"/>
            <w:left w:val="none" w:sz="0" w:space="0" w:color="auto"/>
            <w:bottom w:val="none" w:sz="0" w:space="0" w:color="auto"/>
            <w:right w:val="none" w:sz="0" w:space="0" w:color="auto"/>
          </w:divBdr>
        </w:div>
        <w:div w:id="1379667073">
          <w:marLeft w:val="547"/>
          <w:marRight w:val="0"/>
          <w:marTop w:val="0"/>
          <w:marBottom w:val="0"/>
          <w:divBdr>
            <w:top w:val="none" w:sz="0" w:space="0" w:color="auto"/>
            <w:left w:val="none" w:sz="0" w:space="0" w:color="auto"/>
            <w:bottom w:val="none" w:sz="0" w:space="0" w:color="auto"/>
            <w:right w:val="none" w:sz="0" w:space="0" w:color="auto"/>
          </w:divBdr>
        </w:div>
        <w:div w:id="1468475219">
          <w:marLeft w:val="547"/>
          <w:marRight w:val="0"/>
          <w:marTop w:val="0"/>
          <w:marBottom w:val="0"/>
          <w:divBdr>
            <w:top w:val="none" w:sz="0" w:space="0" w:color="auto"/>
            <w:left w:val="none" w:sz="0" w:space="0" w:color="auto"/>
            <w:bottom w:val="none" w:sz="0" w:space="0" w:color="auto"/>
            <w:right w:val="none" w:sz="0" w:space="0" w:color="auto"/>
          </w:divBdr>
        </w:div>
      </w:divsChild>
    </w:div>
    <w:div w:id="935285576">
      <w:bodyDiv w:val="1"/>
      <w:marLeft w:val="0"/>
      <w:marRight w:val="0"/>
      <w:marTop w:val="0"/>
      <w:marBottom w:val="0"/>
      <w:divBdr>
        <w:top w:val="none" w:sz="0" w:space="0" w:color="auto"/>
        <w:left w:val="none" w:sz="0" w:space="0" w:color="auto"/>
        <w:bottom w:val="none" w:sz="0" w:space="0" w:color="auto"/>
        <w:right w:val="none" w:sz="0" w:space="0" w:color="auto"/>
      </w:divBdr>
    </w:div>
    <w:div w:id="1054888981">
      <w:bodyDiv w:val="1"/>
      <w:marLeft w:val="0"/>
      <w:marRight w:val="0"/>
      <w:marTop w:val="0"/>
      <w:marBottom w:val="0"/>
      <w:divBdr>
        <w:top w:val="none" w:sz="0" w:space="0" w:color="auto"/>
        <w:left w:val="none" w:sz="0" w:space="0" w:color="auto"/>
        <w:bottom w:val="none" w:sz="0" w:space="0" w:color="auto"/>
        <w:right w:val="none" w:sz="0" w:space="0" w:color="auto"/>
      </w:divBdr>
    </w:div>
    <w:div w:id="1083724292">
      <w:bodyDiv w:val="1"/>
      <w:marLeft w:val="0"/>
      <w:marRight w:val="0"/>
      <w:marTop w:val="0"/>
      <w:marBottom w:val="0"/>
      <w:divBdr>
        <w:top w:val="none" w:sz="0" w:space="0" w:color="auto"/>
        <w:left w:val="none" w:sz="0" w:space="0" w:color="auto"/>
        <w:bottom w:val="none" w:sz="0" w:space="0" w:color="auto"/>
        <w:right w:val="none" w:sz="0" w:space="0" w:color="auto"/>
      </w:divBdr>
    </w:div>
    <w:div w:id="1128744303">
      <w:bodyDiv w:val="1"/>
      <w:marLeft w:val="0"/>
      <w:marRight w:val="0"/>
      <w:marTop w:val="0"/>
      <w:marBottom w:val="0"/>
      <w:divBdr>
        <w:top w:val="none" w:sz="0" w:space="0" w:color="auto"/>
        <w:left w:val="none" w:sz="0" w:space="0" w:color="auto"/>
        <w:bottom w:val="none" w:sz="0" w:space="0" w:color="auto"/>
        <w:right w:val="none" w:sz="0" w:space="0" w:color="auto"/>
      </w:divBdr>
    </w:div>
    <w:div w:id="1173573668">
      <w:bodyDiv w:val="1"/>
      <w:marLeft w:val="0"/>
      <w:marRight w:val="0"/>
      <w:marTop w:val="0"/>
      <w:marBottom w:val="0"/>
      <w:divBdr>
        <w:top w:val="none" w:sz="0" w:space="0" w:color="auto"/>
        <w:left w:val="none" w:sz="0" w:space="0" w:color="auto"/>
        <w:bottom w:val="none" w:sz="0" w:space="0" w:color="auto"/>
        <w:right w:val="none" w:sz="0" w:space="0" w:color="auto"/>
      </w:divBdr>
    </w:div>
    <w:div w:id="1202935259">
      <w:bodyDiv w:val="1"/>
      <w:marLeft w:val="0"/>
      <w:marRight w:val="0"/>
      <w:marTop w:val="0"/>
      <w:marBottom w:val="0"/>
      <w:divBdr>
        <w:top w:val="none" w:sz="0" w:space="0" w:color="auto"/>
        <w:left w:val="none" w:sz="0" w:space="0" w:color="auto"/>
        <w:bottom w:val="none" w:sz="0" w:space="0" w:color="auto"/>
        <w:right w:val="none" w:sz="0" w:space="0" w:color="auto"/>
      </w:divBdr>
    </w:div>
    <w:div w:id="1474103975">
      <w:bodyDiv w:val="1"/>
      <w:marLeft w:val="0"/>
      <w:marRight w:val="0"/>
      <w:marTop w:val="0"/>
      <w:marBottom w:val="0"/>
      <w:divBdr>
        <w:top w:val="none" w:sz="0" w:space="0" w:color="auto"/>
        <w:left w:val="none" w:sz="0" w:space="0" w:color="auto"/>
        <w:bottom w:val="none" w:sz="0" w:space="0" w:color="auto"/>
        <w:right w:val="none" w:sz="0" w:space="0" w:color="auto"/>
      </w:divBdr>
    </w:div>
    <w:div w:id="1583950319">
      <w:bodyDiv w:val="1"/>
      <w:marLeft w:val="0"/>
      <w:marRight w:val="0"/>
      <w:marTop w:val="0"/>
      <w:marBottom w:val="0"/>
      <w:divBdr>
        <w:top w:val="none" w:sz="0" w:space="0" w:color="auto"/>
        <w:left w:val="none" w:sz="0" w:space="0" w:color="auto"/>
        <w:bottom w:val="none" w:sz="0" w:space="0" w:color="auto"/>
        <w:right w:val="none" w:sz="0" w:space="0" w:color="auto"/>
      </w:divBdr>
    </w:div>
    <w:div w:id="1584140696">
      <w:bodyDiv w:val="1"/>
      <w:marLeft w:val="0"/>
      <w:marRight w:val="0"/>
      <w:marTop w:val="0"/>
      <w:marBottom w:val="0"/>
      <w:divBdr>
        <w:top w:val="none" w:sz="0" w:space="0" w:color="auto"/>
        <w:left w:val="none" w:sz="0" w:space="0" w:color="auto"/>
        <w:bottom w:val="none" w:sz="0" w:space="0" w:color="auto"/>
        <w:right w:val="none" w:sz="0" w:space="0" w:color="auto"/>
      </w:divBdr>
    </w:div>
    <w:div w:id="1726641995">
      <w:bodyDiv w:val="1"/>
      <w:marLeft w:val="0"/>
      <w:marRight w:val="0"/>
      <w:marTop w:val="0"/>
      <w:marBottom w:val="0"/>
      <w:divBdr>
        <w:top w:val="none" w:sz="0" w:space="0" w:color="auto"/>
        <w:left w:val="none" w:sz="0" w:space="0" w:color="auto"/>
        <w:bottom w:val="none" w:sz="0" w:space="0" w:color="auto"/>
        <w:right w:val="none" w:sz="0" w:space="0" w:color="auto"/>
      </w:divBdr>
    </w:div>
    <w:div w:id="1790781714">
      <w:bodyDiv w:val="1"/>
      <w:marLeft w:val="0"/>
      <w:marRight w:val="0"/>
      <w:marTop w:val="0"/>
      <w:marBottom w:val="0"/>
      <w:divBdr>
        <w:top w:val="none" w:sz="0" w:space="0" w:color="auto"/>
        <w:left w:val="none" w:sz="0" w:space="0" w:color="auto"/>
        <w:bottom w:val="none" w:sz="0" w:space="0" w:color="auto"/>
        <w:right w:val="none" w:sz="0" w:space="0" w:color="auto"/>
      </w:divBdr>
    </w:div>
    <w:div w:id="1831021446">
      <w:bodyDiv w:val="1"/>
      <w:marLeft w:val="0"/>
      <w:marRight w:val="0"/>
      <w:marTop w:val="0"/>
      <w:marBottom w:val="0"/>
      <w:divBdr>
        <w:top w:val="none" w:sz="0" w:space="0" w:color="auto"/>
        <w:left w:val="none" w:sz="0" w:space="0" w:color="auto"/>
        <w:bottom w:val="none" w:sz="0" w:space="0" w:color="auto"/>
        <w:right w:val="none" w:sz="0" w:space="0" w:color="auto"/>
      </w:divBdr>
    </w:div>
    <w:div w:id="1868328778">
      <w:bodyDiv w:val="1"/>
      <w:marLeft w:val="0"/>
      <w:marRight w:val="0"/>
      <w:marTop w:val="0"/>
      <w:marBottom w:val="0"/>
      <w:divBdr>
        <w:top w:val="none" w:sz="0" w:space="0" w:color="auto"/>
        <w:left w:val="none" w:sz="0" w:space="0" w:color="auto"/>
        <w:bottom w:val="none" w:sz="0" w:space="0" w:color="auto"/>
        <w:right w:val="none" w:sz="0" w:space="0" w:color="auto"/>
      </w:divBdr>
    </w:div>
    <w:div w:id="1887913255">
      <w:bodyDiv w:val="1"/>
      <w:marLeft w:val="0"/>
      <w:marRight w:val="0"/>
      <w:marTop w:val="0"/>
      <w:marBottom w:val="0"/>
      <w:divBdr>
        <w:top w:val="none" w:sz="0" w:space="0" w:color="auto"/>
        <w:left w:val="none" w:sz="0" w:space="0" w:color="auto"/>
        <w:bottom w:val="none" w:sz="0" w:space="0" w:color="auto"/>
        <w:right w:val="none" w:sz="0" w:space="0" w:color="auto"/>
      </w:divBdr>
    </w:div>
    <w:div w:id="1919095175">
      <w:bodyDiv w:val="1"/>
      <w:marLeft w:val="0"/>
      <w:marRight w:val="0"/>
      <w:marTop w:val="0"/>
      <w:marBottom w:val="0"/>
      <w:divBdr>
        <w:top w:val="none" w:sz="0" w:space="0" w:color="auto"/>
        <w:left w:val="none" w:sz="0" w:space="0" w:color="auto"/>
        <w:bottom w:val="none" w:sz="0" w:space="0" w:color="auto"/>
        <w:right w:val="none" w:sz="0" w:space="0" w:color="auto"/>
      </w:divBdr>
    </w:div>
    <w:div w:id="1940869467">
      <w:bodyDiv w:val="1"/>
      <w:marLeft w:val="0"/>
      <w:marRight w:val="0"/>
      <w:marTop w:val="0"/>
      <w:marBottom w:val="0"/>
      <w:divBdr>
        <w:top w:val="none" w:sz="0" w:space="0" w:color="auto"/>
        <w:left w:val="none" w:sz="0" w:space="0" w:color="auto"/>
        <w:bottom w:val="none" w:sz="0" w:space="0" w:color="auto"/>
        <w:right w:val="none" w:sz="0" w:space="0" w:color="auto"/>
      </w:divBdr>
    </w:div>
    <w:div w:id="1942444683">
      <w:bodyDiv w:val="1"/>
      <w:marLeft w:val="0"/>
      <w:marRight w:val="0"/>
      <w:marTop w:val="0"/>
      <w:marBottom w:val="0"/>
      <w:divBdr>
        <w:top w:val="none" w:sz="0" w:space="0" w:color="auto"/>
        <w:left w:val="none" w:sz="0" w:space="0" w:color="auto"/>
        <w:bottom w:val="none" w:sz="0" w:space="0" w:color="auto"/>
        <w:right w:val="none" w:sz="0" w:space="0" w:color="auto"/>
      </w:divBdr>
    </w:div>
    <w:div w:id="21160996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72.jpg"/><Relationship Id="rId21" Type="http://schemas.openxmlformats.org/officeDocument/2006/relationships/chart" Target="charts/chart2.xml"/><Relationship Id="rId42" Type="http://schemas.openxmlformats.org/officeDocument/2006/relationships/image" Target="media/image16.png"/><Relationship Id="rId63" Type="http://schemas.openxmlformats.org/officeDocument/2006/relationships/chart" Target="charts/chart8.xml"/><Relationship Id="rId84" Type="http://schemas.openxmlformats.org/officeDocument/2006/relationships/image" Target="media/image39.jpg"/><Relationship Id="rId138" Type="http://schemas.openxmlformats.org/officeDocument/2006/relationships/image" Target="media/image93.jpg"/><Relationship Id="rId159" Type="http://schemas.openxmlformats.org/officeDocument/2006/relationships/image" Target="media/image114.jpg"/><Relationship Id="rId170" Type="http://schemas.openxmlformats.org/officeDocument/2006/relationships/image" Target="media/image125.jpg"/><Relationship Id="rId191" Type="http://schemas.openxmlformats.org/officeDocument/2006/relationships/image" Target="media/image146.jpg"/><Relationship Id="rId205" Type="http://schemas.openxmlformats.org/officeDocument/2006/relationships/image" Target="media/image160.jpeg"/><Relationship Id="rId226" Type="http://schemas.openxmlformats.org/officeDocument/2006/relationships/header" Target="header4.xml"/><Relationship Id="rId107" Type="http://schemas.openxmlformats.org/officeDocument/2006/relationships/image" Target="media/image62.jpeg"/><Relationship Id="rId11" Type="http://schemas.openxmlformats.org/officeDocument/2006/relationships/header" Target="header1.xml"/><Relationship Id="rId32" Type="http://schemas.openxmlformats.org/officeDocument/2006/relationships/oleObject" Target="embeddings/oleObject4.bin"/><Relationship Id="rId53" Type="http://schemas.openxmlformats.org/officeDocument/2006/relationships/image" Target="media/image25.emf"/><Relationship Id="rId74" Type="http://schemas.openxmlformats.org/officeDocument/2006/relationships/image" Target="media/image34.emf"/><Relationship Id="rId128" Type="http://schemas.openxmlformats.org/officeDocument/2006/relationships/image" Target="media/image83.jpg"/><Relationship Id="rId149" Type="http://schemas.openxmlformats.org/officeDocument/2006/relationships/image" Target="media/image104.jpeg"/><Relationship Id="rId5" Type="http://schemas.openxmlformats.org/officeDocument/2006/relationships/webSettings" Target="webSettings.xml"/><Relationship Id="rId95" Type="http://schemas.openxmlformats.org/officeDocument/2006/relationships/image" Target="media/image50.jpg"/><Relationship Id="rId160" Type="http://schemas.openxmlformats.org/officeDocument/2006/relationships/image" Target="media/image115.jpg"/><Relationship Id="rId181" Type="http://schemas.openxmlformats.org/officeDocument/2006/relationships/image" Target="media/image136.jpg"/><Relationship Id="rId216" Type="http://schemas.openxmlformats.org/officeDocument/2006/relationships/image" Target="media/image171.jpeg"/><Relationship Id="rId237" Type="http://schemas.openxmlformats.org/officeDocument/2006/relationships/header" Target="header7.xml"/><Relationship Id="rId22" Type="http://schemas.openxmlformats.org/officeDocument/2006/relationships/chart" Target="charts/chart3.xml"/><Relationship Id="rId43" Type="http://schemas.openxmlformats.org/officeDocument/2006/relationships/image" Target="media/image17.emf"/><Relationship Id="rId64" Type="http://schemas.openxmlformats.org/officeDocument/2006/relationships/chart" Target="charts/chart9.xml"/><Relationship Id="rId118" Type="http://schemas.openxmlformats.org/officeDocument/2006/relationships/image" Target="media/image73.jpg"/><Relationship Id="rId139" Type="http://schemas.openxmlformats.org/officeDocument/2006/relationships/image" Target="media/image94.jpg"/><Relationship Id="rId80" Type="http://schemas.openxmlformats.org/officeDocument/2006/relationships/image" Target="media/image35.emf"/><Relationship Id="rId85" Type="http://schemas.openxmlformats.org/officeDocument/2006/relationships/image" Target="media/image40.jpg"/><Relationship Id="rId150" Type="http://schemas.openxmlformats.org/officeDocument/2006/relationships/image" Target="media/image105.jpg"/><Relationship Id="rId155" Type="http://schemas.openxmlformats.org/officeDocument/2006/relationships/image" Target="media/image110.jpg"/><Relationship Id="rId171" Type="http://schemas.openxmlformats.org/officeDocument/2006/relationships/image" Target="media/image126.jpg"/><Relationship Id="rId176" Type="http://schemas.openxmlformats.org/officeDocument/2006/relationships/image" Target="media/image131.jpg"/><Relationship Id="rId192" Type="http://schemas.openxmlformats.org/officeDocument/2006/relationships/image" Target="media/image147.jpg"/><Relationship Id="rId197" Type="http://schemas.openxmlformats.org/officeDocument/2006/relationships/image" Target="media/image152.jpg"/><Relationship Id="rId206" Type="http://schemas.openxmlformats.org/officeDocument/2006/relationships/image" Target="media/image161.jpg"/><Relationship Id="rId227" Type="http://schemas.openxmlformats.org/officeDocument/2006/relationships/footer" Target="footer6.xml"/><Relationship Id="rId201" Type="http://schemas.openxmlformats.org/officeDocument/2006/relationships/image" Target="media/image156.jpg"/><Relationship Id="rId222" Type="http://schemas.openxmlformats.org/officeDocument/2006/relationships/image" Target="media/image177.jpg"/><Relationship Id="rId12" Type="http://schemas.openxmlformats.org/officeDocument/2006/relationships/footer" Target="footer2.xml"/><Relationship Id="rId17" Type="http://schemas.openxmlformats.org/officeDocument/2006/relationships/oleObject" Target="embeddings/oleObject3.bin"/><Relationship Id="rId33" Type="http://schemas.openxmlformats.org/officeDocument/2006/relationships/image" Target="media/image11.emf"/><Relationship Id="rId38" Type="http://schemas.openxmlformats.org/officeDocument/2006/relationships/hyperlink" Target="http://www.austlii.edu.au/au/legis/cth/consol_act/dda1992264/index.html" TargetMode="External"/><Relationship Id="rId59" Type="http://schemas.openxmlformats.org/officeDocument/2006/relationships/image" Target="media/image31.jpeg"/><Relationship Id="rId103" Type="http://schemas.openxmlformats.org/officeDocument/2006/relationships/image" Target="media/image58.jpg"/><Relationship Id="rId108" Type="http://schemas.openxmlformats.org/officeDocument/2006/relationships/image" Target="media/image63.jpeg"/><Relationship Id="rId124" Type="http://schemas.openxmlformats.org/officeDocument/2006/relationships/image" Target="media/image79.jpeg"/><Relationship Id="rId129" Type="http://schemas.openxmlformats.org/officeDocument/2006/relationships/image" Target="media/image84.jpg"/><Relationship Id="rId54" Type="http://schemas.openxmlformats.org/officeDocument/2006/relationships/image" Target="media/image26.jpeg"/><Relationship Id="rId70" Type="http://schemas.openxmlformats.org/officeDocument/2006/relationships/diagramLayout" Target="diagrams/layout1.xml"/><Relationship Id="rId75" Type="http://schemas.openxmlformats.org/officeDocument/2006/relationships/oleObject" Target="embeddings/oleObject10.bin"/><Relationship Id="rId91" Type="http://schemas.openxmlformats.org/officeDocument/2006/relationships/image" Target="media/image46.jpg"/><Relationship Id="rId96" Type="http://schemas.openxmlformats.org/officeDocument/2006/relationships/image" Target="media/image51.jpg"/><Relationship Id="rId140" Type="http://schemas.openxmlformats.org/officeDocument/2006/relationships/image" Target="media/image95.jpg"/><Relationship Id="rId145" Type="http://schemas.openxmlformats.org/officeDocument/2006/relationships/image" Target="media/image100.jpg"/><Relationship Id="rId161" Type="http://schemas.openxmlformats.org/officeDocument/2006/relationships/image" Target="media/image116.jpg"/><Relationship Id="rId166" Type="http://schemas.openxmlformats.org/officeDocument/2006/relationships/image" Target="media/image121.jpg"/><Relationship Id="rId182" Type="http://schemas.openxmlformats.org/officeDocument/2006/relationships/image" Target="media/image137.jpg"/><Relationship Id="rId187" Type="http://schemas.openxmlformats.org/officeDocument/2006/relationships/image" Target="media/image142.jpg"/><Relationship Id="rId217" Type="http://schemas.openxmlformats.org/officeDocument/2006/relationships/image" Target="media/image172.jpg"/><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image" Target="media/image167.jpg"/><Relationship Id="rId233" Type="http://schemas.openxmlformats.org/officeDocument/2006/relationships/image" Target="media/image184.emf"/><Relationship Id="rId238" Type="http://schemas.openxmlformats.org/officeDocument/2006/relationships/footer" Target="footer9.xml"/><Relationship Id="rId23" Type="http://schemas.openxmlformats.org/officeDocument/2006/relationships/chart" Target="charts/chart4.xml"/><Relationship Id="rId28" Type="http://schemas.openxmlformats.org/officeDocument/2006/relationships/image" Target="media/image8.jpeg"/><Relationship Id="rId49" Type="http://schemas.openxmlformats.org/officeDocument/2006/relationships/image" Target="media/image21.emf"/><Relationship Id="rId114" Type="http://schemas.openxmlformats.org/officeDocument/2006/relationships/image" Target="media/image69.jpg"/><Relationship Id="rId119" Type="http://schemas.openxmlformats.org/officeDocument/2006/relationships/image" Target="media/image74.jpg"/><Relationship Id="rId44" Type="http://schemas.openxmlformats.org/officeDocument/2006/relationships/oleObject" Target="embeddings/oleObject8.bin"/><Relationship Id="rId60" Type="http://schemas.openxmlformats.org/officeDocument/2006/relationships/image" Target="media/image32.jpeg"/><Relationship Id="rId65" Type="http://schemas.openxmlformats.org/officeDocument/2006/relationships/chart" Target="charts/chart10.xml"/><Relationship Id="rId81" Type="http://schemas.openxmlformats.org/officeDocument/2006/relationships/image" Target="media/image36.emf"/><Relationship Id="rId86" Type="http://schemas.openxmlformats.org/officeDocument/2006/relationships/image" Target="media/image41.jpg"/><Relationship Id="rId130" Type="http://schemas.openxmlformats.org/officeDocument/2006/relationships/image" Target="media/image85.jpg"/><Relationship Id="rId135" Type="http://schemas.openxmlformats.org/officeDocument/2006/relationships/image" Target="media/image90.jpg"/><Relationship Id="rId151" Type="http://schemas.openxmlformats.org/officeDocument/2006/relationships/image" Target="media/image106.jpg"/><Relationship Id="rId156" Type="http://schemas.openxmlformats.org/officeDocument/2006/relationships/image" Target="media/image111.jpg"/><Relationship Id="rId177" Type="http://schemas.openxmlformats.org/officeDocument/2006/relationships/image" Target="media/image132.jpg"/><Relationship Id="rId198" Type="http://schemas.openxmlformats.org/officeDocument/2006/relationships/image" Target="media/image153.jpg"/><Relationship Id="rId172" Type="http://schemas.openxmlformats.org/officeDocument/2006/relationships/image" Target="media/image127.jpg"/><Relationship Id="rId193" Type="http://schemas.openxmlformats.org/officeDocument/2006/relationships/image" Target="media/image148.jpg"/><Relationship Id="rId202" Type="http://schemas.openxmlformats.org/officeDocument/2006/relationships/image" Target="media/image157.jpg"/><Relationship Id="rId207" Type="http://schemas.openxmlformats.org/officeDocument/2006/relationships/image" Target="media/image162.jpg"/><Relationship Id="rId223" Type="http://schemas.openxmlformats.org/officeDocument/2006/relationships/image" Target="media/image178.jpg"/><Relationship Id="rId228" Type="http://schemas.openxmlformats.org/officeDocument/2006/relationships/image" Target="media/image181.emf"/><Relationship Id="rId13" Type="http://schemas.openxmlformats.org/officeDocument/2006/relationships/footer" Target="footer3.xml"/><Relationship Id="rId18" Type="http://schemas.openxmlformats.org/officeDocument/2006/relationships/image" Target="media/image3.jpeg"/><Relationship Id="rId39" Type="http://schemas.openxmlformats.org/officeDocument/2006/relationships/image" Target="media/image14.emf"/><Relationship Id="rId109" Type="http://schemas.openxmlformats.org/officeDocument/2006/relationships/image" Target="media/image64.jpeg"/><Relationship Id="rId34" Type="http://schemas.openxmlformats.org/officeDocument/2006/relationships/oleObject" Target="embeddings/oleObject5.bin"/><Relationship Id="rId50" Type="http://schemas.openxmlformats.org/officeDocument/2006/relationships/image" Target="media/image22.emf"/><Relationship Id="rId55" Type="http://schemas.openxmlformats.org/officeDocument/2006/relationships/image" Target="media/image27.emf"/><Relationship Id="rId76" Type="http://schemas.openxmlformats.org/officeDocument/2006/relationships/header" Target="header2.xml"/><Relationship Id="rId97" Type="http://schemas.openxmlformats.org/officeDocument/2006/relationships/image" Target="media/image52.jpg"/><Relationship Id="rId104" Type="http://schemas.openxmlformats.org/officeDocument/2006/relationships/image" Target="media/image59.jpg"/><Relationship Id="rId120" Type="http://schemas.openxmlformats.org/officeDocument/2006/relationships/image" Target="media/image75.jpg"/><Relationship Id="rId125" Type="http://schemas.openxmlformats.org/officeDocument/2006/relationships/image" Target="media/image80.jpg"/><Relationship Id="rId141" Type="http://schemas.openxmlformats.org/officeDocument/2006/relationships/image" Target="media/image96.jpg"/><Relationship Id="rId146" Type="http://schemas.openxmlformats.org/officeDocument/2006/relationships/image" Target="media/image101.jpg"/><Relationship Id="rId167" Type="http://schemas.openxmlformats.org/officeDocument/2006/relationships/image" Target="media/image122.jpg"/><Relationship Id="rId188" Type="http://schemas.openxmlformats.org/officeDocument/2006/relationships/image" Target="media/image143.jpg"/><Relationship Id="rId7" Type="http://schemas.openxmlformats.org/officeDocument/2006/relationships/endnotes" Target="endnotes.xml"/><Relationship Id="rId71" Type="http://schemas.openxmlformats.org/officeDocument/2006/relationships/diagramQuickStyle" Target="diagrams/quickStyle1.xml"/><Relationship Id="rId92" Type="http://schemas.openxmlformats.org/officeDocument/2006/relationships/image" Target="media/image47.jpg"/><Relationship Id="rId162" Type="http://schemas.openxmlformats.org/officeDocument/2006/relationships/image" Target="media/image117.jpeg"/><Relationship Id="rId183" Type="http://schemas.openxmlformats.org/officeDocument/2006/relationships/image" Target="media/image138.jpg"/><Relationship Id="rId213" Type="http://schemas.openxmlformats.org/officeDocument/2006/relationships/image" Target="media/image168.jpg"/><Relationship Id="rId218" Type="http://schemas.openxmlformats.org/officeDocument/2006/relationships/image" Target="media/image173.jpg"/><Relationship Id="rId234" Type="http://schemas.openxmlformats.org/officeDocument/2006/relationships/image" Target="media/image185.emf"/><Relationship Id="rId239"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image" Target="media/image9.emf"/><Relationship Id="rId24" Type="http://schemas.openxmlformats.org/officeDocument/2006/relationships/image" Target="media/image5.jpeg"/><Relationship Id="rId40" Type="http://schemas.openxmlformats.org/officeDocument/2006/relationships/oleObject" Target="embeddings/oleObject7.bin"/><Relationship Id="rId45" Type="http://schemas.openxmlformats.org/officeDocument/2006/relationships/image" Target="media/image18.emf"/><Relationship Id="rId66" Type="http://schemas.openxmlformats.org/officeDocument/2006/relationships/chart" Target="charts/chart11.xml"/><Relationship Id="rId87" Type="http://schemas.openxmlformats.org/officeDocument/2006/relationships/image" Target="media/image42.jpg"/><Relationship Id="rId110" Type="http://schemas.openxmlformats.org/officeDocument/2006/relationships/image" Target="media/image65.jpg"/><Relationship Id="rId115" Type="http://schemas.openxmlformats.org/officeDocument/2006/relationships/image" Target="media/image70.jpeg"/><Relationship Id="rId131" Type="http://schemas.openxmlformats.org/officeDocument/2006/relationships/image" Target="media/image86.jpeg"/><Relationship Id="rId136" Type="http://schemas.openxmlformats.org/officeDocument/2006/relationships/image" Target="media/image91.jpg"/><Relationship Id="rId157" Type="http://schemas.openxmlformats.org/officeDocument/2006/relationships/image" Target="media/image112.jpg"/><Relationship Id="rId178" Type="http://schemas.openxmlformats.org/officeDocument/2006/relationships/image" Target="media/image133.jpg"/><Relationship Id="rId61" Type="http://schemas.openxmlformats.org/officeDocument/2006/relationships/chart" Target="charts/chart6.xml"/><Relationship Id="rId82" Type="http://schemas.openxmlformats.org/officeDocument/2006/relationships/image" Target="media/image37.emf"/><Relationship Id="rId152" Type="http://schemas.openxmlformats.org/officeDocument/2006/relationships/image" Target="media/image107.jpeg"/><Relationship Id="rId173" Type="http://schemas.openxmlformats.org/officeDocument/2006/relationships/image" Target="media/image128.jpeg"/><Relationship Id="rId194" Type="http://schemas.openxmlformats.org/officeDocument/2006/relationships/image" Target="media/image149.jpg"/><Relationship Id="rId199" Type="http://schemas.openxmlformats.org/officeDocument/2006/relationships/image" Target="media/image154.jpg"/><Relationship Id="rId203" Type="http://schemas.openxmlformats.org/officeDocument/2006/relationships/image" Target="media/image158.jpg"/><Relationship Id="rId208" Type="http://schemas.openxmlformats.org/officeDocument/2006/relationships/image" Target="media/image163.jpg"/><Relationship Id="rId229" Type="http://schemas.openxmlformats.org/officeDocument/2006/relationships/header" Target="header5.xml"/><Relationship Id="rId19" Type="http://schemas.openxmlformats.org/officeDocument/2006/relationships/image" Target="media/image4.jpeg"/><Relationship Id="rId224" Type="http://schemas.openxmlformats.org/officeDocument/2006/relationships/image" Target="media/image179.jpg"/><Relationship Id="rId240" Type="http://schemas.openxmlformats.org/officeDocument/2006/relationships/theme" Target="theme/theme1.xml"/><Relationship Id="rId14" Type="http://schemas.openxmlformats.org/officeDocument/2006/relationships/hyperlink" Target="http://lgam.wikidot.com/intervention-level" TargetMode="External"/><Relationship Id="rId30" Type="http://schemas.openxmlformats.org/officeDocument/2006/relationships/package" Target="embeddings/Microsoft_PowerPoint_Slide1.sldx"/><Relationship Id="rId35" Type="http://schemas.openxmlformats.org/officeDocument/2006/relationships/image" Target="media/image12.emf"/><Relationship Id="rId56" Type="http://schemas.openxmlformats.org/officeDocument/2006/relationships/image" Target="media/image28.emf"/><Relationship Id="rId77" Type="http://schemas.openxmlformats.org/officeDocument/2006/relationships/footer" Target="footer4.xml"/><Relationship Id="rId100" Type="http://schemas.openxmlformats.org/officeDocument/2006/relationships/image" Target="media/image55.jpg"/><Relationship Id="rId105" Type="http://schemas.openxmlformats.org/officeDocument/2006/relationships/image" Target="media/image60.jpeg"/><Relationship Id="rId126" Type="http://schemas.openxmlformats.org/officeDocument/2006/relationships/image" Target="media/image81.jpeg"/><Relationship Id="rId147" Type="http://schemas.openxmlformats.org/officeDocument/2006/relationships/image" Target="media/image102.jpg"/><Relationship Id="rId168" Type="http://schemas.openxmlformats.org/officeDocument/2006/relationships/image" Target="media/image123.jpg"/><Relationship Id="rId8" Type="http://schemas.openxmlformats.org/officeDocument/2006/relationships/image" Target="media/image1.png"/><Relationship Id="rId51" Type="http://schemas.openxmlformats.org/officeDocument/2006/relationships/image" Target="media/image23.emf"/><Relationship Id="rId72" Type="http://schemas.openxmlformats.org/officeDocument/2006/relationships/diagramColors" Target="diagrams/colors1.xml"/><Relationship Id="rId93" Type="http://schemas.openxmlformats.org/officeDocument/2006/relationships/image" Target="media/image48.jpg"/><Relationship Id="rId98" Type="http://schemas.openxmlformats.org/officeDocument/2006/relationships/image" Target="media/image53.jpg"/><Relationship Id="rId121" Type="http://schemas.openxmlformats.org/officeDocument/2006/relationships/image" Target="media/image76.jpg"/><Relationship Id="rId142" Type="http://schemas.openxmlformats.org/officeDocument/2006/relationships/image" Target="media/image97.jpg"/><Relationship Id="rId163" Type="http://schemas.openxmlformats.org/officeDocument/2006/relationships/image" Target="media/image118.jpg"/><Relationship Id="rId184" Type="http://schemas.openxmlformats.org/officeDocument/2006/relationships/image" Target="media/image139.jpg"/><Relationship Id="rId189" Type="http://schemas.openxmlformats.org/officeDocument/2006/relationships/image" Target="media/image144.jpg"/><Relationship Id="rId219" Type="http://schemas.openxmlformats.org/officeDocument/2006/relationships/image" Target="media/image174.jpeg"/><Relationship Id="rId3" Type="http://schemas.openxmlformats.org/officeDocument/2006/relationships/styles" Target="styles.xml"/><Relationship Id="rId214" Type="http://schemas.openxmlformats.org/officeDocument/2006/relationships/image" Target="media/image169.jpg"/><Relationship Id="rId230" Type="http://schemas.openxmlformats.org/officeDocument/2006/relationships/footer" Target="footer7.xml"/><Relationship Id="rId235" Type="http://schemas.openxmlformats.org/officeDocument/2006/relationships/header" Target="header6.xml"/><Relationship Id="rId25" Type="http://schemas.openxmlformats.org/officeDocument/2006/relationships/image" Target="media/image6.jpeg"/><Relationship Id="rId46" Type="http://schemas.openxmlformats.org/officeDocument/2006/relationships/oleObject" Target="embeddings/oleObject9.bin"/><Relationship Id="rId67" Type="http://schemas.openxmlformats.org/officeDocument/2006/relationships/image" Target="media/image33.jpeg"/><Relationship Id="rId116" Type="http://schemas.openxmlformats.org/officeDocument/2006/relationships/image" Target="media/image71.jpg"/><Relationship Id="rId137" Type="http://schemas.openxmlformats.org/officeDocument/2006/relationships/image" Target="media/image92.jpg"/><Relationship Id="rId158" Type="http://schemas.openxmlformats.org/officeDocument/2006/relationships/image" Target="media/image113.jpg"/><Relationship Id="rId20" Type="http://schemas.openxmlformats.org/officeDocument/2006/relationships/chart" Target="charts/chart1.xml"/><Relationship Id="rId41" Type="http://schemas.openxmlformats.org/officeDocument/2006/relationships/image" Target="media/image15.png"/><Relationship Id="rId62" Type="http://schemas.openxmlformats.org/officeDocument/2006/relationships/chart" Target="charts/chart7.xml"/><Relationship Id="rId83" Type="http://schemas.openxmlformats.org/officeDocument/2006/relationships/image" Target="media/image38.emf"/><Relationship Id="rId88" Type="http://schemas.openxmlformats.org/officeDocument/2006/relationships/image" Target="media/image43.jpeg"/><Relationship Id="rId111" Type="http://schemas.openxmlformats.org/officeDocument/2006/relationships/image" Target="media/image66.jpeg"/><Relationship Id="rId132" Type="http://schemas.openxmlformats.org/officeDocument/2006/relationships/image" Target="media/image87.jpg"/><Relationship Id="rId153" Type="http://schemas.openxmlformats.org/officeDocument/2006/relationships/image" Target="media/image108.jpg"/><Relationship Id="rId174" Type="http://schemas.openxmlformats.org/officeDocument/2006/relationships/image" Target="media/image129.jpeg"/><Relationship Id="rId179" Type="http://schemas.openxmlformats.org/officeDocument/2006/relationships/image" Target="media/image134.jpg"/><Relationship Id="rId195" Type="http://schemas.openxmlformats.org/officeDocument/2006/relationships/image" Target="media/image150.jpg"/><Relationship Id="rId209" Type="http://schemas.openxmlformats.org/officeDocument/2006/relationships/image" Target="media/image164.jpg"/><Relationship Id="rId190" Type="http://schemas.openxmlformats.org/officeDocument/2006/relationships/image" Target="media/image145.jpg"/><Relationship Id="rId204" Type="http://schemas.openxmlformats.org/officeDocument/2006/relationships/image" Target="media/image159.jpg"/><Relationship Id="rId220" Type="http://schemas.openxmlformats.org/officeDocument/2006/relationships/image" Target="media/image175.jpg"/><Relationship Id="rId225" Type="http://schemas.openxmlformats.org/officeDocument/2006/relationships/image" Target="media/image180.jpg"/><Relationship Id="rId15" Type="http://schemas.openxmlformats.org/officeDocument/2006/relationships/hyperlink" Target="http://lgam.wikidot.com/renewal" TargetMode="External"/><Relationship Id="rId36" Type="http://schemas.openxmlformats.org/officeDocument/2006/relationships/oleObject" Target="embeddings/oleObject6.bin"/><Relationship Id="rId57" Type="http://schemas.openxmlformats.org/officeDocument/2006/relationships/image" Target="media/image29.jpeg"/><Relationship Id="rId106" Type="http://schemas.openxmlformats.org/officeDocument/2006/relationships/image" Target="media/image61.jpg"/><Relationship Id="rId127" Type="http://schemas.openxmlformats.org/officeDocument/2006/relationships/image" Target="media/image82.jpg"/><Relationship Id="rId10" Type="http://schemas.openxmlformats.org/officeDocument/2006/relationships/footer" Target="footer1.xml"/><Relationship Id="rId31" Type="http://schemas.openxmlformats.org/officeDocument/2006/relationships/image" Target="media/image10.emf"/><Relationship Id="rId52" Type="http://schemas.openxmlformats.org/officeDocument/2006/relationships/image" Target="media/image24.emf"/><Relationship Id="rId73" Type="http://schemas.microsoft.com/office/2007/relationships/diagramDrawing" Target="diagrams/drawing1.xml"/><Relationship Id="rId78" Type="http://schemas.openxmlformats.org/officeDocument/2006/relationships/header" Target="header3.xml"/><Relationship Id="rId94" Type="http://schemas.openxmlformats.org/officeDocument/2006/relationships/image" Target="media/image49.jpg"/><Relationship Id="rId99" Type="http://schemas.openxmlformats.org/officeDocument/2006/relationships/image" Target="media/image54.jpeg"/><Relationship Id="rId101" Type="http://schemas.openxmlformats.org/officeDocument/2006/relationships/image" Target="media/image56.jpg"/><Relationship Id="rId122" Type="http://schemas.openxmlformats.org/officeDocument/2006/relationships/image" Target="media/image77.jpg"/><Relationship Id="rId143" Type="http://schemas.openxmlformats.org/officeDocument/2006/relationships/image" Target="media/image98.jpg"/><Relationship Id="rId148" Type="http://schemas.openxmlformats.org/officeDocument/2006/relationships/image" Target="media/image103.jpg"/><Relationship Id="rId164" Type="http://schemas.openxmlformats.org/officeDocument/2006/relationships/image" Target="media/image119.jpg"/><Relationship Id="rId169" Type="http://schemas.openxmlformats.org/officeDocument/2006/relationships/image" Target="media/image124.jpg"/><Relationship Id="rId185" Type="http://schemas.openxmlformats.org/officeDocument/2006/relationships/image" Target="media/image140.jpg"/><Relationship Id="rId4" Type="http://schemas.openxmlformats.org/officeDocument/2006/relationships/settings" Target="settings.xml"/><Relationship Id="rId9" Type="http://schemas.openxmlformats.org/officeDocument/2006/relationships/oleObject" Target="embeddings/oleObject1.bin"/><Relationship Id="rId180" Type="http://schemas.openxmlformats.org/officeDocument/2006/relationships/image" Target="media/image135.jpg"/><Relationship Id="rId210" Type="http://schemas.openxmlformats.org/officeDocument/2006/relationships/image" Target="media/image165.jpg"/><Relationship Id="rId215" Type="http://schemas.openxmlformats.org/officeDocument/2006/relationships/image" Target="media/image170.jpg"/><Relationship Id="rId236" Type="http://schemas.openxmlformats.org/officeDocument/2006/relationships/footer" Target="footer8.xml"/><Relationship Id="rId26" Type="http://schemas.openxmlformats.org/officeDocument/2006/relationships/chart" Target="charts/chart5.xml"/><Relationship Id="rId231" Type="http://schemas.openxmlformats.org/officeDocument/2006/relationships/image" Target="media/image182.emf"/><Relationship Id="rId47" Type="http://schemas.openxmlformats.org/officeDocument/2006/relationships/image" Target="media/image19.jpeg"/><Relationship Id="rId68" Type="http://schemas.openxmlformats.org/officeDocument/2006/relationships/chart" Target="charts/chart12.xml"/><Relationship Id="rId89" Type="http://schemas.openxmlformats.org/officeDocument/2006/relationships/image" Target="media/image44.jpg"/><Relationship Id="rId112" Type="http://schemas.openxmlformats.org/officeDocument/2006/relationships/image" Target="media/image67.jpeg"/><Relationship Id="rId133" Type="http://schemas.openxmlformats.org/officeDocument/2006/relationships/image" Target="media/image88.jpeg"/><Relationship Id="rId154" Type="http://schemas.openxmlformats.org/officeDocument/2006/relationships/image" Target="media/image109.jpeg"/><Relationship Id="rId175" Type="http://schemas.openxmlformats.org/officeDocument/2006/relationships/image" Target="media/image130.jpg"/><Relationship Id="rId196" Type="http://schemas.openxmlformats.org/officeDocument/2006/relationships/image" Target="media/image151.jpg"/><Relationship Id="rId200" Type="http://schemas.openxmlformats.org/officeDocument/2006/relationships/image" Target="media/image155.jpg"/><Relationship Id="rId16" Type="http://schemas.openxmlformats.org/officeDocument/2006/relationships/image" Target="media/image2.emf"/><Relationship Id="rId221" Type="http://schemas.openxmlformats.org/officeDocument/2006/relationships/image" Target="media/image176.jpg"/><Relationship Id="rId37" Type="http://schemas.openxmlformats.org/officeDocument/2006/relationships/image" Target="media/image13.png"/><Relationship Id="rId58" Type="http://schemas.openxmlformats.org/officeDocument/2006/relationships/image" Target="media/image30.emf"/><Relationship Id="rId79" Type="http://schemas.openxmlformats.org/officeDocument/2006/relationships/footer" Target="footer5.xml"/><Relationship Id="rId102" Type="http://schemas.openxmlformats.org/officeDocument/2006/relationships/image" Target="media/image57.jpg"/><Relationship Id="rId123" Type="http://schemas.openxmlformats.org/officeDocument/2006/relationships/image" Target="media/image78.jpg"/><Relationship Id="rId144" Type="http://schemas.openxmlformats.org/officeDocument/2006/relationships/image" Target="media/image99.jpg"/><Relationship Id="rId90" Type="http://schemas.openxmlformats.org/officeDocument/2006/relationships/image" Target="media/image45.jpg"/><Relationship Id="rId165" Type="http://schemas.openxmlformats.org/officeDocument/2006/relationships/image" Target="media/image120.jpg"/><Relationship Id="rId186" Type="http://schemas.openxmlformats.org/officeDocument/2006/relationships/image" Target="media/image141.jpg"/><Relationship Id="rId211" Type="http://schemas.openxmlformats.org/officeDocument/2006/relationships/image" Target="media/image166.jpg"/><Relationship Id="rId232" Type="http://schemas.openxmlformats.org/officeDocument/2006/relationships/image" Target="media/image183.emf"/><Relationship Id="rId27" Type="http://schemas.openxmlformats.org/officeDocument/2006/relationships/image" Target="media/image7.jpeg"/><Relationship Id="rId48" Type="http://schemas.openxmlformats.org/officeDocument/2006/relationships/image" Target="media/image20.jpeg"/><Relationship Id="rId69" Type="http://schemas.openxmlformats.org/officeDocument/2006/relationships/diagramData" Target="diagrams/data1.xml"/><Relationship Id="rId113" Type="http://schemas.openxmlformats.org/officeDocument/2006/relationships/image" Target="media/image68.jpg"/><Relationship Id="rId134" Type="http://schemas.openxmlformats.org/officeDocument/2006/relationships/image" Target="media/image89.jpg"/></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11.bin"/><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oleObject" Target="embeddings/oleObject12.bin"/><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2" Type="http://schemas.openxmlformats.org/officeDocument/2006/relationships/oleObject" Target="embeddings/oleObject13.bin"/><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2" Type="http://schemas.openxmlformats.org/officeDocument/2006/relationships/oleObject" Target="embeddings/oleObject14.bin"/><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2" Type="http://schemas.openxmlformats.org/officeDocument/2006/relationships/oleObject" Target="embeddings/oleObject15.bin"/><Relationship Id="rId1" Type="http://schemas.openxmlformats.org/officeDocument/2006/relationships/image" Target="media/image1.png"/></Relationships>
</file>

<file path=word/_rels/header7.xml.rels><?xml version="1.0" encoding="UTF-8" standalone="yes"?>
<Relationships xmlns="http://schemas.openxmlformats.org/package/2006/relationships"><Relationship Id="rId2" Type="http://schemas.openxmlformats.org/officeDocument/2006/relationships/oleObject" Target="embeddings/oleObject16.bin"/><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oleObject" Target="file:///\\FTHSRV1\INFRASTRUCTURE\SUSTAINABILITY%20&amp;%20ASSET%20MANAGEMENT\Asset%20Management\AMP%20Bldg2012\Mtce%20Info\Building%20AMP%20-%20Historical%20Data%20fr%20Scott%2020120710.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Documents%20and%20Settings\sharpeb\Desktop\buildings%20budget.%20xlsx.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Documents%20and%20Settings\sharpeb\Desktop\buildings%20budget.%20xlsx.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Documents%20and%20Settings\sharpeb\Desktop\buildings%20budget.%20xlsx.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Documents%20and%20Settings\sharpeb\Desktop\buildings%20budget.%20xlsx.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Documents%20and%20Settings\sharpeb\Desktop\buildings%20budget.%20xlsx.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Documents%20and%20Settings\sharpeb\Desktop\buildings%20budget.%20xlsx.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Documents%20and%20Settings\sharpeb\Desktop\buildings%20budget.%20xlsx.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Documents%20and%20Settings\sharpeb\Desktop\fit%20for%20purpose%20chart.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FTHSRV1\INFRASTRUCTURE\SUSTAINABILITY%20&amp;%20ASSET%20MANAGEMENT\Asset%20Management\AMP%20Bldg2012\Mtce%20Info\Building%20AMP%20-%20Historical%20Data%20fr%20Scott%2020120710.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Documents%20and%20Settings\sharpeb\Desktop\buildings%20budget.%20xlsx.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Documents%20and%20Settings\sharpeb\Desktop\buildings%20budget.%20xlsx.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n-AU" sz="1200"/>
            </a:pPr>
            <a:r>
              <a:rPr lang="en-AU" sz="1000"/>
              <a:t>Building Maintenance, Operations and Utilities Expenditures 2011-2012  (Total  $</a:t>
            </a:r>
            <a:r>
              <a:rPr lang="en-AU" sz="1000">
                <a:solidFill>
                  <a:schemeClr val="tx1"/>
                </a:solidFill>
              </a:rPr>
              <a:t>4.495,022</a:t>
            </a:r>
            <a:r>
              <a:rPr lang="en-AU" sz="1000"/>
              <a:t>)</a:t>
            </a:r>
          </a:p>
        </c:rich>
      </c:tx>
      <c:layout>
        <c:manualLayout>
          <c:xMode val="edge"/>
          <c:yMode val="edge"/>
          <c:x val="0.12489191029642092"/>
          <c:y val="1.9097227443467778E-2"/>
        </c:manualLayout>
      </c:layout>
      <c:overlay val="0"/>
    </c:title>
    <c:autoTitleDeleted val="0"/>
    <c:view3D>
      <c:rotX val="30"/>
      <c:rotY val="0"/>
      <c:rAngAx val="0"/>
    </c:view3D>
    <c:floor>
      <c:thickness val="0"/>
    </c:floor>
    <c:sideWall>
      <c:thickness val="0"/>
    </c:sideWall>
    <c:backWall>
      <c:thickness val="0"/>
    </c:backWall>
    <c:plotArea>
      <c:layout/>
      <c:pie3DChart>
        <c:varyColors val="1"/>
        <c:ser>
          <c:idx val="0"/>
          <c:order val="0"/>
          <c:explosion val="25"/>
          <c:dLbls>
            <c:dLbl>
              <c:idx val="0"/>
              <c:tx>
                <c:rich>
                  <a:bodyPr/>
                  <a:lstStyle/>
                  <a:p>
                    <a:r>
                      <a:rPr lang="en-AU"/>
                      <a:t>Operations</a:t>
                    </a:r>
                  </a:p>
                  <a:p>
                    <a:r>
                      <a:rPr lang="en-AU"/>
                      <a:t>$122,587, 3%</a:t>
                    </a:r>
                  </a:p>
                </c:rich>
              </c:tx>
              <c:dLblPos val="outEnd"/>
              <c:showLegendKey val="0"/>
              <c:showVal val="1"/>
              <c:showCatName val="1"/>
              <c:showSerName val="0"/>
              <c:showPercent val="1"/>
              <c:showBubbleSize val="0"/>
              <c:extLst>
                <c:ext xmlns:c15="http://schemas.microsoft.com/office/drawing/2012/chart" uri="{CE6537A1-D6FC-4f65-9D91-7224C49458BB}"/>
              </c:extLst>
            </c:dLbl>
            <c:dLbl>
              <c:idx val="1"/>
              <c:tx>
                <c:rich>
                  <a:bodyPr/>
                  <a:lstStyle/>
                  <a:p>
                    <a:r>
                      <a:rPr lang="en-AU"/>
                      <a:t>Compliance, $688,514, 15%</a:t>
                    </a:r>
                  </a:p>
                </c:rich>
              </c:tx>
              <c:dLblPos val="outEnd"/>
              <c:showLegendKey val="0"/>
              <c:showVal val="1"/>
              <c:showCatName val="1"/>
              <c:showSerName val="0"/>
              <c:showPercent val="1"/>
              <c:showBubbleSize val="0"/>
              <c:extLst>
                <c:ext xmlns:c15="http://schemas.microsoft.com/office/drawing/2012/chart" uri="{CE6537A1-D6FC-4f65-9D91-7224C49458BB}"/>
              </c:extLst>
            </c:dLbl>
            <c:dLbl>
              <c:idx val="2"/>
              <c:tx>
                <c:rich>
                  <a:bodyPr/>
                  <a:lstStyle/>
                  <a:p>
                    <a:r>
                      <a:rPr lang="en-AU"/>
                      <a:t>Routine, </a:t>
                    </a:r>
                  </a:p>
                  <a:p>
                    <a:r>
                      <a:rPr lang="en-AU"/>
                      <a:t>$639,997, 14%</a:t>
                    </a:r>
                  </a:p>
                </c:rich>
              </c:tx>
              <c:dLblPos val="outEnd"/>
              <c:showLegendKey val="0"/>
              <c:showVal val="1"/>
              <c:showCatName val="1"/>
              <c:showSerName val="0"/>
              <c:showPercent val="1"/>
              <c:showBubbleSize val="0"/>
              <c:extLst>
                <c:ext xmlns:c15="http://schemas.microsoft.com/office/drawing/2012/chart" uri="{CE6537A1-D6FC-4f65-9D91-7224C49458BB}"/>
              </c:extLst>
            </c:dLbl>
            <c:dLbl>
              <c:idx val="3"/>
              <c:tx>
                <c:rich>
                  <a:bodyPr/>
                  <a:lstStyle/>
                  <a:p>
                    <a:r>
                      <a:rPr lang="en-AU"/>
                      <a:t>Reactive, </a:t>
                    </a:r>
                  </a:p>
                  <a:p>
                    <a:r>
                      <a:rPr lang="en-AU"/>
                      <a:t>$793,156, 18%</a:t>
                    </a:r>
                  </a:p>
                </c:rich>
              </c:tx>
              <c:dLblPos val="outEnd"/>
              <c:showLegendKey val="0"/>
              <c:showVal val="1"/>
              <c:showCatName val="1"/>
              <c:showSerName val="0"/>
              <c:showPercent val="1"/>
              <c:showBubbleSize val="0"/>
              <c:extLst>
                <c:ext xmlns:c15="http://schemas.microsoft.com/office/drawing/2012/chart" uri="{CE6537A1-D6FC-4f65-9D91-7224C49458BB}"/>
              </c:extLst>
            </c:dLbl>
            <c:dLbl>
              <c:idx val="4"/>
              <c:tx>
                <c:rich>
                  <a:bodyPr/>
                  <a:lstStyle/>
                  <a:p>
                    <a:r>
                      <a:rPr lang="en-AU"/>
                      <a:t>Utilities, $1,000,768, 22%</a:t>
                    </a:r>
                  </a:p>
                </c:rich>
              </c:tx>
              <c:dLblPos val="outEnd"/>
              <c:showLegendKey val="0"/>
              <c:showVal val="1"/>
              <c:showCatName val="1"/>
              <c:showSerName val="0"/>
              <c:showPercent val="1"/>
              <c:showBubbleSize val="0"/>
              <c:extLst>
                <c:ext xmlns:c15="http://schemas.microsoft.com/office/drawing/2012/chart" uri="{CE6537A1-D6FC-4f65-9D91-7224C49458BB}"/>
              </c:extLst>
            </c:dLbl>
            <c:dLbl>
              <c:idx val="5"/>
              <c:tx>
                <c:rich>
                  <a:bodyPr/>
                  <a:lstStyle/>
                  <a:p>
                    <a:r>
                      <a:rPr lang="en-AU"/>
                      <a:t>Cleaning, $1,250,000, 28%</a:t>
                    </a:r>
                  </a:p>
                </c:rich>
              </c:tx>
              <c:dLblPos val="outEnd"/>
              <c:showLegendKey val="0"/>
              <c:showVal val="1"/>
              <c:showCatName val="1"/>
              <c:showSerName val="0"/>
              <c:showPercent val="1"/>
              <c:showBubbleSize val="0"/>
              <c:extLst>
                <c:ext xmlns:c15="http://schemas.microsoft.com/office/drawing/2012/chart" uri="{CE6537A1-D6FC-4f65-9D91-7224C49458BB}"/>
              </c:extLst>
            </c:dLbl>
            <c:spPr>
              <a:noFill/>
              <a:ln>
                <a:noFill/>
              </a:ln>
              <a:effectLst/>
            </c:spPr>
            <c:txPr>
              <a:bodyPr/>
              <a:lstStyle/>
              <a:p>
                <a:pPr>
                  <a:defRPr lang="en-AU"/>
                </a:pPr>
                <a:endParaRPr lang="en-US"/>
              </a:p>
            </c:txPr>
            <c:dLblPos val="outEnd"/>
            <c:showLegendKey val="0"/>
            <c:showVal val="1"/>
            <c:showCatName val="1"/>
            <c:showSerName val="0"/>
            <c:showPercent val="1"/>
            <c:showBubbleSize val="0"/>
            <c:showLeaderLines val="1"/>
            <c:extLst>
              <c:ext xmlns:c15="http://schemas.microsoft.com/office/drawing/2012/chart" uri="{CE6537A1-D6FC-4f65-9D91-7224C49458BB}"/>
            </c:extLst>
          </c:dLbls>
          <c:cat>
            <c:strRef>
              <c:f>Sheet1!$B$28:$B$33</c:f>
              <c:strCache>
                <c:ptCount val="6"/>
                <c:pt idx="0">
                  <c:v>Opns (others)</c:v>
                </c:pt>
                <c:pt idx="1">
                  <c:v>Compliance</c:v>
                </c:pt>
                <c:pt idx="2">
                  <c:v>Routine</c:v>
                </c:pt>
                <c:pt idx="3">
                  <c:v>Reactive</c:v>
                </c:pt>
                <c:pt idx="4">
                  <c:v>Utilities</c:v>
                </c:pt>
                <c:pt idx="5">
                  <c:v>Cleaning</c:v>
                </c:pt>
              </c:strCache>
            </c:strRef>
          </c:cat>
          <c:val>
            <c:numRef>
              <c:f>Sheet1!$D$28:$D$33</c:f>
              <c:numCache>
                <c:formatCode>#,##0</c:formatCode>
                <c:ptCount val="6"/>
                <c:pt idx="0">
                  <c:v>122587</c:v>
                </c:pt>
                <c:pt idx="1">
                  <c:v>688514</c:v>
                </c:pt>
                <c:pt idx="2">
                  <c:v>639997</c:v>
                </c:pt>
                <c:pt idx="3">
                  <c:v>793156</c:v>
                </c:pt>
                <c:pt idx="4">
                  <c:v>1000768</c:v>
                </c:pt>
                <c:pt idx="5">
                  <c:v>1250000</c:v>
                </c:pt>
              </c:numCache>
            </c:numRef>
          </c:val>
        </c:ser>
        <c:dLbls>
          <c:showLegendKey val="0"/>
          <c:showVal val="1"/>
          <c:showCatName val="0"/>
          <c:showSerName val="0"/>
          <c:showPercent val="0"/>
          <c:showBubbleSize val="0"/>
          <c:showLeaderLines val="1"/>
        </c:dLbls>
      </c:pie3DChart>
    </c:plotArea>
    <c:plotVisOnly val="1"/>
    <c:dispBlanksAs val="zero"/>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sz="1400"/>
            </a:pPr>
            <a:r>
              <a:rPr lang="en-US" sz="1400"/>
              <a:t>10 Year Capital Works Renewal Budget</a:t>
            </a:r>
          </a:p>
        </c:rich>
      </c:tx>
      <c:overlay val="0"/>
    </c:title>
    <c:autoTitleDeleted val="0"/>
    <c:plotArea>
      <c:layout/>
      <c:barChart>
        <c:barDir val="col"/>
        <c:grouping val="clustered"/>
        <c:varyColors val="0"/>
        <c:ser>
          <c:idx val="0"/>
          <c:order val="0"/>
          <c:tx>
            <c:strRef>
              <c:f>Sheet3!$A$12</c:f>
              <c:strCache>
                <c:ptCount val="1"/>
                <c:pt idx="0">
                  <c:v>Renewals</c:v>
                </c:pt>
              </c:strCache>
            </c:strRef>
          </c:tx>
          <c:spPr>
            <a:solidFill>
              <a:srgbClr val="1F497D">
                <a:lumMod val="75000"/>
              </a:srgbClr>
            </a:solidFill>
          </c:spPr>
          <c:invertIfNegative val="0"/>
          <c:cat>
            <c:strRef>
              <c:f>Sheet3!$B$11:$O$11</c:f>
              <c:strCache>
                <c:ptCount val="10"/>
                <c:pt idx="0">
                  <c:v>2013- 14</c:v>
                </c:pt>
                <c:pt idx="1">
                  <c:v>2014 – 15</c:v>
                </c:pt>
                <c:pt idx="2">
                  <c:v>2015 - 16</c:v>
                </c:pt>
                <c:pt idx="3">
                  <c:v>2016 - 17</c:v>
                </c:pt>
                <c:pt idx="4">
                  <c:v>2017- 18</c:v>
                </c:pt>
                <c:pt idx="5">
                  <c:v>2018 – 19</c:v>
                </c:pt>
                <c:pt idx="6">
                  <c:v>2019- 20</c:v>
                </c:pt>
                <c:pt idx="7">
                  <c:v>2020 – 21</c:v>
                </c:pt>
                <c:pt idx="8">
                  <c:v>2021 - 22</c:v>
                </c:pt>
                <c:pt idx="9">
                  <c:v>2022 - 23</c:v>
                </c:pt>
              </c:strCache>
            </c:strRef>
          </c:cat>
          <c:val>
            <c:numRef>
              <c:f>Sheet3!$B$12:$O$12</c:f>
              <c:numCache>
                <c:formatCode>#,##0_ ;\-#,##0\ </c:formatCode>
                <c:ptCount val="10"/>
                <c:pt idx="0">
                  <c:v>4881</c:v>
                </c:pt>
                <c:pt idx="1">
                  <c:v>2651</c:v>
                </c:pt>
                <c:pt idx="2">
                  <c:v>3165</c:v>
                </c:pt>
                <c:pt idx="3">
                  <c:v>2695</c:v>
                </c:pt>
                <c:pt idx="4">
                  <c:v>1785</c:v>
                </c:pt>
                <c:pt idx="5">
                  <c:v>6323</c:v>
                </c:pt>
                <c:pt idx="6">
                  <c:v>6785</c:v>
                </c:pt>
                <c:pt idx="7">
                  <c:v>7267</c:v>
                </c:pt>
                <c:pt idx="8">
                  <c:v>7125</c:v>
                </c:pt>
                <c:pt idx="9">
                  <c:v>5600</c:v>
                </c:pt>
              </c:numCache>
            </c:numRef>
          </c:val>
        </c:ser>
        <c:dLbls>
          <c:showLegendKey val="0"/>
          <c:showVal val="0"/>
          <c:showCatName val="0"/>
          <c:showSerName val="0"/>
          <c:showPercent val="0"/>
          <c:showBubbleSize val="0"/>
        </c:dLbls>
        <c:gapWidth val="150"/>
        <c:axId val="1068642184"/>
        <c:axId val="1068639048"/>
      </c:barChart>
      <c:catAx>
        <c:axId val="1068642184"/>
        <c:scaling>
          <c:orientation val="minMax"/>
        </c:scaling>
        <c:delete val="0"/>
        <c:axPos val="b"/>
        <c:numFmt formatCode="General" sourceLinked="0"/>
        <c:majorTickMark val="none"/>
        <c:minorTickMark val="none"/>
        <c:tickLblPos val="nextTo"/>
        <c:crossAx val="1068639048"/>
        <c:crosses val="autoZero"/>
        <c:auto val="1"/>
        <c:lblAlgn val="ctr"/>
        <c:lblOffset val="100"/>
        <c:noMultiLvlLbl val="0"/>
      </c:catAx>
      <c:valAx>
        <c:axId val="1068639048"/>
        <c:scaling>
          <c:orientation val="minMax"/>
        </c:scaling>
        <c:delete val="0"/>
        <c:axPos val="l"/>
        <c:majorGridlines/>
        <c:title>
          <c:tx>
            <c:rich>
              <a:bodyPr/>
              <a:lstStyle/>
              <a:p>
                <a:pPr>
                  <a:defRPr/>
                </a:pPr>
                <a:r>
                  <a:rPr lang="en-US"/>
                  <a:t>$'000</a:t>
                </a:r>
              </a:p>
            </c:rich>
          </c:tx>
          <c:overlay val="0"/>
        </c:title>
        <c:numFmt formatCode="#,##0_ ;\-#,##0\ " sourceLinked="1"/>
        <c:majorTickMark val="none"/>
        <c:minorTickMark val="none"/>
        <c:tickLblPos val="nextTo"/>
        <c:crossAx val="1068642184"/>
        <c:crosses val="autoZero"/>
        <c:crossBetween val="between"/>
      </c:valAx>
      <c:dTable>
        <c:showHorzBorder val="1"/>
        <c:showVertBorder val="1"/>
        <c:showOutline val="1"/>
        <c:showKeys val="1"/>
      </c:dTable>
    </c:plotArea>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sz="1400"/>
            </a:pPr>
            <a:r>
              <a:rPr lang="en-US" sz="1400"/>
              <a:t>10 Year Proposed Capital Works Expenditure Upgrade &amp; New</a:t>
            </a:r>
          </a:p>
        </c:rich>
      </c:tx>
      <c:overlay val="0"/>
    </c:title>
    <c:autoTitleDeleted val="0"/>
    <c:plotArea>
      <c:layout/>
      <c:barChart>
        <c:barDir val="col"/>
        <c:grouping val="clustered"/>
        <c:varyColors val="0"/>
        <c:ser>
          <c:idx val="0"/>
          <c:order val="0"/>
          <c:tx>
            <c:strRef>
              <c:f>Sheet3!$A$15</c:f>
              <c:strCache>
                <c:ptCount val="1"/>
                <c:pt idx="0">
                  <c:v>Upgrades</c:v>
                </c:pt>
              </c:strCache>
            </c:strRef>
          </c:tx>
          <c:spPr>
            <a:solidFill>
              <a:schemeClr val="accent6">
                <a:lumMod val="75000"/>
              </a:schemeClr>
            </a:solidFill>
          </c:spPr>
          <c:invertIfNegative val="0"/>
          <c:cat>
            <c:strRef>
              <c:f>Sheet3!$B$14:$O$14</c:f>
              <c:strCache>
                <c:ptCount val="10"/>
                <c:pt idx="0">
                  <c:v>2013- 14</c:v>
                </c:pt>
                <c:pt idx="1">
                  <c:v>2014 – 15</c:v>
                </c:pt>
                <c:pt idx="2">
                  <c:v>2015 - 16</c:v>
                </c:pt>
                <c:pt idx="3">
                  <c:v>2016 - 17</c:v>
                </c:pt>
                <c:pt idx="4">
                  <c:v>2017- 18</c:v>
                </c:pt>
                <c:pt idx="5">
                  <c:v>2018 – 19</c:v>
                </c:pt>
                <c:pt idx="6">
                  <c:v>2019- 20</c:v>
                </c:pt>
                <c:pt idx="7">
                  <c:v>2020 – 21</c:v>
                </c:pt>
                <c:pt idx="8">
                  <c:v>2021 - 22</c:v>
                </c:pt>
                <c:pt idx="9">
                  <c:v>2022 - 23</c:v>
                </c:pt>
              </c:strCache>
            </c:strRef>
          </c:cat>
          <c:val>
            <c:numRef>
              <c:f>Sheet3!$B$15:$O$15</c:f>
              <c:numCache>
                <c:formatCode>#,##0_ ;\-#,##0\ </c:formatCode>
                <c:ptCount val="10"/>
                <c:pt idx="0">
                  <c:v>4285</c:v>
                </c:pt>
                <c:pt idx="1">
                  <c:v>925</c:v>
                </c:pt>
                <c:pt idx="2">
                  <c:v>1954</c:v>
                </c:pt>
                <c:pt idx="3">
                  <c:v>1400</c:v>
                </c:pt>
                <c:pt idx="4">
                  <c:v>1075</c:v>
                </c:pt>
                <c:pt idx="5">
                  <c:v>62</c:v>
                </c:pt>
                <c:pt idx="6">
                  <c:v>688</c:v>
                </c:pt>
                <c:pt idx="7">
                  <c:v>1000</c:v>
                </c:pt>
                <c:pt idx="8">
                  <c:v>1000</c:v>
                </c:pt>
                <c:pt idx="9">
                  <c:v>1000</c:v>
                </c:pt>
              </c:numCache>
            </c:numRef>
          </c:val>
        </c:ser>
        <c:ser>
          <c:idx val="1"/>
          <c:order val="1"/>
          <c:tx>
            <c:strRef>
              <c:f>Sheet3!$A$16</c:f>
              <c:strCache>
                <c:ptCount val="1"/>
                <c:pt idx="0">
                  <c:v>New</c:v>
                </c:pt>
              </c:strCache>
            </c:strRef>
          </c:tx>
          <c:spPr>
            <a:solidFill>
              <a:schemeClr val="accent2">
                <a:lumMod val="50000"/>
              </a:schemeClr>
            </a:solidFill>
          </c:spPr>
          <c:invertIfNegative val="0"/>
          <c:cat>
            <c:strRef>
              <c:f>Sheet3!$B$14:$O$14</c:f>
              <c:strCache>
                <c:ptCount val="10"/>
                <c:pt idx="0">
                  <c:v>2013- 14</c:v>
                </c:pt>
                <c:pt idx="1">
                  <c:v>2014 – 15</c:v>
                </c:pt>
                <c:pt idx="2">
                  <c:v>2015 - 16</c:v>
                </c:pt>
                <c:pt idx="3">
                  <c:v>2016 - 17</c:v>
                </c:pt>
                <c:pt idx="4">
                  <c:v>2017- 18</c:v>
                </c:pt>
                <c:pt idx="5">
                  <c:v>2018 – 19</c:v>
                </c:pt>
                <c:pt idx="6">
                  <c:v>2019- 20</c:v>
                </c:pt>
                <c:pt idx="7">
                  <c:v>2020 – 21</c:v>
                </c:pt>
                <c:pt idx="8">
                  <c:v>2021 - 22</c:v>
                </c:pt>
                <c:pt idx="9">
                  <c:v>2022 - 23</c:v>
                </c:pt>
              </c:strCache>
            </c:strRef>
          </c:cat>
          <c:val>
            <c:numRef>
              <c:f>Sheet3!$B$16:$O$16</c:f>
              <c:numCache>
                <c:formatCode>#,##0_ ;\-#,##0\ </c:formatCode>
                <c:ptCount val="10"/>
                <c:pt idx="0">
                  <c:v>1750</c:v>
                </c:pt>
                <c:pt idx="1">
                  <c:v>6715</c:v>
                </c:pt>
                <c:pt idx="2">
                  <c:v>5734</c:v>
                </c:pt>
                <c:pt idx="3">
                  <c:v>21285</c:v>
                </c:pt>
                <c:pt idx="4">
                  <c:v>28571</c:v>
                </c:pt>
                <c:pt idx="5">
                  <c:v>6527</c:v>
                </c:pt>
                <c:pt idx="6">
                  <c:v>4638</c:v>
                </c:pt>
                <c:pt idx="7">
                  <c:v>5775</c:v>
                </c:pt>
                <c:pt idx="8">
                  <c:v>7750</c:v>
                </c:pt>
                <c:pt idx="9">
                  <c:v>16450</c:v>
                </c:pt>
              </c:numCache>
            </c:numRef>
          </c:val>
        </c:ser>
        <c:dLbls>
          <c:showLegendKey val="0"/>
          <c:showVal val="0"/>
          <c:showCatName val="0"/>
          <c:showSerName val="0"/>
          <c:showPercent val="0"/>
          <c:showBubbleSize val="0"/>
        </c:dLbls>
        <c:gapWidth val="150"/>
        <c:axId val="1068638656"/>
        <c:axId val="1068643360"/>
      </c:barChart>
      <c:catAx>
        <c:axId val="1068638656"/>
        <c:scaling>
          <c:orientation val="minMax"/>
        </c:scaling>
        <c:delete val="0"/>
        <c:axPos val="b"/>
        <c:numFmt formatCode="General" sourceLinked="0"/>
        <c:majorTickMark val="none"/>
        <c:minorTickMark val="none"/>
        <c:tickLblPos val="nextTo"/>
        <c:crossAx val="1068643360"/>
        <c:crosses val="autoZero"/>
        <c:auto val="1"/>
        <c:lblAlgn val="ctr"/>
        <c:lblOffset val="100"/>
        <c:noMultiLvlLbl val="0"/>
      </c:catAx>
      <c:valAx>
        <c:axId val="1068643360"/>
        <c:scaling>
          <c:orientation val="minMax"/>
        </c:scaling>
        <c:delete val="0"/>
        <c:axPos val="l"/>
        <c:majorGridlines/>
        <c:title>
          <c:tx>
            <c:rich>
              <a:bodyPr/>
              <a:lstStyle/>
              <a:p>
                <a:pPr>
                  <a:defRPr/>
                </a:pPr>
                <a:r>
                  <a:rPr lang="en-US"/>
                  <a:t>'000</a:t>
                </a:r>
              </a:p>
            </c:rich>
          </c:tx>
          <c:overlay val="0"/>
        </c:title>
        <c:numFmt formatCode="#,##0_ ;\-#,##0\ " sourceLinked="1"/>
        <c:majorTickMark val="none"/>
        <c:minorTickMark val="none"/>
        <c:tickLblPos val="nextTo"/>
        <c:crossAx val="1068638656"/>
        <c:crosses val="autoZero"/>
        <c:crossBetween val="between"/>
      </c:valAx>
      <c:dTable>
        <c:showHorzBorder val="1"/>
        <c:showVertBorder val="1"/>
        <c:showOutline val="1"/>
        <c:showKeys val="1"/>
      </c:dTable>
    </c:plotArea>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sz="1100"/>
            </a:pPr>
            <a:r>
              <a:rPr lang="en-AU" sz="1100"/>
              <a:t>Current 10 Year Capital Works Expenditure </a:t>
            </a:r>
          </a:p>
        </c:rich>
      </c:tx>
      <c:overlay val="0"/>
    </c:title>
    <c:autoTitleDeleted val="0"/>
    <c:plotArea>
      <c:layout/>
      <c:barChart>
        <c:barDir val="col"/>
        <c:grouping val="clustered"/>
        <c:varyColors val="0"/>
        <c:ser>
          <c:idx val="0"/>
          <c:order val="0"/>
          <c:tx>
            <c:strRef>
              <c:f>Sheet3!$A$22</c:f>
              <c:strCache>
                <c:ptCount val="1"/>
                <c:pt idx="0">
                  <c:v>Upgrades</c:v>
                </c:pt>
              </c:strCache>
            </c:strRef>
          </c:tx>
          <c:spPr>
            <a:solidFill>
              <a:schemeClr val="accent6">
                <a:lumMod val="75000"/>
              </a:schemeClr>
            </a:solidFill>
          </c:spPr>
          <c:invertIfNegative val="0"/>
          <c:cat>
            <c:strRef>
              <c:f>Sheet3!$B$21:$O$21</c:f>
              <c:strCache>
                <c:ptCount val="10"/>
                <c:pt idx="0">
                  <c:v>2013- 14</c:v>
                </c:pt>
                <c:pt idx="1">
                  <c:v>2014 – 15</c:v>
                </c:pt>
                <c:pt idx="2">
                  <c:v>2015 - 16</c:v>
                </c:pt>
                <c:pt idx="3">
                  <c:v>2016 - 17</c:v>
                </c:pt>
                <c:pt idx="4">
                  <c:v>2017- 18</c:v>
                </c:pt>
                <c:pt idx="5">
                  <c:v>2018 – 19</c:v>
                </c:pt>
                <c:pt idx="6">
                  <c:v>2019- 20</c:v>
                </c:pt>
                <c:pt idx="7">
                  <c:v>2020 – 21</c:v>
                </c:pt>
                <c:pt idx="8">
                  <c:v>2021 - 22</c:v>
                </c:pt>
                <c:pt idx="9">
                  <c:v>2022 - 23</c:v>
                </c:pt>
              </c:strCache>
            </c:strRef>
          </c:cat>
          <c:val>
            <c:numRef>
              <c:f>Sheet3!$B$22:$O$22</c:f>
              <c:numCache>
                <c:formatCode>#,##0_ ;\-#,##0\ </c:formatCode>
                <c:ptCount val="10"/>
                <c:pt idx="0">
                  <c:v>4285</c:v>
                </c:pt>
                <c:pt idx="1">
                  <c:v>925</c:v>
                </c:pt>
                <c:pt idx="2">
                  <c:v>1954</c:v>
                </c:pt>
                <c:pt idx="3">
                  <c:v>1400</c:v>
                </c:pt>
                <c:pt idx="4">
                  <c:v>1075</c:v>
                </c:pt>
                <c:pt idx="5">
                  <c:v>62</c:v>
                </c:pt>
                <c:pt idx="6">
                  <c:v>688</c:v>
                </c:pt>
                <c:pt idx="7">
                  <c:v>1000</c:v>
                </c:pt>
                <c:pt idx="8">
                  <c:v>1000</c:v>
                </c:pt>
                <c:pt idx="9">
                  <c:v>1000</c:v>
                </c:pt>
              </c:numCache>
            </c:numRef>
          </c:val>
        </c:ser>
        <c:ser>
          <c:idx val="1"/>
          <c:order val="1"/>
          <c:tx>
            <c:strRef>
              <c:f>Sheet3!$A$23</c:f>
              <c:strCache>
                <c:ptCount val="1"/>
                <c:pt idx="0">
                  <c:v>New</c:v>
                </c:pt>
              </c:strCache>
            </c:strRef>
          </c:tx>
          <c:spPr>
            <a:solidFill>
              <a:schemeClr val="accent2">
                <a:lumMod val="50000"/>
              </a:schemeClr>
            </a:solidFill>
          </c:spPr>
          <c:invertIfNegative val="0"/>
          <c:cat>
            <c:strRef>
              <c:f>Sheet3!$B$21:$O$21</c:f>
              <c:strCache>
                <c:ptCount val="10"/>
                <c:pt idx="0">
                  <c:v>2013- 14</c:v>
                </c:pt>
                <c:pt idx="1">
                  <c:v>2014 – 15</c:v>
                </c:pt>
                <c:pt idx="2">
                  <c:v>2015 - 16</c:v>
                </c:pt>
                <c:pt idx="3">
                  <c:v>2016 - 17</c:v>
                </c:pt>
                <c:pt idx="4">
                  <c:v>2017- 18</c:v>
                </c:pt>
                <c:pt idx="5">
                  <c:v>2018 – 19</c:v>
                </c:pt>
                <c:pt idx="6">
                  <c:v>2019- 20</c:v>
                </c:pt>
                <c:pt idx="7">
                  <c:v>2020 – 21</c:v>
                </c:pt>
                <c:pt idx="8">
                  <c:v>2021 - 22</c:v>
                </c:pt>
                <c:pt idx="9">
                  <c:v>2022 - 23</c:v>
                </c:pt>
              </c:strCache>
            </c:strRef>
          </c:cat>
          <c:val>
            <c:numRef>
              <c:f>Sheet3!$B$23:$O$23</c:f>
              <c:numCache>
                <c:formatCode>#,##0_ ;\-#,##0\ </c:formatCode>
                <c:ptCount val="10"/>
                <c:pt idx="0">
                  <c:v>1750</c:v>
                </c:pt>
                <c:pt idx="1">
                  <c:v>6715</c:v>
                </c:pt>
                <c:pt idx="2">
                  <c:v>5734</c:v>
                </c:pt>
                <c:pt idx="3">
                  <c:v>21285</c:v>
                </c:pt>
                <c:pt idx="4">
                  <c:v>28571</c:v>
                </c:pt>
                <c:pt idx="5">
                  <c:v>6527</c:v>
                </c:pt>
                <c:pt idx="6">
                  <c:v>4638</c:v>
                </c:pt>
                <c:pt idx="7">
                  <c:v>5775</c:v>
                </c:pt>
                <c:pt idx="8">
                  <c:v>7750</c:v>
                </c:pt>
                <c:pt idx="9">
                  <c:v>16450</c:v>
                </c:pt>
              </c:numCache>
            </c:numRef>
          </c:val>
        </c:ser>
        <c:ser>
          <c:idx val="2"/>
          <c:order val="2"/>
          <c:tx>
            <c:strRef>
              <c:f>Sheet3!$A$24</c:f>
              <c:strCache>
                <c:ptCount val="1"/>
                <c:pt idx="0">
                  <c:v>Renewals</c:v>
                </c:pt>
              </c:strCache>
            </c:strRef>
          </c:tx>
          <c:spPr>
            <a:solidFill>
              <a:schemeClr val="tx2">
                <a:lumMod val="75000"/>
              </a:schemeClr>
            </a:solidFill>
          </c:spPr>
          <c:invertIfNegative val="0"/>
          <c:cat>
            <c:strRef>
              <c:f>Sheet3!$B$21:$O$21</c:f>
              <c:strCache>
                <c:ptCount val="10"/>
                <c:pt idx="0">
                  <c:v>2013- 14</c:v>
                </c:pt>
                <c:pt idx="1">
                  <c:v>2014 – 15</c:v>
                </c:pt>
                <c:pt idx="2">
                  <c:v>2015 - 16</c:v>
                </c:pt>
                <c:pt idx="3">
                  <c:v>2016 - 17</c:v>
                </c:pt>
                <c:pt idx="4">
                  <c:v>2017- 18</c:v>
                </c:pt>
                <c:pt idx="5">
                  <c:v>2018 – 19</c:v>
                </c:pt>
                <c:pt idx="6">
                  <c:v>2019- 20</c:v>
                </c:pt>
                <c:pt idx="7">
                  <c:v>2020 – 21</c:v>
                </c:pt>
                <c:pt idx="8">
                  <c:v>2021 - 22</c:v>
                </c:pt>
                <c:pt idx="9">
                  <c:v>2022 - 23</c:v>
                </c:pt>
              </c:strCache>
            </c:strRef>
          </c:cat>
          <c:val>
            <c:numRef>
              <c:f>Sheet3!$B$24:$O$24</c:f>
              <c:numCache>
                <c:formatCode>#,##0_ ;\-#,##0\ </c:formatCode>
                <c:ptCount val="10"/>
                <c:pt idx="0">
                  <c:v>4881</c:v>
                </c:pt>
                <c:pt idx="1">
                  <c:v>2651</c:v>
                </c:pt>
                <c:pt idx="2">
                  <c:v>3165</c:v>
                </c:pt>
                <c:pt idx="3">
                  <c:v>2695</c:v>
                </c:pt>
                <c:pt idx="4">
                  <c:v>1785</c:v>
                </c:pt>
                <c:pt idx="5">
                  <c:v>6323</c:v>
                </c:pt>
                <c:pt idx="6">
                  <c:v>6785</c:v>
                </c:pt>
                <c:pt idx="7">
                  <c:v>7267</c:v>
                </c:pt>
                <c:pt idx="8">
                  <c:v>7125</c:v>
                </c:pt>
                <c:pt idx="9">
                  <c:v>5600</c:v>
                </c:pt>
              </c:numCache>
            </c:numRef>
          </c:val>
        </c:ser>
        <c:dLbls>
          <c:showLegendKey val="0"/>
          <c:showVal val="0"/>
          <c:showCatName val="0"/>
          <c:showSerName val="0"/>
          <c:showPercent val="0"/>
          <c:showBubbleSize val="0"/>
        </c:dLbls>
        <c:gapWidth val="150"/>
        <c:axId val="1068641400"/>
        <c:axId val="1068644536"/>
      </c:barChart>
      <c:catAx>
        <c:axId val="1068641400"/>
        <c:scaling>
          <c:orientation val="minMax"/>
        </c:scaling>
        <c:delete val="0"/>
        <c:axPos val="b"/>
        <c:numFmt formatCode="General" sourceLinked="0"/>
        <c:majorTickMark val="none"/>
        <c:minorTickMark val="none"/>
        <c:tickLblPos val="nextTo"/>
        <c:crossAx val="1068644536"/>
        <c:crosses val="autoZero"/>
        <c:auto val="1"/>
        <c:lblAlgn val="ctr"/>
        <c:lblOffset val="100"/>
        <c:noMultiLvlLbl val="0"/>
      </c:catAx>
      <c:valAx>
        <c:axId val="1068644536"/>
        <c:scaling>
          <c:orientation val="minMax"/>
        </c:scaling>
        <c:delete val="0"/>
        <c:axPos val="l"/>
        <c:majorGridlines/>
        <c:title>
          <c:tx>
            <c:rich>
              <a:bodyPr/>
              <a:lstStyle/>
              <a:p>
                <a:pPr>
                  <a:defRPr/>
                </a:pPr>
                <a:r>
                  <a:rPr lang="en-US"/>
                  <a:t>$'000</a:t>
                </a:r>
              </a:p>
            </c:rich>
          </c:tx>
          <c:overlay val="0"/>
        </c:title>
        <c:numFmt formatCode="#,##0_ ;\-#,##0\ " sourceLinked="1"/>
        <c:majorTickMark val="none"/>
        <c:minorTickMark val="none"/>
        <c:tickLblPos val="nextTo"/>
        <c:crossAx val="1068641400"/>
        <c:crosses val="autoZero"/>
        <c:crossBetween val="between"/>
      </c:valAx>
      <c:dTable>
        <c:showHorzBorder val="1"/>
        <c:showVertBorder val="1"/>
        <c:showOutline val="1"/>
        <c:showKeys val="1"/>
      </c:dTable>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lang="en-AU" sz="1200"/>
            </a:pPr>
            <a:r>
              <a:rPr lang="en-US" sz="1200"/>
              <a:t>10 Year Operational &amp; Maintenance Budget Projection </a:t>
            </a:r>
          </a:p>
        </c:rich>
      </c:tx>
      <c:overlay val="0"/>
    </c:title>
    <c:autoTitleDeleted val="0"/>
    <c:plotArea>
      <c:layout/>
      <c:barChart>
        <c:barDir val="col"/>
        <c:grouping val="clustered"/>
        <c:varyColors val="0"/>
        <c:ser>
          <c:idx val="0"/>
          <c:order val="0"/>
          <c:tx>
            <c:strRef>
              <c:f>Sheet1!$A$3</c:f>
              <c:strCache>
                <c:ptCount val="1"/>
                <c:pt idx="0">
                  <c:v>Operations </c:v>
                </c:pt>
              </c:strCache>
            </c:strRef>
          </c:tx>
          <c:invertIfNegative val="0"/>
          <c:cat>
            <c:strRef>
              <c:f>Sheet1!$B$2:$O$2</c:f>
              <c:strCache>
                <c:ptCount val="10"/>
                <c:pt idx="0">
                  <c:v>2013- 14</c:v>
                </c:pt>
                <c:pt idx="1">
                  <c:v>2014 – 15</c:v>
                </c:pt>
                <c:pt idx="2">
                  <c:v>2015 - 16</c:v>
                </c:pt>
                <c:pt idx="3">
                  <c:v>2016 - 17</c:v>
                </c:pt>
                <c:pt idx="4">
                  <c:v>2017- 18</c:v>
                </c:pt>
                <c:pt idx="5">
                  <c:v>2018 – 19</c:v>
                </c:pt>
                <c:pt idx="6">
                  <c:v>2019- 20</c:v>
                </c:pt>
                <c:pt idx="7">
                  <c:v>2020 – 21</c:v>
                </c:pt>
                <c:pt idx="8">
                  <c:v>2021 - 22</c:v>
                </c:pt>
                <c:pt idx="9">
                  <c:v>2022 - 23</c:v>
                </c:pt>
              </c:strCache>
            </c:strRef>
          </c:cat>
          <c:val>
            <c:numRef>
              <c:f>Sheet1!$B$3:$O$3</c:f>
              <c:numCache>
                <c:formatCode>#,##0_ ;\-#,##0\ </c:formatCode>
                <c:ptCount val="10"/>
                <c:pt idx="0">
                  <c:v>2541.7599999999998</c:v>
                </c:pt>
                <c:pt idx="1">
                  <c:v>2643.4304000000002</c:v>
                </c:pt>
                <c:pt idx="2">
                  <c:v>2749.1676160000002</c:v>
                </c:pt>
                <c:pt idx="3">
                  <c:v>2859.1343206400002</c:v>
                </c:pt>
                <c:pt idx="4">
                  <c:v>2973.4996934655996</c:v>
                </c:pt>
                <c:pt idx="5">
                  <c:v>3092.4396812042241</c:v>
                </c:pt>
                <c:pt idx="6">
                  <c:v>3216.1372684523931</c:v>
                </c:pt>
                <c:pt idx="7">
                  <c:v>3344.7827591904888</c:v>
                </c:pt>
                <c:pt idx="8">
                  <c:v>3478.5740695581085</c:v>
                </c:pt>
                <c:pt idx="9">
                  <c:v>3617.7170323404498</c:v>
                </c:pt>
              </c:numCache>
            </c:numRef>
          </c:val>
        </c:ser>
        <c:ser>
          <c:idx val="1"/>
          <c:order val="1"/>
          <c:tx>
            <c:strRef>
              <c:f>Sheet1!$A$4</c:f>
              <c:strCache>
                <c:ptCount val="1"/>
                <c:pt idx="0">
                  <c:v>Maintenance</c:v>
                </c:pt>
              </c:strCache>
            </c:strRef>
          </c:tx>
          <c:invertIfNegative val="0"/>
          <c:cat>
            <c:strRef>
              <c:f>Sheet1!$B$2:$O$2</c:f>
              <c:strCache>
                <c:ptCount val="10"/>
                <c:pt idx="0">
                  <c:v>2013- 14</c:v>
                </c:pt>
                <c:pt idx="1">
                  <c:v>2014 – 15</c:v>
                </c:pt>
                <c:pt idx="2">
                  <c:v>2015 - 16</c:v>
                </c:pt>
                <c:pt idx="3">
                  <c:v>2016 - 17</c:v>
                </c:pt>
                <c:pt idx="4">
                  <c:v>2017- 18</c:v>
                </c:pt>
                <c:pt idx="5">
                  <c:v>2018 – 19</c:v>
                </c:pt>
                <c:pt idx="6">
                  <c:v>2019- 20</c:v>
                </c:pt>
                <c:pt idx="7">
                  <c:v>2020 – 21</c:v>
                </c:pt>
                <c:pt idx="8">
                  <c:v>2021 - 22</c:v>
                </c:pt>
                <c:pt idx="9">
                  <c:v>2022 - 23</c:v>
                </c:pt>
              </c:strCache>
            </c:strRef>
          </c:cat>
          <c:val>
            <c:numRef>
              <c:f>Sheet1!$B$4:$O$4</c:f>
              <c:numCache>
                <c:formatCode>#,##0_ ;\-#,##0\ </c:formatCode>
                <c:ptCount val="10"/>
                <c:pt idx="0">
                  <c:v>2010.32</c:v>
                </c:pt>
                <c:pt idx="1">
                  <c:v>2090.7327999999998</c:v>
                </c:pt>
                <c:pt idx="2">
                  <c:v>2174.3621120000157</c:v>
                </c:pt>
                <c:pt idx="3">
                  <c:v>2261.3365964800109</c:v>
                </c:pt>
                <c:pt idx="4">
                  <c:v>2351.7900603391995</c:v>
                </c:pt>
                <c:pt idx="5">
                  <c:v>2445.8616627527667</c:v>
                </c:pt>
                <c:pt idx="6">
                  <c:v>2543.6961292628785</c:v>
                </c:pt>
                <c:pt idx="7">
                  <c:v>2645.4439744333972</c:v>
                </c:pt>
                <c:pt idx="8">
                  <c:v>2751.2617334107294</c:v>
                </c:pt>
                <c:pt idx="9">
                  <c:v>2861.3122027471622</c:v>
                </c:pt>
              </c:numCache>
            </c:numRef>
          </c:val>
        </c:ser>
        <c:dLbls>
          <c:showLegendKey val="0"/>
          <c:showVal val="0"/>
          <c:showCatName val="0"/>
          <c:showSerName val="0"/>
          <c:showPercent val="0"/>
          <c:showBubbleSize val="0"/>
        </c:dLbls>
        <c:gapWidth val="150"/>
        <c:axId val="615521440"/>
        <c:axId val="615514384"/>
      </c:barChart>
      <c:catAx>
        <c:axId val="615521440"/>
        <c:scaling>
          <c:orientation val="minMax"/>
        </c:scaling>
        <c:delete val="0"/>
        <c:axPos val="b"/>
        <c:numFmt formatCode="General" sourceLinked="0"/>
        <c:majorTickMark val="none"/>
        <c:minorTickMark val="none"/>
        <c:tickLblPos val="nextTo"/>
        <c:txPr>
          <a:bodyPr/>
          <a:lstStyle/>
          <a:p>
            <a:pPr>
              <a:defRPr lang="en-AU"/>
            </a:pPr>
            <a:endParaRPr lang="en-US"/>
          </a:p>
        </c:txPr>
        <c:crossAx val="615514384"/>
        <c:crosses val="autoZero"/>
        <c:auto val="1"/>
        <c:lblAlgn val="ctr"/>
        <c:lblOffset val="100"/>
        <c:noMultiLvlLbl val="0"/>
      </c:catAx>
      <c:valAx>
        <c:axId val="615514384"/>
        <c:scaling>
          <c:orientation val="minMax"/>
        </c:scaling>
        <c:delete val="0"/>
        <c:axPos val="l"/>
        <c:majorGridlines/>
        <c:title>
          <c:tx>
            <c:rich>
              <a:bodyPr/>
              <a:lstStyle/>
              <a:p>
                <a:pPr>
                  <a:defRPr lang="en-AU"/>
                </a:pPr>
                <a:r>
                  <a:rPr lang="en-US"/>
                  <a:t>"000</a:t>
                </a:r>
              </a:p>
            </c:rich>
          </c:tx>
          <c:overlay val="0"/>
        </c:title>
        <c:numFmt formatCode="#,##0_ ;\-#,##0\ " sourceLinked="1"/>
        <c:majorTickMark val="none"/>
        <c:minorTickMark val="none"/>
        <c:tickLblPos val="nextTo"/>
        <c:txPr>
          <a:bodyPr/>
          <a:lstStyle/>
          <a:p>
            <a:pPr>
              <a:defRPr lang="en-AU"/>
            </a:pPr>
            <a:endParaRPr lang="en-US"/>
          </a:p>
        </c:txPr>
        <c:crossAx val="615521440"/>
        <c:crosses val="autoZero"/>
        <c:crossBetween val="between"/>
      </c:valAx>
      <c:dTable>
        <c:showHorzBorder val="1"/>
        <c:showVertBorder val="1"/>
        <c:showOutline val="1"/>
        <c:showKeys val="1"/>
        <c:txPr>
          <a:bodyPr/>
          <a:lstStyle/>
          <a:p>
            <a:pPr rtl="0">
              <a:defRPr lang="en-AU"/>
            </a:pPr>
            <a:endParaRPr lang="en-US"/>
          </a:p>
        </c:txPr>
      </c:dTable>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sz="1200"/>
            </a:pPr>
            <a:r>
              <a:rPr lang="en-US" sz="1200"/>
              <a:t>Renewal Capital Works Budget 2008-2014 </a:t>
            </a:r>
          </a:p>
          <a:p>
            <a:pPr>
              <a:defRPr sz="1200"/>
            </a:pPr>
            <a:r>
              <a:rPr lang="en-US" sz="1200"/>
              <a:t>(2012-13 &amp;</a:t>
            </a:r>
            <a:r>
              <a:rPr lang="en-US" sz="1200" baseline="0"/>
              <a:t> 2013-14 Collingwood Town Hall)</a:t>
            </a:r>
            <a:endParaRPr lang="en-US" sz="1200"/>
          </a:p>
        </c:rich>
      </c:tx>
      <c:overlay val="0"/>
    </c:title>
    <c:autoTitleDeleted val="0"/>
    <c:plotArea>
      <c:layout/>
      <c:barChart>
        <c:barDir val="col"/>
        <c:grouping val="clustered"/>
        <c:varyColors val="0"/>
        <c:ser>
          <c:idx val="0"/>
          <c:order val="0"/>
          <c:tx>
            <c:strRef>
              <c:f>Sheet3!$F$58</c:f>
              <c:strCache>
                <c:ptCount val="1"/>
                <c:pt idx="0">
                  <c:v>Renewal</c:v>
                </c:pt>
              </c:strCache>
            </c:strRef>
          </c:tx>
          <c:spPr>
            <a:solidFill>
              <a:schemeClr val="tx2">
                <a:lumMod val="75000"/>
              </a:schemeClr>
            </a:solidFill>
          </c:spPr>
          <c:invertIfNegative val="0"/>
          <c:cat>
            <c:strRef>
              <c:f>Sheet3!$G$57:$L$57</c:f>
              <c:strCache>
                <c:ptCount val="6"/>
                <c:pt idx="0">
                  <c:v>2008-09</c:v>
                </c:pt>
                <c:pt idx="1">
                  <c:v>2009-10</c:v>
                </c:pt>
                <c:pt idx="2">
                  <c:v>20010-11</c:v>
                </c:pt>
                <c:pt idx="3">
                  <c:v>2011-12</c:v>
                </c:pt>
                <c:pt idx="4">
                  <c:v>2012-13</c:v>
                </c:pt>
                <c:pt idx="5">
                  <c:v>2013-14</c:v>
                </c:pt>
              </c:strCache>
            </c:strRef>
          </c:cat>
          <c:val>
            <c:numRef>
              <c:f>Sheet3!$G$58:$L$58</c:f>
              <c:numCache>
                <c:formatCode>#,##0</c:formatCode>
                <c:ptCount val="6"/>
                <c:pt idx="0" formatCode="#,##0_ ;[Red]\-#,##0\ ">
                  <c:v>1933</c:v>
                </c:pt>
                <c:pt idx="1">
                  <c:v>1025</c:v>
                </c:pt>
                <c:pt idx="2">
                  <c:v>2067</c:v>
                </c:pt>
                <c:pt idx="3">
                  <c:v>2555</c:v>
                </c:pt>
                <c:pt idx="4">
                  <c:v>7191</c:v>
                </c:pt>
                <c:pt idx="5">
                  <c:v>7531</c:v>
                </c:pt>
              </c:numCache>
            </c:numRef>
          </c:val>
        </c:ser>
        <c:dLbls>
          <c:showLegendKey val="0"/>
          <c:showVal val="0"/>
          <c:showCatName val="0"/>
          <c:showSerName val="0"/>
          <c:showPercent val="0"/>
          <c:showBubbleSize val="0"/>
        </c:dLbls>
        <c:gapWidth val="150"/>
        <c:axId val="615520656"/>
        <c:axId val="615514776"/>
      </c:barChart>
      <c:catAx>
        <c:axId val="615520656"/>
        <c:scaling>
          <c:orientation val="minMax"/>
        </c:scaling>
        <c:delete val="0"/>
        <c:axPos val="b"/>
        <c:numFmt formatCode="General" sourceLinked="0"/>
        <c:majorTickMark val="none"/>
        <c:minorTickMark val="none"/>
        <c:tickLblPos val="nextTo"/>
        <c:crossAx val="615514776"/>
        <c:crosses val="autoZero"/>
        <c:auto val="1"/>
        <c:lblAlgn val="ctr"/>
        <c:lblOffset val="100"/>
        <c:noMultiLvlLbl val="0"/>
      </c:catAx>
      <c:valAx>
        <c:axId val="615514776"/>
        <c:scaling>
          <c:orientation val="minMax"/>
        </c:scaling>
        <c:delete val="0"/>
        <c:axPos val="l"/>
        <c:majorGridlines/>
        <c:title>
          <c:tx>
            <c:rich>
              <a:bodyPr/>
              <a:lstStyle/>
              <a:p>
                <a:pPr>
                  <a:defRPr/>
                </a:pPr>
                <a:r>
                  <a:rPr lang="en-US"/>
                  <a:t>$'000</a:t>
                </a:r>
              </a:p>
            </c:rich>
          </c:tx>
          <c:overlay val="0"/>
        </c:title>
        <c:numFmt formatCode="#,##0_ ;[Red]\-#,##0\ " sourceLinked="1"/>
        <c:majorTickMark val="none"/>
        <c:minorTickMark val="none"/>
        <c:tickLblPos val="nextTo"/>
        <c:crossAx val="615520656"/>
        <c:crosses val="autoZero"/>
        <c:crossBetween val="between"/>
      </c:valAx>
      <c:dTable>
        <c:showHorzBorder val="1"/>
        <c:showVertBorder val="1"/>
        <c:showOutline val="1"/>
        <c:showKeys val="1"/>
      </c:dTable>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sz="1200"/>
            </a:pPr>
            <a:r>
              <a:rPr lang="en-US" sz="1200"/>
              <a:t>10 Year Capital Works Renewal Budget</a:t>
            </a:r>
          </a:p>
        </c:rich>
      </c:tx>
      <c:overlay val="0"/>
    </c:title>
    <c:autoTitleDeleted val="0"/>
    <c:plotArea>
      <c:layout/>
      <c:barChart>
        <c:barDir val="col"/>
        <c:grouping val="clustered"/>
        <c:varyColors val="0"/>
        <c:ser>
          <c:idx val="0"/>
          <c:order val="0"/>
          <c:tx>
            <c:strRef>
              <c:f>Sheet3!$A$12</c:f>
              <c:strCache>
                <c:ptCount val="1"/>
                <c:pt idx="0">
                  <c:v>Renewals</c:v>
                </c:pt>
              </c:strCache>
            </c:strRef>
          </c:tx>
          <c:spPr>
            <a:solidFill>
              <a:srgbClr val="1F497D">
                <a:lumMod val="75000"/>
              </a:srgbClr>
            </a:solidFill>
          </c:spPr>
          <c:invertIfNegative val="0"/>
          <c:cat>
            <c:strRef>
              <c:f>Sheet3!$B$11:$O$11</c:f>
              <c:strCache>
                <c:ptCount val="10"/>
                <c:pt idx="0">
                  <c:v>2013- 14</c:v>
                </c:pt>
                <c:pt idx="1">
                  <c:v>2014 – 15</c:v>
                </c:pt>
                <c:pt idx="2">
                  <c:v>2015 - 16</c:v>
                </c:pt>
                <c:pt idx="3">
                  <c:v>2016 - 17</c:v>
                </c:pt>
                <c:pt idx="4">
                  <c:v>2017- 18</c:v>
                </c:pt>
                <c:pt idx="5">
                  <c:v>2018 – 19</c:v>
                </c:pt>
                <c:pt idx="6">
                  <c:v>2019- 20</c:v>
                </c:pt>
                <c:pt idx="7">
                  <c:v>2020 – 21</c:v>
                </c:pt>
                <c:pt idx="8">
                  <c:v>2021 - 22</c:v>
                </c:pt>
                <c:pt idx="9">
                  <c:v>2022 - 23</c:v>
                </c:pt>
              </c:strCache>
            </c:strRef>
          </c:cat>
          <c:val>
            <c:numRef>
              <c:f>Sheet3!$B$12:$O$12</c:f>
              <c:numCache>
                <c:formatCode>#,##0_ ;\-#,##0\ </c:formatCode>
                <c:ptCount val="10"/>
                <c:pt idx="0">
                  <c:v>4881</c:v>
                </c:pt>
                <c:pt idx="1">
                  <c:v>2651</c:v>
                </c:pt>
                <c:pt idx="2">
                  <c:v>3165</c:v>
                </c:pt>
                <c:pt idx="3">
                  <c:v>2695</c:v>
                </c:pt>
                <c:pt idx="4">
                  <c:v>1785</c:v>
                </c:pt>
                <c:pt idx="5">
                  <c:v>6323</c:v>
                </c:pt>
                <c:pt idx="6">
                  <c:v>6785</c:v>
                </c:pt>
                <c:pt idx="7">
                  <c:v>7267</c:v>
                </c:pt>
                <c:pt idx="8">
                  <c:v>7125</c:v>
                </c:pt>
                <c:pt idx="9">
                  <c:v>5600</c:v>
                </c:pt>
              </c:numCache>
            </c:numRef>
          </c:val>
        </c:ser>
        <c:dLbls>
          <c:showLegendKey val="0"/>
          <c:showVal val="0"/>
          <c:showCatName val="0"/>
          <c:showSerName val="0"/>
          <c:showPercent val="0"/>
          <c:showBubbleSize val="0"/>
        </c:dLbls>
        <c:gapWidth val="150"/>
        <c:axId val="808751480"/>
        <c:axId val="807053056"/>
      </c:barChart>
      <c:catAx>
        <c:axId val="808751480"/>
        <c:scaling>
          <c:orientation val="minMax"/>
        </c:scaling>
        <c:delete val="0"/>
        <c:axPos val="b"/>
        <c:numFmt formatCode="General" sourceLinked="0"/>
        <c:majorTickMark val="none"/>
        <c:minorTickMark val="none"/>
        <c:tickLblPos val="nextTo"/>
        <c:crossAx val="807053056"/>
        <c:crosses val="autoZero"/>
        <c:auto val="1"/>
        <c:lblAlgn val="ctr"/>
        <c:lblOffset val="100"/>
        <c:noMultiLvlLbl val="0"/>
      </c:catAx>
      <c:valAx>
        <c:axId val="807053056"/>
        <c:scaling>
          <c:orientation val="minMax"/>
        </c:scaling>
        <c:delete val="0"/>
        <c:axPos val="l"/>
        <c:majorGridlines/>
        <c:title>
          <c:tx>
            <c:rich>
              <a:bodyPr/>
              <a:lstStyle/>
              <a:p>
                <a:pPr>
                  <a:defRPr/>
                </a:pPr>
                <a:r>
                  <a:rPr lang="en-US"/>
                  <a:t>$'000</a:t>
                </a:r>
              </a:p>
            </c:rich>
          </c:tx>
          <c:overlay val="0"/>
        </c:title>
        <c:numFmt formatCode="#,##0_ ;\-#,##0\ " sourceLinked="1"/>
        <c:majorTickMark val="none"/>
        <c:minorTickMark val="none"/>
        <c:tickLblPos val="nextTo"/>
        <c:crossAx val="808751480"/>
        <c:crosses val="autoZero"/>
        <c:crossBetween val="between"/>
      </c:valAx>
      <c:dTable>
        <c:showHorzBorder val="1"/>
        <c:showVertBorder val="1"/>
        <c:showOutline val="1"/>
        <c:showKeys val="1"/>
      </c:dTable>
    </c:plotArea>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a:pPr>
            <a:r>
              <a:rPr lang="en-US" sz="1200"/>
              <a:t>Upgrade and New Capital Works Budget 2008-2014</a:t>
            </a:r>
          </a:p>
        </c:rich>
      </c:tx>
      <c:overlay val="0"/>
    </c:title>
    <c:autoTitleDeleted val="0"/>
    <c:plotArea>
      <c:layout/>
      <c:barChart>
        <c:barDir val="col"/>
        <c:grouping val="clustered"/>
        <c:varyColors val="0"/>
        <c:ser>
          <c:idx val="0"/>
          <c:order val="0"/>
          <c:tx>
            <c:strRef>
              <c:f>Sheet3!$F$62</c:f>
              <c:strCache>
                <c:ptCount val="1"/>
                <c:pt idx="0">
                  <c:v>Upgrade</c:v>
                </c:pt>
              </c:strCache>
            </c:strRef>
          </c:tx>
          <c:spPr>
            <a:solidFill>
              <a:schemeClr val="accent6">
                <a:lumMod val="75000"/>
              </a:schemeClr>
            </a:solidFill>
          </c:spPr>
          <c:invertIfNegative val="0"/>
          <c:cat>
            <c:strRef>
              <c:f>Sheet3!$G$61:$L$61</c:f>
              <c:strCache>
                <c:ptCount val="6"/>
                <c:pt idx="0">
                  <c:v>2008-09</c:v>
                </c:pt>
                <c:pt idx="1">
                  <c:v>2009-10</c:v>
                </c:pt>
                <c:pt idx="2">
                  <c:v>20010-11</c:v>
                </c:pt>
                <c:pt idx="3">
                  <c:v>2011-12</c:v>
                </c:pt>
                <c:pt idx="4">
                  <c:v>2012-13</c:v>
                </c:pt>
                <c:pt idx="5">
                  <c:v>2013-14</c:v>
                </c:pt>
              </c:strCache>
            </c:strRef>
          </c:cat>
          <c:val>
            <c:numRef>
              <c:f>Sheet3!$G$62:$L$62</c:f>
              <c:numCache>
                <c:formatCode>#,##0</c:formatCode>
                <c:ptCount val="6"/>
                <c:pt idx="0">
                  <c:v>3604</c:v>
                </c:pt>
                <c:pt idx="1">
                  <c:v>1494</c:v>
                </c:pt>
                <c:pt idx="2">
                  <c:v>2866</c:v>
                </c:pt>
                <c:pt idx="3">
                  <c:v>2004</c:v>
                </c:pt>
                <c:pt idx="4" formatCode="General">
                  <c:v>90</c:v>
                </c:pt>
                <c:pt idx="5">
                  <c:v>1605</c:v>
                </c:pt>
              </c:numCache>
            </c:numRef>
          </c:val>
        </c:ser>
        <c:ser>
          <c:idx val="1"/>
          <c:order val="1"/>
          <c:tx>
            <c:strRef>
              <c:f>Sheet3!$F$63</c:f>
              <c:strCache>
                <c:ptCount val="1"/>
                <c:pt idx="0">
                  <c:v>New Works</c:v>
                </c:pt>
              </c:strCache>
            </c:strRef>
          </c:tx>
          <c:spPr>
            <a:solidFill>
              <a:schemeClr val="accent2">
                <a:lumMod val="50000"/>
              </a:schemeClr>
            </a:solidFill>
          </c:spPr>
          <c:invertIfNegative val="0"/>
          <c:cat>
            <c:strRef>
              <c:f>Sheet3!$G$61:$L$61</c:f>
              <c:strCache>
                <c:ptCount val="6"/>
                <c:pt idx="0">
                  <c:v>2008-09</c:v>
                </c:pt>
                <c:pt idx="1">
                  <c:v>2009-10</c:v>
                </c:pt>
                <c:pt idx="2">
                  <c:v>20010-11</c:v>
                </c:pt>
                <c:pt idx="3">
                  <c:v>2011-12</c:v>
                </c:pt>
                <c:pt idx="4">
                  <c:v>2012-13</c:v>
                </c:pt>
                <c:pt idx="5">
                  <c:v>2013-14</c:v>
                </c:pt>
              </c:strCache>
            </c:strRef>
          </c:cat>
          <c:val>
            <c:numRef>
              <c:f>Sheet3!$G$63:$L$63</c:f>
              <c:numCache>
                <c:formatCode>#,##0</c:formatCode>
                <c:ptCount val="6"/>
                <c:pt idx="0">
                  <c:v>1272</c:v>
                </c:pt>
                <c:pt idx="1">
                  <c:v>4007</c:v>
                </c:pt>
                <c:pt idx="2">
                  <c:v>11984</c:v>
                </c:pt>
                <c:pt idx="3">
                  <c:v>7143</c:v>
                </c:pt>
                <c:pt idx="4">
                  <c:v>2868</c:v>
                </c:pt>
                <c:pt idx="5">
                  <c:v>2595</c:v>
                </c:pt>
              </c:numCache>
            </c:numRef>
          </c:val>
        </c:ser>
        <c:dLbls>
          <c:showLegendKey val="0"/>
          <c:showVal val="0"/>
          <c:showCatName val="0"/>
          <c:showSerName val="0"/>
          <c:showPercent val="0"/>
          <c:showBubbleSize val="0"/>
        </c:dLbls>
        <c:gapWidth val="150"/>
        <c:axId val="807053448"/>
        <c:axId val="807054232"/>
      </c:barChart>
      <c:catAx>
        <c:axId val="807053448"/>
        <c:scaling>
          <c:orientation val="minMax"/>
        </c:scaling>
        <c:delete val="0"/>
        <c:axPos val="b"/>
        <c:numFmt formatCode="General" sourceLinked="0"/>
        <c:majorTickMark val="none"/>
        <c:minorTickMark val="none"/>
        <c:tickLblPos val="nextTo"/>
        <c:crossAx val="807054232"/>
        <c:crosses val="autoZero"/>
        <c:auto val="1"/>
        <c:lblAlgn val="ctr"/>
        <c:lblOffset val="100"/>
        <c:noMultiLvlLbl val="0"/>
      </c:catAx>
      <c:valAx>
        <c:axId val="807054232"/>
        <c:scaling>
          <c:orientation val="minMax"/>
        </c:scaling>
        <c:delete val="0"/>
        <c:axPos val="l"/>
        <c:majorGridlines/>
        <c:title>
          <c:tx>
            <c:rich>
              <a:bodyPr/>
              <a:lstStyle/>
              <a:p>
                <a:pPr>
                  <a:defRPr/>
                </a:pPr>
                <a:r>
                  <a:rPr lang="en-US"/>
                  <a:t>$'000</a:t>
                </a:r>
              </a:p>
            </c:rich>
          </c:tx>
          <c:overlay val="0"/>
        </c:title>
        <c:numFmt formatCode="#,##0" sourceLinked="1"/>
        <c:majorTickMark val="none"/>
        <c:minorTickMark val="none"/>
        <c:tickLblPos val="nextTo"/>
        <c:crossAx val="807053448"/>
        <c:crosses val="autoZero"/>
        <c:crossBetween val="between"/>
      </c:valAx>
      <c:dTable>
        <c:showHorzBorder val="1"/>
        <c:showVertBorder val="1"/>
        <c:showOutline val="1"/>
        <c:showKeys val="1"/>
      </c:dTable>
    </c:plotArea>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41"/>
    </mc:Choice>
    <mc:Fallback>
      <c:style val="41"/>
    </mc:Fallback>
  </mc:AlternateContent>
  <c:chart>
    <c:title>
      <c:tx>
        <c:rich>
          <a:bodyPr/>
          <a:lstStyle/>
          <a:p>
            <a:pPr>
              <a:defRPr sz="1100"/>
            </a:pPr>
            <a:r>
              <a:rPr lang="en-US" sz="1100"/>
              <a:t>Fitness for Purpose</a:t>
            </a:r>
          </a:p>
        </c:rich>
      </c:tx>
      <c:overlay val="0"/>
    </c:title>
    <c:autoTitleDeleted val="0"/>
    <c:plotArea>
      <c:layout/>
      <c:barChart>
        <c:barDir val="bar"/>
        <c:grouping val="clustered"/>
        <c:varyColors val="0"/>
        <c:ser>
          <c:idx val="0"/>
          <c:order val="0"/>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Sheet2!$A$2:$A$7</c:f>
              <c:strCache>
                <c:ptCount val="6"/>
                <c:pt idx="0">
                  <c:v>Fully Fit for purpose</c:v>
                </c:pt>
                <c:pt idx="1">
                  <c:v>Minor works required 
no impact on service delivery</c:v>
                </c:pt>
                <c:pt idx="2">
                  <c:v>Works required 
some impact on service delivery </c:v>
                </c:pt>
                <c:pt idx="3">
                  <c:v>Major works required
 impacting on service delivery</c:v>
                </c:pt>
                <c:pt idx="4">
                  <c:v>No longer fit for purpose 
requires significant capital expenditure 
to enable service delivery</c:v>
                </c:pt>
                <c:pt idx="5">
                  <c:v>Not Assessed</c:v>
                </c:pt>
              </c:strCache>
            </c:strRef>
          </c:cat>
          <c:val>
            <c:numRef>
              <c:f>Sheet2!$B$2:$B$7</c:f>
              <c:numCache>
                <c:formatCode>0%</c:formatCode>
                <c:ptCount val="6"/>
                <c:pt idx="0">
                  <c:v>0.20689655172413793</c:v>
                </c:pt>
                <c:pt idx="1">
                  <c:v>0.42068965517241413</c:v>
                </c:pt>
                <c:pt idx="2">
                  <c:v>0.17931034482758643</c:v>
                </c:pt>
                <c:pt idx="3">
                  <c:v>6.8965517241379361E-3</c:v>
                </c:pt>
                <c:pt idx="4">
                  <c:v>8.2758620689655227E-2</c:v>
                </c:pt>
                <c:pt idx="5">
                  <c:v>0.10344827586206895</c:v>
                </c:pt>
              </c:numCache>
            </c:numRef>
          </c:val>
        </c:ser>
        <c:ser>
          <c:idx val="1"/>
          <c:order val="1"/>
          <c:invertIfNegative val="0"/>
          <c:dPt>
            <c:idx val="5"/>
            <c:invertIfNegative val="0"/>
            <c:bubble3D val="0"/>
            <c:spPr>
              <a:solidFill>
                <a:srgbClr val="FF0000"/>
              </a:solidFill>
            </c:spPr>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Sheet2!$A$2:$A$7</c:f>
              <c:strCache>
                <c:ptCount val="6"/>
                <c:pt idx="0">
                  <c:v>Fully Fit for purpose</c:v>
                </c:pt>
                <c:pt idx="1">
                  <c:v>Minor works required 
no impact on service delivery</c:v>
                </c:pt>
                <c:pt idx="2">
                  <c:v>Works required 
some impact on service delivery </c:v>
                </c:pt>
                <c:pt idx="3">
                  <c:v>Major works required
 impacting on service delivery</c:v>
                </c:pt>
                <c:pt idx="4">
                  <c:v>No longer fit for purpose 
requires significant capital expenditure 
to enable service delivery</c:v>
                </c:pt>
                <c:pt idx="5">
                  <c:v>Not Assessed</c:v>
                </c:pt>
              </c:strCache>
            </c:strRef>
          </c:cat>
          <c:val>
            <c:numRef>
              <c:f>Sheet2!$C$2:$C$7</c:f>
              <c:numCache>
                <c:formatCode>General</c:formatCode>
                <c:ptCount val="6"/>
                <c:pt idx="0">
                  <c:v>30</c:v>
                </c:pt>
                <c:pt idx="1">
                  <c:v>61</c:v>
                </c:pt>
                <c:pt idx="2">
                  <c:v>26</c:v>
                </c:pt>
                <c:pt idx="3">
                  <c:v>1</c:v>
                </c:pt>
                <c:pt idx="4">
                  <c:v>12</c:v>
                </c:pt>
                <c:pt idx="5">
                  <c:v>15</c:v>
                </c:pt>
              </c:numCache>
            </c:numRef>
          </c:val>
        </c:ser>
        <c:dLbls>
          <c:showLegendKey val="0"/>
          <c:showVal val="1"/>
          <c:showCatName val="0"/>
          <c:showSerName val="0"/>
          <c:showPercent val="0"/>
          <c:showBubbleSize val="0"/>
        </c:dLbls>
        <c:gapWidth val="150"/>
        <c:overlap val="-25"/>
        <c:axId val="807053840"/>
        <c:axId val="807054624"/>
      </c:barChart>
      <c:catAx>
        <c:axId val="807053840"/>
        <c:scaling>
          <c:orientation val="minMax"/>
        </c:scaling>
        <c:delete val="0"/>
        <c:axPos val="l"/>
        <c:numFmt formatCode="General" sourceLinked="0"/>
        <c:majorTickMark val="none"/>
        <c:minorTickMark val="none"/>
        <c:tickLblPos val="nextTo"/>
        <c:crossAx val="807054624"/>
        <c:crosses val="autoZero"/>
        <c:auto val="1"/>
        <c:lblAlgn val="ctr"/>
        <c:lblOffset val="100"/>
        <c:noMultiLvlLbl val="0"/>
      </c:catAx>
      <c:valAx>
        <c:axId val="807054624"/>
        <c:scaling>
          <c:orientation val="minMax"/>
        </c:scaling>
        <c:delete val="1"/>
        <c:axPos val="b"/>
        <c:numFmt formatCode="0%" sourceLinked="1"/>
        <c:majorTickMark val="out"/>
        <c:minorTickMark val="none"/>
        <c:tickLblPos val="none"/>
        <c:crossAx val="807053840"/>
        <c:crosses val="autoZero"/>
        <c:crossBetween val="between"/>
      </c:valAx>
    </c:plotArea>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n-AU" sz="1200"/>
            </a:pPr>
            <a:r>
              <a:rPr lang="en-AU" sz="1000"/>
              <a:t>Building Maintenance, Operations and Utilities Expenditures 2011-2012 ($4,495,022)</a:t>
            </a:r>
          </a:p>
        </c:rich>
      </c:tx>
      <c:layout>
        <c:manualLayout>
          <c:xMode val="edge"/>
          <c:yMode val="edge"/>
          <c:x val="8.4163278170633682E-2"/>
          <c:y val="0"/>
        </c:manualLayout>
      </c:layout>
      <c:overlay val="0"/>
    </c:title>
    <c:autoTitleDeleted val="0"/>
    <c:view3D>
      <c:rotX val="30"/>
      <c:rotY val="0"/>
      <c:rAngAx val="0"/>
    </c:view3D>
    <c:floor>
      <c:thickness val="0"/>
    </c:floor>
    <c:sideWall>
      <c:thickness val="0"/>
    </c:sideWall>
    <c:backWall>
      <c:thickness val="0"/>
    </c:backWall>
    <c:plotArea>
      <c:layout/>
      <c:pie3DChart>
        <c:varyColors val="1"/>
        <c:ser>
          <c:idx val="0"/>
          <c:order val="0"/>
          <c:explosion val="25"/>
          <c:dPt>
            <c:idx val="0"/>
            <c:bubble3D val="0"/>
            <c:explosion val="16"/>
          </c:dPt>
          <c:dLbls>
            <c:dLbl>
              <c:idx val="0"/>
              <c:tx>
                <c:rich>
                  <a:bodyPr/>
                  <a:lstStyle/>
                  <a:p>
                    <a:r>
                      <a:rPr lang="en-AU"/>
                      <a:t>Operations (others), $122,587, 3%</a:t>
                    </a:r>
                  </a:p>
                </c:rich>
              </c:tx>
              <c:dLblPos val="outEnd"/>
              <c:showLegendKey val="0"/>
              <c:showVal val="1"/>
              <c:showCatName val="1"/>
              <c:showSerName val="0"/>
              <c:showPercent val="1"/>
              <c:showBubbleSize val="0"/>
              <c:extLst>
                <c:ext xmlns:c15="http://schemas.microsoft.com/office/drawing/2012/chart" uri="{CE6537A1-D6FC-4f65-9D91-7224C49458BB}"/>
              </c:extLst>
            </c:dLbl>
            <c:dLbl>
              <c:idx val="1"/>
              <c:tx>
                <c:rich>
                  <a:bodyPr/>
                  <a:lstStyle/>
                  <a:p>
                    <a:r>
                      <a:rPr lang="en-AU"/>
                      <a:t>Compliance, $688,514, 15%</a:t>
                    </a:r>
                  </a:p>
                </c:rich>
              </c:tx>
              <c:dLblPos val="outEnd"/>
              <c:showLegendKey val="0"/>
              <c:showVal val="1"/>
              <c:showCatName val="1"/>
              <c:showSerName val="0"/>
              <c:showPercent val="1"/>
              <c:showBubbleSize val="0"/>
              <c:extLst>
                <c:ext xmlns:c15="http://schemas.microsoft.com/office/drawing/2012/chart" uri="{CE6537A1-D6FC-4f65-9D91-7224C49458BB}"/>
              </c:extLst>
            </c:dLbl>
            <c:dLbl>
              <c:idx val="2"/>
              <c:tx>
                <c:rich>
                  <a:bodyPr/>
                  <a:lstStyle/>
                  <a:p>
                    <a:r>
                      <a:rPr lang="en-AU"/>
                      <a:t>Routine,</a:t>
                    </a:r>
                    <a:br>
                      <a:rPr lang="en-AU"/>
                    </a:br>
                    <a:r>
                      <a:rPr lang="en-AU"/>
                      <a:t>$639,997, 14%</a:t>
                    </a:r>
                  </a:p>
                </c:rich>
              </c:tx>
              <c:dLblPos val="outEnd"/>
              <c:showLegendKey val="0"/>
              <c:showVal val="1"/>
              <c:showCatName val="1"/>
              <c:showSerName val="0"/>
              <c:showPercent val="1"/>
              <c:showBubbleSize val="0"/>
              <c:extLst>
                <c:ext xmlns:c15="http://schemas.microsoft.com/office/drawing/2012/chart" uri="{CE6537A1-D6FC-4f65-9D91-7224C49458BB}"/>
              </c:extLst>
            </c:dLbl>
            <c:dLbl>
              <c:idx val="3"/>
              <c:tx>
                <c:rich>
                  <a:bodyPr/>
                  <a:lstStyle/>
                  <a:p>
                    <a:r>
                      <a:rPr lang="en-AU"/>
                      <a:t>Reactive, $793,156, 18%</a:t>
                    </a:r>
                  </a:p>
                </c:rich>
              </c:tx>
              <c:dLblPos val="outEnd"/>
              <c:showLegendKey val="0"/>
              <c:showVal val="1"/>
              <c:showCatName val="1"/>
              <c:showSerName val="0"/>
              <c:showPercent val="1"/>
              <c:showBubbleSize val="0"/>
              <c:extLst>
                <c:ext xmlns:c15="http://schemas.microsoft.com/office/drawing/2012/chart" uri="{CE6537A1-D6FC-4f65-9D91-7224C49458BB}"/>
              </c:extLst>
            </c:dLbl>
            <c:dLbl>
              <c:idx val="4"/>
              <c:tx>
                <c:rich>
                  <a:bodyPr/>
                  <a:lstStyle/>
                  <a:p>
                    <a:r>
                      <a:rPr lang="en-AU"/>
                      <a:t>Utilities, $1,000,768, 22%</a:t>
                    </a:r>
                  </a:p>
                </c:rich>
              </c:tx>
              <c:dLblPos val="outEnd"/>
              <c:showLegendKey val="0"/>
              <c:showVal val="1"/>
              <c:showCatName val="1"/>
              <c:showSerName val="0"/>
              <c:showPercent val="1"/>
              <c:showBubbleSize val="0"/>
              <c:extLst>
                <c:ext xmlns:c15="http://schemas.microsoft.com/office/drawing/2012/chart" uri="{CE6537A1-D6FC-4f65-9D91-7224C49458BB}"/>
              </c:extLst>
            </c:dLbl>
            <c:dLbl>
              <c:idx val="5"/>
              <c:tx>
                <c:rich>
                  <a:bodyPr/>
                  <a:lstStyle/>
                  <a:p>
                    <a:r>
                      <a:rPr lang="en-AU"/>
                      <a:t>Cleaning, $1,250,000, 28%</a:t>
                    </a:r>
                  </a:p>
                </c:rich>
              </c:tx>
              <c:dLblPos val="outEnd"/>
              <c:showLegendKey val="0"/>
              <c:showVal val="1"/>
              <c:showCatName val="1"/>
              <c:showSerName val="0"/>
              <c:showPercent val="1"/>
              <c:showBubbleSize val="0"/>
              <c:extLst>
                <c:ext xmlns:c15="http://schemas.microsoft.com/office/drawing/2012/chart" uri="{CE6537A1-D6FC-4f65-9D91-7224C49458BB}"/>
              </c:extLst>
            </c:dLbl>
            <c:spPr>
              <a:noFill/>
              <a:ln>
                <a:noFill/>
              </a:ln>
              <a:effectLst/>
            </c:spPr>
            <c:txPr>
              <a:bodyPr/>
              <a:lstStyle/>
              <a:p>
                <a:pPr>
                  <a:defRPr lang="en-AU"/>
                </a:pPr>
                <a:endParaRPr lang="en-US"/>
              </a:p>
            </c:txPr>
            <c:dLblPos val="outEnd"/>
            <c:showLegendKey val="0"/>
            <c:showVal val="1"/>
            <c:showCatName val="1"/>
            <c:showSerName val="0"/>
            <c:showPercent val="1"/>
            <c:showBubbleSize val="0"/>
            <c:showLeaderLines val="1"/>
            <c:extLst>
              <c:ext xmlns:c15="http://schemas.microsoft.com/office/drawing/2012/chart" uri="{CE6537A1-D6FC-4f65-9D91-7224C49458BB}"/>
            </c:extLst>
          </c:dLbls>
          <c:cat>
            <c:strRef>
              <c:f>Sheet1!$B$28:$B$33</c:f>
              <c:strCache>
                <c:ptCount val="6"/>
                <c:pt idx="0">
                  <c:v>Opns (others)</c:v>
                </c:pt>
                <c:pt idx="1">
                  <c:v>Compliance</c:v>
                </c:pt>
                <c:pt idx="2">
                  <c:v>Routine</c:v>
                </c:pt>
                <c:pt idx="3">
                  <c:v>Reactive</c:v>
                </c:pt>
                <c:pt idx="4">
                  <c:v>Utilities</c:v>
                </c:pt>
                <c:pt idx="5">
                  <c:v>Cleaning</c:v>
                </c:pt>
              </c:strCache>
            </c:strRef>
          </c:cat>
          <c:val>
            <c:numRef>
              <c:f>Sheet1!$D$28:$D$33</c:f>
              <c:numCache>
                <c:formatCode>#,##0</c:formatCode>
                <c:ptCount val="6"/>
                <c:pt idx="0">
                  <c:v>122587</c:v>
                </c:pt>
                <c:pt idx="1">
                  <c:v>688514</c:v>
                </c:pt>
                <c:pt idx="2">
                  <c:v>639997</c:v>
                </c:pt>
                <c:pt idx="3">
                  <c:v>793156</c:v>
                </c:pt>
                <c:pt idx="4">
                  <c:v>1000768</c:v>
                </c:pt>
                <c:pt idx="5">
                  <c:v>1250000</c:v>
                </c:pt>
              </c:numCache>
            </c:numRef>
          </c:val>
        </c:ser>
        <c:dLbls>
          <c:showLegendKey val="0"/>
          <c:showVal val="1"/>
          <c:showCatName val="0"/>
          <c:showSerName val="0"/>
          <c:showPercent val="0"/>
          <c:showBubbleSize val="0"/>
          <c:showLeaderLines val="1"/>
        </c:dLbls>
      </c:pie3DChart>
    </c:plotArea>
    <c:plotVisOnly val="1"/>
    <c:dispBlanksAs val="zero"/>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sz="1100"/>
            </a:pPr>
            <a:r>
              <a:rPr lang="en-AU" sz="1100"/>
              <a:t>10 Year Maintenance and Operational Budget Projection</a:t>
            </a:r>
          </a:p>
        </c:rich>
      </c:tx>
      <c:overlay val="0"/>
    </c:title>
    <c:autoTitleDeleted val="0"/>
    <c:plotArea>
      <c:layout/>
      <c:barChart>
        <c:barDir val="col"/>
        <c:grouping val="clustered"/>
        <c:varyColors val="0"/>
        <c:ser>
          <c:idx val="0"/>
          <c:order val="0"/>
          <c:tx>
            <c:strRef>
              <c:f>Sheet3!$A$4</c:f>
              <c:strCache>
                <c:ptCount val="1"/>
                <c:pt idx="0">
                  <c:v>Operations </c:v>
                </c:pt>
              </c:strCache>
            </c:strRef>
          </c:tx>
          <c:invertIfNegative val="0"/>
          <c:cat>
            <c:strRef>
              <c:f>Sheet3!$B$3:$O$3</c:f>
              <c:strCache>
                <c:ptCount val="10"/>
                <c:pt idx="0">
                  <c:v>2013- 14</c:v>
                </c:pt>
                <c:pt idx="1">
                  <c:v>2014 – 15</c:v>
                </c:pt>
                <c:pt idx="2">
                  <c:v>2015 - 16</c:v>
                </c:pt>
                <c:pt idx="3">
                  <c:v>2016 - 17</c:v>
                </c:pt>
                <c:pt idx="4">
                  <c:v>2017- 18</c:v>
                </c:pt>
                <c:pt idx="5">
                  <c:v>2018 – 19</c:v>
                </c:pt>
                <c:pt idx="6">
                  <c:v>2019- 20</c:v>
                </c:pt>
                <c:pt idx="7">
                  <c:v>2020 – 21</c:v>
                </c:pt>
                <c:pt idx="8">
                  <c:v>2021 - 22</c:v>
                </c:pt>
                <c:pt idx="9">
                  <c:v>2022 - 23</c:v>
                </c:pt>
              </c:strCache>
            </c:strRef>
          </c:cat>
          <c:val>
            <c:numRef>
              <c:f>Sheet3!$B$4:$O$4</c:f>
              <c:numCache>
                <c:formatCode>#,##0_ ;\-#,##0\ </c:formatCode>
                <c:ptCount val="10"/>
                <c:pt idx="0">
                  <c:v>2541.7599999999998</c:v>
                </c:pt>
                <c:pt idx="1">
                  <c:v>2643.4304000000002</c:v>
                </c:pt>
                <c:pt idx="2">
                  <c:v>2749.1676160000002</c:v>
                </c:pt>
                <c:pt idx="3">
                  <c:v>2859.1343206400002</c:v>
                </c:pt>
                <c:pt idx="4">
                  <c:v>2973.4996934655996</c:v>
                </c:pt>
                <c:pt idx="5">
                  <c:v>3092.4396812042241</c:v>
                </c:pt>
                <c:pt idx="6">
                  <c:v>3216.1372684523931</c:v>
                </c:pt>
                <c:pt idx="7">
                  <c:v>3344.7827591904888</c:v>
                </c:pt>
                <c:pt idx="8">
                  <c:v>3478.5740695581085</c:v>
                </c:pt>
                <c:pt idx="9">
                  <c:v>3617.7170323404366</c:v>
                </c:pt>
              </c:numCache>
            </c:numRef>
          </c:val>
        </c:ser>
        <c:ser>
          <c:idx val="1"/>
          <c:order val="1"/>
          <c:tx>
            <c:strRef>
              <c:f>Sheet3!$A$5</c:f>
              <c:strCache>
                <c:ptCount val="1"/>
                <c:pt idx="0">
                  <c:v>Maintenance</c:v>
                </c:pt>
              </c:strCache>
            </c:strRef>
          </c:tx>
          <c:invertIfNegative val="0"/>
          <c:cat>
            <c:strRef>
              <c:f>Sheet3!$B$3:$O$3</c:f>
              <c:strCache>
                <c:ptCount val="10"/>
                <c:pt idx="0">
                  <c:v>2013- 14</c:v>
                </c:pt>
                <c:pt idx="1">
                  <c:v>2014 – 15</c:v>
                </c:pt>
                <c:pt idx="2">
                  <c:v>2015 - 16</c:v>
                </c:pt>
                <c:pt idx="3">
                  <c:v>2016 - 17</c:v>
                </c:pt>
                <c:pt idx="4">
                  <c:v>2017- 18</c:v>
                </c:pt>
                <c:pt idx="5">
                  <c:v>2018 – 19</c:v>
                </c:pt>
                <c:pt idx="6">
                  <c:v>2019- 20</c:v>
                </c:pt>
                <c:pt idx="7">
                  <c:v>2020 – 21</c:v>
                </c:pt>
                <c:pt idx="8">
                  <c:v>2021 - 22</c:v>
                </c:pt>
                <c:pt idx="9">
                  <c:v>2022 - 23</c:v>
                </c:pt>
              </c:strCache>
            </c:strRef>
          </c:cat>
          <c:val>
            <c:numRef>
              <c:f>Sheet3!$B$5:$O$5</c:f>
              <c:numCache>
                <c:formatCode>#,##0_ ;\-#,##0\ </c:formatCode>
                <c:ptCount val="10"/>
                <c:pt idx="0">
                  <c:v>2010.32</c:v>
                </c:pt>
                <c:pt idx="1">
                  <c:v>2090.7327999999998</c:v>
                </c:pt>
                <c:pt idx="2">
                  <c:v>2174.3621120000021</c:v>
                </c:pt>
                <c:pt idx="3">
                  <c:v>2261.3365964800014</c:v>
                </c:pt>
                <c:pt idx="4">
                  <c:v>2351.7900603391995</c:v>
                </c:pt>
                <c:pt idx="5">
                  <c:v>2445.8616627527667</c:v>
                </c:pt>
                <c:pt idx="6">
                  <c:v>2543.6961292628785</c:v>
                </c:pt>
                <c:pt idx="7">
                  <c:v>2645.4439744333954</c:v>
                </c:pt>
                <c:pt idx="8">
                  <c:v>2751.2617334107294</c:v>
                </c:pt>
                <c:pt idx="9">
                  <c:v>2861.3122027471604</c:v>
                </c:pt>
              </c:numCache>
            </c:numRef>
          </c:val>
        </c:ser>
        <c:dLbls>
          <c:showLegendKey val="0"/>
          <c:showVal val="0"/>
          <c:showCatName val="0"/>
          <c:showSerName val="0"/>
          <c:showPercent val="0"/>
          <c:showBubbleSize val="0"/>
        </c:dLbls>
        <c:gapWidth val="150"/>
        <c:axId val="1068642576"/>
        <c:axId val="1068643752"/>
      </c:barChart>
      <c:catAx>
        <c:axId val="1068642576"/>
        <c:scaling>
          <c:orientation val="minMax"/>
        </c:scaling>
        <c:delete val="0"/>
        <c:axPos val="b"/>
        <c:numFmt formatCode="General" sourceLinked="0"/>
        <c:majorTickMark val="none"/>
        <c:minorTickMark val="none"/>
        <c:tickLblPos val="nextTo"/>
        <c:crossAx val="1068643752"/>
        <c:crosses val="autoZero"/>
        <c:auto val="1"/>
        <c:lblAlgn val="ctr"/>
        <c:lblOffset val="100"/>
        <c:noMultiLvlLbl val="0"/>
      </c:catAx>
      <c:valAx>
        <c:axId val="1068643752"/>
        <c:scaling>
          <c:orientation val="minMax"/>
        </c:scaling>
        <c:delete val="0"/>
        <c:axPos val="l"/>
        <c:majorGridlines/>
        <c:title>
          <c:tx>
            <c:rich>
              <a:bodyPr/>
              <a:lstStyle/>
              <a:p>
                <a:pPr>
                  <a:defRPr/>
                </a:pPr>
                <a:r>
                  <a:rPr lang="en-US"/>
                  <a:t>'000</a:t>
                </a:r>
              </a:p>
            </c:rich>
          </c:tx>
          <c:overlay val="0"/>
        </c:title>
        <c:numFmt formatCode="#,##0_ ;\-#,##0\ " sourceLinked="1"/>
        <c:majorTickMark val="none"/>
        <c:minorTickMark val="none"/>
        <c:tickLblPos val="nextTo"/>
        <c:crossAx val="1068642576"/>
        <c:crosses val="autoZero"/>
        <c:crossBetween val="between"/>
      </c:valAx>
      <c:dTable>
        <c:showHorzBorder val="1"/>
        <c:showVertBorder val="1"/>
        <c:showOutline val="1"/>
        <c:showKeys val="1"/>
      </c:dTable>
    </c:plotArea>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sz="1200"/>
            </a:pPr>
            <a:r>
              <a:rPr lang="en-US" sz="1200"/>
              <a:t>Renewal Capital Works Budget 2008-2014 </a:t>
            </a:r>
          </a:p>
          <a:p>
            <a:pPr>
              <a:defRPr sz="1200"/>
            </a:pPr>
            <a:r>
              <a:rPr lang="en-US" sz="1200"/>
              <a:t>(2012-13 &amp;</a:t>
            </a:r>
            <a:r>
              <a:rPr lang="en-US" sz="1200" baseline="0"/>
              <a:t> 2013-14 includes Collingwood Town Hall)</a:t>
            </a:r>
            <a:endParaRPr lang="en-US" sz="1200"/>
          </a:p>
        </c:rich>
      </c:tx>
      <c:overlay val="0"/>
    </c:title>
    <c:autoTitleDeleted val="0"/>
    <c:plotArea>
      <c:layout/>
      <c:barChart>
        <c:barDir val="col"/>
        <c:grouping val="clustered"/>
        <c:varyColors val="0"/>
        <c:ser>
          <c:idx val="0"/>
          <c:order val="0"/>
          <c:tx>
            <c:strRef>
              <c:f>Sheet3!$F$58</c:f>
              <c:strCache>
                <c:ptCount val="1"/>
                <c:pt idx="0">
                  <c:v>Renewal</c:v>
                </c:pt>
              </c:strCache>
            </c:strRef>
          </c:tx>
          <c:spPr>
            <a:solidFill>
              <a:schemeClr val="tx2">
                <a:lumMod val="75000"/>
              </a:schemeClr>
            </a:solidFill>
          </c:spPr>
          <c:invertIfNegative val="0"/>
          <c:cat>
            <c:strRef>
              <c:f>Sheet3!$G$57:$L$57</c:f>
              <c:strCache>
                <c:ptCount val="6"/>
                <c:pt idx="0">
                  <c:v>2008-09</c:v>
                </c:pt>
                <c:pt idx="1">
                  <c:v>2009-10</c:v>
                </c:pt>
                <c:pt idx="2">
                  <c:v>20010-11</c:v>
                </c:pt>
                <c:pt idx="3">
                  <c:v>2011-12</c:v>
                </c:pt>
                <c:pt idx="4">
                  <c:v>2012-13</c:v>
                </c:pt>
                <c:pt idx="5">
                  <c:v>2013-14</c:v>
                </c:pt>
              </c:strCache>
            </c:strRef>
          </c:cat>
          <c:val>
            <c:numRef>
              <c:f>Sheet3!$G$58:$L$58</c:f>
              <c:numCache>
                <c:formatCode>#,##0</c:formatCode>
                <c:ptCount val="6"/>
                <c:pt idx="0" formatCode="#,##0_ ;[Red]\-#,##0\ ">
                  <c:v>1933</c:v>
                </c:pt>
                <c:pt idx="1">
                  <c:v>1025</c:v>
                </c:pt>
                <c:pt idx="2">
                  <c:v>2067</c:v>
                </c:pt>
                <c:pt idx="3">
                  <c:v>2555</c:v>
                </c:pt>
                <c:pt idx="4">
                  <c:v>7191</c:v>
                </c:pt>
                <c:pt idx="5">
                  <c:v>7531</c:v>
                </c:pt>
              </c:numCache>
            </c:numRef>
          </c:val>
        </c:ser>
        <c:dLbls>
          <c:showLegendKey val="0"/>
          <c:showVal val="0"/>
          <c:showCatName val="0"/>
          <c:showSerName val="0"/>
          <c:showPercent val="0"/>
          <c:showBubbleSize val="0"/>
        </c:dLbls>
        <c:gapWidth val="150"/>
        <c:axId val="1068639440"/>
        <c:axId val="1068641008"/>
      </c:barChart>
      <c:catAx>
        <c:axId val="1068639440"/>
        <c:scaling>
          <c:orientation val="minMax"/>
        </c:scaling>
        <c:delete val="0"/>
        <c:axPos val="b"/>
        <c:numFmt formatCode="General" sourceLinked="0"/>
        <c:majorTickMark val="none"/>
        <c:minorTickMark val="none"/>
        <c:tickLblPos val="nextTo"/>
        <c:crossAx val="1068641008"/>
        <c:crosses val="autoZero"/>
        <c:auto val="1"/>
        <c:lblAlgn val="ctr"/>
        <c:lblOffset val="100"/>
        <c:noMultiLvlLbl val="0"/>
      </c:catAx>
      <c:valAx>
        <c:axId val="1068641008"/>
        <c:scaling>
          <c:orientation val="minMax"/>
        </c:scaling>
        <c:delete val="0"/>
        <c:axPos val="l"/>
        <c:majorGridlines/>
        <c:title>
          <c:tx>
            <c:rich>
              <a:bodyPr/>
              <a:lstStyle/>
              <a:p>
                <a:pPr>
                  <a:defRPr/>
                </a:pPr>
                <a:r>
                  <a:rPr lang="en-US"/>
                  <a:t>$'000</a:t>
                </a:r>
              </a:p>
            </c:rich>
          </c:tx>
          <c:overlay val="0"/>
        </c:title>
        <c:numFmt formatCode="#,##0_ ;[Red]\-#,##0\ " sourceLinked="1"/>
        <c:majorTickMark val="none"/>
        <c:minorTickMark val="none"/>
        <c:tickLblPos val="nextTo"/>
        <c:crossAx val="1068639440"/>
        <c:crosses val="autoZero"/>
        <c:crossBetween val="between"/>
      </c:valAx>
      <c:dTable>
        <c:showHorzBorder val="1"/>
        <c:showVertBorder val="1"/>
        <c:showOutline val="1"/>
        <c:showKeys val="1"/>
      </c:dTable>
    </c:plotArea>
    <c:plotVisOnly val="1"/>
    <c:dispBlanksAs val="gap"/>
    <c:showDLblsOverMax val="0"/>
  </c:chart>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3">
  <dgm:title val=""/>
  <dgm:desc val=""/>
  <dgm:catLst>
    <dgm:cat type="accent1" pri="11300"/>
  </dgm:catLst>
  <dgm:styleLbl name="node0">
    <dgm:fillClrLst meth="repeat">
      <a:schemeClr val="accent1">
        <a:shade val="80000"/>
      </a:schemeClr>
    </dgm:fillClrLst>
    <dgm:linClrLst meth="repeat">
      <a:schemeClr val="lt1"/>
    </dgm:linClrLst>
    <dgm:effectClrLst/>
    <dgm:txLinClrLst/>
    <dgm:txFillClrLst/>
    <dgm:txEffectClrLst/>
  </dgm:styleLbl>
  <dgm:styleLbl name="alignNode1">
    <dgm:fillClrLst>
      <a:schemeClr val="accent1">
        <a:shade val="80000"/>
      </a:schemeClr>
      <a:schemeClr val="accent1">
        <a:tint val="70000"/>
      </a:schemeClr>
    </dgm:fillClrLst>
    <dgm:linClrLst>
      <a:schemeClr val="accent1">
        <a:shade val="80000"/>
      </a:schemeClr>
      <a:schemeClr val="accent1">
        <a:tint val="70000"/>
      </a:schemeClr>
    </dgm:linClrLst>
    <dgm:effectClrLst/>
    <dgm:txLinClrLst/>
    <dgm:txFillClrLst/>
    <dgm:txEffectClrLst/>
  </dgm:styleLbl>
  <dgm:styleLbl name="node1">
    <dgm:fillClrLst>
      <a:schemeClr val="accent1">
        <a:shade val="80000"/>
      </a:schemeClr>
      <a:schemeClr val="accent1">
        <a:tint val="70000"/>
      </a:schemeClr>
    </dgm:fillClrLst>
    <dgm:linClrLst meth="repeat">
      <a:schemeClr val="lt1"/>
    </dgm:linClrLst>
    <dgm:effectClrLst/>
    <dgm:txLinClrLst/>
    <dgm:txFillClrLst/>
    <dgm:txEffectClrLst/>
  </dgm:styleLbl>
  <dgm:styleLbl name="lnNode1">
    <dgm:fillClrLst>
      <a:schemeClr val="accent1">
        <a:shade val="80000"/>
      </a:schemeClr>
      <a:schemeClr val="accent1">
        <a:tint val="7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tint val="70000"/>
        <a:alpha val="50000"/>
      </a:schemeClr>
    </dgm:fillClrLst>
    <dgm:linClrLst meth="repeat">
      <a:schemeClr val="lt1"/>
    </dgm:linClrLst>
    <dgm:effectClrLst/>
    <dgm:txLinClrLst/>
    <dgm:txFillClrLst/>
    <dgm:txEffectClrLst/>
  </dgm:styleLbl>
  <dgm:styleLbl name="node2">
    <dgm:fillClrLst>
      <a:schemeClr val="accent1">
        <a:tint val="99000"/>
      </a:schemeClr>
    </dgm:fillClrLst>
    <dgm:linClrLst meth="repeat">
      <a:schemeClr val="lt1"/>
    </dgm:linClrLst>
    <dgm:effectClrLst/>
    <dgm:txLinClrLst/>
    <dgm:txFillClrLst/>
    <dgm:txEffectClrLst/>
  </dgm:styleLbl>
  <dgm:styleLbl name="node3">
    <dgm:fillClrLst>
      <a:schemeClr val="accent1">
        <a:tint val="80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dgm:txEffectClrLst/>
  </dgm:styleLbl>
  <dgm:styleLbl name="f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b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sibTrans1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9000"/>
      </a:schemeClr>
    </dgm:fillClrLst>
    <dgm:linClrLst meth="repeat">
      <a:schemeClr val="lt1"/>
    </dgm:linClrLst>
    <dgm:effectClrLst/>
    <dgm:txLinClrLst/>
    <dgm:txFillClrLst/>
    <dgm:txEffectClrLst/>
  </dgm:styleLbl>
  <dgm:styleLbl name="asst3">
    <dgm:fillClrLst>
      <a:schemeClr val="accent1">
        <a:tint val="80000"/>
      </a:schemeClr>
    </dgm:fillClrLst>
    <dgm:linClrLst meth="repeat">
      <a:schemeClr val="lt1"/>
    </dgm:linClrLst>
    <dgm:effectClrLst/>
    <dgm:txLinClrLst/>
    <dgm:txFillClrLst/>
    <dgm:txEffectClrLst/>
  </dgm:styleLbl>
  <dgm:styleLbl name="asst4">
    <dgm:fillClrLst>
      <a:schemeClr val="accent1">
        <a:tint val="7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lt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9000"/>
      </a:schemeClr>
    </dgm:fillClrLst>
    <dgm:linClrLst meth="repeat">
      <a:schemeClr val="accent1">
        <a:tint val="99000"/>
      </a:schemeClr>
    </dgm:linClrLst>
    <dgm:effectClrLst/>
    <dgm:txLinClrLst/>
    <dgm:txFillClrLst meth="repeat">
      <a:schemeClr val="tx1"/>
    </dgm:txFillClrLst>
    <dgm:txEffectClrLst/>
  </dgm:styleLbl>
  <dgm:styleLbl name="parChTrans1D3">
    <dgm:fillClrLst meth="repeat">
      <a:schemeClr val="accent1">
        <a:tint val="80000"/>
      </a:schemeClr>
    </dgm:fillClrLst>
    <dgm:linClrLst meth="repeat">
      <a:schemeClr val="accent1">
        <a:tint val="80000"/>
      </a:schemeClr>
    </dgm:linClrLst>
    <dgm:effectClrLst/>
    <dgm:txLinClrLst/>
    <dgm:txFillClrLst meth="repeat">
      <a:schemeClr val="tx1"/>
    </dgm:txFillClrLst>
    <dgm:txEffectClrLst/>
  </dgm:styleLbl>
  <dgm:styleLbl name="parChTrans1D4">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ADA143F-6FFB-4D0D-8F8B-566E3C51FFB0}" type="doc">
      <dgm:prSet loTypeId="urn:microsoft.com/office/officeart/2005/8/layout/target3" loCatId="list" qsTypeId="urn:microsoft.com/office/officeart/2005/8/quickstyle/simple1" qsCatId="simple" csTypeId="urn:microsoft.com/office/officeart/2005/8/colors/accent1_3" csCatId="accent1" phldr="1"/>
      <dgm:spPr/>
      <dgm:t>
        <a:bodyPr/>
        <a:lstStyle/>
        <a:p>
          <a:endParaRPr lang="en-AU"/>
        </a:p>
      </dgm:t>
    </dgm:pt>
    <dgm:pt modelId="{469986A8-D953-4A50-9A3B-4AE4985CBADC}">
      <dgm:prSet phldrT="[Text]" custT="1"/>
      <dgm:spPr>
        <a:solidFill>
          <a:schemeClr val="accent3">
            <a:lumMod val="75000"/>
            <a:alpha val="90000"/>
          </a:schemeClr>
        </a:solidFill>
        <a:ln>
          <a:noFill/>
        </a:ln>
      </dgm:spPr>
      <dgm:t>
        <a:bodyPr/>
        <a:lstStyle/>
        <a:p>
          <a:pPr algn="l"/>
          <a:r>
            <a:rPr lang="en-AU" sz="1000" b="1">
              <a:latin typeface="Verdana" pitchFamily="34" charset="0"/>
            </a:rPr>
            <a:t>Corporate</a:t>
          </a:r>
        </a:p>
        <a:p>
          <a:pPr algn="l"/>
          <a:r>
            <a:rPr lang="en-AU" sz="800" b="0">
              <a:latin typeface="Arial" pitchFamily="34" charset="0"/>
              <a:cs typeface="Arial" pitchFamily="34" charset="0"/>
            </a:rPr>
            <a:t>Executive Management Team</a:t>
          </a:r>
        </a:p>
        <a:p>
          <a:pPr algn="l"/>
          <a:r>
            <a:rPr lang="en-AU" sz="800" b="0">
              <a:latin typeface="Arial" pitchFamily="34" charset="0"/>
              <a:cs typeface="Arial" pitchFamily="34" charset="0"/>
            </a:rPr>
            <a:t>Highest Level covering risks for the entire organisation</a:t>
          </a:r>
        </a:p>
      </dgm:t>
    </dgm:pt>
    <dgm:pt modelId="{EC517A94-A569-4FB9-B376-604E317D5CDD}" type="parTrans" cxnId="{A8960E81-37F6-4B89-A69F-0CCDD134771E}">
      <dgm:prSet/>
      <dgm:spPr/>
      <dgm:t>
        <a:bodyPr/>
        <a:lstStyle/>
        <a:p>
          <a:pPr algn="l"/>
          <a:endParaRPr lang="en-AU"/>
        </a:p>
      </dgm:t>
    </dgm:pt>
    <dgm:pt modelId="{98DBE5E2-61DA-46EC-9B71-9DF768A9BF46}" type="sibTrans" cxnId="{A8960E81-37F6-4B89-A69F-0CCDD134771E}">
      <dgm:prSet/>
      <dgm:spPr/>
      <dgm:t>
        <a:bodyPr/>
        <a:lstStyle/>
        <a:p>
          <a:pPr algn="l"/>
          <a:endParaRPr lang="en-AU"/>
        </a:p>
      </dgm:t>
    </dgm:pt>
    <dgm:pt modelId="{CE2264C0-3117-4055-925E-8F6B767A1E24}">
      <dgm:prSet phldrT="[Text]" custT="1"/>
      <dgm:spPr/>
      <dgm:t>
        <a:bodyPr/>
        <a:lstStyle/>
        <a:p>
          <a:pPr algn="l"/>
          <a:r>
            <a:rPr lang="en-AU" sz="800" b="1">
              <a:latin typeface="Arial" pitchFamily="34" charset="0"/>
              <a:cs typeface="Arial" pitchFamily="34" charset="0"/>
            </a:rPr>
            <a:t>Guides Policy</a:t>
          </a:r>
        </a:p>
      </dgm:t>
    </dgm:pt>
    <dgm:pt modelId="{F7756D23-A64A-4A88-9A3E-F028A9A09827}" type="parTrans" cxnId="{88564524-C798-44FA-B581-13A97B883490}">
      <dgm:prSet/>
      <dgm:spPr/>
      <dgm:t>
        <a:bodyPr/>
        <a:lstStyle/>
        <a:p>
          <a:pPr algn="l"/>
          <a:endParaRPr lang="en-AU"/>
        </a:p>
      </dgm:t>
    </dgm:pt>
    <dgm:pt modelId="{870951EE-EE62-4B4E-A51E-7EFD59C07EBE}" type="sibTrans" cxnId="{88564524-C798-44FA-B581-13A97B883490}">
      <dgm:prSet/>
      <dgm:spPr/>
      <dgm:t>
        <a:bodyPr/>
        <a:lstStyle/>
        <a:p>
          <a:pPr algn="l"/>
          <a:endParaRPr lang="en-AU"/>
        </a:p>
      </dgm:t>
    </dgm:pt>
    <dgm:pt modelId="{9B582466-AF1E-4ECC-9734-7B156877B589}">
      <dgm:prSet phldrT="[Text]" custT="1"/>
      <dgm:spPr>
        <a:ln>
          <a:noFill/>
        </a:ln>
      </dgm:spPr>
      <dgm:t>
        <a:bodyPr/>
        <a:lstStyle/>
        <a:p>
          <a:pPr algn="l"/>
          <a:r>
            <a:rPr lang="en-AU" sz="1000" b="1">
              <a:latin typeface="Arial" pitchFamily="34" charset="0"/>
              <a:cs typeface="Arial" pitchFamily="34" charset="0"/>
            </a:rPr>
            <a:t>Activity</a:t>
          </a:r>
        </a:p>
        <a:p>
          <a:pPr algn="l"/>
          <a:r>
            <a:rPr lang="en-AU" sz="800">
              <a:latin typeface="Arial" pitchFamily="34" charset="0"/>
              <a:cs typeface="Arial" pitchFamily="34" charset="0"/>
            </a:rPr>
            <a:t>Asset Managers</a:t>
          </a:r>
        </a:p>
        <a:p>
          <a:pPr algn="l"/>
          <a:r>
            <a:rPr lang="en-AU" sz="800">
              <a:latin typeface="Arial" pitchFamily="34" charset="0"/>
              <a:cs typeface="Arial" pitchFamily="34" charset="0"/>
            </a:rPr>
            <a:t>Considers risks from all perspectives affecting the management of the activity and it's assets</a:t>
          </a:r>
        </a:p>
      </dgm:t>
    </dgm:pt>
    <dgm:pt modelId="{CD4CD8C7-9C99-44DC-868D-B9D08E655F34}" type="parTrans" cxnId="{32656802-4356-4304-8B3E-3360D683F08E}">
      <dgm:prSet/>
      <dgm:spPr/>
      <dgm:t>
        <a:bodyPr/>
        <a:lstStyle/>
        <a:p>
          <a:pPr algn="l"/>
          <a:endParaRPr lang="en-AU"/>
        </a:p>
      </dgm:t>
    </dgm:pt>
    <dgm:pt modelId="{937EB52C-6D2C-43AA-A729-EE67D364FD62}" type="sibTrans" cxnId="{32656802-4356-4304-8B3E-3360D683F08E}">
      <dgm:prSet/>
      <dgm:spPr/>
      <dgm:t>
        <a:bodyPr/>
        <a:lstStyle/>
        <a:p>
          <a:pPr algn="l"/>
          <a:endParaRPr lang="en-AU"/>
        </a:p>
      </dgm:t>
    </dgm:pt>
    <dgm:pt modelId="{25E306DC-91A3-400A-B868-EB89AAB29D9D}">
      <dgm:prSet phldrT="[Text]" custT="1"/>
      <dgm:spPr/>
      <dgm:t>
        <a:bodyPr/>
        <a:lstStyle/>
        <a:p>
          <a:pPr algn="l"/>
          <a:r>
            <a:rPr lang="en-AU" sz="800" b="1">
              <a:latin typeface="Arial" pitchFamily="34" charset="0"/>
              <a:cs typeface="Arial" pitchFamily="34" charset="0"/>
            </a:rPr>
            <a:t>Influences key activities</a:t>
          </a:r>
        </a:p>
      </dgm:t>
    </dgm:pt>
    <dgm:pt modelId="{418E854A-A8D5-4E47-AAC5-BFDC744492C4}" type="parTrans" cxnId="{CCDEF177-3636-4F6A-9D95-CD353F7DFACA}">
      <dgm:prSet/>
      <dgm:spPr/>
      <dgm:t>
        <a:bodyPr/>
        <a:lstStyle/>
        <a:p>
          <a:pPr algn="l"/>
          <a:endParaRPr lang="en-AU"/>
        </a:p>
      </dgm:t>
    </dgm:pt>
    <dgm:pt modelId="{CD631BE7-D113-4F72-9DD3-C0FB15FA7683}" type="sibTrans" cxnId="{CCDEF177-3636-4F6A-9D95-CD353F7DFACA}">
      <dgm:prSet/>
      <dgm:spPr/>
      <dgm:t>
        <a:bodyPr/>
        <a:lstStyle/>
        <a:p>
          <a:pPr algn="l"/>
          <a:endParaRPr lang="en-AU"/>
        </a:p>
      </dgm:t>
    </dgm:pt>
    <dgm:pt modelId="{25ACF030-43F4-4F79-806A-64ED68992270}">
      <dgm:prSet phldrT="[Text]" custT="1"/>
      <dgm:spPr>
        <a:ln>
          <a:noFill/>
        </a:ln>
      </dgm:spPr>
      <dgm:t>
        <a:bodyPr/>
        <a:lstStyle/>
        <a:p>
          <a:pPr algn="l"/>
          <a:r>
            <a:rPr lang="en-AU" sz="1000" b="1">
              <a:latin typeface="Arial" pitchFamily="34" charset="0"/>
              <a:cs typeface="Arial" pitchFamily="34" charset="0"/>
            </a:rPr>
            <a:t>Operational &amp; Specialist</a:t>
          </a:r>
        </a:p>
        <a:p>
          <a:pPr algn="l"/>
          <a:r>
            <a:rPr lang="en-AU" sz="800">
              <a:latin typeface="Arial" pitchFamily="34" charset="0"/>
              <a:cs typeface="Arial" pitchFamily="34" charset="0"/>
            </a:rPr>
            <a:t>Operational Staff</a:t>
          </a:r>
        </a:p>
        <a:p>
          <a:pPr algn="l"/>
          <a:r>
            <a:rPr lang="en-AU" sz="800">
              <a:latin typeface="Arial" pitchFamily="34" charset="0"/>
              <a:cs typeface="Arial" pitchFamily="34" charset="0"/>
            </a:rPr>
            <a:t>Specific critical asset / service risks, project risks, specialised assessments for specific needs</a:t>
          </a:r>
        </a:p>
      </dgm:t>
    </dgm:pt>
    <dgm:pt modelId="{95C96881-E7D8-4D2B-B6CE-0062D51CEEE8}" type="parTrans" cxnId="{3CE9316D-6CBE-4CC4-B8E2-2EEE96D9570E}">
      <dgm:prSet/>
      <dgm:spPr/>
      <dgm:t>
        <a:bodyPr/>
        <a:lstStyle/>
        <a:p>
          <a:pPr algn="l"/>
          <a:endParaRPr lang="en-AU"/>
        </a:p>
      </dgm:t>
    </dgm:pt>
    <dgm:pt modelId="{1C97A69A-8A51-4970-976C-416E55772D69}" type="sibTrans" cxnId="{3CE9316D-6CBE-4CC4-B8E2-2EEE96D9570E}">
      <dgm:prSet/>
      <dgm:spPr/>
      <dgm:t>
        <a:bodyPr/>
        <a:lstStyle/>
        <a:p>
          <a:pPr algn="l"/>
          <a:endParaRPr lang="en-AU"/>
        </a:p>
      </dgm:t>
    </dgm:pt>
    <dgm:pt modelId="{F6ADDD6E-19A3-4AB5-A38B-41DE4DB1BFF5}">
      <dgm:prSet phldrT="[Text]" custT="1"/>
      <dgm:spPr/>
      <dgm:t>
        <a:bodyPr/>
        <a:lstStyle/>
        <a:p>
          <a:pPr algn="l"/>
          <a:r>
            <a:rPr lang="en-AU" sz="800" b="1">
              <a:latin typeface="Arial" pitchFamily="34" charset="0"/>
              <a:cs typeface="Arial" pitchFamily="34" charset="0"/>
            </a:rPr>
            <a:t>Guides specific actions</a:t>
          </a:r>
        </a:p>
      </dgm:t>
    </dgm:pt>
    <dgm:pt modelId="{2558453F-2011-4DA1-8BB0-C1FE1D848B7B}" type="parTrans" cxnId="{AAD5ED61-0D00-4BAA-84A2-AFB9FA20E45A}">
      <dgm:prSet/>
      <dgm:spPr/>
      <dgm:t>
        <a:bodyPr/>
        <a:lstStyle/>
        <a:p>
          <a:pPr algn="l"/>
          <a:endParaRPr lang="en-AU"/>
        </a:p>
      </dgm:t>
    </dgm:pt>
    <dgm:pt modelId="{167604EC-0EEA-49E9-893D-6CD02A55C1F1}" type="sibTrans" cxnId="{AAD5ED61-0D00-4BAA-84A2-AFB9FA20E45A}">
      <dgm:prSet/>
      <dgm:spPr/>
      <dgm:t>
        <a:bodyPr/>
        <a:lstStyle/>
        <a:p>
          <a:pPr algn="l"/>
          <a:endParaRPr lang="en-AU"/>
        </a:p>
      </dgm:t>
    </dgm:pt>
    <dgm:pt modelId="{F245C0D3-E29C-4145-924A-19E3367A23C4}">
      <dgm:prSet phldrT="[Text]" custT="1"/>
      <dgm:spPr/>
      <dgm:t>
        <a:bodyPr/>
        <a:lstStyle/>
        <a:p>
          <a:pPr algn="l"/>
          <a:r>
            <a:rPr lang="en-AU" sz="800" b="1">
              <a:latin typeface="Arial" pitchFamily="34" charset="0"/>
              <a:cs typeface="Arial" pitchFamily="34" charset="0"/>
            </a:rPr>
            <a:t>Guides strategies</a:t>
          </a:r>
        </a:p>
      </dgm:t>
    </dgm:pt>
    <dgm:pt modelId="{1DBE1118-471A-4524-93D6-1F4F2880F966}" type="parTrans" cxnId="{7C3FABA1-0A06-4F1A-8C4D-88A82BD2FF38}">
      <dgm:prSet/>
      <dgm:spPr/>
      <dgm:t>
        <a:bodyPr/>
        <a:lstStyle/>
        <a:p>
          <a:pPr algn="l"/>
          <a:endParaRPr lang="en-AU"/>
        </a:p>
      </dgm:t>
    </dgm:pt>
    <dgm:pt modelId="{3E2DB3C9-49BC-4F11-A486-57740D1A8125}" type="sibTrans" cxnId="{7C3FABA1-0A06-4F1A-8C4D-88A82BD2FF38}">
      <dgm:prSet/>
      <dgm:spPr/>
      <dgm:t>
        <a:bodyPr/>
        <a:lstStyle/>
        <a:p>
          <a:pPr algn="l"/>
          <a:endParaRPr lang="en-AU"/>
        </a:p>
      </dgm:t>
    </dgm:pt>
    <dgm:pt modelId="{9B84759A-2505-4969-8B8D-7540613EDC13}">
      <dgm:prSet phldrT="[Text]" custT="1"/>
      <dgm:spPr/>
      <dgm:t>
        <a:bodyPr/>
        <a:lstStyle/>
        <a:p>
          <a:pPr algn="l"/>
          <a:r>
            <a:rPr lang="en-AU" sz="800" b="1">
              <a:latin typeface="Arial" pitchFamily="34" charset="0"/>
              <a:cs typeface="Arial" pitchFamily="34" charset="0"/>
            </a:rPr>
            <a:t>Key input into works programs</a:t>
          </a:r>
        </a:p>
      </dgm:t>
    </dgm:pt>
    <dgm:pt modelId="{D58FD197-7FE1-41CC-A70F-85ABF132501E}" type="parTrans" cxnId="{3E2A59FA-A6DA-47FE-B52A-280F1D879486}">
      <dgm:prSet/>
      <dgm:spPr/>
      <dgm:t>
        <a:bodyPr/>
        <a:lstStyle/>
        <a:p>
          <a:pPr algn="l"/>
          <a:endParaRPr lang="en-AU"/>
        </a:p>
      </dgm:t>
    </dgm:pt>
    <dgm:pt modelId="{28807477-C6AF-4C4D-82A0-79DC557356BC}" type="sibTrans" cxnId="{3E2A59FA-A6DA-47FE-B52A-280F1D879486}">
      <dgm:prSet/>
      <dgm:spPr/>
      <dgm:t>
        <a:bodyPr/>
        <a:lstStyle/>
        <a:p>
          <a:pPr algn="l"/>
          <a:endParaRPr lang="en-AU"/>
        </a:p>
      </dgm:t>
    </dgm:pt>
    <dgm:pt modelId="{EC99DD6F-9364-4A1D-9243-1DD3EC8F0694}">
      <dgm:prSet phldrT="[Text]" custT="1"/>
      <dgm:spPr/>
      <dgm:t>
        <a:bodyPr/>
        <a:lstStyle/>
        <a:p>
          <a:pPr algn="l"/>
          <a:r>
            <a:rPr lang="en-AU" sz="800" b="1">
              <a:latin typeface="Arial" pitchFamily="34" charset="0"/>
              <a:cs typeface="Arial" pitchFamily="34" charset="0"/>
            </a:rPr>
            <a:t>Key input into procedures and standards</a:t>
          </a:r>
        </a:p>
      </dgm:t>
    </dgm:pt>
    <dgm:pt modelId="{4A4D6334-CF8C-49A4-945A-0254B5A0E0DE}" type="parTrans" cxnId="{2110BAA0-00E1-4D77-B521-AF4320612236}">
      <dgm:prSet/>
      <dgm:spPr/>
      <dgm:t>
        <a:bodyPr/>
        <a:lstStyle/>
        <a:p>
          <a:pPr algn="l"/>
          <a:endParaRPr lang="en-AU"/>
        </a:p>
      </dgm:t>
    </dgm:pt>
    <dgm:pt modelId="{2766F123-5EC0-4006-90F4-60830F736A5A}" type="sibTrans" cxnId="{2110BAA0-00E1-4D77-B521-AF4320612236}">
      <dgm:prSet/>
      <dgm:spPr/>
      <dgm:t>
        <a:bodyPr/>
        <a:lstStyle/>
        <a:p>
          <a:pPr algn="l"/>
          <a:endParaRPr lang="en-AU"/>
        </a:p>
      </dgm:t>
    </dgm:pt>
    <dgm:pt modelId="{0FFD468B-24AE-49E7-A2A3-6603D9513E77}" type="pres">
      <dgm:prSet presAssocID="{CADA143F-6FFB-4D0D-8F8B-566E3C51FFB0}" presName="Name0" presStyleCnt="0">
        <dgm:presLayoutVars>
          <dgm:chMax val="7"/>
          <dgm:dir/>
          <dgm:animLvl val="lvl"/>
          <dgm:resizeHandles val="exact"/>
        </dgm:presLayoutVars>
      </dgm:prSet>
      <dgm:spPr/>
      <dgm:t>
        <a:bodyPr/>
        <a:lstStyle/>
        <a:p>
          <a:endParaRPr lang="en-AU"/>
        </a:p>
      </dgm:t>
    </dgm:pt>
    <dgm:pt modelId="{F809610E-BC54-4596-903F-81F5303006FB}" type="pres">
      <dgm:prSet presAssocID="{469986A8-D953-4A50-9A3B-4AE4985CBADC}" presName="circle1" presStyleLbl="node1" presStyleIdx="0" presStyleCnt="3"/>
      <dgm:spPr>
        <a:solidFill>
          <a:schemeClr val="accent3">
            <a:lumMod val="75000"/>
          </a:schemeClr>
        </a:solidFill>
      </dgm:spPr>
      <dgm:t>
        <a:bodyPr/>
        <a:lstStyle/>
        <a:p>
          <a:endParaRPr lang="en-AU"/>
        </a:p>
      </dgm:t>
    </dgm:pt>
    <dgm:pt modelId="{B0BE377F-7745-4C10-B749-DEDF7F8CA7B2}" type="pres">
      <dgm:prSet presAssocID="{469986A8-D953-4A50-9A3B-4AE4985CBADC}" presName="space" presStyleCnt="0"/>
      <dgm:spPr/>
    </dgm:pt>
    <dgm:pt modelId="{BA48E41B-AA13-4ED8-AC19-D097637A1252}" type="pres">
      <dgm:prSet presAssocID="{469986A8-D953-4A50-9A3B-4AE4985CBADC}" presName="rect1" presStyleLbl="alignAcc1" presStyleIdx="0" presStyleCnt="3" custLinFactNeighborX="0" custLinFactNeighborY="0"/>
      <dgm:spPr/>
      <dgm:t>
        <a:bodyPr/>
        <a:lstStyle/>
        <a:p>
          <a:endParaRPr lang="en-AU"/>
        </a:p>
      </dgm:t>
    </dgm:pt>
    <dgm:pt modelId="{44DCF72B-7EBC-48AF-BECD-8F79A69F0499}" type="pres">
      <dgm:prSet presAssocID="{9B582466-AF1E-4ECC-9734-7B156877B589}" presName="vertSpace2" presStyleLbl="node1" presStyleIdx="0" presStyleCnt="3"/>
      <dgm:spPr/>
    </dgm:pt>
    <dgm:pt modelId="{51F41DF2-17E3-4755-9BAA-5AA66C522408}" type="pres">
      <dgm:prSet presAssocID="{9B582466-AF1E-4ECC-9734-7B156877B589}" presName="circle2" presStyleLbl="node1" presStyleIdx="1" presStyleCnt="3"/>
      <dgm:spPr>
        <a:solidFill>
          <a:schemeClr val="accent3">
            <a:lumMod val="60000"/>
            <a:lumOff val="40000"/>
          </a:schemeClr>
        </a:solidFill>
      </dgm:spPr>
      <dgm:t>
        <a:bodyPr/>
        <a:lstStyle/>
        <a:p>
          <a:endParaRPr lang="en-AU"/>
        </a:p>
      </dgm:t>
    </dgm:pt>
    <dgm:pt modelId="{CC82C882-0287-4EF9-954A-387A70B2F73F}" type="pres">
      <dgm:prSet presAssocID="{9B582466-AF1E-4ECC-9734-7B156877B589}" presName="rect2" presStyleLbl="alignAcc1" presStyleIdx="1" presStyleCnt="3"/>
      <dgm:spPr/>
      <dgm:t>
        <a:bodyPr/>
        <a:lstStyle/>
        <a:p>
          <a:endParaRPr lang="en-AU"/>
        </a:p>
      </dgm:t>
    </dgm:pt>
    <dgm:pt modelId="{09848C78-B1DD-4E41-927A-541F88132176}" type="pres">
      <dgm:prSet presAssocID="{25ACF030-43F4-4F79-806A-64ED68992270}" presName="vertSpace3" presStyleLbl="node1" presStyleIdx="1" presStyleCnt="3"/>
      <dgm:spPr/>
    </dgm:pt>
    <dgm:pt modelId="{6A825C89-6AD1-452B-8164-492FFC1E3C0F}" type="pres">
      <dgm:prSet presAssocID="{25ACF030-43F4-4F79-806A-64ED68992270}" presName="circle3" presStyleLbl="node1" presStyleIdx="2" presStyleCnt="3"/>
      <dgm:spPr>
        <a:solidFill>
          <a:schemeClr val="accent3">
            <a:lumMod val="40000"/>
            <a:lumOff val="60000"/>
          </a:schemeClr>
        </a:solidFill>
      </dgm:spPr>
      <dgm:t>
        <a:bodyPr/>
        <a:lstStyle/>
        <a:p>
          <a:endParaRPr lang="en-AU"/>
        </a:p>
      </dgm:t>
    </dgm:pt>
    <dgm:pt modelId="{9F1D5472-9774-4CD7-95FB-4207442D2CCA}" type="pres">
      <dgm:prSet presAssocID="{25ACF030-43F4-4F79-806A-64ED68992270}" presName="rect3" presStyleLbl="alignAcc1" presStyleIdx="2" presStyleCnt="3"/>
      <dgm:spPr/>
      <dgm:t>
        <a:bodyPr/>
        <a:lstStyle/>
        <a:p>
          <a:endParaRPr lang="en-AU"/>
        </a:p>
      </dgm:t>
    </dgm:pt>
    <dgm:pt modelId="{97499AC9-C39C-4B19-B8FA-ADC34636BAF7}" type="pres">
      <dgm:prSet presAssocID="{469986A8-D953-4A50-9A3B-4AE4985CBADC}" presName="rect1ParTx" presStyleLbl="alignAcc1" presStyleIdx="2" presStyleCnt="3">
        <dgm:presLayoutVars>
          <dgm:chMax val="1"/>
          <dgm:bulletEnabled val="1"/>
        </dgm:presLayoutVars>
      </dgm:prSet>
      <dgm:spPr/>
      <dgm:t>
        <a:bodyPr/>
        <a:lstStyle/>
        <a:p>
          <a:endParaRPr lang="en-AU"/>
        </a:p>
      </dgm:t>
    </dgm:pt>
    <dgm:pt modelId="{E679A58F-E5CB-46DC-87F5-8AA4F393B1DD}" type="pres">
      <dgm:prSet presAssocID="{469986A8-D953-4A50-9A3B-4AE4985CBADC}" presName="rect1ChTx" presStyleLbl="alignAcc1" presStyleIdx="2" presStyleCnt="3" custScaleX="100000" custLinFactNeighborY="-1130">
        <dgm:presLayoutVars>
          <dgm:bulletEnabled val="1"/>
        </dgm:presLayoutVars>
      </dgm:prSet>
      <dgm:spPr/>
      <dgm:t>
        <a:bodyPr/>
        <a:lstStyle/>
        <a:p>
          <a:endParaRPr lang="en-AU"/>
        </a:p>
      </dgm:t>
    </dgm:pt>
    <dgm:pt modelId="{BCB2BC6E-CCA1-4A22-BE2A-2900876258C7}" type="pres">
      <dgm:prSet presAssocID="{9B582466-AF1E-4ECC-9734-7B156877B589}" presName="rect2ParTx" presStyleLbl="alignAcc1" presStyleIdx="2" presStyleCnt="3">
        <dgm:presLayoutVars>
          <dgm:chMax val="1"/>
          <dgm:bulletEnabled val="1"/>
        </dgm:presLayoutVars>
      </dgm:prSet>
      <dgm:spPr/>
      <dgm:t>
        <a:bodyPr/>
        <a:lstStyle/>
        <a:p>
          <a:endParaRPr lang="en-AU"/>
        </a:p>
      </dgm:t>
    </dgm:pt>
    <dgm:pt modelId="{5934354B-C524-4523-925C-15B66EFE1DF1}" type="pres">
      <dgm:prSet presAssocID="{9B582466-AF1E-4ECC-9734-7B156877B589}" presName="rect2ChTx" presStyleLbl="alignAcc1" presStyleIdx="2" presStyleCnt="3">
        <dgm:presLayoutVars>
          <dgm:bulletEnabled val="1"/>
        </dgm:presLayoutVars>
      </dgm:prSet>
      <dgm:spPr/>
      <dgm:t>
        <a:bodyPr/>
        <a:lstStyle/>
        <a:p>
          <a:endParaRPr lang="en-AU"/>
        </a:p>
      </dgm:t>
    </dgm:pt>
    <dgm:pt modelId="{2565A1A8-193B-4DF9-9A1E-28DE7FA94C92}" type="pres">
      <dgm:prSet presAssocID="{25ACF030-43F4-4F79-806A-64ED68992270}" presName="rect3ParTx" presStyleLbl="alignAcc1" presStyleIdx="2" presStyleCnt="3">
        <dgm:presLayoutVars>
          <dgm:chMax val="1"/>
          <dgm:bulletEnabled val="1"/>
        </dgm:presLayoutVars>
      </dgm:prSet>
      <dgm:spPr/>
      <dgm:t>
        <a:bodyPr/>
        <a:lstStyle/>
        <a:p>
          <a:endParaRPr lang="en-AU"/>
        </a:p>
      </dgm:t>
    </dgm:pt>
    <dgm:pt modelId="{7900FADB-4ACB-411B-B3CD-491D7A8F6188}" type="pres">
      <dgm:prSet presAssocID="{25ACF030-43F4-4F79-806A-64ED68992270}" presName="rect3ChTx" presStyleLbl="alignAcc1" presStyleIdx="2" presStyleCnt="3">
        <dgm:presLayoutVars>
          <dgm:bulletEnabled val="1"/>
        </dgm:presLayoutVars>
      </dgm:prSet>
      <dgm:spPr/>
      <dgm:t>
        <a:bodyPr/>
        <a:lstStyle/>
        <a:p>
          <a:endParaRPr lang="en-AU"/>
        </a:p>
      </dgm:t>
    </dgm:pt>
  </dgm:ptLst>
  <dgm:cxnLst>
    <dgm:cxn modelId="{A8960E81-37F6-4B89-A69F-0CCDD134771E}" srcId="{CADA143F-6FFB-4D0D-8F8B-566E3C51FFB0}" destId="{469986A8-D953-4A50-9A3B-4AE4985CBADC}" srcOrd="0" destOrd="0" parTransId="{EC517A94-A569-4FB9-B376-604E317D5CDD}" sibTransId="{98DBE5E2-61DA-46EC-9B71-9DF768A9BF46}"/>
    <dgm:cxn modelId="{3E2A59FA-A6DA-47FE-B52A-280F1D879486}" srcId="{9B582466-AF1E-4ECC-9734-7B156877B589}" destId="{9B84759A-2505-4969-8B8D-7540613EDC13}" srcOrd="2" destOrd="0" parTransId="{D58FD197-7FE1-41CC-A70F-85ABF132501E}" sibTransId="{28807477-C6AF-4C4D-82A0-79DC557356BC}"/>
    <dgm:cxn modelId="{581AAF0C-AAD6-4F26-B391-03DFF63B1C41}" type="presOf" srcId="{9B84759A-2505-4969-8B8D-7540613EDC13}" destId="{5934354B-C524-4523-925C-15B66EFE1DF1}" srcOrd="0" destOrd="2" presId="urn:microsoft.com/office/officeart/2005/8/layout/target3"/>
    <dgm:cxn modelId="{F2EF5452-2179-49D6-8360-15890E23CE5D}" type="presOf" srcId="{469986A8-D953-4A50-9A3B-4AE4985CBADC}" destId="{97499AC9-C39C-4B19-B8FA-ADC34636BAF7}" srcOrd="1" destOrd="0" presId="urn:microsoft.com/office/officeart/2005/8/layout/target3"/>
    <dgm:cxn modelId="{CCDEF177-3636-4F6A-9D95-CD353F7DFACA}" srcId="{9B582466-AF1E-4ECC-9734-7B156877B589}" destId="{25E306DC-91A3-400A-B868-EB89AAB29D9D}" srcOrd="0" destOrd="0" parTransId="{418E854A-A8D5-4E47-AAC5-BFDC744492C4}" sibTransId="{CD631BE7-D113-4F72-9DD3-C0FB15FA7683}"/>
    <dgm:cxn modelId="{14944C20-1F81-4794-B98F-F82DD5694BCE}" type="presOf" srcId="{F245C0D3-E29C-4145-924A-19E3367A23C4}" destId="{5934354B-C524-4523-925C-15B66EFE1DF1}" srcOrd="0" destOrd="1" presId="urn:microsoft.com/office/officeart/2005/8/layout/target3"/>
    <dgm:cxn modelId="{E77AE619-4CF4-4C23-AC42-74DA8C6D2473}" type="presOf" srcId="{25E306DC-91A3-400A-B868-EB89AAB29D9D}" destId="{5934354B-C524-4523-925C-15B66EFE1DF1}" srcOrd="0" destOrd="0" presId="urn:microsoft.com/office/officeart/2005/8/layout/target3"/>
    <dgm:cxn modelId="{5BB6112E-C182-4A5A-988A-7575FAF0AD13}" type="presOf" srcId="{9B582466-AF1E-4ECC-9734-7B156877B589}" destId="{BCB2BC6E-CCA1-4A22-BE2A-2900876258C7}" srcOrd="1" destOrd="0" presId="urn:microsoft.com/office/officeart/2005/8/layout/target3"/>
    <dgm:cxn modelId="{32656802-4356-4304-8B3E-3360D683F08E}" srcId="{CADA143F-6FFB-4D0D-8F8B-566E3C51FFB0}" destId="{9B582466-AF1E-4ECC-9734-7B156877B589}" srcOrd="1" destOrd="0" parTransId="{CD4CD8C7-9C99-44DC-868D-B9D08E655F34}" sibTransId="{937EB52C-6D2C-43AA-A729-EE67D364FD62}"/>
    <dgm:cxn modelId="{88564524-C798-44FA-B581-13A97B883490}" srcId="{469986A8-D953-4A50-9A3B-4AE4985CBADC}" destId="{CE2264C0-3117-4055-925E-8F6B767A1E24}" srcOrd="0" destOrd="0" parTransId="{F7756D23-A64A-4A88-9A3E-F028A9A09827}" sibTransId="{870951EE-EE62-4B4E-A51E-7EFD59C07EBE}"/>
    <dgm:cxn modelId="{FE66F81C-8E8D-46C9-B513-2131332816CC}" type="presOf" srcId="{F6ADDD6E-19A3-4AB5-A38B-41DE4DB1BFF5}" destId="{7900FADB-4ACB-411B-B3CD-491D7A8F6188}" srcOrd="0" destOrd="0" presId="urn:microsoft.com/office/officeart/2005/8/layout/target3"/>
    <dgm:cxn modelId="{2110BAA0-00E1-4D77-B521-AF4320612236}" srcId="{25ACF030-43F4-4F79-806A-64ED68992270}" destId="{EC99DD6F-9364-4A1D-9243-1DD3EC8F0694}" srcOrd="1" destOrd="0" parTransId="{4A4D6334-CF8C-49A4-945A-0254B5A0E0DE}" sibTransId="{2766F123-5EC0-4006-90F4-60830F736A5A}"/>
    <dgm:cxn modelId="{AAD5ED61-0D00-4BAA-84A2-AFB9FA20E45A}" srcId="{25ACF030-43F4-4F79-806A-64ED68992270}" destId="{F6ADDD6E-19A3-4AB5-A38B-41DE4DB1BFF5}" srcOrd="0" destOrd="0" parTransId="{2558453F-2011-4DA1-8BB0-C1FE1D848B7B}" sibTransId="{167604EC-0EEA-49E9-893D-6CD02A55C1F1}"/>
    <dgm:cxn modelId="{7C3FABA1-0A06-4F1A-8C4D-88A82BD2FF38}" srcId="{9B582466-AF1E-4ECC-9734-7B156877B589}" destId="{F245C0D3-E29C-4145-924A-19E3367A23C4}" srcOrd="1" destOrd="0" parTransId="{1DBE1118-471A-4524-93D6-1F4F2880F966}" sibTransId="{3E2DB3C9-49BC-4F11-A486-57740D1A8125}"/>
    <dgm:cxn modelId="{E7C12E4B-56FE-489F-9EE8-3B55862F47BB}" type="presOf" srcId="{CE2264C0-3117-4055-925E-8F6B767A1E24}" destId="{E679A58F-E5CB-46DC-87F5-8AA4F393B1DD}" srcOrd="0" destOrd="0" presId="urn:microsoft.com/office/officeart/2005/8/layout/target3"/>
    <dgm:cxn modelId="{54F2E740-5B39-442B-9F06-3B7A5F9CD623}" type="presOf" srcId="{9B582466-AF1E-4ECC-9734-7B156877B589}" destId="{CC82C882-0287-4EF9-954A-387A70B2F73F}" srcOrd="0" destOrd="0" presId="urn:microsoft.com/office/officeart/2005/8/layout/target3"/>
    <dgm:cxn modelId="{F51825F8-2968-49B8-8018-F14FEFA7E2A5}" type="presOf" srcId="{25ACF030-43F4-4F79-806A-64ED68992270}" destId="{9F1D5472-9774-4CD7-95FB-4207442D2CCA}" srcOrd="0" destOrd="0" presId="urn:microsoft.com/office/officeart/2005/8/layout/target3"/>
    <dgm:cxn modelId="{3CE9316D-6CBE-4CC4-B8E2-2EEE96D9570E}" srcId="{CADA143F-6FFB-4D0D-8F8B-566E3C51FFB0}" destId="{25ACF030-43F4-4F79-806A-64ED68992270}" srcOrd="2" destOrd="0" parTransId="{95C96881-E7D8-4D2B-B6CE-0062D51CEEE8}" sibTransId="{1C97A69A-8A51-4970-976C-416E55772D69}"/>
    <dgm:cxn modelId="{C464FDCE-6E43-415A-9F0F-96CC917E9C2B}" type="presOf" srcId="{CADA143F-6FFB-4D0D-8F8B-566E3C51FFB0}" destId="{0FFD468B-24AE-49E7-A2A3-6603D9513E77}" srcOrd="0" destOrd="0" presId="urn:microsoft.com/office/officeart/2005/8/layout/target3"/>
    <dgm:cxn modelId="{D3C27EA9-A43F-4AA1-9A40-8059974ED7C0}" type="presOf" srcId="{EC99DD6F-9364-4A1D-9243-1DD3EC8F0694}" destId="{7900FADB-4ACB-411B-B3CD-491D7A8F6188}" srcOrd="0" destOrd="1" presId="urn:microsoft.com/office/officeart/2005/8/layout/target3"/>
    <dgm:cxn modelId="{A5B2C330-AD26-42E7-9A05-5EEC426D8BC9}" type="presOf" srcId="{469986A8-D953-4A50-9A3B-4AE4985CBADC}" destId="{BA48E41B-AA13-4ED8-AC19-D097637A1252}" srcOrd="0" destOrd="0" presId="urn:microsoft.com/office/officeart/2005/8/layout/target3"/>
    <dgm:cxn modelId="{D808CA23-A11E-4FC3-9A09-9061BE8A7A49}" type="presOf" srcId="{25ACF030-43F4-4F79-806A-64ED68992270}" destId="{2565A1A8-193B-4DF9-9A1E-28DE7FA94C92}" srcOrd="1" destOrd="0" presId="urn:microsoft.com/office/officeart/2005/8/layout/target3"/>
    <dgm:cxn modelId="{F1F97F31-040A-46BF-9F02-80402572505A}" type="presParOf" srcId="{0FFD468B-24AE-49E7-A2A3-6603D9513E77}" destId="{F809610E-BC54-4596-903F-81F5303006FB}" srcOrd="0" destOrd="0" presId="urn:microsoft.com/office/officeart/2005/8/layout/target3"/>
    <dgm:cxn modelId="{D0F4D90C-B07D-4A1D-95CE-EC693EAD9F0A}" type="presParOf" srcId="{0FFD468B-24AE-49E7-A2A3-6603D9513E77}" destId="{B0BE377F-7745-4C10-B749-DEDF7F8CA7B2}" srcOrd="1" destOrd="0" presId="urn:microsoft.com/office/officeart/2005/8/layout/target3"/>
    <dgm:cxn modelId="{DB29F84C-9E21-439C-B238-1FDF631ADF0E}" type="presParOf" srcId="{0FFD468B-24AE-49E7-A2A3-6603D9513E77}" destId="{BA48E41B-AA13-4ED8-AC19-D097637A1252}" srcOrd="2" destOrd="0" presId="urn:microsoft.com/office/officeart/2005/8/layout/target3"/>
    <dgm:cxn modelId="{32F33A9B-13E1-419D-BE3B-F0BCAEC5CA5A}" type="presParOf" srcId="{0FFD468B-24AE-49E7-A2A3-6603D9513E77}" destId="{44DCF72B-7EBC-48AF-BECD-8F79A69F0499}" srcOrd="3" destOrd="0" presId="urn:microsoft.com/office/officeart/2005/8/layout/target3"/>
    <dgm:cxn modelId="{03766938-6014-4C5D-92DC-288409C2EE2C}" type="presParOf" srcId="{0FFD468B-24AE-49E7-A2A3-6603D9513E77}" destId="{51F41DF2-17E3-4755-9BAA-5AA66C522408}" srcOrd="4" destOrd="0" presId="urn:microsoft.com/office/officeart/2005/8/layout/target3"/>
    <dgm:cxn modelId="{88E81A79-8A7B-4B61-8615-395B399B1B01}" type="presParOf" srcId="{0FFD468B-24AE-49E7-A2A3-6603D9513E77}" destId="{CC82C882-0287-4EF9-954A-387A70B2F73F}" srcOrd="5" destOrd="0" presId="urn:microsoft.com/office/officeart/2005/8/layout/target3"/>
    <dgm:cxn modelId="{9148A29E-100C-4C37-9C73-B5E0AF616EC8}" type="presParOf" srcId="{0FFD468B-24AE-49E7-A2A3-6603D9513E77}" destId="{09848C78-B1DD-4E41-927A-541F88132176}" srcOrd="6" destOrd="0" presId="urn:microsoft.com/office/officeart/2005/8/layout/target3"/>
    <dgm:cxn modelId="{540270A4-CAAC-46E2-8DC5-D84365BC921C}" type="presParOf" srcId="{0FFD468B-24AE-49E7-A2A3-6603D9513E77}" destId="{6A825C89-6AD1-452B-8164-492FFC1E3C0F}" srcOrd="7" destOrd="0" presId="urn:microsoft.com/office/officeart/2005/8/layout/target3"/>
    <dgm:cxn modelId="{9E11321B-75BD-4A3D-A2DA-45611FAB9E77}" type="presParOf" srcId="{0FFD468B-24AE-49E7-A2A3-6603D9513E77}" destId="{9F1D5472-9774-4CD7-95FB-4207442D2CCA}" srcOrd="8" destOrd="0" presId="urn:microsoft.com/office/officeart/2005/8/layout/target3"/>
    <dgm:cxn modelId="{31DD50C6-D401-482F-A3C9-44F092E127B8}" type="presParOf" srcId="{0FFD468B-24AE-49E7-A2A3-6603D9513E77}" destId="{97499AC9-C39C-4B19-B8FA-ADC34636BAF7}" srcOrd="9" destOrd="0" presId="urn:microsoft.com/office/officeart/2005/8/layout/target3"/>
    <dgm:cxn modelId="{E0A53737-B4A0-482C-A298-B1B1809CD5B2}" type="presParOf" srcId="{0FFD468B-24AE-49E7-A2A3-6603D9513E77}" destId="{E679A58F-E5CB-46DC-87F5-8AA4F393B1DD}" srcOrd="10" destOrd="0" presId="urn:microsoft.com/office/officeart/2005/8/layout/target3"/>
    <dgm:cxn modelId="{B491DDCB-0BAB-4CF5-AA9A-C1EF26ED24FD}" type="presParOf" srcId="{0FFD468B-24AE-49E7-A2A3-6603D9513E77}" destId="{BCB2BC6E-CCA1-4A22-BE2A-2900876258C7}" srcOrd="11" destOrd="0" presId="urn:microsoft.com/office/officeart/2005/8/layout/target3"/>
    <dgm:cxn modelId="{A49DD23F-E071-44C8-8113-8E59D032C3AC}" type="presParOf" srcId="{0FFD468B-24AE-49E7-A2A3-6603D9513E77}" destId="{5934354B-C524-4523-925C-15B66EFE1DF1}" srcOrd="12" destOrd="0" presId="urn:microsoft.com/office/officeart/2005/8/layout/target3"/>
    <dgm:cxn modelId="{0632D0EF-6511-4659-ACDB-33BE063B2ECB}" type="presParOf" srcId="{0FFD468B-24AE-49E7-A2A3-6603D9513E77}" destId="{2565A1A8-193B-4DF9-9A1E-28DE7FA94C92}" srcOrd="13" destOrd="0" presId="urn:microsoft.com/office/officeart/2005/8/layout/target3"/>
    <dgm:cxn modelId="{BF82A943-B944-4908-8481-E3FE3EB8B1B6}" type="presParOf" srcId="{0FFD468B-24AE-49E7-A2A3-6603D9513E77}" destId="{7900FADB-4ACB-411B-B3CD-491D7A8F6188}" srcOrd="14" destOrd="0" presId="urn:microsoft.com/office/officeart/2005/8/layout/target3"/>
  </dgm:cxnLst>
  <dgm:bg/>
  <dgm:whole/>
  <dgm:extLst>
    <a:ext uri="http://schemas.microsoft.com/office/drawing/2008/diagram">
      <dsp:dataModelExt xmlns:dsp="http://schemas.microsoft.com/office/drawing/2008/diagram" relId="rId7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809610E-BC54-4596-903F-81F5303006FB}">
      <dsp:nvSpPr>
        <dsp:cNvPr id="0" name=""/>
        <dsp:cNvSpPr/>
      </dsp:nvSpPr>
      <dsp:spPr>
        <a:xfrm>
          <a:off x="0" y="0"/>
          <a:ext cx="2809874" cy="2809874"/>
        </a:xfrm>
        <a:prstGeom prst="pie">
          <a:avLst>
            <a:gd name="adj1" fmla="val 5400000"/>
            <a:gd name="adj2" fmla="val 16200000"/>
          </a:avLst>
        </a:prstGeom>
        <a:solidFill>
          <a:schemeClr val="accent3">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BA48E41B-AA13-4ED8-AC19-D097637A1252}">
      <dsp:nvSpPr>
        <dsp:cNvPr id="0" name=""/>
        <dsp:cNvSpPr/>
      </dsp:nvSpPr>
      <dsp:spPr>
        <a:xfrm>
          <a:off x="1404937" y="0"/>
          <a:ext cx="3654107" cy="2809874"/>
        </a:xfrm>
        <a:prstGeom prst="rect">
          <a:avLst/>
        </a:prstGeom>
        <a:solidFill>
          <a:schemeClr val="accent3">
            <a:lumMod val="75000"/>
            <a:alpha val="90000"/>
          </a:schemeClr>
        </a:solidFill>
        <a:ln w="25400" cap="flat" cmpd="sng" algn="ctr">
          <a:no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l" defTabSz="444500">
            <a:lnSpc>
              <a:spcPct val="90000"/>
            </a:lnSpc>
            <a:spcBef>
              <a:spcPct val="0"/>
            </a:spcBef>
            <a:spcAft>
              <a:spcPct val="35000"/>
            </a:spcAft>
          </a:pPr>
          <a:r>
            <a:rPr lang="en-AU" sz="1000" b="1" kern="1200">
              <a:latin typeface="Verdana" pitchFamily="34" charset="0"/>
            </a:rPr>
            <a:t>Corporate</a:t>
          </a:r>
        </a:p>
        <a:p>
          <a:pPr lvl="0" algn="l" defTabSz="444500">
            <a:lnSpc>
              <a:spcPct val="90000"/>
            </a:lnSpc>
            <a:spcBef>
              <a:spcPct val="0"/>
            </a:spcBef>
            <a:spcAft>
              <a:spcPct val="35000"/>
            </a:spcAft>
          </a:pPr>
          <a:r>
            <a:rPr lang="en-AU" sz="800" b="0" kern="1200">
              <a:latin typeface="Arial" pitchFamily="34" charset="0"/>
              <a:cs typeface="Arial" pitchFamily="34" charset="0"/>
            </a:rPr>
            <a:t>Executive Management Team</a:t>
          </a:r>
        </a:p>
        <a:p>
          <a:pPr lvl="0" algn="l" defTabSz="444500">
            <a:lnSpc>
              <a:spcPct val="90000"/>
            </a:lnSpc>
            <a:spcBef>
              <a:spcPct val="0"/>
            </a:spcBef>
            <a:spcAft>
              <a:spcPct val="35000"/>
            </a:spcAft>
          </a:pPr>
          <a:r>
            <a:rPr lang="en-AU" sz="800" b="0" kern="1200">
              <a:latin typeface="Arial" pitchFamily="34" charset="0"/>
              <a:cs typeface="Arial" pitchFamily="34" charset="0"/>
            </a:rPr>
            <a:t>Highest Level covering risks for the entire organisation</a:t>
          </a:r>
        </a:p>
      </dsp:txBody>
      <dsp:txXfrm>
        <a:off x="1404937" y="0"/>
        <a:ext cx="1827053" cy="842964"/>
      </dsp:txXfrm>
    </dsp:sp>
    <dsp:sp modelId="{51F41DF2-17E3-4755-9BAA-5AA66C522408}">
      <dsp:nvSpPr>
        <dsp:cNvPr id="0" name=""/>
        <dsp:cNvSpPr/>
      </dsp:nvSpPr>
      <dsp:spPr>
        <a:xfrm>
          <a:off x="491729" y="842964"/>
          <a:ext cx="1826416" cy="1826416"/>
        </a:xfrm>
        <a:prstGeom prst="pie">
          <a:avLst>
            <a:gd name="adj1" fmla="val 5400000"/>
            <a:gd name="adj2" fmla="val 16200000"/>
          </a:avLst>
        </a:prstGeom>
        <a:solidFill>
          <a:schemeClr val="accent3">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C82C882-0287-4EF9-954A-387A70B2F73F}">
      <dsp:nvSpPr>
        <dsp:cNvPr id="0" name=""/>
        <dsp:cNvSpPr/>
      </dsp:nvSpPr>
      <dsp:spPr>
        <a:xfrm>
          <a:off x="1404937" y="842964"/>
          <a:ext cx="3654107" cy="1826416"/>
        </a:xfrm>
        <a:prstGeom prst="rect">
          <a:avLst/>
        </a:prstGeom>
        <a:solidFill>
          <a:schemeClr val="lt1">
            <a:alpha val="90000"/>
            <a:hueOff val="0"/>
            <a:satOff val="0"/>
            <a:lumOff val="0"/>
            <a:alphaOff val="0"/>
          </a:schemeClr>
        </a:solidFill>
        <a:ln w="25400" cap="flat" cmpd="sng" algn="ctr">
          <a:no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l" defTabSz="444500">
            <a:lnSpc>
              <a:spcPct val="90000"/>
            </a:lnSpc>
            <a:spcBef>
              <a:spcPct val="0"/>
            </a:spcBef>
            <a:spcAft>
              <a:spcPct val="35000"/>
            </a:spcAft>
          </a:pPr>
          <a:r>
            <a:rPr lang="en-AU" sz="1000" b="1" kern="1200">
              <a:latin typeface="Arial" pitchFamily="34" charset="0"/>
              <a:cs typeface="Arial" pitchFamily="34" charset="0"/>
            </a:rPr>
            <a:t>Activity</a:t>
          </a:r>
        </a:p>
        <a:p>
          <a:pPr lvl="0" algn="l" defTabSz="444500">
            <a:lnSpc>
              <a:spcPct val="90000"/>
            </a:lnSpc>
            <a:spcBef>
              <a:spcPct val="0"/>
            </a:spcBef>
            <a:spcAft>
              <a:spcPct val="35000"/>
            </a:spcAft>
          </a:pPr>
          <a:r>
            <a:rPr lang="en-AU" sz="800" kern="1200">
              <a:latin typeface="Arial" pitchFamily="34" charset="0"/>
              <a:cs typeface="Arial" pitchFamily="34" charset="0"/>
            </a:rPr>
            <a:t>Asset Managers</a:t>
          </a:r>
        </a:p>
        <a:p>
          <a:pPr lvl="0" algn="l" defTabSz="444500">
            <a:lnSpc>
              <a:spcPct val="90000"/>
            </a:lnSpc>
            <a:spcBef>
              <a:spcPct val="0"/>
            </a:spcBef>
            <a:spcAft>
              <a:spcPct val="35000"/>
            </a:spcAft>
          </a:pPr>
          <a:r>
            <a:rPr lang="en-AU" sz="800" kern="1200">
              <a:latin typeface="Arial" pitchFamily="34" charset="0"/>
              <a:cs typeface="Arial" pitchFamily="34" charset="0"/>
            </a:rPr>
            <a:t>Considers risks from all perspectives affecting the management of the activity and it's assets</a:t>
          </a:r>
        </a:p>
      </dsp:txBody>
      <dsp:txXfrm>
        <a:off x="1404937" y="842964"/>
        <a:ext cx="1827053" cy="842961"/>
      </dsp:txXfrm>
    </dsp:sp>
    <dsp:sp modelId="{6A825C89-6AD1-452B-8164-492FFC1E3C0F}">
      <dsp:nvSpPr>
        <dsp:cNvPr id="0" name=""/>
        <dsp:cNvSpPr/>
      </dsp:nvSpPr>
      <dsp:spPr>
        <a:xfrm>
          <a:off x="983456" y="1685925"/>
          <a:ext cx="842961" cy="842961"/>
        </a:xfrm>
        <a:prstGeom prst="pie">
          <a:avLst>
            <a:gd name="adj1" fmla="val 5400000"/>
            <a:gd name="adj2" fmla="val 16200000"/>
          </a:avLst>
        </a:prstGeom>
        <a:solidFill>
          <a:schemeClr val="accent3">
            <a:lumMod val="40000"/>
            <a:lumOff val="6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F1D5472-9774-4CD7-95FB-4207442D2CCA}">
      <dsp:nvSpPr>
        <dsp:cNvPr id="0" name=""/>
        <dsp:cNvSpPr/>
      </dsp:nvSpPr>
      <dsp:spPr>
        <a:xfrm>
          <a:off x="1404937" y="1685925"/>
          <a:ext cx="3654107" cy="842961"/>
        </a:xfrm>
        <a:prstGeom prst="rect">
          <a:avLst/>
        </a:prstGeom>
        <a:solidFill>
          <a:schemeClr val="lt1">
            <a:alpha val="90000"/>
            <a:hueOff val="0"/>
            <a:satOff val="0"/>
            <a:lumOff val="0"/>
            <a:alphaOff val="0"/>
          </a:schemeClr>
        </a:solidFill>
        <a:ln w="25400" cap="flat" cmpd="sng" algn="ctr">
          <a:no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l" defTabSz="444500">
            <a:lnSpc>
              <a:spcPct val="90000"/>
            </a:lnSpc>
            <a:spcBef>
              <a:spcPct val="0"/>
            </a:spcBef>
            <a:spcAft>
              <a:spcPct val="35000"/>
            </a:spcAft>
          </a:pPr>
          <a:r>
            <a:rPr lang="en-AU" sz="1000" b="1" kern="1200">
              <a:latin typeface="Arial" pitchFamily="34" charset="0"/>
              <a:cs typeface="Arial" pitchFamily="34" charset="0"/>
            </a:rPr>
            <a:t>Operational &amp; Specialist</a:t>
          </a:r>
        </a:p>
        <a:p>
          <a:pPr lvl="0" algn="l" defTabSz="444500">
            <a:lnSpc>
              <a:spcPct val="90000"/>
            </a:lnSpc>
            <a:spcBef>
              <a:spcPct val="0"/>
            </a:spcBef>
            <a:spcAft>
              <a:spcPct val="35000"/>
            </a:spcAft>
          </a:pPr>
          <a:r>
            <a:rPr lang="en-AU" sz="800" kern="1200">
              <a:latin typeface="Arial" pitchFamily="34" charset="0"/>
              <a:cs typeface="Arial" pitchFamily="34" charset="0"/>
            </a:rPr>
            <a:t>Operational Staff</a:t>
          </a:r>
        </a:p>
        <a:p>
          <a:pPr lvl="0" algn="l" defTabSz="444500">
            <a:lnSpc>
              <a:spcPct val="90000"/>
            </a:lnSpc>
            <a:spcBef>
              <a:spcPct val="0"/>
            </a:spcBef>
            <a:spcAft>
              <a:spcPct val="35000"/>
            </a:spcAft>
          </a:pPr>
          <a:r>
            <a:rPr lang="en-AU" sz="800" kern="1200">
              <a:latin typeface="Arial" pitchFamily="34" charset="0"/>
              <a:cs typeface="Arial" pitchFamily="34" charset="0"/>
            </a:rPr>
            <a:t>Specific critical asset / service risks, project risks, specialised assessments for specific needs</a:t>
          </a:r>
        </a:p>
      </dsp:txBody>
      <dsp:txXfrm>
        <a:off x="1404937" y="1685925"/>
        <a:ext cx="1827053" cy="842961"/>
      </dsp:txXfrm>
    </dsp:sp>
    <dsp:sp modelId="{E679A58F-E5CB-46DC-87F5-8AA4F393B1DD}">
      <dsp:nvSpPr>
        <dsp:cNvPr id="0" name=""/>
        <dsp:cNvSpPr/>
      </dsp:nvSpPr>
      <dsp:spPr>
        <a:xfrm>
          <a:off x="3231991" y="0"/>
          <a:ext cx="1827053" cy="842964"/>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dsp:style>
      <dsp:txBody>
        <a:bodyPr spcFirstLastPara="0" vert="horz" wrap="square" lIns="247650" tIns="247650" rIns="247650" bIns="247650" numCol="1" spcCol="1270" anchor="ctr" anchorCtr="0">
          <a:noAutofit/>
        </a:bodyPr>
        <a:lstStyle/>
        <a:p>
          <a:pPr marL="57150" lvl="1" indent="-57150" algn="l" defTabSz="355600">
            <a:lnSpc>
              <a:spcPct val="90000"/>
            </a:lnSpc>
            <a:spcBef>
              <a:spcPct val="0"/>
            </a:spcBef>
            <a:spcAft>
              <a:spcPct val="15000"/>
            </a:spcAft>
            <a:buChar char="••"/>
          </a:pPr>
          <a:r>
            <a:rPr lang="en-AU" sz="800" b="1" kern="1200">
              <a:latin typeface="Arial" pitchFamily="34" charset="0"/>
              <a:cs typeface="Arial" pitchFamily="34" charset="0"/>
            </a:rPr>
            <a:t>Guides Policy</a:t>
          </a:r>
        </a:p>
      </dsp:txBody>
      <dsp:txXfrm>
        <a:off x="3231991" y="0"/>
        <a:ext cx="1827053" cy="842964"/>
      </dsp:txXfrm>
    </dsp:sp>
    <dsp:sp modelId="{5934354B-C524-4523-925C-15B66EFE1DF1}">
      <dsp:nvSpPr>
        <dsp:cNvPr id="0" name=""/>
        <dsp:cNvSpPr/>
      </dsp:nvSpPr>
      <dsp:spPr>
        <a:xfrm>
          <a:off x="3231991" y="842964"/>
          <a:ext cx="1827053" cy="842961"/>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dsp:style>
      <dsp:txBody>
        <a:bodyPr spcFirstLastPara="0" vert="horz" wrap="square" lIns="247650" tIns="247650" rIns="247650" bIns="247650" numCol="1" spcCol="1270" anchor="ctr" anchorCtr="0">
          <a:noAutofit/>
        </a:bodyPr>
        <a:lstStyle/>
        <a:p>
          <a:pPr marL="57150" lvl="1" indent="-57150" algn="l" defTabSz="355600">
            <a:lnSpc>
              <a:spcPct val="90000"/>
            </a:lnSpc>
            <a:spcBef>
              <a:spcPct val="0"/>
            </a:spcBef>
            <a:spcAft>
              <a:spcPct val="15000"/>
            </a:spcAft>
            <a:buChar char="••"/>
          </a:pPr>
          <a:r>
            <a:rPr lang="en-AU" sz="800" b="1" kern="1200">
              <a:latin typeface="Arial" pitchFamily="34" charset="0"/>
              <a:cs typeface="Arial" pitchFamily="34" charset="0"/>
            </a:rPr>
            <a:t>Influences key activities</a:t>
          </a:r>
        </a:p>
        <a:p>
          <a:pPr marL="57150" lvl="1" indent="-57150" algn="l" defTabSz="355600">
            <a:lnSpc>
              <a:spcPct val="90000"/>
            </a:lnSpc>
            <a:spcBef>
              <a:spcPct val="0"/>
            </a:spcBef>
            <a:spcAft>
              <a:spcPct val="15000"/>
            </a:spcAft>
            <a:buChar char="••"/>
          </a:pPr>
          <a:r>
            <a:rPr lang="en-AU" sz="800" b="1" kern="1200">
              <a:latin typeface="Arial" pitchFamily="34" charset="0"/>
              <a:cs typeface="Arial" pitchFamily="34" charset="0"/>
            </a:rPr>
            <a:t>Guides strategies</a:t>
          </a:r>
        </a:p>
        <a:p>
          <a:pPr marL="57150" lvl="1" indent="-57150" algn="l" defTabSz="355600">
            <a:lnSpc>
              <a:spcPct val="90000"/>
            </a:lnSpc>
            <a:spcBef>
              <a:spcPct val="0"/>
            </a:spcBef>
            <a:spcAft>
              <a:spcPct val="15000"/>
            </a:spcAft>
            <a:buChar char="••"/>
          </a:pPr>
          <a:r>
            <a:rPr lang="en-AU" sz="800" b="1" kern="1200">
              <a:latin typeface="Arial" pitchFamily="34" charset="0"/>
              <a:cs typeface="Arial" pitchFamily="34" charset="0"/>
            </a:rPr>
            <a:t>Key input into works programs</a:t>
          </a:r>
        </a:p>
      </dsp:txBody>
      <dsp:txXfrm>
        <a:off x="3231991" y="842964"/>
        <a:ext cx="1827053" cy="842961"/>
      </dsp:txXfrm>
    </dsp:sp>
    <dsp:sp modelId="{7900FADB-4ACB-411B-B3CD-491D7A8F6188}">
      <dsp:nvSpPr>
        <dsp:cNvPr id="0" name=""/>
        <dsp:cNvSpPr/>
      </dsp:nvSpPr>
      <dsp:spPr>
        <a:xfrm>
          <a:off x="3231991" y="1685925"/>
          <a:ext cx="1827053" cy="842961"/>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dsp:style>
      <dsp:txBody>
        <a:bodyPr spcFirstLastPara="0" vert="horz" wrap="square" lIns="247650" tIns="247650" rIns="247650" bIns="247650" numCol="1" spcCol="1270" anchor="ctr" anchorCtr="0">
          <a:noAutofit/>
        </a:bodyPr>
        <a:lstStyle/>
        <a:p>
          <a:pPr marL="57150" lvl="1" indent="-57150" algn="l" defTabSz="355600">
            <a:lnSpc>
              <a:spcPct val="90000"/>
            </a:lnSpc>
            <a:spcBef>
              <a:spcPct val="0"/>
            </a:spcBef>
            <a:spcAft>
              <a:spcPct val="15000"/>
            </a:spcAft>
            <a:buChar char="••"/>
          </a:pPr>
          <a:r>
            <a:rPr lang="en-AU" sz="800" b="1" kern="1200">
              <a:latin typeface="Arial" pitchFamily="34" charset="0"/>
              <a:cs typeface="Arial" pitchFamily="34" charset="0"/>
            </a:rPr>
            <a:t>Guides specific actions</a:t>
          </a:r>
        </a:p>
        <a:p>
          <a:pPr marL="57150" lvl="1" indent="-57150" algn="l" defTabSz="355600">
            <a:lnSpc>
              <a:spcPct val="90000"/>
            </a:lnSpc>
            <a:spcBef>
              <a:spcPct val="0"/>
            </a:spcBef>
            <a:spcAft>
              <a:spcPct val="15000"/>
            </a:spcAft>
            <a:buChar char="••"/>
          </a:pPr>
          <a:r>
            <a:rPr lang="en-AU" sz="800" b="1" kern="1200">
              <a:latin typeface="Arial" pitchFamily="34" charset="0"/>
              <a:cs typeface="Arial" pitchFamily="34" charset="0"/>
            </a:rPr>
            <a:t>Key input into procedures and standards</a:t>
          </a:r>
        </a:p>
      </dsp:txBody>
      <dsp:txXfrm>
        <a:off x="3231991" y="1685925"/>
        <a:ext cx="1827053" cy="842961"/>
      </dsp:txXfrm>
    </dsp:sp>
  </dsp:spTree>
</dsp:drawing>
</file>

<file path=word/diagrams/layout1.xml><?xml version="1.0" encoding="utf-8"?>
<dgm:layoutDef xmlns:dgm="http://schemas.openxmlformats.org/drawingml/2006/diagram" xmlns:a="http://schemas.openxmlformats.org/drawingml/2006/main" uniqueId="urn:microsoft.com/office/officeart/2005/8/layout/target3">
  <dgm:title val=""/>
  <dgm:desc val=""/>
  <dgm:catLst>
    <dgm:cat type="relationship" pri="11000"/>
    <dgm:cat type="list" pri="22000"/>
    <dgm:cat type="convert" pri="4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11"/>
        <dgm:pt modelId="12"/>
        <dgm:pt modelId="2"/>
        <dgm:pt modelId="21"/>
        <dgm:pt modelId="22"/>
        <dgm:pt modelId="3"/>
        <dgm:pt modelId="31"/>
        <dgm:pt modelId="32"/>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tyleData>
  <dgm:clrData>
    <dgm:dataModel>
      <dgm:ptLst>
        <dgm:pt modelId="0" type="doc"/>
        <dgm:pt modelId="1"/>
        <dgm:pt modelId="11"/>
        <dgm:pt modelId="12"/>
        <dgm:pt modelId="2"/>
        <dgm:pt modelId="21"/>
        <dgm:pt modelId="22"/>
        <dgm:pt modelId="3"/>
        <dgm:pt modelId="31"/>
        <dgm:pt modelId="32"/>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clrData>
  <dgm:layoutNode name="Name0">
    <dgm:varLst>
      <dgm:chMax val="7"/>
      <dgm:dir/>
      <dgm:animLvl val="lvl"/>
      <dgm:resizeHandles val="exact"/>
    </dgm:varLst>
    <dgm:alg type="composite"/>
    <dgm:shape xmlns:r="http://schemas.openxmlformats.org/officeDocument/2006/relationships" r:blip="">
      <dgm:adjLst/>
    </dgm:shape>
    <dgm:presOf/>
    <dgm:choose name="Name1">
      <dgm:if name="Name2" func="var" arg="dir" op="equ" val="norm">
        <dgm:choose name="Name3">
          <dgm:if name="Name4" axis="ch" ptType="node" func="cnt" op="equ" val="1">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rect1ParTx" refType="r" refFor="ch" refForName="space"/>
              <dgm:constr type="w" for="ch" forName="rect1ParTx" refType="w" refFor="ch" refForName="rect1" fact="0.5"/>
              <dgm:constr type="t" for="ch" forName="rect1ParTx" refType="t" refFor="ch" refForName="rect1"/>
              <dgm:constr type="b" for="ch" forName="rect1ParTx" refType="b" refFor="ch" refForName="rect1"/>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b" refFor="ch" refForName="rect1"/>
              <dgm:constr type="primFontSz" for="ch" op="equ" val="65"/>
              <dgm:constr type="secFontSz" for="ch" op="equ" val="65"/>
            </dgm:constrLst>
          </dgm:if>
          <dgm:if name="Name5" axis="ch" ptType="node" func="cnt" op="equ" val="2">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5"/>
              <dgm:constr type="hOff" for="ch" forName="circle2" refType="h" refFor="ch" refForName="vertSpace2" fact="-0.5"/>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rect2ParTx" refType="r" refFor="ch" refForName="space"/>
              <dgm:constr type="w" for="ch" forName="rect2ParTx" refType="w" refFor="ch" refForName="rect2" fact="0.5"/>
              <dgm:constr type="t" for="ch" forName="rect2ParTx" refType="t" refFor="ch" refForName="rect2"/>
              <dgm:constr type="b" for="ch" forName="rect2ParTx" refType="b" refFor="ch" refForName="rect2"/>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b" refFor="ch" refForName="rect2"/>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primFontSz" for="ch" op="equ" val="65"/>
              <dgm:constr type="secFontSz" for="ch" op="equ" val="65"/>
            </dgm:constrLst>
          </dgm:if>
          <dgm:if name="Name6" axis="ch" ptType="node" func="cnt" op="equ" val="3">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66667"/>
              <dgm:constr type="hOff" for="ch" forName="circle2" refType="h" refFor="ch" refForName="vertSpace2" fact="-0.33333"/>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33333"/>
              <dgm:constr type="hOff" for="ch" forName="circle3" refType="h" refFor="ch" refForName="vertSpace2" fact="-0.66667"/>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rect3ParTx" refType="r" refFor="ch" refForName="space"/>
              <dgm:constr type="w" for="ch" forName="rect3ParTx" refType="w" refFor="ch" refForName="rect3" fact="0.5"/>
              <dgm:constr type="t" for="ch" forName="rect3ParTx" refType="t" refFor="ch" refForName="rect3"/>
              <dgm:constr type="b" for="ch" forName="rect3ParTx" refType="b" refFor="ch" refForName="rect3"/>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b" refFor="ch" refForName="rect3"/>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primFontSz" for="ch" op="equ" val="65"/>
              <dgm:constr type="secFontSz" for="ch" op="equ" val="65"/>
            </dgm:constrLst>
          </dgm:if>
          <dgm:if name="Name7" axis="ch" ptType="node" func="cnt" op="equ" val="4">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75"/>
              <dgm:constr type="hOff" for="ch" forName="circle2" refType="h" refFor="ch" refForName="vertSpace2" fact="-0.25"/>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5"/>
              <dgm:constr type="hOff" for="ch" forName="circle3" refType="h" refFor="ch" refForName="vertSpace2" fact="-0.5"/>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25"/>
              <dgm:constr type="hOff" for="ch" forName="circle4" refType="h" refFor="ch" refForName="vertSpace2" fact="-0.75"/>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rect4ParTx" refType="r" refFor="ch" refForName="space"/>
              <dgm:constr type="w" for="ch" forName="rect4ParTx" refType="w" refFor="ch" refForName="rect4" fact="0.5"/>
              <dgm:constr type="t" for="ch" forName="rect4ParTx" refType="t" refFor="ch" refForName="rect4"/>
              <dgm:constr type="b" for="ch" forName="rect4ParTx" refType="b" refFor="ch" refForName="rect4"/>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b" refFor="ch" refForName="rect4"/>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primFontSz" for="ch" op="equ" val="65"/>
              <dgm:constr type="secFontSz" for="ch" op="equ" val="65"/>
            </dgm:constrLst>
          </dgm:if>
          <dgm:if name="Name8" axis="ch" ptType="node" func="cnt" op="equ" val="5">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
              <dgm:constr type="hOff" for="ch" forName="circle2" refType="h" refFor="ch" refForName="vertSpace2" fact="-0.2"/>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6"/>
              <dgm:constr type="hOff" for="ch" forName="circle3" refType="h" refFor="ch" refForName="vertSpace2" fact="-0.4"/>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4"/>
              <dgm:constr type="hOff" for="ch" forName="circle4" refType="h" refFor="ch" refForName="vertSpace2" fact="-0.6"/>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2"/>
              <dgm:constr type="hOff" for="ch" forName="circle5" refType="h" refFor="ch" refForName="vertSpace2" fact="-0.8"/>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rect5ParTx" refType="r" refFor="ch" refForName="space"/>
              <dgm:constr type="w" for="ch" forName="rect5ParTx" refType="w" refFor="ch" refForName="rect5" fact="0.5"/>
              <dgm:constr type="t" for="ch" forName="rect5ParTx" refType="t" refFor="ch" refForName="rect5"/>
              <dgm:constr type="b" for="ch" forName="rect5ParTx" refType="b" refFor="ch" refForName="rect5"/>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b" refFor="ch" refForName="rect5"/>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primFontSz" for="ch" op="equ" val="65"/>
              <dgm:constr type="secFontSz" for="ch" op="equ" val="65"/>
            </dgm:constrLst>
          </dgm:if>
          <dgm:if name="Name9" axis="ch" ptType="node" func="cnt" op="equ" val="6">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3333"/>
              <dgm:constr type="hOff" for="ch" forName="circle2" refType="h" refFor="ch" refForName="vertSpace2" fact="-0.16667"/>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66667"/>
              <dgm:constr type="hOff" for="ch" forName="circle3" refType="h" refFor="ch" refForName="vertSpace2" fact="-0.33333"/>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5"/>
              <dgm:constr type="hOff" for="ch" forName="circle4" refType="h" refFor="ch" refForName="vertSpace2" fact="-0.5"/>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33333"/>
              <dgm:constr type="hOff" for="ch" forName="circle5" refType="h" refFor="ch" refForName="vertSpace2" fact="-0.66667"/>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l" refFor="ch" refForName="space"/>
              <dgm:constr type="h" for="ch" forName="circle6" refType="h" refFor="ch" refForName="circle1" fact="0.16667"/>
              <dgm:constr type="hOff" for="ch" forName="circle6" refType="h" refFor="ch" refForName="vertSpace2" fact="-0.83333"/>
              <dgm:constr type="w" for="ch" forName="circle6" refType="h" refFor="ch" refForName="circle6" op="equ"/>
              <dgm:constr type="wOff" for="ch" forName="circle6" refType="hOff" refFor="ch" refForName="circle6" op="equ"/>
              <dgm:constr type="b" for="ch" forName="circle6" refType="t" refFor="ch" refForName="vertSpace6"/>
              <dgm:constr type="l" for="ch" forName="rect6" refType="r" refFor="ch" refForName="space"/>
              <dgm:constr type="r" for="ch" forName="rect6" refType="w"/>
              <dgm:constr type="h" for="ch" forName="rect6" refType="h" refFor="ch" refForName="circle6"/>
              <dgm:constr type="hOff" for="ch" forName="rect6" refType="hOff" refFor="ch" refForName="circle6"/>
              <dgm:constr type="b" for="ch" forName="rect6" refType="b" refFor="ch" refForName="circle6"/>
              <dgm:constr type="l" for="ch" forName="rect6ParTx" refType="r" refFor="ch" refForName="space"/>
              <dgm:constr type="w" for="ch" forName="rect6ParTx" refType="w" refFor="ch" refForName="rect6" fact="0.5"/>
              <dgm:constr type="t" for="ch" forName="rect6ParTx" refType="t" refFor="ch" refForName="rect6"/>
              <dgm:constr type="b" for="ch" forName="rect6ParTx" refType="b" refFor="ch" refForName="rect6"/>
              <dgm:constr type="l" for="ch" forName="rect6ChTx" refType="r" refFor="ch" refForName="rect6ParTx"/>
              <dgm:constr type="w" for="ch" forName="rect6ChTx" refType="w" refFor="ch" refForName="rect6ParTx"/>
              <dgm:constr type="t" for="ch" forName="rect6ChTx" refType="t" refFor="ch" refForName="rect6ParTx"/>
              <dgm:constr type="b" for="ch" forName="rect6ChTx" refType="b" refFor="ch" refForName="rect6ParTx"/>
              <dgm:constr type="l" for="ch" forName="rect6ParTxNoCh" refType="r" refFor="ch" refForName="space"/>
              <dgm:constr type="w" for="ch" forName="rect6ParTxNoCh" refType="w" refFor="ch" refForName="rect6"/>
              <dgm:constr type="t" for="ch" forName="rect6ParTxNoCh" refType="t" refFor="ch" refForName="rect6"/>
              <dgm:constr type="b" for="ch" forName="rect6ParTxNoCh" refType="b" refFor="ch" refForName="rect6"/>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l" for="ch" forName="rect5ParTx" refType="r" refFor="ch" refForName="space"/>
              <dgm:constr type="w" for="ch" forName="rect5ParTx" refType="w" refFor="ch" refForName="rect5" fact="0.5"/>
              <dgm:constr type="t" for="ch" forName="rect5ParTx" refType="t" refFor="ch" refForName="rect5"/>
              <dgm:constr type="b" for="ch" forName="rect5ParTx" refType="t" refFor="ch" refForName="rect6"/>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t" refFor="ch" refForName="rect6"/>
              <dgm:constr type="primFontSz" for="ch" op="equ" val="65"/>
              <dgm:constr type="secFontSz" for="ch" op="equ" val="65"/>
            </dgm:constrLst>
          </dgm:if>
          <dgm:if name="Name10" axis="ch" ptType="node" func="cnt" op="gte" val="7">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5714"/>
              <dgm:constr type="hOff" for="ch" forName="circle2" refType="h" refFor="ch" refForName="vertSpace2" fact="-0.14286"/>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71429"/>
              <dgm:constr type="hOff" for="ch" forName="circle3" refType="h" refFor="ch" refForName="vertSpace2" fact="-0.28571"/>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57143"/>
              <dgm:constr type="hOff" for="ch" forName="circle4" refType="h" refFor="ch" refForName="vertSpace2" fact="-0.42857"/>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42857"/>
              <dgm:constr type="hOff" for="ch" forName="circle5" refType="h" refFor="ch" refForName="vertSpace2" fact="-0.57143"/>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l" refFor="ch" refForName="space"/>
              <dgm:constr type="h" for="ch" forName="circle6" refType="h" refFor="ch" refForName="circle1" fact="0.28571"/>
              <dgm:constr type="hOff" for="ch" forName="circle6" refType="h" refFor="ch" refForName="vertSpace2" fact="-0.71429"/>
              <dgm:constr type="w" for="ch" forName="circle6" refType="h" refFor="ch" refForName="circle6" op="equ"/>
              <dgm:constr type="wOff" for="ch" forName="circle6" refType="hOff" refFor="ch" refForName="circle6" op="equ"/>
              <dgm:constr type="b" for="ch" forName="circle6" refType="t" refFor="ch" refForName="vertSpace6"/>
              <dgm:constr type="l" for="ch" forName="rect6" refType="r" refFor="ch" refForName="space"/>
              <dgm:constr type="r" for="ch" forName="rect6" refType="w"/>
              <dgm:constr type="h" for="ch" forName="rect6" refType="h" refFor="ch" refForName="circle6"/>
              <dgm:constr type="hOff" for="ch" forName="rect6" refType="hOff" refFor="ch" refForName="circle6"/>
              <dgm:constr type="b" for="ch" forName="rect6" refType="b" refFor="ch" refForName="circle6"/>
              <dgm:constr type="l" for="ch" forName="vertSpace7"/>
              <dgm:constr type="w" for="ch" forName="vertSpace7" refType="w"/>
              <dgm:constr type="h" for="ch" forName="vertSpace7" refType="h" refFor="ch" refForName="vertSpace6"/>
              <dgm:constr type="b" for="ch" forName="vertSpace7" refType="t" refFor="ch" refForName="vertSpace6"/>
              <dgm:constr type="ctrX" for="ch" forName="circle7" refType="l" refFor="ch" refForName="space"/>
              <dgm:constr type="h" for="ch" forName="circle7" refType="h" refFor="ch" refForName="circle1" fact="0.14286"/>
              <dgm:constr type="hOff" for="ch" forName="circle7" refType="h" refFor="ch" refForName="vertSpace2" fact="-0.85714"/>
              <dgm:constr type="w" for="ch" forName="circle7" refType="h" refFor="ch" refForName="circle7" op="equ"/>
              <dgm:constr type="wOff" for="ch" forName="circle7" refType="hOff" refFor="ch" refForName="circle7" op="equ"/>
              <dgm:constr type="b" for="ch" forName="circle7" refType="t" refFor="ch" refForName="vertSpace7"/>
              <dgm:constr type="l" for="ch" forName="rect7" refType="r" refFor="ch" refForName="space"/>
              <dgm:constr type="r" for="ch" forName="rect7" refType="w"/>
              <dgm:constr type="h" for="ch" forName="rect7" refType="h" refFor="ch" refForName="circle7"/>
              <dgm:constr type="hOff" for="ch" forName="rect7" refType="hOff" refFor="ch" refForName="circle7"/>
              <dgm:constr type="b" for="ch" forName="rect7" refType="b" refFor="ch" refForName="circle7"/>
              <dgm:constr type="l" for="ch" forName="rect7ParTx" refType="r" refFor="ch" refForName="space"/>
              <dgm:constr type="w" for="ch" forName="rect7ParTx" refType="w" refFor="ch" refForName="rect7" fact="0.5"/>
              <dgm:constr type="t" for="ch" forName="rect7ParTx" refType="t" refFor="ch" refForName="rect7"/>
              <dgm:constr type="b" for="ch" forName="rect7ParTx" refType="b" refFor="ch" refForName="rect7"/>
              <dgm:constr type="l" for="ch" forName="rect7ChTx" refType="r" refFor="ch" refForName="rect7ParTx"/>
              <dgm:constr type="w" for="ch" forName="rect7ChTx" refType="w" refFor="ch" refForName="rect7ParTx"/>
              <dgm:constr type="t" for="ch" forName="rect7ChTx" refType="t" refFor="ch" refForName="rect7ParTx"/>
              <dgm:constr type="b" for="ch" forName="rect7ChTx" refType="b" refFor="ch" refForName="rect7ParTx"/>
              <dgm:constr type="l" for="ch" forName="rect7ParTxNoCh" refType="r" refFor="ch" refForName="space"/>
              <dgm:constr type="w" for="ch" forName="rect7ParTxNoCh" refType="w" refFor="ch" refForName="rect7"/>
              <dgm:constr type="t" for="ch" forName="rect7ParTxNoCh" refType="t" refFor="ch" refForName="rect7"/>
              <dgm:constr type="b" for="ch" forName="rect7ParTxNoCh" refType="b" refFor="ch" refForName="rect7"/>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l" for="ch" forName="rect5ParTx" refType="r" refFor="ch" refForName="space"/>
              <dgm:constr type="w" for="ch" forName="rect5ParTx" refType="w" refFor="ch" refForName="rect5" fact="0.5"/>
              <dgm:constr type="t" for="ch" forName="rect5ParTx" refType="t" refFor="ch" refForName="rect5"/>
              <dgm:constr type="b" for="ch" forName="rect5ParTx" refType="t" refFor="ch" refForName="rect6"/>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t" refFor="ch" refForName="rect6"/>
              <dgm:constr type="l" for="ch" forName="rect6ParTx" refType="r" refFor="ch" refForName="space"/>
              <dgm:constr type="w" for="ch" forName="rect6ParTx" refType="w" refFor="ch" refForName="rect6" fact="0.5"/>
              <dgm:constr type="t" for="ch" forName="rect6ParTx" refType="t" refFor="ch" refForName="rect6"/>
              <dgm:constr type="b" for="ch" forName="rect6ParTx" refType="t" refFor="ch" refForName="rect7"/>
              <dgm:constr type="l" for="ch" forName="rect6ChTx" refType="r" refFor="ch" refForName="rect6ParTx"/>
              <dgm:constr type="w" for="ch" forName="rect6ChTx" refType="w" refFor="ch" refForName="rect6ParTx"/>
              <dgm:constr type="t" for="ch" forName="rect6ChTx" refType="t" refFor="ch" refForName="rect6ParTx"/>
              <dgm:constr type="b" for="ch" forName="rect6ChTx" refType="b" refFor="ch" refForName="rect6ParTx"/>
              <dgm:constr type="l" for="ch" forName="rect6ParTxNoCh" refType="r" refFor="ch" refForName="space"/>
              <dgm:constr type="w" for="ch" forName="rect6ParTxNoCh" refType="w" refFor="ch" refForName="rect6"/>
              <dgm:constr type="t" for="ch" forName="rect6ParTxNoCh" refType="t" refFor="ch" refForName="rect6"/>
              <dgm:constr type="b" for="ch" forName="rect6ParTxNoCh" refType="t" refFor="ch" refForName="rect7"/>
              <dgm:constr type="primFontSz" for="ch" op="equ" val="65"/>
              <dgm:constr type="secFontSz" for="ch" op="equ" val="65"/>
            </dgm:constrLst>
          </dgm:if>
          <dgm:else name="Name11">
            <dgm:constrLst/>
          </dgm:else>
        </dgm:choose>
      </dgm:if>
      <dgm:else name="Name12">
        <dgm:choose name="Name13">
          <dgm:if name="Name14" axis="ch" ptType="node" func="cnt" op="equ" val="1">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r" for="ch" forName="rect1ParTx" refType="l" refFor="ch" refForName="space"/>
              <dgm:constr type="w" for="ch" forName="rect1ParTx" refType="w" refFor="ch" refForName="rect1" fact="0.5"/>
              <dgm:constr type="t" for="ch" forName="rect1ParTx" refType="t" refFor="ch" refForName="rect1"/>
              <dgm:constr type="b" for="ch" forName="rect1ParTx" refType="b" refFor="ch" refForName="rect1"/>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b" refFor="ch" refForName="rect1"/>
              <dgm:constr type="primFontSz" for="ch" op="equ" val="65"/>
              <dgm:constr type="secFontSz" for="ch" op="equ" val="65"/>
            </dgm:constrLst>
          </dgm:if>
          <dgm:if name="Name15" axis="ch" ptType="node" func="cnt" op="equ" val="2">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5"/>
              <dgm:constr type="hOff" for="ch" forName="circle2" refType="h" refFor="ch" refForName="vertSpace2" fact="-0.5"/>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r" for="ch" forName="rect2ParTx" refType="l" refFor="ch" refForName="space"/>
              <dgm:constr type="w" for="ch" forName="rect2ParTx" refType="w" refFor="ch" refForName="rect2" fact="0.5"/>
              <dgm:constr type="t" for="ch" forName="rect2ParTx" refType="t" refFor="ch" refForName="rect2"/>
              <dgm:constr type="b" for="ch" forName="rect2ParTx" refType="b" refFor="ch" refForName="rect2"/>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b" refFor="ch" refForName="rect2"/>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primFontSz" for="ch" op="equ" val="65"/>
              <dgm:constr type="secFontSz" for="ch" op="equ" val="65"/>
            </dgm:constrLst>
          </dgm:if>
          <dgm:if name="Name16" axis="ch" ptType="node" func="cnt" op="equ" val="3">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66667"/>
              <dgm:constr type="hOff" for="ch" forName="circle2" refType="h" refFor="ch" refForName="vertSpace2" fact="-0.33333"/>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33333"/>
              <dgm:constr type="hOff" for="ch" forName="circle3" refType="h" refFor="ch" refForName="vertSpace2" fact="-0.66667"/>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r" for="ch" forName="rect3ParTx" refType="l" refFor="ch" refForName="space"/>
              <dgm:constr type="w" for="ch" forName="rect3ParTx" refType="w" refFor="ch" refForName="rect3" fact="0.5"/>
              <dgm:constr type="t" for="ch" forName="rect3ParTx" refType="t" refFor="ch" refForName="rect3"/>
              <dgm:constr type="b" for="ch" forName="rect3ParTx" refType="b" refFor="ch" refForName="rect3"/>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b" refFor="ch" refForName="rect3"/>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primFontSz" for="ch" op="equ" val="65"/>
              <dgm:constr type="secFontSz" for="ch" op="equ" val="65"/>
            </dgm:constrLst>
          </dgm:if>
          <dgm:if name="Name17" axis="ch" ptType="node" func="cnt" op="equ" val="4">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75"/>
              <dgm:constr type="hOff" for="ch" forName="circle2" refType="h" refFor="ch" refForName="vertSpace2" fact="-0.25"/>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5"/>
              <dgm:constr type="hOff" for="ch" forName="circle3" refType="h" refFor="ch" refForName="vertSpace2" fact="-0.5"/>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25"/>
              <dgm:constr type="hOff" for="ch" forName="circle4" refType="h" refFor="ch" refForName="vertSpace2" fact="-0.75"/>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r" for="ch" forName="rect4ParTx" refType="l" refFor="ch" refForName="space"/>
              <dgm:constr type="w" for="ch" forName="rect4ParTx" refType="w" refFor="ch" refForName="rect4" fact="0.5"/>
              <dgm:constr type="t" for="ch" forName="rect4ParTx" refType="t" refFor="ch" refForName="rect4"/>
              <dgm:constr type="b" for="ch" forName="rect4ParTx" refType="b" refFor="ch" refForName="rect4"/>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b" refFor="ch" refForName="rect4"/>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primFontSz" for="ch" op="equ" val="65"/>
              <dgm:constr type="secFontSz" for="ch" op="equ" val="65"/>
            </dgm:constrLst>
          </dgm:if>
          <dgm:if name="Name18" axis="ch" ptType="node" func="cnt" op="equ" val="5">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
              <dgm:constr type="hOff" for="ch" forName="circle2" refType="h" refFor="ch" refForName="vertSpace2" fact="-0.2"/>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6"/>
              <dgm:constr type="hOff" for="ch" forName="circle3" refType="h" refFor="ch" refForName="vertSpace2" fact="-0.4"/>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4"/>
              <dgm:constr type="hOff" for="ch" forName="circle4" refType="h" refFor="ch" refForName="vertSpace2" fact="-0.6"/>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2"/>
              <dgm:constr type="hOff" for="ch" forName="circle5" refType="h" refFor="ch" refForName="vertSpace2" fact="-0.8"/>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r" for="ch" forName="rect5ParTx" refType="l" refFor="ch" refForName="space"/>
              <dgm:constr type="w" for="ch" forName="rect5ParTx" refType="w" refFor="ch" refForName="rect5" fact="0.5"/>
              <dgm:constr type="t" for="ch" forName="rect5ParTx" refType="t" refFor="ch" refForName="rect5"/>
              <dgm:constr type="b" for="ch" forName="rect5ParTx" refType="b" refFor="ch" refForName="rect5"/>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b" refFor="ch" refForName="rect5"/>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primFontSz" for="ch" op="equ" val="65"/>
              <dgm:constr type="secFontSz" for="ch" op="equ" val="65"/>
            </dgm:constrLst>
          </dgm:if>
          <dgm:if name="Name19" axis="ch" ptType="node" func="cnt" op="equ" val="6">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3333"/>
              <dgm:constr type="hOff" for="ch" forName="circle2" refType="h" refFor="ch" refForName="vertSpace2" fact="-0.16667"/>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66667"/>
              <dgm:constr type="hOff" for="ch" forName="circle3" refType="h" refFor="ch" refForName="vertSpace2" fact="-0.33333"/>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5"/>
              <dgm:constr type="hOff" for="ch" forName="circle4" refType="h" refFor="ch" refForName="vertSpace2" fact="-0.5"/>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33333"/>
              <dgm:constr type="hOff" for="ch" forName="circle5" refType="h" refFor="ch" refForName="vertSpace2" fact="-0.66667"/>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r" refFor="ch" refForName="space"/>
              <dgm:constr type="h" for="ch" forName="circle6" refType="h" refFor="ch" refForName="circle1" fact="0.16667"/>
              <dgm:constr type="hOff" for="ch" forName="circle6" refType="h" refFor="ch" refForName="vertSpace2" fact="-0.83333"/>
              <dgm:constr type="w" for="ch" forName="circle6" refType="h" refFor="ch" refForName="circle6" op="equ"/>
              <dgm:constr type="wOff" for="ch" forName="circle6" refType="hOff" refFor="ch" refForName="circle6" op="equ"/>
              <dgm:constr type="b" for="ch" forName="circle6" refType="t" refFor="ch" refForName="vertSpace6"/>
              <dgm:constr type="r" for="ch" forName="rect6" refType="l" refFor="ch" refForName="space"/>
              <dgm:constr type="l" for="ch" forName="rect6"/>
              <dgm:constr type="h" for="ch" forName="rect6" refType="h" refFor="ch" refForName="circle6"/>
              <dgm:constr type="hOff" for="ch" forName="rect6" refType="hOff" refFor="ch" refForName="circle6"/>
              <dgm:constr type="b" for="ch" forName="rect6" refType="b" refFor="ch" refForName="circle6"/>
              <dgm:constr type="r" for="ch" forName="rect6ParTx" refType="l" refFor="ch" refForName="space"/>
              <dgm:constr type="w" for="ch" forName="rect6ParTx" refType="w" refFor="ch" refForName="rect6" fact="0.5"/>
              <dgm:constr type="t" for="ch" forName="rect6ParTx" refType="t" refFor="ch" refForName="rect6"/>
              <dgm:constr type="b" for="ch" forName="rect6ParTx" refType="b" refFor="ch" refForName="rect6"/>
              <dgm:constr type="r" for="ch" forName="rect6ChTx" refType="l" refFor="ch" refForName="rect6ParTx"/>
              <dgm:constr type="w" for="ch" forName="rect6ChTx" refType="w" refFor="ch" refForName="rect6ParTx"/>
              <dgm:constr type="t" for="ch" forName="rect6ChTx" refType="t" refFor="ch" refForName="rect6ParTx"/>
              <dgm:constr type="b" for="ch" forName="rect6ChTx" refType="b" refFor="ch" refForName="rect6ParTx"/>
              <dgm:constr type="r" for="ch" forName="rect6ParTxNoCh" refType="l" refFor="ch" refForName="space"/>
              <dgm:constr type="w" for="ch" forName="rect6ParTxNoCh" refType="w" refFor="ch" refForName="rect6"/>
              <dgm:constr type="t" for="ch" forName="rect6ParTxNoCh" refType="t" refFor="ch" refForName="rect6"/>
              <dgm:constr type="b" for="ch" forName="rect6ParTxNoCh" refType="b" refFor="ch" refForName="rect6"/>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r" for="ch" forName="rect5ParTx" refType="l" refFor="ch" refForName="space"/>
              <dgm:constr type="w" for="ch" forName="rect5ParTx" refType="w" refFor="ch" refForName="rect5" fact="0.5"/>
              <dgm:constr type="t" for="ch" forName="rect5ParTx" refType="t" refFor="ch" refForName="rect5"/>
              <dgm:constr type="b" for="ch" forName="rect5ParTx" refType="t" refFor="ch" refForName="rect6"/>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t" refFor="ch" refForName="rect6"/>
              <dgm:constr type="primFontSz" for="ch" op="equ" val="65"/>
              <dgm:constr type="secFontSz" for="ch" op="equ" val="65"/>
            </dgm:constrLst>
          </dgm:if>
          <dgm:if name="Name20" axis="ch" ptType="node" func="cnt" op="gte" val="7">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5714"/>
              <dgm:constr type="hOff" for="ch" forName="circle2" refType="h" refFor="ch" refForName="vertSpace2" fact="-0.14286"/>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71429"/>
              <dgm:constr type="hOff" for="ch" forName="circle3" refType="h" refFor="ch" refForName="vertSpace2" fact="-0.28571"/>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57143"/>
              <dgm:constr type="hOff" for="ch" forName="circle4" refType="h" refFor="ch" refForName="vertSpace2" fact="-0.42857"/>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42857"/>
              <dgm:constr type="hOff" for="ch" forName="circle5" refType="h" refFor="ch" refForName="vertSpace2" fact="-0.57143"/>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r" refFor="ch" refForName="space"/>
              <dgm:constr type="h" for="ch" forName="circle6" refType="h" refFor="ch" refForName="circle1" fact="0.28571"/>
              <dgm:constr type="hOff" for="ch" forName="circle6" refType="h" refFor="ch" refForName="vertSpace2" fact="-0.71429"/>
              <dgm:constr type="w" for="ch" forName="circle6" refType="h" refFor="ch" refForName="circle6" op="equ"/>
              <dgm:constr type="wOff" for="ch" forName="circle6" refType="hOff" refFor="ch" refForName="circle6" op="equ"/>
              <dgm:constr type="b" for="ch" forName="circle6" refType="t" refFor="ch" refForName="vertSpace6"/>
              <dgm:constr type="r" for="ch" forName="rect6" refType="l" refFor="ch" refForName="space"/>
              <dgm:constr type="l" for="ch" forName="rect6"/>
              <dgm:constr type="h" for="ch" forName="rect6" refType="h" refFor="ch" refForName="circle6"/>
              <dgm:constr type="hOff" for="ch" forName="rect6" refType="hOff" refFor="ch" refForName="circle6"/>
              <dgm:constr type="b" for="ch" forName="rect6" refType="b" refFor="ch" refForName="circle6"/>
              <dgm:constr type="l" for="ch" forName="vertSpace7"/>
              <dgm:constr type="w" for="ch" forName="vertSpace7" refType="w"/>
              <dgm:constr type="h" for="ch" forName="vertSpace7" refType="h" refFor="ch" refForName="vertSpace6"/>
              <dgm:constr type="b" for="ch" forName="vertSpace7" refType="t" refFor="ch" refForName="vertSpace6"/>
              <dgm:constr type="ctrX" for="ch" forName="circle7" refType="r" refFor="ch" refForName="space"/>
              <dgm:constr type="h" for="ch" forName="circle7" refType="h" refFor="ch" refForName="circle1" fact="0.14286"/>
              <dgm:constr type="hOff" for="ch" forName="circle7" refType="h" refFor="ch" refForName="vertSpace2" fact="-0.85714"/>
              <dgm:constr type="w" for="ch" forName="circle7" refType="h" refFor="ch" refForName="circle7" op="equ"/>
              <dgm:constr type="wOff" for="ch" forName="circle7" refType="hOff" refFor="ch" refForName="circle7" op="equ"/>
              <dgm:constr type="b" for="ch" forName="circle7" refType="t" refFor="ch" refForName="vertSpace7"/>
              <dgm:constr type="r" for="ch" forName="rect7" refType="l" refFor="ch" refForName="space"/>
              <dgm:constr type="l" for="ch" forName="rect7"/>
              <dgm:constr type="h" for="ch" forName="rect7" refType="h" refFor="ch" refForName="circle7"/>
              <dgm:constr type="hOff" for="ch" forName="rect7" refType="hOff" refFor="ch" refForName="circle7"/>
              <dgm:constr type="b" for="ch" forName="rect7" refType="b" refFor="ch" refForName="circle7"/>
              <dgm:constr type="r" for="ch" forName="rect7ParTx" refType="l" refFor="ch" refForName="space"/>
              <dgm:constr type="w" for="ch" forName="rect7ParTx" refType="w" refFor="ch" refForName="rect7" fact="0.5"/>
              <dgm:constr type="t" for="ch" forName="rect7ParTx" refType="t" refFor="ch" refForName="rect7"/>
              <dgm:constr type="b" for="ch" forName="rect7ParTx" refType="b" refFor="ch" refForName="rect7"/>
              <dgm:constr type="r" for="ch" forName="rect7ChTx" refType="l" refFor="ch" refForName="rect7ParTx"/>
              <dgm:constr type="w" for="ch" forName="rect7ChTx" refType="w" refFor="ch" refForName="rect7ParTx"/>
              <dgm:constr type="t" for="ch" forName="rect7ChTx" refType="t" refFor="ch" refForName="rect7ParTx"/>
              <dgm:constr type="b" for="ch" forName="rect7ChTx" refType="b" refFor="ch" refForName="rect7ParTx"/>
              <dgm:constr type="r" for="ch" forName="rect7ParTxNoCh" refType="l" refFor="ch" refForName="space"/>
              <dgm:constr type="w" for="ch" forName="rect7ParTxNoCh" refType="w" refFor="ch" refForName="rect7"/>
              <dgm:constr type="t" for="ch" forName="rect7ParTxNoCh" refType="t" refFor="ch" refForName="rect7"/>
              <dgm:constr type="b" for="ch" forName="rect7ParTxNoCh" refType="b" refFor="ch" refForName="rect7"/>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r" for="ch" forName="rect5ParTx" refType="l" refFor="ch" refForName="space"/>
              <dgm:constr type="w" for="ch" forName="rect5ParTx" refType="w" refFor="ch" refForName="rect5" fact="0.5"/>
              <dgm:constr type="t" for="ch" forName="rect5ParTx" refType="t" refFor="ch" refForName="rect5"/>
              <dgm:constr type="b" for="ch" forName="rect5ParTx" refType="t" refFor="ch" refForName="rect6"/>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t" refFor="ch" refForName="rect6"/>
              <dgm:constr type="r" for="ch" forName="rect6ParTx" refType="l" refFor="ch" refForName="space"/>
              <dgm:constr type="w" for="ch" forName="rect6ParTx" refType="w" refFor="ch" refForName="rect6" fact="0.5"/>
              <dgm:constr type="t" for="ch" forName="rect6ParTx" refType="t" refFor="ch" refForName="rect6"/>
              <dgm:constr type="b" for="ch" forName="rect6ParTx" refType="t" refFor="ch" refForName="rect7"/>
              <dgm:constr type="r" for="ch" forName="rect6ChTx" refType="l" refFor="ch" refForName="rect6ParTx"/>
              <dgm:constr type="w" for="ch" forName="rect6ChTx" refType="w" refFor="ch" refForName="rect6ParTx"/>
              <dgm:constr type="t" for="ch" forName="rect6ChTx" refType="t" refFor="ch" refForName="rect6ParTx"/>
              <dgm:constr type="b" for="ch" forName="rect6ChTx" refType="b" refFor="ch" refForName="rect6ParTx"/>
              <dgm:constr type="r" for="ch" forName="rect6ParTxNoCh" refType="l" refFor="ch" refForName="space"/>
              <dgm:constr type="w" for="ch" forName="rect6ParTxNoCh" refType="w" refFor="ch" refForName="rect6"/>
              <dgm:constr type="t" for="ch" forName="rect6ParTxNoCh" refType="t" refFor="ch" refForName="rect6"/>
              <dgm:constr type="b" for="ch" forName="rect6ParTxNoCh" refType="t" refFor="ch" refForName="rect7"/>
              <dgm:constr type="primFontSz" for="ch" op="equ" val="65"/>
              <dgm:constr type="secFontSz" for="ch" op="equ" val="65"/>
            </dgm:constrLst>
          </dgm:if>
          <dgm:else name="Name21">
            <dgm:constrLst/>
          </dgm:else>
        </dgm:choose>
      </dgm:else>
    </dgm:choose>
    <dgm:ruleLst/>
    <dgm:forEach name="Name22" axis="ch" ptType="node" cnt="1">
      <dgm:layoutNode name="circle1" styleLbl="node1">
        <dgm:alg type="sp"/>
        <dgm:choose name="Name23">
          <dgm:if name="Name24" func="var" arg="dir" op="equ" val="norm">
            <dgm:shape xmlns:r="http://schemas.openxmlformats.org/officeDocument/2006/relationships" type="pie" r:blip="">
              <dgm:adjLst>
                <dgm:adj idx="1" val="90"/>
                <dgm:adj idx="2" val="270"/>
              </dgm:adjLst>
            </dgm:shape>
          </dgm:if>
          <dgm:else name="Name25">
            <dgm:shape xmlns:r="http://schemas.openxmlformats.org/officeDocument/2006/relationships" type="pie" r:blip="">
              <dgm:adjLst>
                <dgm:adj idx="1" val="270"/>
                <dgm:adj idx="2" val="90"/>
              </dgm:adjLst>
            </dgm:shape>
          </dgm:else>
        </dgm:choose>
        <dgm:presOf/>
        <dgm:constrLst/>
        <dgm:ruleLst/>
      </dgm:layoutNode>
      <dgm:layoutNode name="space">
        <dgm:alg type="sp"/>
        <dgm:shape xmlns:r="http://schemas.openxmlformats.org/officeDocument/2006/relationships" r:blip="">
          <dgm:adjLst/>
        </dgm:shape>
        <dgm:presOf/>
        <dgm:constrLst/>
        <dgm:ruleLst/>
      </dgm:layoutNode>
      <dgm:layoutNode name="rect1" styleLbl="alignAcc1">
        <dgm:alg type="sp"/>
        <dgm:shape xmlns:r="http://schemas.openxmlformats.org/officeDocument/2006/relationships" type="rect" r:blip="">
          <dgm:adjLst/>
        </dgm:shape>
        <dgm:presOf axis="self"/>
        <dgm:constrLst/>
        <dgm:ruleLst/>
      </dgm:layoutNode>
    </dgm:forEach>
    <dgm:forEach name="Name26" axis="ch" ptType="node" st="2" cnt="1">
      <dgm:layoutNode name="vertSpace2">
        <dgm:alg type="sp"/>
        <dgm:shape xmlns:r="http://schemas.openxmlformats.org/officeDocument/2006/relationships" type="rect" r:blip="" hideGeom="1">
          <dgm:adjLst/>
        </dgm:shape>
        <dgm:presOf/>
        <dgm:constrLst/>
        <dgm:ruleLst/>
      </dgm:layoutNode>
      <dgm:layoutNode name="circle2" styleLbl="node1">
        <dgm:alg type="sp"/>
        <dgm:choose name="Name27">
          <dgm:if name="Name28" func="var" arg="dir" op="equ" val="norm">
            <dgm:shape xmlns:r="http://schemas.openxmlformats.org/officeDocument/2006/relationships" type="pie" r:blip="">
              <dgm:adjLst>
                <dgm:adj idx="1" val="90"/>
                <dgm:adj idx="2" val="270"/>
              </dgm:adjLst>
            </dgm:shape>
          </dgm:if>
          <dgm:else name="Name29">
            <dgm:shape xmlns:r="http://schemas.openxmlformats.org/officeDocument/2006/relationships" type="pie" r:blip="">
              <dgm:adjLst>
                <dgm:adj idx="1" val="270"/>
                <dgm:adj idx="2" val="90"/>
              </dgm:adjLst>
            </dgm:shape>
          </dgm:else>
        </dgm:choose>
        <dgm:presOf/>
        <dgm:constrLst/>
        <dgm:ruleLst/>
      </dgm:layoutNode>
      <dgm:layoutNode name="rect2" styleLbl="alignAcc1">
        <dgm:alg type="sp"/>
        <dgm:shape xmlns:r="http://schemas.openxmlformats.org/officeDocument/2006/relationships" type="rect" r:blip="">
          <dgm:adjLst/>
        </dgm:shape>
        <dgm:presOf axis="self"/>
        <dgm:constrLst/>
        <dgm:ruleLst/>
      </dgm:layoutNode>
    </dgm:forEach>
    <dgm:forEach name="Name30" axis="ch" ptType="node" st="3" cnt="1">
      <dgm:layoutNode name="vertSpace3">
        <dgm:alg type="sp"/>
        <dgm:shape xmlns:r="http://schemas.openxmlformats.org/officeDocument/2006/relationships" type="rect" r:blip="" hideGeom="1">
          <dgm:adjLst/>
        </dgm:shape>
        <dgm:presOf/>
        <dgm:constrLst/>
        <dgm:ruleLst/>
      </dgm:layoutNode>
      <dgm:layoutNode name="circle3" styleLbl="node1">
        <dgm:alg type="sp"/>
        <dgm:choose name="Name31">
          <dgm:if name="Name32" func="var" arg="dir" op="equ" val="norm">
            <dgm:shape xmlns:r="http://schemas.openxmlformats.org/officeDocument/2006/relationships" type="pie" r:blip="">
              <dgm:adjLst>
                <dgm:adj idx="1" val="90"/>
                <dgm:adj idx="2" val="270"/>
              </dgm:adjLst>
            </dgm:shape>
          </dgm:if>
          <dgm:else name="Name33">
            <dgm:shape xmlns:r="http://schemas.openxmlformats.org/officeDocument/2006/relationships" type="pie" r:blip="">
              <dgm:adjLst>
                <dgm:adj idx="1" val="270"/>
                <dgm:adj idx="2" val="90"/>
              </dgm:adjLst>
            </dgm:shape>
          </dgm:else>
        </dgm:choose>
        <dgm:presOf/>
        <dgm:constrLst/>
        <dgm:ruleLst/>
      </dgm:layoutNode>
      <dgm:layoutNode name="rect3" styleLbl="alignAcc1">
        <dgm:alg type="sp"/>
        <dgm:shape xmlns:r="http://schemas.openxmlformats.org/officeDocument/2006/relationships" type="rect" r:blip="">
          <dgm:adjLst/>
        </dgm:shape>
        <dgm:presOf axis="self"/>
        <dgm:constrLst/>
        <dgm:ruleLst/>
      </dgm:layoutNode>
    </dgm:forEach>
    <dgm:forEach name="Name34" axis="ch" ptType="node" st="4" cnt="1">
      <dgm:layoutNode name="vertSpace4">
        <dgm:alg type="sp"/>
        <dgm:shape xmlns:r="http://schemas.openxmlformats.org/officeDocument/2006/relationships" type="rect" r:blip="" hideGeom="1">
          <dgm:adjLst/>
        </dgm:shape>
        <dgm:presOf/>
        <dgm:constrLst/>
        <dgm:ruleLst/>
      </dgm:layoutNode>
      <dgm:layoutNode name="circle4" styleLbl="node1">
        <dgm:alg type="sp"/>
        <dgm:choose name="Name35">
          <dgm:if name="Name36" func="var" arg="dir" op="equ" val="norm">
            <dgm:shape xmlns:r="http://schemas.openxmlformats.org/officeDocument/2006/relationships" type="pie" r:blip="">
              <dgm:adjLst>
                <dgm:adj idx="1" val="90"/>
                <dgm:adj idx="2" val="270"/>
              </dgm:adjLst>
            </dgm:shape>
          </dgm:if>
          <dgm:else name="Name37">
            <dgm:shape xmlns:r="http://schemas.openxmlformats.org/officeDocument/2006/relationships" type="pie" r:blip="">
              <dgm:adjLst>
                <dgm:adj idx="1" val="270"/>
                <dgm:adj idx="2" val="90"/>
              </dgm:adjLst>
            </dgm:shape>
          </dgm:else>
        </dgm:choose>
        <dgm:presOf/>
        <dgm:constrLst/>
        <dgm:ruleLst/>
      </dgm:layoutNode>
      <dgm:layoutNode name="rect4" styleLbl="alignAcc1">
        <dgm:alg type="sp"/>
        <dgm:shape xmlns:r="http://schemas.openxmlformats.org/officeDocument/2006/relationships" type="rect" r:blip="">
          <dgm:adjLst/>
        </dgm:shape>
        <dgm:presOf axis="self"/>
        <dgm:constrLst/>
        <dgm:ruleLst/>
      </dgm:layoutNode>
    </dgm:forEach>
    <dgm:forEach name="Name38" axis="ch" ptType="node" st="5" cnt="1">
      <dgm:layoutNode name="vertSpace5">
        <dgm:alg type="sp"/>
        <dgm:shape xmlns:r="http://schemas.openxmlformats.org/officeDocument/2006/relationships" type="rect" r:blip="" hideGeom="1">
          <dgm:adjLst/>
        </dgm:shape>
        <dgm:presOf/>
        <dgm:constrLst/>
        <dgm:ruleLst/>
      </dgm:layoutNode>
      <dgm:layoutNode name="circle5" styleLbl="node1">
        <dgm:alg type="sp"/>
        <dgm:choose name="Name39">
          <dgm:if name="Name40" func="var" arg="dir" op="equ" val="norm">
            <dgm:shape xmlns:r="http://schemas.openxmlformats.org/officeDocument/2006/relationships" type="pie" r:blip="">
              <dgm:adjLst>
                <dgm:adj idx="1" val="90"/>
                <dgm:adj idx="2" val="270"/>
              </dgm:adjLst>
            </dgm:shape>
          </dgm:if>
          <dgm:else name="Name41">
            <dgm:shape xmlns:r="http://schemas.openxmlformats.org/officeDocument/2006/relationships" type="pie" r:blip="">
              <dgm:adjLst>
                <dgm:adj idx="1" val="270"/>
                <dgm:adj idx="2" val="90"/>
              </dgm:adjLst>
            </dgm:shape>
          </dgm:else>
        </dgm:choose>
        <dgm:presOf/>
        <dgm:constrLst/>
        <dgm:ruleLst/>
      </dgm:layoutNode>
      <dgm:layoutNode name="rect5" styleLbl="alignAcc1">
        <dgm:alg type="sp"/>
        <dgm:shape xmlns:r="http://schemas.openxmlformats.org/officeDocument/2006/relationships" type="rect" r:blip="">
          <dgm:adjLst/>
        </dgm:shape>
        <dgm:presOf axis="self"/>
        <dgm:constrLst/>
        <dgm:ruleLst/>
      </dgm:layoutNode>
    </dgm:forEach>
    <dgm:forEach name="Name42" axis="ch" ptType="node" st="6" cnt="1">
      <dgm:layoutNode name="vertSpace6">
        <dgm:alg type="sp"/>
        <dgm:shape xmlns:r="http://schemas.openxmlformats.org/officeDocument/2006/relationships" type="rect" r:blip="" hideGeom="1">
          <dgm:adjLst/>
        </dgm:shape>
        <dgm:presOf/>
        <dgm:constrLst/>
        <dgm:ruleLst/>
      </dgm:layoutNode>
      <dgm:layoutNode name="circle6" styleLbl="node1">
        <dgm:alg type="sp"/>
        <dgm:choose name="Name43">
          <dgm:if name="Name44" func="var" arg="dir" op="equ" val="norm">
            <dgm:shape xmlns:r="http://schemas.openxmlformats.org/officeDocument/2006/relationships" type="pie" r:blip="">
              <dgm:adjLst>
                <dgm:adj idx="1" val="90"/>
                <dgm:adj idx="2" val="270"/>
              </dgm:adjLst>
            </dgm:shape>
          </dgm:if>
          <dgm:else name="Name45">
            <dgm:shape xmlns:r="http://schemas.openxmlformats.org/officeDocument/2006/relationships" type="pie" r:blip="">
              <dgm:adjLst>
                <dgm:adj idx="1" val="270"/>
                <dgm:adj idx="2" val="90"/>
              </dgm:adjLst>
            </dgm:shape>
          </dgm:else>
        </dgm:choose>
        <dgm:presOf/>
        <dgm:constrLst/>
        <dgm:ruleLst/>
      </dgm:layoutNode>
      <dgm:layoutNode name="rect6" styleLbl="alignAcc1">
        <dgm:alg type="sp"/>
        <dgm:shape xmlns:r="http://schemas.openxmlformats.org/officeDocument/2006/relationships" type="rect" r:blip="">
          <dgm:adjLst/>
        </dgm:shape>
        <dgm:presOf axis="self"/>
        <dgm:constrLst/>
        <dgm:ruleLst/>
      </dgm:layoutNode>
    </dgm:forEach>
    <dgm:forEach name="Name46" axis="ch" ptType="node" st="7" cnt="1">
      <dgm:layoutNode name="vertSpace7">
        <dgm:alg type="sp"/>
        <dgm:shape xmlns:r="http://schemas.openxmlformats.org/officeDocument/2006/relationships" type="rect" r:blip="" hideGeom="1">
          <dgm:adjLst/>
        </dgm:shape>
        <dgm:presOf/>
        <dgm:constrLst/>
        <dgm:ruleLst/>
      </dgm:layoutNode>
      <dgm:layoutNode name="circle7" styleLbl="node1">
        <dgm:alg type="sp"/>
        <dgm:choose name="Name47">
          <dgm:if name="Name48" func="var" arg="dir" op="equ" val="norm">
            <dgm:shape xmlns:r="http://schemas.openxmlformats.org/officeDocument/2006/relationships" type="pie" r:blip="">
              <dgm:adjLst>
                <dgm:adj idx="1" val="90"/>
                <dgm:adj idx="2" val="270"/>
              </dgm:adjLst>
            </dgm:shape>
          </dgm:if>
          <dgm:else name="Name49">
            <dgm:shape xmlns:r="http://schemas.openxmlformats.org/officeDocument/2006/relationships" type="pie" r:blip="">
              <dgm:adjLst>
                <dgm:adj idx="1" val="270"/>
                <dgm:adj idx="2" val="90"/>
              </dgm:adjLst>
            </dgm:shape>
          </dgm:else>
        </dgm:choose>
        <dgm:presOf/>
        <dgm:constrLst/>
        <dgm:ruleLst/>
      </dgm:layoutNode>
      <dgm:layoutNode name="rect7" styleLbl="alignAcc1">
        <dgm:alg type="sp"/>
        <dgm:shape xmlns:r="http://schemas.openxmlformats.org/officeDocument/2006/relationships" type="rect" r:blip="">
          <dgm:adjLst/>
        </dgm:shape>
        <dgm:presOf axis="self"/>
        <dgm:constrLst/>
        <dgm:ruleLst/>
      </dgm:layoutNode>
    </dgm:forEach>
    <dgm:forEach name="Name50" axis="ch" ptType="node" cnt="1">
      <dgm:choose name="Name51">
        <dgm:if name="Name52" axis="root des" ptType="all node" func="maxDepth" op="gte" val="2">
          <dgm:layoutNode name="rect1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1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53">
          <dgm:layoutNode name="rect1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54" axis="ch" ptType="node" st="2" cnt="1">
      <dgm:choose name="Name55">
        <dgm:if name="Name56" axis="root des" ptType="all node" func="maxDepth" op="gte" val="2">
          <dgm:layoutNode name="rect2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2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57">
          <dgm:layoutNode name="rect2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58" axis="ch" ptType="node" st="3" cnt="1">
      <dgm:choose name="Name59">
        <dgm:if name="Name60" axis="root des" ptType="all node" func="maxDepth" op="gte" val="2">
          <dgm:layoutNode name="rect3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3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1">
          <dgm:layoutNode name="rect3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62" axis="ch" ptType="node" st="4" cnt="1">
      <dgm:choose name="Name63">
        <dgm:if name="Name64" axis="root des" ptType="all node" func="maxDepth" op="gte" val="2">
          <dgm:layoutNode name="rect4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4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5">
          <dgm:layoutNode name="rect4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66" axis="ch" ptType="node" st="5" cnt="1">
      <dgm:choose name="Name67">
        <dgm:if name="Name68" axis="root des" ptType="all node" func="maxDepth" op="gte" val="2">
          <dgm:layoutNode name="rect5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5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9">
          <dgm:layoutNode name="rect5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70" axis="ch" ptType="node" st="6" cnt="1">
      <dgm:choose name="Name71">
        <dgm:if name="Name72" axis="root des" ptType="all node" func="maxDepth" op="gte" val="2">
          <dgm:layoutNode name="rect6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6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73">
          <dgm:layoutNode name="rect6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74" axis="ch" ptType="node" st="7" cnt="1">
      <dgm:choose name="Name75">
        <dgm:if name="Name76" axis="root des" ptType="all node" func="maxDepth" op="gte" val="2">
          <dgm:layoutNode name="rect7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7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77">
          <dgm:layoutNode name="rect7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A14511-50EB-4C13-8AE3-C6B93DBA08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26</Pages>
  <Words>57897</Words>
  <Characters>330015</Characters>
  <Application>Microsoft Office Word</Application>
  <DocSecurity>0</DocSecurity>
  <Lines>2750</Lines>
  <Paragraphs>774</Paragraphs>
  <ScaleCrop>false</ScaleCrop>
  <HeadingPairs>
    <vt:vector size="2" baseType="variant">
      <vt:variant>
        <vt:lpstr>Title</vt:lpstr>
      </vt:variant>
      <vt:variant>
        <vt:i4>1</vt:i4>
      </vt:variant>
    </vt:vector>
  </HeadingPairs>
  <TitlesOfParts>
    <vt:vector size="1" baseType="lpstr">
      <vt:lpstr>AMP Template</vt:lpstr>
    </vt:vector>
  </TitlesOfParts>
  <Company>ANA iNFRASTRUCTURE PTY LIMITED</Company>
  <LinksUpToDate>false</LinksUpToDate>
  <CharactersWithSpaces>387138</CharactersWithSpaces>
  <SharedDoc>false</SharedDoc>
  <HLinks>
    <vt:vector size="456" baseType="variant">
      <vt:variant>
        <vt:i4>1769520</vt:i4>
      </vt:variant>
      <vt:variant>
        <vt:i4>443</vt:i4>
      </vt:variant>
      <vt:variant>
        <vt:i4>0</vt:i4>
      </vt:variant>
      <vt:variant>
        <vt:i4>5</vt:i4>
      </vt:variant>
      <vt:variant>
        <vt:lpwstr/>
      </vt:variant>
      <vt:variant>
        <vt:lpwstr>_Toc303089857</vt:lpwstr>
      </vt:variant>
      <vt:variant>
        <vt:i4>1769520</vt:i4>
      </vt:variant>
      <vt:variant>
        <vt:i4>437</vt:i4>
      </vt:variant>
      <vt:variant>
        <vt:i4>0</vt:i4>
      </vt:variant>
      <vt:variant>
        <vt:i4>5</vt:i4>
      </vt:variant>
      <vt:variant>
        <vt:lpwstr/>
      </vt:variant>
      <vt:variant>
        <vt:lpwstr>_Toc303089856</vt:lpwstr>
      </vt:variant>
      <vt:variant>
        <vt:i4>1769520</vt:i4>
      </vt:variant>
      <vt:variant>
        <vt:i4>431</vt:i4>
      </vt:variant>
      <vt:variant>
        <vt:i4>0</vt:i4>
      </vt:variant>
      <vt:variant>
        <vt:i4>5</vt:i4>
      </vt:variant>
      <vt:variant>
        <vt:lpwstr/>
      </vt:variant>
      <vt:variant>
        <vt:lpwstr>_Toc303089855</vt:lpwstr>
      </vt:variant>
      <vt:variant>
        <vt:i4>1769520</vt:i4>
      </vt:variant>
      <vt:variant>
        <vt:i4>425</vt:i4>
      </vt:variant>
      <vt:variant>
        <vt:i4>0</vt:i4>
      </vt:variant>
      <vt:variant>
        <vt:i4>5</vt:i4>
      </vt:variant>
      <vt:variant>
        <vt:lpwstr/>
      </vt:variant>
      <vt:variant>
        <vt:lpwstr>_Toc303089854</vt:lpwstr>
      </vt:variant>
      <vt:variant>
        <vt:i4>1769520</vt:i4>
      </vt:variant>
      <vt:variant>
        <vt:i4>419</vt:i4>
      </vt:variant>
      <vt:variant>
        <vt:i4>0</vt:i4>
      </vt:variant>
      <vt:variant>
        <vt:i4>5</vt:i4>
      </vt:variant>
      <vt:variant>
        <vt:lpwstr/>
      </vt:variant>
      <vt:variant>
        <vt:lpwstr>_Toc303089853</vt:lpwstr>
      </vt:variant>
      <vt:variant>
        <vt:i4>1769520</vt:i4>
      </vt:variant>
      <vt:variant>
        <vt:i4>413</vt:i4>
      </vt:variant>
      <vt:variant>
        <vt:i4>0</vt:i4>
      </vt:variant>
      <vt:variant>
        <vt:i4>5</vt:i4>
      </vt:variant>
      <vt:variant>
        <vt:lpwstr/>
      </vt:variant>
      <vt:variant>
        <vt:lpwstr>_Toc303089852</vt:lpwstr>
      </vt:variant>
      <vt:variant>
        <vt:i4>1769520</vt:i4>
      </vt:variant>
      <vt:variant>
        <vt:i4>407</vt:i4>
      </vt:variant>
      <vt:variant>
        <vt:i4>0</vt:i4>
      </vt:variant>
      <vt:variant>
        <vt:i4>5</vt:i4>
      </vt:variant>
      <vt:variant>
        <vt:lpwstr/>
      </vt:variant>
      <vt:variant>
        <vt:lpwstr>_Toc303089851</vt:lpwstr>
      </vt:variant>
      <vt:variant>
        <vt:i4>1769520</vt:i4>
      </vt:variant>
      <vt:variant>
        <vt:i4>401</vt:i4>
      </vt:variant>
      <vt:variant>
        <vt:i4>0</vt:i4>
      </vt:variant>
      <vt:variant>
        <vt:i4>5</vt:i4>
      </vt:variant>
      <vt:variant>
        <vt:lpwstr/>
      </vt:variant>
      <vt:variant>
        <vt:lpwstr>_Toc303089850</vt:lpwstr>
      </vt:variant>
      <vt:variant>
        <vt:i4>1703984</vt:i4>
      </vt:variant>
      <vt:variant>
        <vt:i4>395</vt:i4>
      </vt:variant>
      <vt:variant>
        <vt:i4>0</vt:i4>
      </vt:variant>
      <vt:variant>
        <vt:i4>5</vt:i4>
      </vt:variant>
      <vt:variant>
        <vt:lpwstr/>
      </vt:variant>
      <vt:variant>
        <vt:lpwstr>_Toc303089849</vt:lpwstr>
      </vt:variant>
      <vt:variant>
        <vt:i4>1703984</vt:i4>
      </vt:variant>
      <vt:variant>
        <vt:i4>389</vt:i4>
      </vt:variant>
      <vt:variant>
        <vt:i4>0</vt:i4>
      </vt:variant>
      <vt:variant>
        <vt:i4>5</vt:i4>
      </vt:variant>
      <vt:variant>
        <vt:lpwstr/>
      </vt:variant>
      <vt:variant>
        <vt:lpwstr>_Toc303089848</vt:lpwstr>
      </vt:variant>
      <vt:variant>
        <vt:i4>1703984</vt:i4>
      </vt:variant>
      <vt:variant>
        <vt:i4>383</vt:i4>
      </vt:variant>
      <vt:variant>
        <vt:i4>0</vt:i4>
      </vt:variant>
      <vt:variant>
        <vt:i4>5</vt:i4>
      </vt:variant>
      <vt:variant>
        <vt:lpwstr/>
      </vt:variant>
      <vt:variant>
        <vt:lpwstr>_Toc303089847</vt:lpwstr>
      </vt:variant>
      <vt:variant>
        <vt:i4>1703984</vt:i4>
      </vt:variant>
      <vt:variant>
        <vt:i4>377</vt:i4>
      </vt:variant>
      <vt:variant>
        <vt:i4>0</vt:i4>
      </vt:variant>
      <vt:variant>
        <vt:i4>5</vt:i4>
      </vt:variant>
      <vt:variant>
        <vt:lpwstr/>
      </vt:variant>
      <vt:variant>
        <vt:lpwstr>_Toc303089846</vt:lpwstr>
      </vt:variant>
      <vt:variant>
        <vt:i4>1703984</vt:i4>
      </vt:variant>
      <vt:variant>
        <vt:i4>371</vt:i4>
      </vt:variant>
      <vt:variant>
        <vt:i4>0</vt:i4>
      </vt:variant>
      <vt:variant>
        <vt:i4>5</vt:i4>
      </vt:variant>
      <vt:variant>
        <vt:lpwstr/>
      </vt:variant>
      <vt:variant>
        <vt:lpwstr>_Toc303089845</vt:lpwstr>
      </vt:variant>
      <vt:variant>
        <vt:i4>1703984</vt:i4>
      </vt:variant>
      <vt:variant>
        <vt:i4>365</vt:i4>
      </vt:variant>
      <vt:variant>
        <vt:i4>0</vt:i4>
      </vt:variant>
      <vt:variant>
        <vt:i4>5</vt:i4>
      </vt:variant>
      <vt:variant>
        <vt:lpwstr/>
      </vt:variant>
      <vt:variant>
        <vt:lpwstr>_Toc303089844</vt:lpwstr>
      </vt:variant>
      <vt:variant>
        <vt:i4>1703984</vt:i4>
      </vt:variant>
      <vt:variant>
        <vt:i4>359</vt:i4>
      </vt:variant>
      <vt:variant>
        <vt:i4>0</vt:i4>
      </vt:variant>
      <vt:variant>
        <vt:i4>5</vt:i4>
      </vt:variant>
      <vt:variant>
        <vt:lpwstr/>
      </vt:variant>
      <vt:variant>
        <vt:lpwstr>_Toc303089843</vt:lpwstr>
      </vt:variant>
      <vt:variant>
        <vt:i4>1703984</vt:i4>
      </vt:variant>
      <vt:variant>
        <vt:i4>353</vt:i4>
      </vt:variant>
      <vt:variant>
        <vt:i4>0</vt:i4>
      </vt:variant>
      <vt:variant>
        <vt:i4>5</vt:i4>
      </vt:variant>
      <vt:variant>
        <vt:lpwstr/>
      </vt:variant>
      <vt:variant>
        <vt:lpwstr>_Toc303089842</vt:lpwstr>
      </vt:variant>
      <vt:variant>
        <vt:i4>1703984</vt:i4>
      </vt:variant>
      <vt:variant>
        <vt:i4>347</vt:i4>
      </vt:variant>
      <vt:variant>
        <vt:i4>0</vt:i4>
      </vt:variant>
      <vt:variant>
        <vt:i4>5</vt:i4>
      </vt:variant>
      <vt:variant>
        <vt:lpwstr/>
      </vt:variant>
      <vt:variant>
        <vt:lpwstr>_Toc303089841</vt:lpwstr>
      </vt:variant>
      <vt:variant>
        <vt:i4>1703984</vt:i4>
      </vt:variant>
      <vt:variant>
        <vt:i4>341</vt:i4>
      </vt:variant>
      <vt:variant>
        <vt:i4>0</vt:i4>
      </vt:variant>
      <vt:variant>
        <vt:i4>5</vt:i4>
      </vt:variant>
      <vt:variant>
        <vt:lpwstr/>
      </vt:variant>
      <vt:variant>
        <vt:lpwstr>_Toc303089840</vt:lpwstr>
      </vt:variant>
      <vt:variant>
        <vt:i4>1900592</vt:i4>
      </vt:variant>
      <vt:variant>
        <vt:i4>335</vt:i4>
      </vt:variant>
      <vt:variant>
        <vt:i4>0</vt:i4>
      </vt:variant>
      <vt:variant>
        <vt:i4>5</vt:i4>
      </vt:variant>
      <vt:variant>
        <vt:lpwstr/>
      </vt:variant>
      <vt:variant>
        <vt:lpwstr>_Toc303089839</vt:lpwstr>
      </vt:variant>
      <vt:variant>
        <vt:i4>1900592</vt:i4>
      </vt:variant>
      <vt:variant>
        <vt:i4>329</vt:i4>
      </vt:variant>
      <vt:variant>
        <vt:i4>0</vt:i4>
      </vt:variant>
      <vt:variant>
        <vt:i4>5</vt:i4>
      </vt:variant>
      <vt:variant>
        <vt:lpwstr/>
      </vt:variant>
      <vt:variant>
        <vt:lpwstr>_Toc303089838</vt:lpwstr>
      </vt:variant>
      <vt:variant>
        <vt:i4>1900592</vt:i4>
      </vt:variant>
      <vt:variant>
        <vt:i4>323</vt:i4>
      </vt:variant>
      <vt:variant>
        <vt:i4>0</vt:i4>
      </vt:variant>
      <vt:variant>
        <vt:i4>5</vt:i4>
      </vt:variant>
      <vt:variant>
        <vt:lpwstr/>
      </vt:variant>
      <vt:variant>
        <vt:lpwstr>_Toc303089837</vt:lpwstr>
      </vt:variant>
      <vt:variant>
        <vt:i4>1900592</vt:i4>
      </vt:variant>
      <vt:variant>
        <vt:i4>317</vt:i4>
      </vt:variant>
      <vt:variant>
        <vt:i4>0</vt:i4>
      </vt:variant>
      <vt:variant>
        <vt:i4>5</vt:i4>
      </vt:variant>
      <vt:variant>
        <vt:lpwstr/>
      </vt:variant>
      <vt:variant>
        <vt:lpwstr>_Toc303089836</vt:lpwstr>
      </vt:variant>
      <vt:variant>
        <vt:i4>1900592</vt:i4>
      </vt:variant>
      <vt:variant>
        <vt:i4>311</vt:i4>
      </vt:variant>
      <vt:variant>
        <vt:i4>0</vt:i4>
      </vt:variant>
      <vt:variant>
        <vt:i4>5</vt:i4>
      </vt:variant>
      <vt:variant>
        <vt:lpwstr/>
      </vt:variant>
      <vt:variant>
        <vt:lpwstr>_Toc303089835</vt:lpwstr>
      </vt:variant>
      <vt:variant>
        <vt:i4>1900592</vt:i4>
      </vt:variant>
      <vt:variant>
        <vt:i4>305</vt:i4>
      </vt:variant>
      <vt:variant>
        <vt:i4>0</vt:i4>
      </vt:variant>
      <vt:variant>
        <vt:i4>5</vt:i4>
      </vt:variant>
      <vt:variant>
        <vt:lpwstr/>
      </vt:variant>
      <vt:variant>
        <vt:lpwstr>_Toc303089834</vt:lpwstr>
      </vt:variant>
      <vt:variant>
        <vt:i4>1900592</vt:i4>
      </vt:variant>
      <vt:variant>
        <vt:i4>299</vt:i4>
      </vt:variant>
      <vt:variant>
        <vt:i4>0</vt:i4>
      </vt:variant>
      <vt:variant>
        <vt:i4>5</vt:i4>
      </vt:variant>
      <vt:variant>
        <vt:lpwstr/>
      </vt:variant>
      <vt:variant>
        <vt:lpwstr>_Toc303089833</vt:lpwstr>
      </vt:variant>
      <vt:variant>
        <vt:i4>1900592</vt:i4>
      </vt:variant>
      <vt:variant>
        <vt:i4>293</vt:i4>
      </vt:variant>
      <vt:variant>
        <vt:i4>0</vt:i4>
      </vt:variant>
      <vt:variant>
        <vt:i4>5</vt:i4>
      </vt:variant>
      <vt:variant>
        <vt:lpwstr/>
      </vt:variant>
      <vt:variant>
        <vt:lpwstr>_Toc303089832</vt:lpwstr>
      </vt:variant>
      <vt:variant>
        <vt:i4>1900592</vt:i4>
      </vt:variant>
      <vt:variant>
        <vt:i4>287</vt:i4>
      </vt:variant>
      <vt:variant>
        <vt:i4>0</vt:i4>
      </vt:variant>
      <vt:variant>
        <vt:i4>5</vt:i4>
      </vt:variant>
      <vt:variant>
        <vt:lpwstr/>
      </vt:variant>
      <vt:variant>
        <vt:lpwstr>_Toc303089831</vt:lpwstr>
      </vt:variant>
      <vt:variant>
        <vt:i4>1900592</vt:i4>
      </vt:variant>
      <vt:variant>
        <vt:i4>281</vt:i4>
      </vt:variant>
      <vt:variant>
        <vt:i4>0</vt:i4>
      </vt:variant>
      <vt:variant>
        <vt:i4>5</vt:i4>
      </vt:variant>
      <vt:variant>
        <vt:lpwstr/>
      </vt:variant>
      <vt:variant>
        <vt:lpwstr>_Toc303089830</vt:lpwstr>
      </vt:variant>
      <vt:variant>
        <vt:i4>1835056</vt:i4>
      </vt:variant>
      <vt:variant>
        <vt:i4>275</vt:i4>
      </vt:variant>
      <vt:variant>
        <vt:i4>0</vt:i4>
      </vt:variant>
      <vt:variant>
        <vt:i4>5</vt:i4>
      </vt:variant>
      <vt:variant>
        <vt:lpwstr/>
      </vt:variant>
      <vt:variant>
        <vt:lpwstr>_Toc303089829</vt:lpwstr>
      </vt:variant>
      <vt:variant>
        <vt:i4>1835056</vt:i4>
      </vt:variant>
      <vt:variant>
        <vt:i4>269</vt:i4>
      </vt:variant>
      <vt:variant>
        <vt:i4>0</vt:i4>
      </vt:variant>
      <vt:variant>
        <vt:i4>5</vt:i4>
      </vt:variant>
      <vt:variant>
        <vt:lpwstr/>
      </vt:variant>
      <vt:variant>
        <vt:lpwstr>_Toc303089828</vt:lpwstr>
      </vt:variant>
      <vt:variant>
        <vt:i4>1835056</vt:i4>
      </vt:variant>
      <vt:variant>
        <vt:i4>263</vt:i4>
      </vt:variant>
      <vt:variant>
        <vt:i4>0</vt:i4>
      </vt:variant>
      <vt:variant>
        <vt:i4>5</vt:i4>
      </vt:variant>
      <vt:variant>
        <vt:lpwstr/>
      </vt:variant>
      <vt:variant>
        <vt:lpwstr>_Toc303089827</vt:lpwstr>
      </vt:variant>
      <vt:variant>
        <vt:i4>1835056</vt:i4>
      </vt:variant>
      <vt:variant>
        <vt:i4>257</vt:i4>
      </vt:variant>
      <vt:variant>
        <vt:i4>0</vt:i4>
      </vt:variant>
      <vt:variant>
        <vt:i4>5</vt:i4>
      </vt:variant>
      <vt:variant>
        <vt:lpwstr/>
      </vt:variant>
      <vt:variant>
        <vt:lpwstr>_Toc303089826</vt:lpwstr>
      </vt:variant>
      <vt:variant>
        <vt:i4>1835056</vt:i4>
      </vt:variant>
      <vt:variant>
        <vt:i4>251</vt:i4>
      </vt:variant>
      <vt:variant>
        <vt:i4>0</vt:i4>
      </vt:variant>
      <vt:variant>
        <vt:i4>5</vt:i4>
      </vt:variant>
      <vt:variant>
        <vt:lpwstr/>
      </vt:variant>
      <vt:variant>
        <vt:lpwstr>_Toc303089825</vt:lpwstr>
      </vt:variant>
      <vt:variant>
        <vt:i4>1835056</vt:i4>
      </vt:variant>
      <vt:variant>
        <vt:i4>245</vt:i4>
      </vt:variant>
      <vt:variant>
        <vt:i4>0</vt:i4>
      </vt:variant>
      <vt:variant>
        <vt:i4>5</vt:i4>
      </vt:variant>
      <vt:variant>
        <vt:lpwstr/>
      </vt:variant>
      <vt:variant>
        <vt:lpwstr>_Toc303089824</vt:lpwstr>
      </vt:variant>
      <vt:variant>
        <vt:i4>1835056</vt:i4>
      </vt:variant>
      <vt:variant>
        <vt:i4>239</vt:i4>
      </vt:variant>
      <vt:variant>
        <vt:i4>0</vt:i4>
      </vt:variant>
      <vt:variant>
        <vt:i4>5</vt:i4>
      </vt:variant>
      <vt:variant>
        <vt:lpwstr/>
      </vt:variant>
      <vt:variant>
        <vt:lpwstr>_Toc303089823</vt:lpwstr>
      </vt:variant>
      <vt:variant>
        <vt:i4>1835056</vt:i4>
      </vt:variant>
      <vt:variant>
        <vt:i4>233</vt:i4>
      </vt:variant>
      <vt:variant>
        <vt:i4>0</vt:i4>
      </vt:variant>
      <vt:variant>
        <vt:i4>5</vt:i4>
      </vt:variant>
      <vt:variant>
        <vt:lpwstr/>
      </vt:variant>
      <vt:variant>
        <vt:lpwstr>_Toc303089822</vt:lpwstr>
      </vt:variant>
      <vt:variant>
        <vt:i4>1835056</vt:i4>
      </vt:variant>
      <vt:variant>
        <vt:i4>227</vt:i4>
      </vt:variant>
      <vt:variant>
        <vt:i4>0</vt:i4>
      </vt:variant>
      <vt:variant>
        <vt:i4>5</vt:i4>
      </vt:variant>
      <vt:variant>
        <vt:lpwstr/>
      </vt:variant>
      <vt:variant>
        <vt:lpwstr>_Toc303089821</vt:lpwstr>
      </vt:variant>
      <vt:variant>
        <vt:i4>1835056</vt:i4>
      </vt:variant>
      <vt:variant>
        <vt:i4>221</vt:i4>
      </vt:variant>
      <vt:variant>
        <vt:i4>0</vt:i4>
      </vt:variant>
      <vt:variant>
        <vt:i4>5</vt:i4>
      </vt:variant>
      <vt:variant>
        <vt:lpwstr/>
      </vt:variant>
      <vt:variant>
        <vt:lpwstr>_Toc303089820</vt:lpwstr>
      </vt:variant>
      <vt:variant>
        <vt:i4>2031664</vt:i4>
      </vt:variant>
      <vt:variant>
        <vt:i4>215</vt:i4>
      </vt:variant>
      <vt:variant>
        <vt:i4>0</vt:i4>
      </vt:variant>
      <vt:variant>
        <vt:i4>5</vt:i4>
      </vt:variant>
      <vt:variant>
        <vt:lpwstr/>
      </vt:variant>
      <vt:variant>
        <vt:lpwstr>_Toc303089819</vt:lpwstr>
      </vt:variant>
      <vt:variant>
        <vt:i4>2031664</vt:i4>
      </vt:variant>
      <vt:variant>
        <vt:i4>209</vt:i4>
      </vt:variant>
      <vt:variant>
        <vt:i4>0</vt:i4>
      </vt:variant>
      <vt:variant>
        <vt:i4>5</vt:i4>
      </vt:variant>
      <vt:variant>
        <vt:lpwstr/>
      </vt:variant>
      <vt:variant>
        <vt:lpwstr>_Toc303089818</vt:lpwstr>
      </vt:variant>
      <vt:variant>
        <vt:i4>2031664</vt:i4>
      </vt:variant>
      <vt:variant>
        <vt:i4>203</vt:i4>
      </vt:variant>
      <vt:variant>
        <vt:i4>0</vt:i4>
      </vt:variant>
      <vt:variant>
        <vt:i4>5</vt:i4>
      </vt:variant>
      <vt:variant>
        <vt:lpwstr/>
      </vt:variant>
      <vt:variant>
        <vt:lpwstr>_Toc303089817</vt:lpwstr>
      </vt:variant>
      <vt:variant>
        <vt:i4>2031664</vt:i4>
      </vt:variant>
      <vt:variant>
        <vt:i4>197</vt:i4>
      </vt:variant>
      <vt:variant>
        <vt:i4>0</vt:i4>
      </vt:variant>
      <vt:variant>
        <vt:i4>5</vt:i4>
      </vt:variant>
      <vt:variant>
        <vt:lpwstr/>
      </vt:variant>
      <vt:variant>
        <vt:lpwstr>_Toc303089816</vt:lpwstr>
      </vt:variant>
      <vt:variant>
        <vt:i4>2031664</vt:i4>
      </vt:variant>
      <vt:variant>
        <vt:i4>191</vt:i4>
      </vt:variant>
      <vt:variant>
        <vt:i4>0</vt:i4>
      </vt:variant>
      <vt:variant>
        <vt:i4>5</vt:i4>
      </vt:variant>
      <vt:variant>
        <vt:lpwstr/>
      </vt:variant>
      <vt:variant>
        <vt:lpwstr>_Toc303089815</vt:lpwstr>
      </vt:variant>
      <vt:variant>
        <vt:i4>2031664</vt:i4>
      </vt:variant>
      <vt:variant>
        <vt:i4>185</vt:i4>
      </vt:variant>
      <vt:variant>
        <vt:i4>0</vt:i4>
      </vt:variant>
      <vt:variant>
        <vt:i4>5</vt:i4>
      </vt:variant>
      <vt:variant>
        <vt:lpwstr/>
      </vt:variant>
      <vt:variant>
        <vt:lpwstr>_Toc303089814</vt:lpwstr>
      </vt:variant>
      <vt:variant>
        <vt:i4>2031664</vt:i4>
      </vt:variant>
      <vt:variant>
        <vt:i4>179</vt:i4>
      </vt:variant>
      <vt:variant>
        <vt:i4>0</vt:i4>
      </vt:variant>
      <vt:variant>
        <vt:i4>5</vt:i4>
      </vt:variant>
      <vt:variant>
        <vt:lpwstr/>
      </vt:variant>
      <vt:variant>
        <vt:lpwstr>_Toc303089813</vt:lpwstr>
      </vt:variant>
      <vt:variant>
        <vt:i4>2031664</vt:i4>
      </vt:variant>
      <vt:variant>
        <vt:i4>173</vt:i4>
      </vt:variant>
      <vt:variant>
        <vt:i4>0</vt:i4>
      </vt:variant>
      <vt:variant>
        <vt:i4>5</vt:i4>
      </vt:variant>
      <vt:variant>
        <vt:lpwstr/>
      </vt:variant>
      <vt:variant>
        <vt:lpwstr>_Toc303089812</vt:lpwstr>
      </vt:variant>
      <vt:variant>
        <vt:i4>2031664</vt:i4>
      </vt:variant>
      <vt:variant>
        <vt:i4>167</vt:i4>
      </vt:variant>
      <vt:variant>
        <vt:i4>0</vt:i4>
      </vt:variant>
      <vt:variant>
        <vt:i4>5</vt:i4>
      </vt:variant>
      <vt:variant>
        <vt:lpwstr/>
      </vt:variant>
      <vt:variant>
        <vt:lpwstr>_Toc303089811</vt:lpwstr>
      </vt:variant>
      <vt:variant>
        <vt:i4>2031664</vt:i4>
      </vt:variant>
      <vt:variant>
        <vt:i4>161</vt:i4>
      </vt:variant>
      <vt:variant>
        <vt:i4>0</vt:i4>
      </vt:variant>
      <vt:variant>
        <vt:i4>5</vt:i4>
      </vt:variant>
      <vt:variant>
        <vt:lpwstr/>
      </vt:variant>
      <vt:variant>
        <vt:lpwstr>_Toc303089810</vt:lpwstr>
      </vt:variant>
      <vt:variant>
        <vt:i4>1966128</vt:i4>
      </vt:variant>
      <vt:variant>
        <vt:i4>155</vt:i4>
      </vt:variant>
      <vt:variant>
        <vt:i4>0</vt:i4>
      </vt:variant>
      <vt:variant>
        <vt:i4>5</vt:i4>
      </vt:variant>
      <vt:variant>
        <vt:lpwstr/>
      </vt:variant>
      <vt:variant>
        <vt:lpwstr>_Toc303089809</vt:lpwstr>
      </vt:variant>
      <vt:variant>
        <vt:i4>1966128</vt:i4>
      </vt:variant>
      <vt:variant>
        <vt:i4>149</vt:i4>
      </vt:variant>
      <vt:variant>
        <vt:i4>0</vt:i4>
      </vt:variant>
      <vt:variant>
        <vt:i4>5</vt:i4>
      </vt:variant>
      <vt:variant>
        <vt:lpwstr/>
      </vt:variant>
      <vt:variant>
        <vt:lpwstr>_Toc303089808</vt:lpwstr>
      </vt:variant>
      <vt:variant>
        <vt:i4>1966128</vt:i4>
      </vt:variant>
      <vt:variant>
        <vt:i4>143</vt:i4>
      </vt:variant>
      <vt:variant>
        <vt:i4>0</vt:i4>
      </vt:variant>
      <vt:variant>
        <vt:i4>5</vt:i4>
      </vt:variant>
      <vt:variant>
        <vt:lpwstr/>
      </vt:variant>
      <vt:variant>
        <vt:lpwstr>_Toc303089807</vt:lpwstr>
      </vt:variant>
      <vt:variant>
        <vt:i4>1966128</vt:i4>
      </vt:variant>
      <vt:variant>
        <vt:i4>137</vt:i4>
      </vt:variant>
      <vt:variant>
        <vt:i4>0</vt:i4>
      </vt:variant>
      <vt:variant>
        <vt:i4>5</vt:i4>
      </vt:variant>
      <vt:variant>
        <vt:lpwstr/>
      </vt:variant>
      <vt:variant>
        <vt:lpwstr>_Toc303089806</vt:lpwstr>
      </vt:variant>
      <vt:variant>
        <vt:i4>1966128</vt:i4>
      </vt:variant>
      <vt:variant>
        <vt:i4>131</vt:i4>
      </vt:variant>
      <vt:variant>
        <vt:i4>0</vt:i4>
      </vt:variant>
      <vt:variant>
        <vt:i4>5</vt:i4>
      </vt:variant>
      <vt:variant>
        <vt:lpwstr/>
      </vt:variant>
      <vt:variant>
        <vt:lpwstr>_Toc303089805</vt:lpwstr>
      </vt:variant>
      <vt:variant>
        <vt:i4>1966128</vt:i4>
      </vt:variant>
      <vt:variant>
        <vt:i4>125</vt:i4>
      </vt:variant>
      <vt:variant>
        <vt:i4>0</vt:i4>
      </vt:variant>
      <vt:variant>
        <vt:i4>5</vt:i4>
      </vt:variant>
      <vt:variant>
        <vt:lpwstr/>
      </vt:variant>
      <vt:variant>
        <vt:lpwstr>_Toc303089804</vt:lpwstr>
      </vt:variant>
      <vt:variant>
        <vt:i4>1966128</vt:i4>
      </vt:variant>
      <vt:variant>
        <vt:i4>119</vt:i4>
      </vt:variant>
      <vt:variant>
        <vt:i4>0</vt:i4>
      </vt:variant>
      <vt:variant>
        <vt:i4>5</vt:i4>
      </vt:variant>
      <vt:variant>
        <vt:lpwstr/>
      </vt:variant>
      <vt:variant>
        <vt:lpwstr>_Toc303089803</vt:lpwstr>
      </vt:variant>
      <vt:variant>
        <vt:i4>1966128</vt:i4>
      </vt:variant>
      <vt:variant>
        <vt:i4>113</vt:i4>
      </vt:variant>
      <vt:variant>
        <vt:i4>0</vt:i4>
      </vt:variant>
      <vt:variant>
        <vt:i4>5</vt:i4>
      </vt:variant>
      <vt:variant>
        <vt:lpwstr/>
      </vt:variant>
      <vt:variant>
        <vt:lpwstr>_Toc303089802</vt:lpwstr>
      </vt:variant>
      <vt:variant>
        <vt:i4>1966128</vt:i4>
      </vt:variant>
      <vt:variant>
        <vt:i4>107</vt:i4>
      </vt:variant>
      <vt:variant>
        <vt:i4>0</vt:i4>
      </vt:variant>
      <vt:variant>
        <vt:i4>5</vt:i4>
      </vt:variant>
      <vt:variant>
        <vt:lpwstr/>
      </vt:variant>
      <vt:variant>
        <vt:lpwstr>_Toc303089801</vt:lpwstr>
      </vt:variant>
      <vt:variant>
        <vt:i4>1966128</vt:i4>
      </vt:variant>
      <vt:variant>
        <vt:i4>101</vt:i4>
      </vt:variant>
      <vt:variant>
        <vt:i4>0</vt:i4>
      </vt:variant>
      <vt:variant>
        <vt:i4>5</vt:i4>
      </vt:variant>
      <vt:variant>
        <vt:lpwstr/>
      </vt:variant>
      <vt:variant>
        <vt:lpwstr>_Toc303089800</vt:lpwstr>
      </vt:variant>
      <vt:variant>
        <vt:i4>1507391</vt:i4>
      </vt:variant>
      <vt:variant>
        <vt:i4>95</vt:i4>
      </vt:variant>
      <vt:variant>
        <vt:i4>0</vt:i4>
      </vt:variant>
      <vt:variant>
        <vt:i4>5</vt:i4>
      </vt:variant>
      <vt:variant>
        <vt:lpwstr/>
      </vt:variant>
      <vt:variant>
        <vt:lpwstr>_Toc303089799</vt:lpwstr>
      </vt:variant>
      <vt:variant>
        <vt:i4>1507391</vt:i4>
      </vt:variant>
      <vt:variant>
        <vt:i4>89</vt:i4>
      </vt:variant>
      <vt:variant>
        <vt:i4>0</vt:i4>
      </vt:variant>
      <vt:variant>
        <vt:i4>5</vt:i4>
      </vt:variant>
      <vt:variant>
        <vt:lpwstr/>
      </vt:variant>
      <vt:variant>
        <vt:lpwstr>_Toc303089798</vt:lpwstr>
      </vt:variant>
      <vt:variant>
        <vt:i4>1507391</vt:i4>
      </vt:variant>
      <vt:variant>
        <vt:i4>83</vt:i4>
      </vt:variant>
      <vt:variant>
        <vt:i4>0</vt:i4>
      </vt:variant>
      <vt:variant>
        <vt:i4>5</vt:i4>
      </vt:variant>
      <vt:variant>
        <vt:lpwstr/>
      </vt:variant>
      <vt:variant>
        <vt:lpwstr>_Toc303089797</vt:lpwstr>
      </vt:variant>
      <vt:variant>
        <vt:i4>1507391</vt:i4>
      </vt:variant>
      <vt:variant>
        <vt:i4>77</vt:i4>
      </vt:variant>
      <vt:variant>
        <vt:i4>0</vt:i4>
      </vt:variant>
      <vt:variant>
        <vt:i4>5</vt:i4>
      </vt:variant>
      <vt:variant>
        <vt:lpwstr/>
      </vt:variant>
      <vt:variant>
        <vt:lpwstr>_Toc303089796</vt:lpwstr>
      </vt:variant>
      <vt:variant>
        <vt:i4>1507391</vt:i4>
      </vt:variant>
      <vt:variant>
        <vt:i4>71</vt:i4>
      </vt:variant>
      <vt:variant>
        <vt:i4>0</vt:i4>
      </vt:variant>
      <vt:variant>
        <vt:i4>5</vt:i4>
      </vt:variant>
      <vt:variant>
        <vt:lpwstr/>
      </vt:variant>
      <vt:variant>
        <vt:lpwstr>_Toc303089795</vt:lpwstr>
      </vt:variant>
      <vt:variant>
        <vt:i4>1507391</vt:i4>
      </vt:variant>
      <vt:variant>
        <vt:i4>65</vt:i4>
      </vt:variant>
      <vt:variant>
        <vt:i4>0</vt:i4>
      </vt:variant>
      <vt:variant>
        <vt:i4>5</vt:i4>
      </vt:variant>
      <vt:variant>
        <vt:lpwstr/>
      </vt:variant>
      <vt:variant>
        <vt:lpwstr>_Toc303089794</vt:lpwstr>
      </vt:variant>
      <vt:variant>
        <vt:i4>1507391</vt:i4>
      </vt:variant>
      <vt:variant>
        <vt:i4>59</vt:i4>
      </vt:variant>
      <vt:variant>
        <vt:i4>0</vt:i4>
      </vt:variant>
      <vt:variant>
        <vt:i4>5</vt:i4>
      </vt:variant>
      <vt:variant>
        <vt:lpwstr/>
      </vt:variant>
      <vt:variant>
        <vt:lpwstr>_Toc303089793</vt:lpwstr>
      </vt:variant>
      <vt:variant>
        <vt:i4>1507391</vt:i4>
      </vt:variant>
      <vt:variant>
        <vt:i4>53</vt:i4>
      </vt:variant>
      <vt:variant>
        <vt:i4>0</vt:i4>
      </vt:variant>
      <vt:variant>
        <vt:i4>5</vt:i4>
      </vt:variant>
      <vt:variant>
        <vt:lpwstr/>
      </vt:variant>
      <vt:variant>
        <vt:lpwstr>_Toc303089792</vt:lpwstr>
      </vt:variant>
      <vt:variant>
        <vt:i4>1507391</vt:i4>
      </vt:variant>
      <vt:variant>
        <vt:i4>47</vt:i4>
      </vt:variant>
      <vt:variant>
        <vt:i4>0</vt:i4>
      </vt:variant>
      <vt:variant>
        <vt:i4>5</vt:i4>
      </vt:variant>
      <vt:variant>
        <vt:lpwstr/>
      </vt:variant>
      <vt:variant>
        <vt:lpwstr>_Toc303089791</vt:lpwstr>
      </vt:variant>
      <vt:variant>
        <vt:i4>1507391</vt:i4>
      </vt:variant>
      <vt:variant>
        <vt:i4>41</vt:i4>
      </vt:variant>
      <vt:variant>
        <vt:i4>0</vt:i4>
      </vt:variant>
      <vt:variant>
        <vt:i4>5</vt:i4>
      </vt:variant>
      <vt:variant>
        <vt:lpwstr/>
      </vt:variant>
      <vt:variant>
        <vt:lpwstr>_Toc303089790</vt:lpwstr>
      </vt:variant>
      <vt:variant>
        <vt:i4>1441855</vt:i4>
      </vt:variant>
      <vt:variant>
        <vt:i4>35</vt:i4>
      </vt:variant>
      <vt:variant>
        <vt:i4>0</vt:i4>
      </vt:variant>
      <vt:variant>
        <vt:i4>5</vt:i4>
      </vt:variant>
      <vt:variant>
        <vt:lpwstr/>
      </vt:variant>
      <vt:variant>
        <vt:lpwstr>_Toc303089789</vt:lpwstr>
      </vt:variant>
      <vt:variant>
        <vt:i4>1441855</vt:i4>
      </vt:variant>
      <vt:variant>
        <vt:i4>29</vt:i4>
      </vt:variant>
      <vt:variant>
        <vt:i4>0</vt:i4>
      </vt:variant>
      <vt:variant>
        <vt:i4>5</vt:i4>
      </vt:variant>
      <vt:variant>
        <vt:lpwstr/>
      </vt:variant>
      <vt:variant>
        <vt:lpwstr>_Toc303089788</vt:lpwstr>
      </vt:variant>
      <vt:variant>
        <vt:i4>1441855</vt:i4>
      </vt:variant>
      <vt:variant>
        <vt:i4>23</vt:i4>
      </vt:variant>
      <vt:variant>
        <vt:i4>0</vt:i4>
      </vt:variant>
      <vt:variant>
        <vt:i4>5</vt:i4>
      </vt:variant>
      <vt:variant>
        <vt:lpwstr/>
      </vt:variant>
      <vt:variant>
        <vt:lpwstr>_Toc303089787</vt:lpwstr>
      </vt:variant>
      <vt:variant>
        <vt:i4>1441855</vt:i4>
      </vt:variant>
      <vt:variant>
        <vt:i4>17</vt:i4>
      </vt:variant>
      <vt:variant>
        <vt:i4>0</vt:i4>
      </vt:variant>
      <vt:variant>
        <vt:i4>5</vt:i4>
      </vt:variant>
      <vt:variant>
        <vt:lpwstr/>
      </vt:variant>
      <vt:variant>
        <vt:lpwstr>_Toc303089786</vt:lpwstr>
      </vt:variant>
      <vt:variant>
        <vt:i4>1441855</vt:i4>
      </vt:variant>
      <vt:variant>
        <vt:i4>11</vt:i4>
      </vt:variant>
      <vt:variant>
        <vt:i4>0</vt:i4>
      </vt:variant>
      <vt:variant>
        <vt:i4>5</vt:i4>
      </vt:variant>
      <vt:variant>
        <vt:lpwstr/>
      </vt:variant>
      <vt:variant>
        <vt:lpwstr>_Toc303089785</vt:lpwstr>
      </vt:variant>
      <vt:variant>
        <vt:i4>1441855</vt:i4>
      </vt:variant>
      <vt:variant>
        <vt:i4>5</vt:i4>
      </vt:variant>
      <vt:variant>
        <vt:i4>0</vt:i4>
      </vt:variant>
      <vt:variant>
        <vt:i4>5</vt:i4>
      </vt:variant>
      <vt:variant>
        <vt:lpwstr/>
      </vt:variant>
      <vt:variant>
        <vt:lpwstr>_Toc303089784</vt:lpwstr>
      </vt:variant>
      <vt:variant>
        <vt:i4>3276848</vt:i4>
      </vt:variant>
      <vt:variant>
        <vt:i4>3</vt:i4>
      </vt:variant>
      <vt:variant>
        <vt:i4>0</vt:i4>
      </vt:variant>
      <vt:variant>
        <vt:i4>5</vt:i4>
      </vt:variant>
      <vt:variant>
        <vt:lpwstr>http://www.tourismresearch.govt.nz/Methodologies/New-Zealand-Tourism-Forecasting-Methodology-2010-2016/</vt:lpwstr>
      </vt:variant>
      <vt:variant>
        <vt:lpwstr/>
      </vt:variant>
      <vt:variant>
        <vt:i4>5242908</vt:i4>
      </vt:variant>
      <vt:variant>
        <vt:i4>0</vt:i4>
      </vt:variant>
      <vt:variant>
        <vt:i4>0</vt:i4>
      </vt:variant>
      <vt:variant>
        <vt:i4>5</vt:i4>
      </vt:variant>
      <vt:variant>
        <vt:lpwstr>http://www.tourismresearch.govt.nz/Data--Analysis/Forecasts/2010---2016--Forecasts---Regional/NZ-Regional-Forecast-Pivot-Tables-2010---2016/</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AMP Template</dc:title>
  <dc:subject>AMP Guidelines</dc:subject>
  <dc:creator>Amar Singh</dc:creator>
  <cp:lastModifiedBy>Ballock, Michael</cp:lastModifiedBy>
  <cp:revision>2</cp:revision>
  <cp:lastPrinted>2013-10-10T10:55:00Z</cp:lastPrinted>
  <dcterms:created xsi:type="dcterms:W3CDTF">2019-01-01T23:22:00Z</dcterms:created>
  <dcterms:modified xsi:type="dcterms:W3CDTF">2019-01-01T23:22:00Z</dcterms:modified>
  <cp:category>Asset Management Plan</cp:category>
  <cp:version>1.0</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TAKeywords">
    <vt:lpwstr>Operational Handover Template</vt:lpwstr>
  </property>
  <property fmtid="{D5CDD505-2E9C-101B-9397-08002B2CF9AE}" pid="3" name="ATAReleaseDate">
    <vt:lpwstr>2010-03-11T00:00:00Z</vt:lpwstr>
  </property>
  <property fmtid="{D5CDD505-2E9C-101B-9397-08002B2CF9AE}" pid="4" name="ContentType">
    <vt:lpwstr>Work Stream Document</vt:lpwstr>
  </property>
  <property fmtid="{D5CDD505-2E9C-101B-9397-08002B2CF9AE}" pid="5" name="Subject">
    <vt:lpwstr/>
  </property>
  <property fmtid="{D5CDD505-2E9C-101B-9397-08002B2CF9AE}" pid="6" name="Keywords">
    <vt:lpwstr/>
  </property>
  <property fmtid="{D5CDD505-2E9C-101B-9397-08002B2CF9AE}" pid="7" name="_Author">
    <vt:lpwstr>Akshay Chauhan</vt:lpwstr>
  </property>
  <property fmtid="{D5CDD505-2E9C-101B-9397-08002B2CF9AE}" pid="8" name="_Category">
    <vt:lpwstr/>
  </property>
  <property fmtid="{D5CDD505-2E9C-101B-9397-08002B2CF9AE}" pid="9" name="Categories">
    <vt:lpwstr/>
  </property>
  <property fmtid="{D5CDD505-2E9C-101B-9397-08002B2CF9AE}" pid="10" name="Approval Level">
    <vt:lpwstr/>
  </property>
  <property fmtid="{D5CDD505-2E9C-101B-9397-08002B2CF9AE}" pid="11" name="_Comments">
    <vt:lpwstr/>
  </property>
  <property fmtid="{D5CDD505-2E9C-101B-9397-08002B2CF9AE}" pid="12" name="Assigned To">
    <vt:lpwstr/>
  </property>
</Properties>
</file>