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E6" w:rsidRPr="006109DA" w:rsidRDefault="00A068E6" w:rsidP="00996878">
      <w:pPr>
        <w:pStyle w:val="ActTitle"/>
        <w:rPr>
          <w:rFonts w:cs="Arial"/>
          <w:sz w:val="20"/>
        </w:rPr>
      </w:pPr>
      <w:r w:rsidRPr="006109DA">
        <w:rPr>
          <w:rFonts w:cs="Arial"/>
          <w:sz w:val="20"/>
        </w:rPr>
        <w:t>Planning and Environment Act 1987</w:t>
      </w:r>
    </w:p>
    <w:p w:rsidR="00A068E6" w:rsidRPr="00003B73" w:rsidRDefault="004F2FA2" w:rsidP="00684895">
      <w:pPr>
        <w:pStyle w:val="Heading1"/>
        <w:rPr>
          <w:rFonts w:cs="Arial"/>
          <w:sz w:val="28"/>
          <w:szCs w:val="28"/>
        </w:rPr>
      </w:pPr>
      <w:r w:rsidRPr="00003B73">
        <w:rPr>
          <w:rFonts w:cs="Arial"/>
          <w:sz w:val="28"/>
          <w:szCs w:val="28"/>
        </w:rPr>
        <w:t>YARRA</w:t>
      </w:r>
      <w:r w:rsidR="00FE71B0" w:rsidRPr="00003B73">
        <w:rPr>
          <w:rFonts w:cs="Arial"/>
          <w:sz w:val="28"/>
          <w:szCs w:val="28"/>
        </w:rPr>
        <w:t xml:space="preserve"> planning scheme</w:t>
      </w:r>
    </w:p>
    <w:p w:rsidR="00A068E6" w:rsidRPr="00003B73" w:rsidRDefault="00A068E6" w:rsidP="00684895">
      <w:pPr>
        <w:pStyle w:val="Heading1"/>
        <w:rPr>
          <w:rFonts w:cs="Arial"/>
          <w:sz w:val="28"/>
          <w:szCs w:val="28"/>
        </w:rPr>
      </w:pPr>
      <w:r w:rsidRPr="00003B73">
        <w:rPr>
          <w:rFonts w:cs="Arial"/>
          <w:sz w:val="28"/>
          <w:szCs w:val="28"/>
        </w:rPr>
        <w:t>AMENDMENT C</w:t>
      </w:r>
      <w:r w:rsidR="00926B3E">
        <w:rPr>
          <w:rFonts w:cs="Arial"/>
          <w:sz w:val="28"/>
          <w:szCs w:val="28"/>
        </w:rPr>
        <w:t>237</w:t>
      </w:r>
    </w:p>
    <w:p w:rsidR="00A068E6" w:rsidRPr="00003B73" w:rsidRDefault="006109DA" w:rsidP="00684895">
      <w:pPr>
        <w:pStyle w:val="Heading1"/>
        <w:rPr>
          <w:rFonts w:cs="Arial"/>
          <w:szCs w:val="24"/>
        </w:rPr>
      </w:pPr>
      <w:r w:rsidRPr="00003B73">
        <w:rPr>
          <w:rFonts w:cs="Arial"/>
          <w:szCs w:val="24"/>
        </w:rPr>
        <w:t>E</w:t>
      </w:r>
      <w:r w:rsidR="00A068E6" w:rsidRPr="00003B73">
        <w:rPr>
          <w:rFonts w:cs="Arial"/>
          <w:szCs w:val="24"/>
        </w:rPr>
        <w:t>XPLANATORY REPORT</w:t>
      </w:r>
    </w:p>
    <w:p w:rsidR="00A068E6" w:rsidRPr="00003B73" w:rsidRDefault="00A068E6" w:rsidP="008310E5">
      <w:pPr>
        <w:pStyle w:val="Heading2"/>
        <w:jc w:val="left"/>
        <w:rPr>
          <w:rFonts w:cs="Arial"/>
        </w:rPr>
      </w:pPr>
      <w:r w:rsidRPr="00003B73">
        <w:rPr>
          <w:rFonts w:cs="Arial"/>
        </w:rPr>
        <w:t>Who is the planning authority?</w:t>
      </w:r>
    </w:p>
    <w:p w:rsidR="00A068E6" w:rsidRPr="00003B73" w:rsidRDefault="00A068E6" w:rsidP="008310E5">
      <w:pPr>
        <w:jc w:val="left"/>
        <w:rPr>
          <w:rFonts w:ascii="Arial" w:hAnsi="Arial" w:cs="Arial"/>
          <w:sz w:val="22"/>
          <w:szCs w:val="22"/>
        </w:rPr>
      </w:pPr>
      <w:r w:rsidRPr="00003B73">
        <w:rPr>
          <w:rFonts w:ascii="Arial" w:hAnsi="Arial" w:cs="Arial"/>
          <w:sz w:val="22"/>
          <w:szCs w:val="22"/>
        </w:rPr>
        <w:t>This amendment has been prepared by the</w:t>
      </w:r>
      <w:r w:rsidR="004F2FA2" w:rsidRPr="00003B73">
        <w:rPr>
          <w:rFonts w:ascii="Arial" w:hAnsi="Arial" w:cs="Arial"/>
          <w:sz w:val="22"/>
          <w:szCs w:val="22"/>
        </w:rPr>
        <w:t xml:space="preserve"> Yarra City Council</w:t>
      </w:r>
      <w:r w:rsidR="00FE71B0" w:rsidRPr="00003B73">
        <w:rPr>
          <w:rFonts w:ascii="Arial" w:hAnsi="Arial" w:cs="Arial"/>
          <w:sz w:val="22"/>
          <w:szCs w:val="22"/>
        </w:rPr>
        <w:t xml:space="preserve">, </w:t>
      </w:r>
      <w:r w:rsidR="004F2FA2" w:rsidRPr="00003B73">
        <w:rPr>
          <w:rFonts w:ascii="Arial" w:hAnsi="Arial" w:cs="Arial"/>
          <w:sz w:val="22"/>
          <w:szCs w:val="22"/>
        </w:rPr>
        <w:t>which</w:t>
      </w:r>
      <w:r w:rsidRPr="00003B73">
        <w:rPr>
          <w:rFonts w:ascii="Arial" w:hAnsi="Arial" w:cs="Arial"/>
          <w:sz w:val="22"/>
          <w:szCs w:val="22"/>
        </w:rPr>
        <w:t xml:space="preserve"> is the planning authority for this amendment.</w:t>
      </w:r>
    </w:p>
    <w:p w:rsidR="00A068E6" w:rsidRPr="00003B73" w:rsidRDefault="00855A78" w:rsidP="008310E5">
      <w:pPr>
        <w:pStyle w:val="Heading2"/>
        <w:jc w:val="left"/>
        <w:rPr>
          <w:rFonts w:cs="Arial"/>
        </w:rPr>
      </w:pPr>
      <w:r w:rsidRPr="00003B73">
        <w:rPr>
          <w:rFonts w:cs="Arial"/>
        </w:rPr>
        <w:t>Land affected by the A</w:t>
      </w:r>
      <w:r w:rsidR="00814A45" w:rsidRPr="00003B73">
        <w:rPr>
          <w:rFonts w:cs="Arial"/>
        </w:rPr>
        <w:t>mendment</w:t>
      </w:r>
    </w:p>
    <w:p w:rsidR="00834872" w:rsidRDefault="00855A78" w:rsidP="00C73E43">
      <w:pPr>
        <w:jc w:val="left"/>
        <w:rPr>
          <w:rFonts w:ascii="Arial" w:hAnsi="Arial" w:cs="Arial"/>
          <w:sz w:val="22"/>
          <w:szCs w:val="22"/>
        </w:rPr>
      </w:pPr>
      <w:r w:rsidRPr="00003B73">
        <w:rPr>
          <w:rFonts w:ascii="Arial" w:hAnsi="Arial" w:cs="Arial"/>
          <w:sz w:val="22"/>
          <w:szCs w:val="22"/>
        </w:rPr>
        <w:t>The A</w:t>
      </w:r>
      <w:r w:rsidR="00A068E6" w:rsidRPr="00003B73">
        <w:rPr>
          <w:rFonts w:ascii="Arial" w:hAnsi="Arial" w:cs="Arial"/>
          <w:sz w:val="22"/>
          <w:szCs w:val="22"/>
        </w:rPr>
        <w:t>mendment applies to</w:t>
      </w:r>
      <w:r w:rsidR="00FE71B0" w:rsidRPr="00003B73">
        <w:rPr>
          <w:rFonts w:ascii="Arial" w:hAnsi="Arial" w:cs="Arial"/>
          <w:sz w:val="22"/>
          <w:szCs w:val="22"/>
        </w:rPr>
        <w:t xml:space="preserve"> </w:t>
      </w:r>
      <w:r w:rsidR="004F2FA2" w:rsidRPr="00003B73">
        <w:rPr>
          <w:rFonts w:ascii="Arial" w:hAnsi="Arial" w:cs="Arial"/>
          <w:sz w:val="22"/>
          <w:szCs w:val="22"/>
        </w:rPr>
        <w:t>land in Precincts 1 and 2</w:t>
      </w:r>
      <w:r w:rsidR="000D0940">
        <w:rPr>
          <w:rFonts w:ascii="Arial" w:hAnsi="Arial" w:cs="Arial"/>
          <w:sz w:val="22"/>
          <w:szCs w:val="22"/>
        </w:rPr>
        <w:t xml:space="preserve"> (Subject Land)</w:t>
      </w:r>
      <w:r w:rsidR="004F2FA2" w:rsidRPr="00003B73">
        <w:rPr>
          <w:rFonts w:ascii="Arial" w:hAnsi="Arial" w:cs="Arial"/>
          <w:sz w:val="22"/>
          <w:szCs w:val="22"/>
        </w:rPr>
        <w:t xml:space="preserve"> as identified in the Johnston Street Local Area Plan</w:t>
      </w:r>
      <w:r w:rsidR="000D0940">
        <w:rPr>
          <w:rFonts w:ascii="Arial" w:hAnsi="Arial" w:cs="Arial"/>
          <w:sz w:val="22"/>
          <w:szCs w:val="22"/>
        </w:rPr>
        <w:t xml:space="preserve"> (</w:t>
      </w:r>
      <w:r w:rsidR="00660574">
        <w:rPr>
          <w:rFonts w:ascii="Arial" w:hAnsi="Arial" w:cs="Arial"/>
          <w:sz w:val="22"/>
          <w:szCs w:val="22"/>
        </w:rPr>
        <w:t>Figure 1</w:t>
      </w:r>
      <w:r w:rsidR="000D0940">
        <w:rPr>
          <w:rFonts w:ascii="Arial" w:hAnsi="Arial" w:cs="Arial"/>
          <w:sz w:val="22"/>
          <w:szCs w:val="22"/>
        </w:rPr>
        <w:t>)</w:t>
      </w:r>
      <w:r w:rsidR="00C73E43">
        <w:rPr>
          <w:rFonts w:ascii="Arial" w:hAnsi="Arial" w:cs="Arial"/>
          <w:sz w:val="22"/>
          <w:szCs w:val="22"/>
        </w:rPr>
        <w:t>.</w:t>
      </w:r>
    </w:p>
    <w:p w:rsidR="00660574" w:rsidRPr="00C73E43" w:rsidRDefault="00660574" w:rsidP="00C73E43">
      <w:pPr>
        <w:jc w:val="left"/>
        <w:rPr>
          <w:rFonts w:ascii="Arial" w:hAnsi="Arial" w:cs="Arial"/>
          <w:sz w:val="22"/>
          <w:szCs w:val="22"/>
        </w:rPr>
      </w:pPr>
    </w:p>
    <w:p w:rsidR="00660574" w:rsidRDefault="00660574" w:rsidP="0066057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3458F9E" wp14:editId="2EA3858E">
            <wp:extent cx="5927257" cy="268281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282" cy="268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40" w:rsidRPr="00660574" w:rsidRDefault="00660574" w:rsidP="008310E5">
      <w:pPr>
        <w:jc w:val="left"/>
        <w:rPr>
          <w:rFonts w:ascii="Arial" w:hAnsi="Arial" w:cs="Arial"/>
          <w:sz w:val="18"/>
          <w:szCs w:val="18"/>
        </w:rPr>
      </w:pPr>
      <w:r w:rsidRPr="0065641A">
        <w:rPr>
          <w:rFonts w:ascii="Arial" w:hAnsi="Arial" w:cs="Arial"/>
          <w:sz w:val="18"/>
          <w:szCs w:val="18"/>
        </w:rPr>
        <w:t>Figure 1: Subject Land</w:t>
      </w:r>
    </w:p>
    <w:p w:rsidR="00A068E6" w:rsidRPr="00823BB7" w:rsidRDefault="00814A45" w:rsidP="008310E5">
      <w:pPr>
        <w:pStyle w:val="Heading2"/>
        <w:jc w:val="left"/>
        <w:rPr>
          <w:rFonts w:cs="Arial"/>
        </w:rPr>
      </w:pPr>
      <w:r w:rsidRPr="00823BB7">
        <w:rPr>
          <w:rFonts w:cs="Arial"/>
        </w:rPr>
        <w:t>What the amendment does</w:t>
      </w:r>
    </w:p>
    <w:p w:rsidR="008B4FBA" w:rsidRDefault="008B4FBA" w:rsidP="008310E5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Amendment implements the</w:t>
      </w:r>
      <w:r w:rsidR="004F40AA">
        <w:rPr>
          <w:rFonts w:ascii="Arial" w:hAnsi="Arial" w:cs="Arial"/>
          <w:sz w:val="22"/>
          <w:szCs w:val="22"/>
        </w:rPr>
        <w:t xml:space="preserve"> land use and built form</w:t>
      </w:r>
      <w:r>
        <w:rPr>
          <w:rFonts w:ascii="Arial" w:hAnsi="Arial" w:cs="Arial"/>
          <w:sz w:val="22"/>
          <w:szCs w:val="22"/>
        </w:rPr>
        <w:t xml:space="preserve"> objectives and strategies </w:t>
      </w:r>
      <w:r w:rsidR="004F40AA">
        <w:rPr>
          <w:rFonts w:ascii="Arial" w:hAnsi="Arial" w:cs="Arial"/>
          <w:sz w:val="22"/>
          <w:szCs w:val="22"/>
        </w:rPr>
        <w:t>within</w:t>
      </w:r>
      <w:r>
        <w:rPr>
          <w:rFonts w:ascii="Arial" w:hAnsi="Arial" w:cs="Arial"/>
          <w:sz w:val="22"/>
          <w:szCs w:val="22"/>
        </w:rPr>
        <w:t xml:space="preserve"> the Johnston Street </w:t>
      </w:r>
      <w:r w:rsidR="000D0940">
        <w:rPr>
          <w:rFonts w:ascii="Arial" w:hAnsi="Arial" w:cs="Arial"/>
          <w:sz w:val="22"/>
          <w:szCs w:val="22"/>
        </w:rPr>
        <w:t>Local Area Plan that relate to P</w:t>
      </w:r>
      <w:r>
        <w:rPr>
          <w:rFonts w:ascii="Arial" w:hAnsi="Arial" w:cs="Arial"/>
          <w:sz w:val="22"/>
          <w:szCs w:val="22"/>
        </w:rPr>
        <w:t>recincts 1 and 2 (Johnston Street).</w:t>
      </w:r>
    </w:p>
    <w:p w:rsidR="004F2FA2" w:rsidRDefault="00855A78" w:rsidP="008310E5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="001E53D0" w:rsidRPr="00F27102">
        <w:rPr>
          <w:rFonts w:ascii="Arial" w:hAnsi="Arial" w:cs="Arial"/>
          <w:sz w:val="22"/>
          <w:szCs w:val="22"/>
        </w:rPr>
        <w:t xml:space="preserve">mendment </w:t>
      </w:r>
      <w:r w:rsidR="004F2FA2">
        <w:rPr>
          <w:rFonts w:ascii="Arial" w:hAnsi="Arial" w:cs="Arial"/>
          <w:sz w:val="22"/>
          <w:szCs w:val="22"/>
        </w:rPr>
        <w:t>proposes to make the following changes:</w:t>
      </w:r>
    </w:p>
    <w:p w:rsidR="00B75004" w:rsidRPr="00653981" w:rsidRDefault="00B75004" w:rsidP="00660574">
      <w:pPr>
        <w:pStyle w:val="StrategicAssessmentText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29189A">
        <w:rPr>
          <w:rFonts w:ascii="Arial" w:hAnsi="Arial" w:cs="Arial"/>
          <w:sz w:val="22"/>
          <w:szCs w:val="22"/>
        </w:rPr>
        <w:t>Insert a new Schedule to Clause 43.02 Design and Development Overlay</w:t>
      </w:r>
      <w:r>
        <w:rPr>
          <w:rFonts w:ascii="Arial" w:hAnsi="Arial" w:cs="Arial"/>
          <w:sz w:val="22"/>
          <w:szCs w:val="22"/>
        </w:rPr>
        <w:t xml:space="preserve"> (DDO15</w:t>
      </w:r>
      <w:r w:rsidRPr="0029189A">
        <w:rPr>
          <w:rFonts w:ascii="Arial" w:hAnsi="Arial" w:cs="Arial"/>
          <w:sz w:val="22"/>
          <w:szCs w:val="22"/>
        </w:rPr>
        <w:t xml:space="preserve">), which applies to land in the </w:t>
      </w:r>
      <w:r>
        <w:rPr>
          <w:rFonts w:ascii="Arial" w:hAnsi="Arial" w:cs="Arial"/>
          <w:sz w:val="22"/>
          <w:szCs w:val="22"/>
        </w:rPr>
        <w:t>Johnston</w:t>
      </w:r>
      <w:r w:rsidRPr="0029189A">
        <w:rPr>
          <w:rFonts w:ascii="Arial" w:hAnsi="Arial" w:cs="Arial"/>
          <w:sz w:val="22"/>
          <w:szCs w:val="22"/>
        </w:rPr>
        <w:t xml:space="preserve"> Street Activity Centre.</w:t>
      </w:r>
    </w:p>
    <w:p w:rsidR="00B75004" w:rsidRDefault="00B75004" w:rsidP="00660574">
      <w:pPr>
        <w:pStyle w:val="StrategicAssessmentText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Amends Map Nos. 6DDO and 7DDO to apply Schedule 15</w:t>
      </w:r>
      <w:r w:rsidRPr="0029189A">
        <w:rPr>
          <w:rFonts w:ascii="Arial" w:hAnsi="Arial" w:cs="Arial"/>
          <w:sz w:val="22"/>
          <w:szCs w:val="22"/>
        </w:rPr>
        <w:t xml:space="preserve"> to the Design and Development Overlay to land in the </w:t>
      </w:r>
      <w:r>
        <w:rPr>
          <w:rFonts w:ascii="Arial" w:hAnsi="Arial" w:cs="Arial"/>
          <w:sz w:val="22"/>
          <w:szCs w:val="22"/>
        </w:rPr>
        <w:t>Johnston</w:t>
      </w:r>
      <w:r w:rsidRPr="0029189A">
        <w:rPr>
          <w:rFonts w:ascii="Arial" w:hAnsi="Arial" w:cs="Arial"/>
          <w:sz w:val="22"/>
          <w:szCs w:val="22"/>
        </w:rPr>
        <w:t xml:space="preserve"> Street Activity Centre. </w:t>
      </w:r>
    </w:p>
    <w:p w:rsidR="00221258" w:rsidRDefault="00221258" w:rsidP="00221258">
      <w:pPr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Apply a new Heritage Overlay precinct to the following properties:</w:t>
      </w:r>
    </w:p>
    <w:p w:rsidR="00221258" w:rsidRPr="00834872" w:rsidRDefault="00221258" w:rsidP="00221258">
      <w:pPr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314"/>
      </w:tblGrid>
      <w:tr w:rsidR="00221258" w:rsidRPr="00C65C70" w:rsidTr="00DA4E9A">
        <w:tc>
          <w:tcPr>
            <w:tcW w:w="1809" w:type="dxa"/>
            <w:shd w:val="clear" w:color="auto" w:fill="0D0D0D" w:themeFill="text1" w:themeFillTint="F2"/>
          </w:tcPr>
          <w:p w:rsidR="00221258" w:rsidRPr="00C65C70" w:rsidRDefault="00221258" w:rsidP="00DA4E9A">
            <w:pPr>
              <w:rPr>
                <w:rFonts w:ascii="Arial" w:hAnsi="Arial" w:cs="Arial"/>
                <w:b/>
                <w:sz w:val="20"/>
              </w:rPr>
            </w:pPr>
            <w:r w:rsidRPr="00C65C70">
              <w:rPr>
                <w:rFonts w:ascii="Arial" w:hAnsi="Arial" w:cs="Arial"/>
                <w:b/>
                <w:sz w:val="20"/>
              </w:rPr>
              <w:t>HO Number</w:t>
            </w:r>
          </w:p>
        </w:tc>
        <w:tc>
          <w:tcPr>
            <w:tcW w:w="3119" w:type="dxa"/>
            <w:shd w:val="clear" w:color="auto" w:fill="0D0D0D" w:themeFill="text1" w:themeFillTint="F2"/>
          </w:tcPr>
          <w:p w:rsidR="00221258" w:rsidRPr="00C65C70" w:rsidRDefault="00221258" w:rsidP="00DA4E9A">
            <w:pPr>
              <w:rPr>
                <w:rFonts w:ascii="Arial" w:hAnsi="Arial" w:cs="Arial"/>
                <w:b/>
                <w:sz w:val="20"/>
              </w:rPr>
            </w:pPr>
            <w:r w:rsidRPr="00C65C70">
              <w:rPr>
                <w:rFonts w:ascii="Arial" w:hAnsi="Arial" w:cs="Arial"/>
                <w:b/>
                <w:sz w:val="20"/>
              </w:rPr>
              <w:t>Precinct Name</w:t>
            </w:r>
          </w:p>
        </w:tc>
        <w:tc>
          <w:tcPr>
            <w:tcW w:w="4314" w:type="dxa"/>
            <w:shd w:val="clear" w:color="auto" w:fill="0D0D0D" w:themeFill="text1" w:themeFillTint="F2"/>
          </w:tcPr>
          <w:p w:rsidR="00221258" w:rsidRPr="00C65C70" w:rsidRDefault="00221258" w:rsidP="00DA4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C65C70">
              <w:rPr>
                <w:rFonts w:ascii="Arial" w:hAnsi="Arial" w:cs="Arial"/>
                <w:b/>
                <w:sz w:val="20"/>
              </w:rPr>
              <w:t>Properties Included in HO</w:t>
            </w:r>
          </w:p>
        </w:tc>
      </w:tr>
      <w:tr w:rsidR="00221258" w:rsidRPr="00C65C70" w:rsidTr="00DA4E9A">
        <w:tc>
          <w:tcPr>
            <w:tcW w:w="1809" w:type="dxa"/>
          </w:tcPr>
          <w:p w:rsidR="00221258" w:rsidRPr="00C65C70" w:rsidRDefault="00221258" w:rsidP="00DA4E9A">
            <w:pPr>
              <w:spacing w:before="0" w:line="276" w:lineRule="auto"/>
              <w:rPr>
                <w:rFonts w:ascii="Arial" w:hAnsi="Arial" w:cs="Arial"/>
                <w:sz w:val="20"/>
              </w:rPr>
            </w:pPr>
            <w:r w:rsidRPr="00C65C70">
              <w:rPr>
                <w:rFonts w:ascii="Arial" w:hAnsi="Arial" w:cs="Arial"/>
                <w:sz w:val="20"/>
              </w:rPr>
              <w:t>HO</w:t>
            </w:r>
            <w:r>
              <w:rPr>
                <w:rFonts w:ascii="Arial" w:hAnsi="Arial" w:cs="Arial"/>
                <w:sz w:val="20"/>
              </w:rPr>
              <w:t>505</w:t>
            </w:r>
          </w:p>
        </w:tc>
        <w:tc>
          <w:tcPr>
            <w:tcW w:w="3119" w:type="dxa"/>
          </w:tcPr>
          <w:p w:rsidR="00221258" w:rsidRPr="00C65C70" w:rsidRDefault="00221258" w:rsidP="00DA4E9A">
            <w:pPr>
              <w:spacing w:before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Johnston</w:t>
            </w:r>
            <w:r w:rsidRPr="00C65C70">
              <w:rPr>
                <w:rFonts w:ascii="Arial" w:hAnsi="Arial" w:cs="Arial"/>
                <w:sz w:val="20"/>
              </w:rPr>
              <w:t xml:space="preserve"> Street</w:t>
            </w:r>
            <w:r>
              <w:rPr>
                <w:rFonts w:ascii="Arial" w:hAnsi="Arial" w:cs="Arial"/>
                <w:sz w:val="20"/>
              </w:rPr>
              <w:t xml:space="preserve"> East</w:t>
            </w:r>
          </w:p>
        </w:tc>
        <w:tc>
          <w:tcPr>
            <w:tcW w:w="4314" w:type="dxa"/>
          </w:tcPr>
          <w:p w:rsidR="00221258" w:rsidRDefault="00221258" w:rsidP="00DA4E9A">
            <w:pPr>
              <w:spacing w:before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219-241 Johnston Street, Abbotsford</w:t>
            </w:r>
          </w:p>
          <w:p w:rsidR="00221258" w:rsidRPr="00C65C70" w:rsidRDefault="00221258" w:rsidP="00DA4E9A">
            <w:pPr>
              <w:spacing w:before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246-274 Johnston Street, Abbotsford</w:t>
            </w:r>
          </w:p>
        </w:tc>
      </w:tr>
    </w:tbl>
    <w:p w:rsidR="00221258" w:rsidRDefault="00221258" w:rsidP="00221258">
      <w:pPr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Insert a new reference document at Clause 21.11 titled </w:t>
      </w:r>
      <w:r w:rsidRPr="008006BF">
        <w:rPr>
          <w:rFonts w:ascii="Arial" w:hAnsi="Arial" w:cs="Arial"/>
          <w:sz w:val="22"/>
          <w:szCs w:val="22"/>
        </w:rPr>
        <w:t xml:space="preserve">Heritage Gap Study: Review of </w:t>
      </w:r>
      <w:r>
        <w:rPr>
          <w:rFonts w:ascii="Arial" w:hAnsi="Arial" w:cs="Arial"/>
          <w:sz w:val="22"/>
          <w:szCs w:val="22"/>
        </w:rPr>
        <w:t>Johnston Street East</w:t>
      </w:r>
      <w:r w:rsidRPr="008006B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March</w:t>
      </w:r>
      <w:r w:rsidRPr="008006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2016 </w:t>
      </w:r>
      <w:r w:rsidRPr="00244337">
        <w:rPr>
          <w:rFonts w:ascii="Arial" w:hAnsi="Arial" w:cs="Arial"/>
          <w:sz w:val="22"/>
          <w:szCs w:val="22"/>
        </w:rPr>
        <w:t>within clause 22.02 - Development Guidelines for Sites Subject</w:t>
      </w:r>
      <w:bookmarkStart w:id="1" w:name="OLE_LINK1"/>
      <w:bookmarkStart w:id="2" w:name="OLE_LINK2"/>
      <w:r w:rsidRPr="00244337">
        <w:rPr>
          <w:rFonts w:ascii="Arial" w:hAnsi="Arial" w:cs="Arial"/>
          <w:sz w:val="22"/>
          <w:szCs w:val="22"/>
        </w:rPr>
        <w:t xml:space="preserve"> to the Heritage Overlay</w:t>
      </w:r>
      <w:bookmarkEnd w:id="1"/>
      <w:bookmarkEnd w:id="2"/>
      <w:r>
        <w:rPr>
          <w:rFonts w:ascii="Arial" w:hAnsi="Arial" w:cs="Arial"/>
          <w:sz w:val="22"/>
          <w:szCs w:val="22"/>
        </w:rPr>
        <w:t>;</w:t>
      </w:r>
    </w:p>
    <w:p w:rsidR="00221258" w:rsidRPr="00FC1321" w:rsidRDefault="00221258" w:rsidP="00221258">
      <w:pPr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FC1321">
        <w:rPr>
          <w:rFonts w:ascii="Arial" w:hAnsi="Arial" w:cs="Arial"/>
          <w:sz w:val="22"/>
          <w:szCs w:val="22"/>
        </w:rPr>
        <w:t>Amend the existing Appendix 8 incorporated document listed in the schedule to clause 81.01 to include the addresses and gradings of all new and revised places</w:t>
      </w:r>
      <w:r>
        <w:rPr>
          <w:rFonts w:ascii="Arial" w:hAnsi="Arial" w:cs="Arial"/>
          <w:sz w:val="22"/>
          <w:szCs w:val="22"/>
        </w:rPr>
        <w:t>;</w:t>
      </w:r>
    </w:p>
    <w:p w:rsidR="00221258" w:rsidRDefault="00221258" w:rsidP="00221258">
      <w:pPr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Rename the </w:t>
      </w:r>
      <w:r w:rsidRPr="00392E2B">
        <w:rPr>
          <w:rFonts w:ascii="Arial" w:hAnsi="Arial" w:cs="Arial"/>
          <w:sz w:val="22"/>
          <w:szCs w:val="22"/>
        </w:rPr>
        <w:t xml:space="preserve">existing </w:t>
      </w:r>
      <w:r>
        <w:rPr>
          <w:rFonts w:ascii="Arial" w:hAnsi="Arial" w:cs="Arial"/>
          <w:sz w:val="22"/>
          <w:szCs w:val="22"/>
        </w:rPr>
        <w:t xml:space="preserve">Appendix 8 </w:t>
      </w:r>
      <w:r w:rsidRPr="00392E2B">
        <w:rPr>
          <w:rFonts w:ascii="Arial" w:hAnsi="Arial" w:cs="Arial"/>
          <w:sz w:val="22"/>
          <w:szCs w:val="22"/>
        </w:rPr>
        <w:t xml:space="preserve">incorporated document in </w:t>
      </w:r>
      <w:r>
        <w:rPr>
          <w:rFonts w:ascii="Arial" w:hAnsi="Arial" w:cs="Arial"/>
          <w:sz w:val="22"/>
          <w:szCs w:val="22"/>
        </w:rPr>
        <w:t xml:space="preserve">Clause 22.02 and in </w:t>
      </w:r>
      <w:r w:rsidRPr="00392E2B">
        <w:rPr>
          <w:rFonts w:ascii="Arial" w:hAnsi="Arial" w:cs="Arial"/>
          <w:sz w:val="22"/>
          <w:szCs w:val="22"/>
        </w:rPr>
        <w:t>the schedule to clause 81.01</w:t>
      </w:r>
      <w:r>
        <w:rPr>
          <w:rFonts w:ascii="Arial" w:hAnsi="Arial" w:cs="Arial"/>
          <w:sz w:val="22"/>
          <w:szCs w:val="22"/>
        </w:rPr>
        <w:t xml:space="preserve"> to refer to the new revised date;</w:t>
      </w:r>
      <w:r>
        <w:rPr>
          <w:rFonts w:ascii="Arial" w:hAnsi="Arial" w:cs="Arial"/>
          <w:sz w:val="22"/>
          <w:szCs w:val="22"/>
        </w:rPr>
        <w:t xml:space="preserve"> and</w:t>
      </w:r>
    </w:p>
    <w:p w:rsidR="00221258" w:rsidRPr="00221258" w:rsidRDefault="00221258" w:rsidP="00221258">
      <w:pPr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Amend the schedule to </w:t>
      </w:r>
      <w:r>
        <w:rPr>
          <w:rFonts w:ascii="Arial" w:hAnsi="Arial" w:cs="Arial"/>
          <w:sz w:val="22"/>
          <w:szCs w:val="22"/>
        </w:rPr>
        <w:t>Clause 43.01 (Heritage Overlay).</w:t>
      </w:r>
    </w:p>
    <w:p w:rsidR="00A068E6" w:rsidRPr="00A86E0D" w:rsidRDefault="00A068E6" w:rsidP="00A86E0D">
      <w:pPr>
        <w:pStyle w:val="Heading3"/>
        <w:numPr>
          <w:ilvl w:val="0"/>
          <w:numId w:val="0"/>
        </w:numPr>
        <w:jc w:val="left"/>
        <w:rPr>
          <w:rFonts w:ascii="Arial" w:hAnsi="Arial" w:cs="Arial"/>
          <w:szCs w:val="24"/>
        </w:rPr>
      </w:pPr>
      <w:r w:rsidRPr="00A86E0D">
        <w:rPr>
          <w:rFonts w:ascii="Arial" w:hAnsi="Arial" w:cs="Arial"/>
          <w:szCs w:val="24"/>
        </w:rPr>
        <w:t xml:space="preserve">Strategic assessment of the </w:t>
      </w:r>
      <w:r w:rsidR="00855A78" w:rsidRPr="00A86E0D">
        <w:rPr>
          <w:rFonts w:ascii="Arial" w:hAnsi="Arial" w:cs="Arial"/>
          <w:szCs w:val="24"/>
        </w:rPr>
        <w:t>A</w:t>
      </w:r>
      <w:r w:rsidRPr="00A86E0D">
        <w:rPr>
          <w:rFonts w:ascii="Arial" w:hAnsi="Arial" w:cs="Arial"/>
          <w:szCs w:val="24"/>
        </w:rPr>
        <w:t xml:space="preserve">mendment </w:t>
      </w:r>
    </w:p>
    <w:p w:rsidR="00A068E6" w:rsidRPr="00420A5B" w:rsidRDefault="00855A78" w:rsidP="008310E5">
      <w:pPr>
        <w:pStyle w:val="Heading3"/>
        <w:numPr>
          <w:ilvl w:val="0"/>
          <w:numId w:val="0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Why is the A</w:t>
      </w:r>
      <w:r w:rsidR="00A068E6" w:rsidRPr="00420A5B">
        <w:rPr>
          <w:rFonts w:ascii="Arial" w:hAnsi="Arial" w:cs="Arial"/>
          <w:szCs w:val="24"/>
        </w:rPr>
        <w:t>mendment required?</w:t>
      </w:r>
    </w:p>
    <w:p w:rsidR="004F2FA2" w:rsidRDefault="004F2FA2" w:rsidP="008310E5">
      <w:pPr>
        <w:pStyle w:val="StrategicAssessmentText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Amendment is required to implement the built form and land use recommendations of the Johnston Street Local Area Plan, 2015.</w:t>
      </w:r>
    </w:p>
    <w:p w:rsidR="00B75004" w:rsidRDefault="00B75004" w:rsidP="008310E5">
      <w:pPr>
        <w:pStyle w:val="StrategicAssessmentText"/>
        <w:ind w:left="0"/>
        <w:jc w:val="left"/>
        <w:rPr>
          <w:rFonts w:ascii="Arial" w:hAnsi="Arial" w:cs="Arial"/>
          <w:sz w:val="22"/>
          <w:szCs w:val="22"/>
        </w:rPr>
      </w:pPr>
      <w:r w:rsidRPr="00E85D30">
        <w:rPr>
          <w:rFonts w:ascii="Arial" w:hAnsi="Arial" w:cs="Arial"/>
          <w:sz w:val="22"/>
          <w:szCs w:val="22"/>
        </w:rPr>
        <w:t>Amendment</w:t>
      </w:r>
      <w:r>
        <w:rPr>
          <w:rFonts w:ascii="Arial" w:hAnsi="Arial" w:cs="Arial"/>
          <w:sz w:val="22"/>
          <w:szCs w:val="22"/>
        </w:rPr>
        <w:t xml:space="preserve"> C237</w:t>
      </w:r>
      <w:r w:rsidRPr="00E85D30">
        <w:rPr>
          <w:rFonts w:ascii="Arial" w:hAnsi="Arial" w:cs="Arial"/>
          <w:sz w:val="22"/>
          <w:szCs w:val="22"/>
        </w:rPr>
        <w:t xml:space="preserve"> is required to provide</w:t>
      </w:r>
      <w:r>
        <w:rPr>
          <w:rFonts w:ascii="Arial" w:hAnsi="Arial" w:cs="Arial"/>
          <w:sz w:val="22"/>
          <w:szCs w:val="22"/>
        </w:rPr>
        <w:t xml:space="preserve"> a </w:t>
      </w:r>
      <w:r w:rsidRPr="00D40BBA">
        <w:rPr>
          <w:rFonts w:ascii="Arial" w:hAnsi="Arial" w:cs="Arial"/>
          <w:sz w:val="22"/>
          <w:szCs w:val="22"/>
        </w:rPr>
        <w:t xml:space="preserve">DDO with mandatory and discretionary built form </w:t>
      </w:r>
      <w:r>
        <w:rPr>
          <w:rFonts w:ascii="Arial" w:hAnsi="Arial" w:cs="Arial"/>
          <w:sz w:val="22"/>
          <w:szCs w:val="22"/>
        </w:rPr>
        <w:t>provisions</w:t>
      </w:r>
      <w:r w:rsidRPr="00D40BBA">
        <w:rPr>
          <w:rFonts w:ascii="Arial" w:hAnsi="Arial" w:cs="Arial"/>
          <w:sz w:val="22"/>
          <w:szCs w:val="22"/>
        </w:rPr>
        <w:t xml:space="preserve"> for a period of 2 years</w:t>
      </w:r>
      <w:r>
        <w:rPr>
          <w:rFonts w:ascii="Arial" w:hAnsi="Arial" w:cs="Arial"/>
          <w:sz w:val="22"/>
          <w:szCs w:val="22"/>
        </w:rPr>
        <w:t xml:space="preserve"> while permanent provisions undergo</w:t>
      </w:r>
      <w:r w:rsidRPr="00D40BBA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full </w:t>
      </w:r>
      <w:r w:rsidRPr="00D40BBA">
        <w:rPr>
          <w:rFonts w:ascii="Arial" w:hAnsi="Arial" w:cs="Arial"/>
          <w:sz w:val="22"/>
          <w:szCs w:val="22"/>
        </w:rPr>
        <w:t>planning scheme amendment process</w:t>
      </w:r>
      <w:r>
        <w:rPr>
          <w:rFonts w:ascii="Arial" w:hAnsi="Arial" w:cs="Arial"/>
          <w:sz w:val="22"/>
          <w:szCs w:val="22"/>
        </w:rPr>
        <w:t xml:space="preserve"> via Amendment C220</w:t>
      </w:r>
      <w:r w:rsidRPr="00D40BBA">
        <w:rPr>
          <w:rFonts w:ascii="Arial" w:hAnsi="Arial" w:cs="Arial"/>
          <w:sz w:val="22"/>
          <w:szCs w:val="22"/>
        </w:rPr>
        <w:t>, including</w:t>
      </w:r>
      <w:r>
        <w:rPr>
          <w:rFonts w:ascii="Arial" w:hAnsi="Arial" w:cs="Arial"/>
          <w:sz w:val="22"/>
          <w:szCs w:val="22"/>
        </w:rPr>
        <w:t xml:space="preserve"> </w:t>
      </w:r>
      <w:r w:rsidRPr="00D40BBA">
        <w:rPr>
          <w:rFonts w:ascii="Arial" w:hAnsi="Arial" w:cs="Arial"/>
          <w:sz w:val="22"/>
          <w:szCs w:val="22"/>
        </w:rPr>
        <w:t>exhibition</w:t>
      </w:r>
      <w:r>
        <w:rPr>
          <w:rFonts w:ascii="Arial" w:hAnsi="Arial" w:cs="Arial"/>
          <w:sz w:val="22"/>
          <w:szCs w:val="22"/>
        </w:rPr>
        <w:t>, planning panel, adoption, and approval.</w:t>
      </w:r>
    </w:p>
    <w:p w:rsidR="00213074" w:rsidRPr="006109DA" w:rsidRDefault="00213074" w:rsidP="008310E5">
      <w:pPr>
        <w:pStyle w:val="StrategicAssessmentText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Amendment will ensure that future development and land use change is in accordance with the vision</w:t>
      </w:r>
      <w:r w:rsidR="008127EF">
        <w:rPr>
          <w:rFonts w:ascii="Arial" w:hAnsi="Arial" w:cs="Arial"/>
          <w:sz w:val="22"/>
          <w:szCs w:val="22"/>
        </w:rPr>
        <w:t>, objectives and strategies</w:t>
      </w:r>
      <w:r>
        <w:rPr>
          <w:rFonts w:ascii="Arial" w:hAnsi="Arial" w:cs="Arial"/>
          <w:sz w:val="22"/>
          <w:szCs w:val="22"/>
        </w:rPr>
        <w:t xml:space="preserve"> outlined in the Johnston Street Local Area Plan</w:t>
      </w:r>
      <w:r w:rsidR="00341E53">
        <w:rPr>
          <w:rFonts w:ascii="Arial" w:hAnsi="Arial" w:cs="Arial"/>
          <w:sz w:val="22"/>
          <w:szCs w:val="22"/>
        </w:rPr>
        <w:t>, 2015</w:t>
      </w:r>
      <w:r>
        <w:rPr>
          <w:rFonts w:ascii="Arial" w:hAnsi="Arial" w:cs="Arial"/>
          <w:sz w:val="22"/>
          <w:szCs w:val="22"/>
        </w:rPr>
        <w:t>.</w:t>
      </w:r>
    </w:p>
    <w:p w:rsidR="00A068E6" w:rsidRPr="00420A5B" w:rsidRDefault="00855A78" w:rsidP="008310E5">
      <w:pPr>
        <w:pStyle w:val="Heading3"/>
        <w:numPr>
          <w:ilvl w:val="0"/>
          <w:numId w:val="0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How does the A</w:t>
      </w:r>
      <w:r w:rsidR="00A068E6" w:rsidRPr="00420A5B">
        <w:rPr>
          <w:rFonts w:ascii="Arial" w:hAnsi="Arial" w:cs="Arial"/>
          <w:szCs w:val="24"/>
        </w:rPr>
        <w:t>mendment implement the objectives of planning in Victoria?</w:t>
      </w:r>
    </w:p>
    <w:p w:rsidR="00983877" w:rsidRDefault="00983877" w:rsidP="00983877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The Amendment implements the objectives in Section 4 of the </w:t>
      </w:r>
      <w:r>
        <w:rPr>
          <w:i/>
          <w:iCs/>
          <w:sz w:val="22"/>
          <w:szCs w:val="22"/>
        </w:rPr>
        <w:t xml:space="preserve">Planning and Environment Act 1987 </w:t>
      </w:r>
      <w:r>
        <w:rPr>
          <w:sz w:val="22"/>
          <w:szCs w:val="22"/>
        </w:rPr>
        <w:t xml:space="preserve">(the Act), in particular: </w:t>
      </w:r>
    </w:p>
    <w:p w:rsidR="00983877" w:rsidRPr="00F71D27" w:rsidRDefault="00983877" w:rsidP="00660574">
      <w:pPr>
        <w:pStyle w:val="StrategicAssessmentText"/>
        <w:numPr>
          <w:ilvl w:val="0"/>
          <w:numId w:val="5"/>
        </w:numPr>
        <w:tabs>
          <w:tab w:val="left" w:pos="709"/>
        </w:tabs>
        <w:spacing w:before="0"/>
        <w:ind w:left="709" w:hanging="425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F71D27">
        <w:rPr>
          <w:rFonts w:ascii="Arial" w:hAnsi="Arial" w:cs="Arial"/>
          <w:i/>
          <w:snapToGrid w:val="0"/>
          <w:sz w:val="22"/>
          <w:szCs w:val="22"/>
          <w:lang w:eastAsia="en-US"/>
        </w:rPr>
        <w:t>to provide for the fair, orderly, economic and sust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ainable use, and development of </w:t>
      </w:r>
      <w:r w:rsidRPr="00F71D27"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land; </w:t>
      </w:r>
    </w:p>
    <w:p w:rsidR="00983877" w:rsidRPr="00F71D27" w:rsidRDefault="00983877" w:rsidP="00660574">
      <w:pPr>
        <w:pStyle w:val="StrategicAssessmentText"/>
        <w:numPr>
          <w:ilvl w:val="0"/>
          <w:numId w:val="6"/>
        </w:numPr>
        <w:tabs>
          <w:tab w:val="left" w:pos="709"/>
        </w:tabs>
        <w:spacing w:before="0"/>
        <w:ind w:left="709" w:hanging="425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F71D27"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to secure a pleasant, efficient and safe working, living and recreational environment; and </w:t>
      </w:r>
    </w:p>
    <w:p w:rsidR="00983877" w:rsidRPr="00F71D27" w:rsidRDefault="00983877" w:rsidP="00660574">
      <w:pPr>
        <w:pStyle w:val="StrategicAssessmentText"/>
        <w:numPr>
          <w:ilvl w:val="0"/>
          <w:numId w:val="6"/>
        </w:numPr>
        <w:tabs>
          <w:tab w:val="left" w:pos="709"/>
        </w:tabs>
        <w:spacing w:before="0"/>
        <w:ind w:left="709" w:hanging="425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F71D27"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to conserve and enhance those buildings, areas or other places which are of scientific, aesthetic, architectural or historical interest, or otherwise of special cultural value; </w:t>
      </w:r>
    </w:p>
    <w:p w:rsidR="00983877" w:rsidRPr="00A07359" w:rsidRDefault="00983877" w:rsidP="00660574">
      <w:pPr>
        <w:pStyle w:val="StrategicAssessmentText"/>
        <w:numPr>
          <w:ilvl w:val="0"/>
          <w:numId w:val="7"/>
        </w:numPr>
        <w:tabs>
          <w:tab w:val="left" w:pos="709"/>
        </w:tabs>
        <w:spacing w:before="0"/>
        <w:ind w:hanging="720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proofErr w:type="gramStart"/>
      <w:r w:rsidRPr="00F71D27">
        <w:rPr>
          <w:rFonts w:ascii="Arial" w:hAnsi="Arial" w:cs="Arial"/>
          <w:i/>
          <w:snapToGrid w:val="0"/>
          <w:sz w:val="22"/>
          <w:szCs w:val="22"/>
          <w:lang w:eastAsia="en-US"/>
        </w:rPr>
        <w:t>to</w:t>
      </w:r>
      <w:proofErr w:type="gramEnd"/>
      <w:r w:rsidRPr="00F71D27"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balance the present and future interests of all Victorians. </w:t>
      </w:r>
    </w:p>
    <w:p w:rsidR="00213074" w:rsidRDefault="00213074" w:rsidP="008310E5">
      <w:pPr>
        <w:pStyle w:val="StrategicAssessmentText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Amendment is consistent with</w:t>
      </w:r>
      <w:r w:rsidR="00660574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VPPs </w:t>
      </w:r>
      <w:r w:rsidR="00341E53">
        <w:rPr>
          <w:rFonts w:ascii="Arial" w:hAnsi="Arial" w:cs="Arial"/>
          <w:sz w:val="22"/>
          <w:szCs w:val="22"/>
        </w:rPr>
        <w:t>by encouraging and facilitating positive change in the Johnston Street</w:t>
      </w:r>
      <w:r>
        <w:rPr>
          <w:rFonts w:ascii="Arial" w:hAnsi="Arial" w:cs="Arial"/>
          <w:sz w:val="22"/>
          <w:szCs w:val="22"/>
        </w:rPr>
        <w:t xml:space="preserve"> Neighbourhood </w:t>
      </w:r>
      <w:r w:rsidR="00341E53">
        <w:rPr>
          <w:rFonts w:ascii="Arial" w:hAnsi="Arial" w:cs="Arial"/>
          <w:sz w:val="22"/>
          <w:szCs w:val="22"/>
        </w:rPr>
        <w:t xml:space="preserve">Activity </w:t>
      </w:r>
      <w:r>
        <w:rPr>
          <w:rFonts w:ascii="Arial" w:hAnsi="Arial" w:cs="Arial"/>
          <w:sz w:val="22"/>
          <w:szCs w:val="22"/>
        </w:rPr>
        <w:t xml:space="preserve">Centre. </w:t>
      </w:r>
    </w:p>
    <w:p w:rsidR="0030757B" w:rsidRPr="00F27102" w:rsidRDefault="00213074" w:rsidP="008310E5">
      <w:pPr>
        <w:pStyle w:val="StrategicAssessmentText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Amendment will facilitate dwelling </w:t>
      </w:r>
      <w:r w:rsidR="00983877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economic growth </w:t>
      </w:r>
      <w:r w:rsidR="00983877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create a</w:t>
      </w:r>
      <w:r w:rsidR="0098387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economically viable</w:t>
      </w:r>
      <w:r w:rsidR="0098387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mixed-use activity centre that </w:t>
      </w:r>
      <w:r w:rsidR="00983877">
        <w:rPr>
          <w:rFonts w:ascii="Arial" w:hAnsi="Arial" w:cs="Arial"/>
          <w:sz w:val="22"/>
          <w:szCs w:val="22"/>
        </w:rPr>
        <w:t xml:space="preserve">provides </w:t>
      </w:r>
      <w:r>
        <w:rPr>
          <w:rFonts w:ascii="Arial" w:hAnsi="Arial" w:cs="Arial"/>
          <w:sz w:val="22"/>
          <w:szCs w:val="22"/>
        </w:rPr>
        <w:t>economic</w:t>
      </w:r>
      <w:r w:rsidR="00983877">
        <w:rPr>
          <w:rFonts w:ascii="Arial" w:hAnsi="Arial" w:cs="Arial"/>
          <w:sz w:val="22"/>
          <w:szCs w:val="22"/>
        </w:rPr>
        <w:t xml:space="preserve"> and social</w:t>
      </w:r>
      <w:r>
        <w:rPr>
          <w:rFonts w:ascii="Arial" w:hAnsi="Arial" w:cs="Arial"/>
          <w:sz w:val="22"/>
          <w:szCs w:val="22"/>
        </w:rPr>
        <w:t xml:space="preserve"> benefits for the local area.</w:t>
      </w:r>
    </w:p>
    <w:p w:rsidR="00A068E6" w:rsidRDefault="00855A78" w:rsidP="008310E5">
      <w:pPr>
        <w:pStyle w:val="Heading3"/>
        <w:numPr>
          <w:ilvl w:val="0"/>
          <w:numId w:val="0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How does the A</w:t>
      </w:r>
      <w:r w:rsidR="00646305" w:rsidRPr="00646305">
        <w:rPr>
          <w:rFonts w:ascii="Arial" w:hAnsi="Arial" w:cs="Arial"/>
          <w:szCs w:val="24"/>
        </w:rPr>
        <w:t>mendment address any environmenta</w:t>
      </w:r>
      <w:r w:rsidR="00EE21EB">
        <w:rPr>
          <w:rFonts w:ascii="Arial" w:hAnsi="Arial" w:cs="Arial"/>
          <w:szCs w:val="24"/>
        </w:rPr>
        <w:t>l, social and economic effects?</w:t>
      </w:r>
    </w:p>
    <w:p w:rsidR="00983877" w:rsidRPr="00A178F7" w:rsidRDefault="00983877" w:rsidP="00983877">
      <w:pPr>
        <w:pStyle w:val="StrategicAssessmentText"/>
        <w:ind w:left="0"/>
        <w:jc w:val="left"/>
        <w:rPr>
          <w:rFonts w:ascii="Arial" w:hAnsi="Arial" w:cs="Arial"/>
          <w:sz w:val="22"/>
          <w:szCs w:val="22"/>
        </w:rPr>
      </w:pPr>
      <w:r w:rsidRPr="00A178F7">
        <w:rPr>
          <w:rFonts w:ascii="Arial" w:hAnsi="Arial" w:cs="Arial"/>
          <w:sz w:val="22"/>
          <w:szCs w:val="22"/>
        </w:rPr>
        <w:t xml:space="preserve">The Amendment is consistent with the overarching goal in the planning scheme to: </w:t>
      </w:r>
    </w:p>
    <w:p w:rsidR="00983877" w:rsidRPr="00660574" w:rsidRDefault="00983877" w:rsidP="00660574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A178F7">
        <w:rPr>
          <w:rFonts w:ascii="Arial" w:hAnsi="Arial" w:cs="Arial"/>
          <w:i/>
          <w:snapToGrid w:val="0"/>
          <w:sz w:val="22"/>
          <w:szCs w:val="22"/>
          <w:lang w:eastAsia="en-US"/>
        </w:rPr>
        <w:t>Integrate relevant environmental, social and economic factors in the interests of net community benefit and sustainable development.</w:t>
      </w:r>
    </w:p>
    <w:p w:rsidR="00646305" w:rsidRDefault="00213074" w:rsidP="008310E5">
      <w:pPr>
        <w:pStyle w:val="StrategicAssessmentText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Amendment will have positive social and economic effects through the facilitation of </w:t>
      </w:r>
      <w:r w:rsidR="009832CD">
        <w:rPr>
          <w:rFonts w:ascii="Arial" w:hAnsi="Arial" w:cs="Arial"/>
          <w:sz w:val="22"/>
          <w:szCs w:val="22"/>
        </w:rPr>
        <w:t xml:space="preserve">well-designed buildings accommodating </w:t>
      </w:r>
      <w:r>
        <w:rPr>
          <w:rFonts w:ascii="Arial" w:hAnsi="Arial" w:cs="Arial"/>
          <w:sz w:val="22"/>
          <w:szCs w:val="22"/>
        </w:rPr>
        <w:t>higher density housing above commercial activity, situated along an activity centre</w:t>
      </w:r>
      <w:r w:rsidR="008127EF">
        <w:rPr>
          <w:rFonts w:ascii="Arial" w:hAnsi="Arial" w:cs="Arial"/>
          <w:sz w:val="22"/>
          <w:szCs w:val="22"/>
        </w:rPr>
        <w:t xml:space="preserve"> corridor</w:t>
      </w:r>
      <w:r>
        <w:rPr>
          <w:rFonts w:ascii="Arial" w:hAnsi="Arial" w:cs="Arial"/>
          <w:sz w:val="22"/>
          <w:szCs w:val="22"/>
        </w:rPr>
        <w:t xml:space="preserve"> that is well served by public transport.</w:t>
      </w:r>
    </w:p>
    <w:p w:rsidR="00213074" w:rsidRPr="00646305" w:rsidRDefault="00213074" w:rsidP="008310E5">
      <w:pPr>
        <w:pStyle w:val="StrategicAssessmentText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Amendment addresses any environmental effects or risks through the application of the Environmental Audit Overlay.</w:t>
      </w:r>
    </w:p>
    <w:p w:rsidR="0047628B" w:rsidRPr="0047628B" w:rsidRDefault="00855A78" w:rsidP="008310E5">
      <w:pPr>
        <w:pStyle w:val="Heading3"/>
        <w:numPr>
          <w:ilvl w:val="0"/>
          <w:numId w:val="0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Does the A</w:t>
      </w:r>
      <w:r w:rsidR="0047628B" w:rsidRPr="0047628B">
        <w:rPr>
          <w:rFonts w:ascii="Arial" w:hAnsi="Arial" w:cs="Arial"/>
          <w:szCs w:val="24"/>
        </w:rPr>
        <w:t>mendment address relevant bushfire risk?</w:t>
      </w:r>
    </w:p>
    <w:p w:rsidR="0047628B" w:rsidRPr="00F27102" w:rsidRDefault="00213074" w:rsidP="008310E5">
      <w:pPr>
        <w:pStyle w:val="StrategicAssessmentText"/>
        <w:ind w:left="0"/>
        <w:jc w:val="left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There is no identified bushfire risk within the study area.</w:t>
      </w:r>
    </w:p>
    <w:p w:rsidR="00A068E6" w:rsidRPr="00420A5B" w:rsidRDefault="00855A78" w:rsidP="008310E5">
      <w:pPr>
        <w:pStyle w:val="Heading3"/>
        <w:numPr>
          <w:ilvl w:val="0"/>
          <w:numId w:val="0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Does the A</w:t>
      </w:r>
      <w:r w:rsidR="00A068E6" w:rsidRPr="00420A5B">
        <w:rPr>
          <w:rFonts w:ascii="Arial" w:hAnsi="Arial" w:cs="Arial"/>
          <w:szCs w:val="24"/>
        </w:rPr>
        <w:t>mendment comply with the requirements of any Minister’s Direction applicable to the amendment?</w:t>
      </w:r>
    </w:p>
    <w:p w:rsidR="0030757B" w:rsidRDefault="00213074" w:rsidP="008310E5">
      <w:pPr>
        <w:pStyle w:val="StrategicAssessmentText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Amendment complies with Ministerial Direction No. 1 in addressing the risk from Potentially Contaminated Land.</w:t>
      </w:r>
    </w:p>
    <w:p w:rsidR="009F6799" w:rsidRDefault="009F6799" w:rsidP="008310E5">
      <w:pPr>
        <w:pStyle w:val="StrategicAssessmentText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Amendment complies with Ministerial Direction No. 9 in addressing and responding to the metropolitan planning strategy, </w:t>
      </w:r>
      <w:r w:rsidRPr="009F6799">
        <w:rPr>
          <w:rFonts w:ascii="Arial" w:hAnsi="Arial" w:cs="Arial"/>
          <w:i/>
          <w:sz w:val="22"/>
          <w:szCs w:val="22"/>
        </w:rPr>
        <w:t>Plan Melbourne</w:t>
      </w:r>
      <w:r>
        <w:rPr>
          <w:rFonts w:ascii="Arial" w:hAnsi="Arial" w:cs="Arial"/>
          <w:sz w:val="22"/>
          <w:szCs w:val="22"/>
        </w:rPr>
        <w:t>.</w:t>
      </w:r>
    </w:p>
    <w:p w:rsidR="009832CD" w:rsidRPr="00F27102" w:rsidRDefault="009832CD" w:rsidP="008310E5">
      <w:pPr>
        <w:pStyle w:val="StrategicAssessmentText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Amendment complies with Ministerial Direction No. 15 which sets out the requirements on the form and content of planning schemes.</w:t>
      </w:r>
    </w:p>
    <w:p w:rsidR="00A068E6" w:rsidRPr="00420A5B" w:rsidRDefault="00855A78" w:rsidP="008310E5">
      <w:pPr>
        <w:pStyle w:val="Heading3"/>
        <w:numPr>
          <w:ilvl w:val="0"/>
          <w:numId w:val="0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How does the A</w:t>
      </w:r>
      <w:r w:rsidR="00A068E6" w:rsidRPr="00420A5B">
        <w:rPr>
          <w:rFonts w:ascii="Arial" w:hAnsi="Arial" w:cs="Arial"/>
          <w:szCs w:val="24"/>
        </w:rPr>
        <w:t xml:space="preserve">mendment support or implement the </w:t>
      </w:r>
      <w:r w:rsidR="007A4DF1">
        <w:rPr>
          <w:rFonts w:ascii="Arial" w:hAnsi="Arial" w:cs="Arial"/>
          <w:szCs w:val="24"/>
        </w:rPr>
        <w:t>State Planning Policy Framework and any adopted State policy?</w:t>
      </w:r>
    </w:p>
    <w:p w:rsidR="005D5D08" w:rsidRDefault="009F6799" w:rsidP="008310E5">
      <w:pPr>
        <w:pStyle w:val="StrategicAssessmentText"/>
        <w:ind w:left="0"/>
        <w:jc w:val="left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The Amendment supports and implements State Planning Policy in responding to the following clauses:</w:t>
      </w:r>
    </w:p>
    <w:p w:rsidR="00703D10" w:rsidRPr="00703D10" w:rsidRDefault="009F6799" w:rsidP="00660574">
      <w:pPr>
        <w:pStyle w:val="StrategicAssessmentText"/>
        <w:numPr>
          <w:ilvl w:val="0"/>
          <w:numId w:val="2"/>
        </w:numPr>
        <w:jc w:val="left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11.01-2 Activity centre planning</w:t>
      </w:r>
    </w:p>
    <w:p w:rsidR="009F6799" w:rsidRPr="00703D10" w:rsidRDefault="00B65858" w:rsidP="00703D10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703D10">
        <w:rPr>
          <w:rFonts w:ascii="Arial" w:hAnsi="Arial" w:cs="Arial"/>
          <w:i/>
          <w:snapToGrid w:val="0"/>
          <w:sz w:val="22"/>
          <w:szCs w:val="22"/>
          <w:lang w:eastAsia="en-US"/>
        </w:rPr>
        <w:t>To encourage the concentration of major retail, residential, commercial, administrative,</w:t>
      </w:r>
      <w:r w:rsidR="00703D10" w:rsidRPr="00703D10"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703D10">
        <w:rPr>
          <w:rFonts w:ascii="Arial" w:hAnsi="Arial" w:cs="Arial"/>
          <w:i/>
          <w:snapToGrid w:val="0"/>
          <w:sz w:val="22"/>
          <w:szCs w:val="22"/>
          <w:lang w:eastAsia="en-US"/>
        </w:rPr>
        <w:t>entertainment and cultural developments into activity centres which provide a variety of</w:t>
      </w:r>
      <w:r w:rsidR="00703D10" w:rsidRPr="00703D10"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703D10">
        <w:rPr>
          <w:rFonts w:ascii="Arial" w:hAnsi="Arial" w:cs="Arial"/>
          <w:i/>
          <w:snapToGrid w:val="0"/>
          <w:sz w:val="22"/>
          <w:szCs w:val="22"/>
          <w:lang w:eastAsia="en-US"/>
        </w:rPr>
        <w:t>land uses and are highly accessible to the community.</w:t>
      </w:r>
    </w:p>
    <w:p w:rsidR="009F6799" w:rsidRDefault="009F6799" w:rsidP="00660574">
      <w:pPr>
        <w:pStyle w:val="StrategicAssessmentText"/>
        <w:numPr>
          <w:ilvl w:val="0"/>
          <w:numId w:val="2"/>
        </w:numPr>
        <w:jc w:val="left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11.02-3 Structure planning</w:t>
      </w:r>
    </w:p>
    <w:p w:rsidR="009F6799" w:rsidRPr="00703D10" w:rsidRDefault="00703D10" w:rsidP="00703D10">
      <w:pPr>
        <w:pStyle w:val="StrategicAssessmentText"/>
        <w:ind w:left="0" w:firstLine="284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proofErr w:type="gramStart"/>
      <w:r w:rsidRPr="00703D10">
        <w:rPr>
          <w:rFonts w:ascii="Arial" w:hAnsi="Arial" w:cs="Arial"/>
          <w:i/>
          <w:snapToGrid w:val="0"/>
          <w:sz w:val="22"/>
          <w:szCs w:val="22"/>
          <w:lang w:eastAsia="en-US"/>
        </w:rPr>
        <w:t>To facilitate the orderly development of urban areas.</w:t>
      </w:r>
      <w:proofErr w:type="gramEnd"/>
    </w:p>
    <w:p w:rsidR="00703D10" w:rsidRPr="00703D10" w:rsidRDefault="009F6799" w:rsidP="00660574">
      <w:pPr>
        <w:pStyle w:val="StrategicAssessmentText"/>
        <w:numPr>
          <w:ilvl w:val="0"/>
          <w:numId w:val="2"/>
        </w:numPr>
        <w:jc w:val="left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13.03-1 Use of contaminated and potentially contaminated land</w:t>
      </w:r>
    </w:p>
    <w:p w:rsidR="009F6799" w:rsidRPr="00703D10" w:rsidRDefault="00703D10" w:rsidP="00703D10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703D10">
        <w:rPr>
          <w:rFonts w:ascii="Arial" w:hAnsi="Arial" w:cs="Arial"/>
          <w:i/>
          <w:snapToGrid w:val="0"/>
          <w:sz w:val="22"/>
          <w:szCs w:val="22"/>
          <w:lang w:eastAsia="en-US"/>
        </w:rPr>
        <w:t>To ensure that potentially contaminated land is suitable for its intended future use and development, and that contaminated land is used safely.</w:t>
      </w:r>
    </w:p>
    <w:p w:rsidR="009F6799" w:rsidRPr="009F6799" w:rsidRDefault="009F6799" w:rsidP="00660574">
      <w:pPr>
        <w:pStyle w:val="StrategicAssessmentText"/>
        <w:numPr>
          <w:ilvl w:val="0"/>
          <w:numId w:val="2"/>
        </w:numPr>
        <w:jc w:val="left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15.01-1 Urban Design</w:t>
      </w:r>
    </w:p>
    <w:p w:rsidR="009F6799" w:rsidRPr="009F6799" w:rsidRDefault="009F6799" w:rsidP="009F6799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9F6799"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To create urban environments </w:t>
      </w:r>
      <w:proofErr w:type="gramStart"/>
      <w:r w:rsidRPr="009F6799">
        <w:rPr>
          <w:rFonts w:ascii="Arial" w:hAnsi="Arial" w:cs="Arial"/>
          <w:i/>
          <w:snapToGrid w:val="0"/>
          <w:sz w:val="22"/>
          <w:szCs w:val="22"/>
          <w:lang w:eastAsia="en-US"/>
        </w:rPr>
        <w:t>that are</w:t>
      </w:r>
      <w:proofErr w:type="gramEnd"/>
      <w:r w:rsidRPr="009F6799"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safe, functional and provide good quality environments with a sense of place and cultural identity.</w:t>
      </w:r>
    </w:p>
    <w:p w:rsidR="009F6799" w:rsidRPr="009F6799" w:rsidRDefault="009F6799" w:rsidP="00660574">
      <w:pPr>
        <w:pStyle w:val="StrategicAssessmentText"/>
        <w:numPr>
          <w:ilvl w:val="0"/>
          <w:numId w:val="2"/>
        </w:numPr>
        <w:jc w:val="left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15.01-2</w:t>
      </w:r>
      <w:r w:rsidR="009832CD">
        <w:rPr>
          <w:rFonts w:ascii="Arial" w:hAnsi="Arial" w:cs="Arial"/>
          <w:snapToGrid w:val="0"/>
          <w:sz w:val="22"/>
          <w:szCs w:val="22"/>
          <w:lang w:eastAsia="en-US"/>
        </w:rPr>
        <w:t xml:space="preserve"> Urban Design Principles</w:t>
      </w:r>
    </w:p>
    <w:p w:rsidR="009F6799" w:rsidRPr="00703D10" w:rsidRDefault="009F6799" w:rsidP="00703D10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9F6799">
        <w:rPr>
          <w:rFonts w:ascii="Arial" w:hAnsi="Arial" w:cs="Arial"/>
          <w:i/>
          <w:snapToGrid w:val="0"/>
          <w:sz w:val="22"/>
          <w:szCs w:val="22"/>
          <w:lang w:eastAsia="en-US"/>
        </w:rPr>
        <w:t>To achieve architectural and urban design outcomes that contribute positively to local urban character and enhance the public realm while minimising detrimental impact on neighbouring properties.</w:t>
      </w:r>
    </w:p>
    <w:p w:rsidR="00890365" w:rsidRPr="00703D10" w:rsidRDefault="009F6799" w:rsidP="00660574">
      <w:pPr>
        <w:pStyle w:val="StrategicAssessmentText"/>
        <w:numPr>
          <w:ilvl w:val="0"/>
          <w:numId w:val="2"/>
        </w:numPr>
        <w:jc w:val="left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15.01-4 Design for safety</w:t>
      </w:r>
    </w:p>
    <w:p w:rsidR="00890365" w:rsidRPr="00890365" w:rsidRDefault="00890365" w:rsidP="00703D10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890365">
        <w:rPr>
          <w:rFonts w:ascii="Arial" w:hAnsi="Arial" w:cs="Arial"/>
          <w:i/>
          <w:snapToGrid w:val="0"/>
          <w:sz w:val="22"/>
          <w:szCs w:val="22"/>
          <w:lang w:eastAsia="en-US"/>
        </w:rPr>
        <w:t>To improve community safety and encourage neighbourhood design that makes people feel safe.</w:t>
      </w:r>
    </w:p>
    <w:p w:rsidR="009F6799" w:rsidRDefault="009F6799" w:rsidP="00660574">
      <w:pPr>
        <w:pStyle w:val="StrategicAssessmentText"/>
        <w:numPr>
          <w:ilvl w:val="0"/>
          <w:numId w:val="2"/>
        </w:numPr>
        <w:jc w:val="left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15.01-5 </w:t>
      </w:r>
      <w:r w:rsidRPr="009F6799">
        <w:rPr>
          <w:rFonts w:ascii="Arial" w:hAnsi="Arial" w:cs="Arial"/>
          <w:snapToGrid w:val="0"/>
          <w:sz w:val="22"/>
          <w:szCs w:val="22"/>
          <w:lang w:eastAsia="en-US"/>
        </w:rPr>
        <w:t>Cultural identity and neighbourhood character</w:t>
      </w:r>
    </w:p>
    <w:p w:rsidR="00910776" w:rsidRPr="00890365" w:rsidRDefault="00890365" w:rsidP="00910776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proofErr w:type="gramStart"/>
      <w:r w:rsidRPr="00890365">
        <w:rPr>
          <w:rFonts w:ascii="Arial" w:hAnsi="Arial" w:cs="Arial"/>
          <w:i/>
          <w:snapToGrid w:val="0"/>
          <w:sz w:val="22"/>
          <w:szCs w:val="22"/>
          <w:lang w:eastAsia="en-US"/>
        </w:rPr>
        <w:t>To recognise and protect cultural identity, neighbourhood character and sense of place.</w:t>
      </w:r>
      <w:proofErr w:type="gramEnd"/>
    </w:p>
    <w:p w:rsidR="00910776" w:rsidRDefault="00910776" w:rsidP="00660574">
      <w:pPr>
        <w:pStyle w:val="StrategicAssessmentText"/>
        <w:numPr>
          <w:ilvl w:val="0"/>
          <w:numId w:val="2"/>
        </w:numPr>
        <w:jc w:val="left"/>
        <w:rPr>
          <w:rFonts w:ascii="Arial" w:hAnsi="Arial" w:cs="Arial"/>
          <w:snapToGrid w:val="0"/>
          <w:sz w:val="22"/>
          <w:szCs w:val="22"/>
          <w:lang w:eastAsia="en-US"/>
        </w:rPr>
      </w:pPr>
      <w:r w:rsidRPr="00910776">
        <w:rPr>
          <w:rFonts w:ascii="Arial" w:hAnsi="Arial" w:cs="Arial"/>
          <w:snapToGrid w:val="0"/>
          <w:sz w:val="22"/>
          <w:szCs w:val="22"/>
          <w:lang w:eastAsia="en-US"/>
        </w:rPr>
        <w:t>15.03-1</w:t>
      </w:r>
    </w:p>
    <w:p w:rsidR="00910776" w:rsidRPr="00910776" w:rsidRDefault="00910776" w:rsidP="000D0940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proofErr w:type="gramStart"/>
      <w:r w:rsidRPr="00910776">
        <w:rPr>
          <w:rFonts w:ascii="Arial" w:hAnsi="Arial" w:cs="Arial"/>
          <w:i/>
          <w:snapToGrid w:val="0"/>
          <w:sz w:val="22"/>
          <w:szCs w:val="22"/>
          <w:lang w:eastAsia="en-US"/>
        </w:rPr>
        <w:t>To ensure the conservation of places of heritage significance.</w:t>
      </w:r>
      <w:proofErr w:type="gramEnd"/>
    </w:p>
    <w:p w:rsidR="00910776" w:rsidRPr="00DC1265" w:rsidRDefault="00910776" w:rsidP="00660574">
      <w:pPr>
        <w:pStyle w:val="StrategicAssessmentText"/>
        <w:numPr>
          <w:ilvl w:val="0"/>
          <w:numId w:val="2"/>
        </w:numPr>
        <w:jc w:val="left"/>
        <w:rPr>
          <w:rFonts w:ascii="Arial" w:hAnsi="Arial" w:cs="Arial"/>
          <w:snapToGrid w:val="0"/>
          <w:sz w:val="22"/>
          <w:szCs w:val="22"/>
          <w:lang w:eastAsia="en-US"/>
        </w:rPr>
      </w:pPr>
      <w:r w:rsidRPr="00910776">
        <w:rPr>
          <w:rFonts w:ascii="Arial" w:hAnsi="Arial" w:cs="Arial"/>
          <w:snapToGrid w:val="0"/>
          <w:sz w:val="22"/>
          <w:szCs w:val="22"/>
          <w:lang w:eastAsia="en-US"/>
        </w:rPr>
        <w:t>16.01-2 Location of residential development</w:t>
      </w:r>
    </w:p>
    <w:p w:rsidR="00910776" w:rsidRPr="00910776" w:rsidRDefault="00910776" w:rsidP="00910776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910776">
        <w:rPr>
          <w:rFonts w:ascii="Arial" w:hAnsi="Arial" w:cs="Arial"/>
          <w:i/>
          <w:snapToGrid w:val="0"/>
          <w:sz w:val="22"/>
          <w:szCs w:val="22"/>
          <w:lang w:eastAsia="en-US"/>
        </w:rPr>
        <w:t>To locate new housing in or close to activity centres and employment corridors and at other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910776">
        <w:rPr>
          <w:rFonts w:ascii="Arial" w:hAnsi="Arial" w:cs="Arial"/>
          <w:i/>
          <w:snapToGrid w:val="0"/>
          <w:sz w:val="22"/>
          <w:szCs w:val="22"/>
          <w:lang w:eastAsia="en-US"/>
        </w:rPr>
        <w:t>strategic redevelopment sites that offer good access to services and transport.</w:t>
      </w:r>
    </w:p>
    <w:p w:rsidR="00910776" w:rsidRPr="00910776" w:rsidRDefault="00910776" w:rsidP="00660574">
      <w:pPr>
        <w:pStyle w:val="StrategicAssessmentText"/>
        <w:numPr>
          <w:ilvl w:val="0"/>
          <w:numId w:val="2"/>
        </w:numPr>
        <w:jc w:val="left"/>
        <w:rPr>
          <w:rFonts w:ascii="Arial" w:hAnsi="Arial" w:cs="Arial"/>
          <w:snapToGrid w:val="0"/>
          <w:sz w:val="22"/>
          <w:szCs w:val="22"/>
          <w:lang w:eastAsia="en-US"/>
        </w:rPr>
      </w:pPr>
      <w:r w:rsidRPr="00910776">
        <w:rPr>
          <w:rFonts w:ascii="Arial" w:hAnsi="Arial" w:cs="Arial"/>
          <w:snapToGrid w:val="0"/>
          <w:sz w:val="22"/>
          <w:szCs w:val="22"/>
          <w:lang w:eastAsia="en-US"/>
        </w:rPr>
        <w:t>16.01-3 Strategic redevelopment Sites</w:t>
      </w:r>
    </w:p>
    <w:p w:rsidR="00910776" w:rsidRPr="00910776" w:rsidRDefault="00910776" w:rsidP="00910776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910776">
        <w:rPr>
          <w:rFonts w:ascii="Arial" w:hAnsi="Arial" w:cs="Arial"/>
          <w:i/>
          <w:snapToGrid w:val="0"/>
          <w:sz w:val="22"/>
          <w:szCs w:val="22"/>
          <w:lang w:eastAsia="en-US"/>
        </w:rPr>
        <w:lastRenderedPageBreak/>
        <w:t>To identify strategic redevelopment sites for large residential development in Metropolitan Melbourne.</w:t>
      </w:r>
    </w:p>
    <w:p w:rsidR="00910776" w:rsidRPr="00910776" w:rsidRDefault="00910776" w:rsidP="00660574">
      <w:pPr>
        <w:pStyle w:val="StrategicAssessmentText"/>
        <w:numPr>
          <w:ilvl w:val="0"/>
          <w:numId w:val="2"/>
        </w:numPr>
        <w:jc w:val="left"/>
        <w:rPr>
          <w:rFonts w:ascii="Arial" w:hAnsi="Arial" w:cs="Arial"/>
          <w:snapToGrid w:val="0"/>
          <w:sz w:val="22"/>
          <w:szCs w:val="22"/>
          <w:lang w:eastAsia="en-US"/>
        </w:rPr>
      </w:pPr>
      <w:r w:rsidRPr="00910776">
        <w:rPr>
          <w:rFonts w:ascii="Arial" w:hAnsi="Arial" w:cs="Arial"/>
          <w:snapToGrid w:val="0"/>
          <w:sz w:val="22"/>
          <w:szCs w:val="22"/>
          <w:lang w:eastAsia="en-US"/>
        </w:rPr>
        <w:t>17.01-1 Business</w:t>
      </w:r>
    </w:p>
    <w:p w:rsidR="00910776" w:rsidRPr="00910776" w:rsidRDefault="00910776" w:rsidP="00910776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910776">
        <w:rPr>
          <w:rFonts w:ascii="Arial" w:hAnsi="Arial" w:cs="Arial"/>
          <w:i/>
          <w:snapToGrid w:val="0"/>
          <w:sz w:val="22"/>
          <w:szCs w:val="22"/>
          <w:lang w:eastAsia="en-US"/>
        </w:rPr>
        <w:t>To encourage development which meet the communities’ needs for retail, entertainment,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910776">
        <w:rPr>
          <w:rFonts w:ascii="Arial" w:hAnsi="Arial" w:cs="Arial"/>
          <w:i/>
          <w:snapToGrid w:val="0"/>
          <w:sz w:val="22"/>
          <w:szCs w:val="22"/>
          <w:lang w:eastAsia="en-US"/>
        </w:rPr>
        <w:t>office and other commercial services and provides net community benefit in relation to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910776">
        <w:rPr>
          <w:rFonts w:ascii="Arial" w:hAnsi="Arial" w:cs="Arial"/>
          <w:i/>
          <w:snapToGrid w:val="0"/>
          <w:sz w:val="22"/>
          <w:szCs w:val="22"/>
          <w:lang w:eastAsia="en-US"/>
        </w:rPr>
        <w:t>accessibility, efficient infrastructure use and the aggregation and sustainability of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910776">
        <w:rPr>
          <w:rFonts w:ascii="Arial" w:hAnsi="Arial" w:cs="Arial"/>
          <w:i/>
          <w:snapToGrid w:val="0"/>
          <w:sz w:val="22"/>
          <w:szCs w:val="22"/>
          <w:lang w:eastAsia="en-US"/>
        </w:rPr>
        <w:t>commercial facilities.</w:t>
      </w:r>
    </w:p>
    <w:p w:rsidR="00A068E6" w:rsidRPr="00420A5B" w:rsidRDefault="00855A78" w:rsidP="008310E5">
      <w:pPr>
        <w:pStyle w:val="Heading3"/>
        <w:numPr>
          <w:ilvl w:val="0"/>
          <w:numId w:val="0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How does the A</w:t>
      </w:r>
      <w:r w:rsidR="00A068E6" w:rsidRPr="00420A5B">
        <w:rPr>
          <w:rFonts w:ascii="Arial" w:hAnsi="Arial" w:cs="Arial"/>
          <w:szCs w:val="24"/>
        </w:rPr>
        <w:t>mendment support or implement the Local Planning Policy Framework</w:t>
      </w:r>
      <w:r w:rsidR="007A4DF1">
        <w:rPr>
          <w:rFonts w:ascii="Arial" w:hAnsi="Arial" w:cs="Arial"/>
          <w:szCs w:val="24"/>
        </w:rPr>
        <w:t>, and specifically the Municipal Strategic Statement?</w:t>
      </w:r>
    </w:p>
    <w:p w:rsidR="00914772" w:rsidRDefault="00914772" w:rsidP="008310E5">
      <w:pPr>
        <w:pStyle w:val="StrategicAssessmentText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Amendment is consistent with and facilitates the following Clauses of the Local Planning Policy Framework:</w:t>
      </w:r>
    </w:p>
    <w:p w:rsidR="003F5D9D" w:rsidRDefault="003F5D9D" w:rsidP="003F5D9D">
      <w:pPr>
        <w:spacing w:before="0"/>
        <w:ind w:firstLine="284"/>
        <w:jc w:val="left"/>
        <w:rPr>
          <w:rFonts w:ascii="Arial" w:hAnsi="Arial" w:cs="Arial"/>
          <w:szCs w:val="24"/>
        </w:rPr>
      </w:pPr>
    </w:p>
    <w:p w:rsidR="00914772" w:rsidRPr="003F5D9D" w:rsidRDefault="00914772" w:rsidP="003F5D9D">
      <w:pPr>
        <w:spacing w:before="0"/>
        <w:ind w:firstLine="284"/>
        <w:jc w:val="left"/>
        <w:rPr>
          <w:rFonts w:ascii="Arial" w:hAnsi="Arial" w:cs="Arial"/>
          <w:szCs w:val="24"/>
        </w:rPr>
      </w:pPr>
      <w:r w:rsidRPr="003F5D9D">
        <w:rPr>
          <w:rFonts w:ascii="Arial" w:hAnsi="Arial" w:cs="Arial"/>
          <w:szCs w:val="24"/>
        </w:rPr>
        <w:t>21.03 Vision</w:t>
      </w:r>
    </w:p>
    <w:p w:rsidR="003D4138" w:rsidRDefault="003D4138" w:rsidP="00D56AAB">
      <w:pPr>
        <w:spacing w:before="0"/>
        <w:jc w:val="left"/>
        <w:rPr>
          <w:rFonts w:ascii="Arial" w:hAnsi="Arial" w:cs="Arial"/>
          <w:szCs w:val="24"/>
        </w:rPr>
      </w:pPr>
    </w:p>
    <w:p w:rsidR="009832CD" w:rsidRPr="003D4138" w:rsidRDefault="009832CD" w:rsidP="009832CD">
      <w:pPr>
        <w:spacing w:before="0"/>
        <w:ind w:firstLine="28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21.04-2 Activity centres</w:t>
      </w:r>
    </w:p>
    <w:p w:rsidR="009832CD" w:rsidRPr="003D4138" w:rsidRDefault="009832CD" w:rsidP="009832CD">
      <w:pPr>
        <w:pStyle w:val="StrategicAssessmentText"/>
        <w:jc w:val="left"/>
        <w:rPr>
          <w:rFonts w:ascii="Arial" w:hAnsi="Arial" w:cs="Arial"/>
          <w:b/>
          <w:i/>
          <w:snapToGrid w:val="0"/>
          <w:sz w:val="22"/>
          <w:szCs w:val="22"/>
          <w:lang w:eastAsia="en-US"/>
        </w:rPr>
      </w:pPr>
      <w:r w:rsidRPr="003D4138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 xml:space="preserve">Objective 4 </w:t>
      </w:r>
      <w:proofErr w:type="gramStart"/>
      <w:r w:rsidRPr="003D4138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>To</w:t>
      </w:r>
      <w:proofErr w:type="gramEnd"/>
      <w:r w:rsidRPr="003D4138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 xml:space="preserve"> maintain a balance between local convenience and regional retail roles in Yarra’s activity centres. </w:t>
      </w:r>
    </w:p>
    <w:p w:rsidR="009832CD" w:rsidRPr="00DC1265" w:rsidRDefault="009832CD" w:rsidP="009832CD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DC1265">
        <w:rPr>
          <w:rFonts w:ascii="Arial" w:hAnsi="Arial" w:cs="Arial"/>
          <w:i/>
          <w:snapToGrid w:val="0"/>
          <w:sz w:val="22"/>
          <w:szCs w:val="22"/>
          <w:lang w:eastAsia="en-US"/>
        </w:rPr>
        <w:t>Strategy 4.1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DC1265">
        <w:rPr>
          <w:rFonts w:ascii="Arial" w:hAnsi="Arial" w:cs="Arial"/>
          <w:i/>
          <w:snapToGrid w:val="0"/>
          <w:sz w:val="22"/>
          <w:szCs w:val="22"/>
          <w:lang w:eastAsia="en-US"/>
        </w:rPr>
        <w:t>Increase the range of retail, personal and business services, community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DC1265">
        <w:rPr>
          <w:rFonts w:ascii="Arial" w:hAnsi="Arial" w:cs="Arial"/>
          <w:i/>
          <w:snapToGrid w:val="0"/>
          <w:sz w:val="22"/>
          <w:szCs w:val="22"/>
          <w:lang w:eastAsia="en-US"/>
        </w:rPr>
        <w:t>facilities, and recreation activities, within individual centres.</w:t>
      </w:r>
    </w:p>
    <w:p w:rsidR="009832CD" w:rsidRDefault="009832CD" w:rsidP="009832CD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DC1265">
        <w:rPr>
          <w:rFonts w:ascii="Arial" w:hAnsi="Arial" w:cs="Arial"/>
          <w:i/>
          <w:snapToGrid w:val="0"/>
          <w:sz w:val="22"/>
          <w:szCs w:val="22"/>
          <w:lang w:eastAsia="en-US"/>
        </w:rPr>
        <w:t>Strategy 4.3 Support the role of all activity centres, including Neighbourhood Activity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DC1265">
        <w:rPr>
          <w:rFonts w:ascii="Arial" w:hAnsi="Arial" w:cs="Arial"/>
          <w:i/>
          <w:snapToGrid w:val="0"/>
          <w:sz w:val="22"/>
          <w:szCs w:val="22"/>
          <w:lang w:eastAsia="en-US"/>
        </w:rPr>
        <w:t>Centres, in providing local day-to-day needs of residents of all abilities.</w:t>
      </w:r>
    </w:p>
    <w:p w:rsidR="009832CD" w:rsidRPr="003D4138" w:rsidRDefault="009832CD" w:rsidP="009832CD">
      <w:pPr>
        <w:pStyle w:val="StrategicAssessmentText"/>
        <w:jc w:val="left"/>
        <w:rPr>
          <w:rFonts w:ascii="Arial" w:hAnsi="Arial" w:cs="Arial"/>
          <w:b/>
          <w:i/>
          <w:snapToGrid w:val="0"/>
          <w:sz w:val="22"/>
          <w:szCs w:val="22"/>
          <w:lang w:eastAsia="en-US"/>
        </w:rPr>
      </w:pPr>
      <w:r w:rsidRPr="003D4138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 xml:space="preserve">Objective 5 </w:t>
      </w:r>
      <w:proofErr w:type="gramStart"/>
      <w:r w:rsidRPr="003D4138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>To</w:t>
      </w:r>
      <w:proofErr w:type="gramEnd"/>
      <w:r w:rsidRPr="003D4138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 xml:space="preserve"> maintain the long term viability of activity centres. </w:t>
      </w:r>
    </w:p>
    <w:p w:rsidR="009832CD" w:rsidRDefault="009832CD" w:rsidP="009832CD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3D4138">
        <w:rPr>
          <w:rFonts w:ascii="Arial" w:hAnsi="Arial" w:cs="Arial"/>
          <w:i/>
          <w:snapToGrid w:val="0"/>
          <w:sz w:val="22"/>
          <w:szCs w:val="22"/>
          <w:lang w:eastAsia="en-US"/>
        </w:rPr>
        <w:t>Strategy 5.2</w:t>
      </w:r>
      <w:r>
        <w:rPr>
          <w:rFonts w:ascii="Times New Roman" w:hAnsi="Times New Roman"/>
          <w:sz w:val="20"/>
        </w:rPr>
        <w:t xml:space="preserve"> </w:t>
      </w:r>
      <w:r w:rsidRPr="003D4138">
        <w:rPr>
          <w:rFonts w:ascii="Arial" w:hAnsi="Arial" w:cs="Arial"/>
          <w:i/>
          <w:snapToGrid w:val="0"/>
          <w:sz w:val="22"/>
          <w:szCs w:val="22"/>
          <w:lang w:eastAsia="en-US"/>
        </w:rPr>
        <w:t>Support land use change and development that contributes to the adaptation, redevelopment and economic growth of existing activity centres.</w:t>
      </w:r>
    </w:p>
    <w:p w:rsidR="009832CD" w:rsidRPr="003D4138" w:rsidRDefault="009832CD" w:rsidP="009832CD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3D4138">
        <w:rPr>
          <w:rFonts w:ascii="Arial" w:hAnsi="Arial" w:cs="Arial"/>
          <w:i/>
          <w:snapToGrid w:val="0"/>
          <w:sz w:val="22"/>
          <w:szCs w:val="22"/>
          <w:lang w:eastAsia="en-US"/>
        </w:rPr>
        <w:t>Strategy 5.3 Discourage uses at street level in activity centres which create dead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3D4138">
        <w:rPr>
          <w:rFonts w:ascii="Arial" w:hAnsi="Arial" w:cs="Arial"/>
          <w:i/>
          <w:snapToGrid w:val="0"/>
          <w:sz w:val="22"/>
          <w:szCs w:val="22"/>
          <w:lang w:eastAsia="en-US"/>
        </w:rPr>
        <w:t>frontages during the day.</w:t>
      </w:r>
    </w:p>
    <w:p w:rsidR="009832CD" w:rsidRDefault="009832CD" w:rsidP="009832CD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3D4138">
        <w:rPr>
          <w:rFonts w:ascii="Arial" w:hAnsi="Arial" w:cs="Arial"/>
          <w:i/>
          <w:snapToGrid w:val="0"/>
          <w:sz w:val="22"/>
          <w:szCs w:val="22"/>
          <w:lang w:eastAsia="en-US"/>
        </w:rPr>
        <w:t>Strategy 5.4 Permit residential development that does not compromise the business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3D4138">
        <w:rPr>
          <w:rFonts w:ascii="Arial" w:hAnsi="Arial" w:cs="Arial"/>
          <w:i/>
          <w:snapToGrid w:val="0"/>
          <w:sz w:val="22"/>
          <w:szCs w:val="22"/>
          <w:lang w:eastAsia="en-US"/>
        </w:rPr>
        <w:t>function of activity centres.</w:t>
      </w:r>
    </w:p>
    <w:p w:rsidR="009832CD" w:rsidRPr="000D0940" w:rsidRDefault="009832CD" w:rsidP="009832CD">
      <w:pPr>
        <w:pStyle w:val="StrategicAssessmentText"/>
        <w:jc w:val="left"/>
        <w:rPr>
          <w:rFonts w:ascii="Arial" w:hAnsi="Arial" w:cs="Arial"/>
          <w:b/>
          <w:i/>
          <w:snapToGrid w:val="0"/>
          <w:sz w:val="22"/>
          <w:szCs w:val="22"/>
          <w:lang w:eastAsia="en-US"/>
        </w:rPr>
      </w:pPr>
      <w:r w:rsidRPr="000D0940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 xml:space="preserve">Objective 7 </w:t>
      </w:r>
      <w:proofErr w:type="gramStart"/>
      <w:r w:rsidRPr="000D0940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>To</w:t>
      </w:r>
      <w:proofErr w:type="gramEnd"/>
      <w:r w:rsidRPr="000D0940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 xml:space="preserve"> encourage the arts and arts venues. </w:t>
      </w:r>
    </w:p>
    <w:p w:rsidR="009832CD" w:rsidRPr="00DC1265" w:rsidRDefault="009832CD" w:rsidP="009832CD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3D4138">
        <w:rPr>
          <w:rFonts w:ascii="Arial" w:hAnsi="Arial" w:cs="Arial"/>
          <w:i/>
          <w:snapToGrid w:val="0"/>
          <w:sz w:val="22"/>
          <w:szCs w:val="22"/>
          <w:lang w:eastAsia="en-US"/>
        </w:rPr>
        <w:t>Strategy 7.1 Support a diversity of arts uses such as live music venues, performance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3D4138">
        <w:rPr>
          <w:rFonts w:ascii="Arial" w:hAnsi="Arial" w:cs="Arial"/>
          <w:i/>
          <w:snapToGrid w:val="0"/>
          <w:sz w:val="22"/>
          <w:szCs w:val="22"/>
          <w:lang w:eastAsia="en-US"/>
        </w:rPr>
        <w:t>spaces, galleries and artist studios in appropriate and accessible locations.</w:t>
      </w:r>
    </w:p>
    <w:p w:rsidR="009832CD" w:rsidRDefault="009832CD" w:rsidP="00366C80">
      <w:pPr>
        <w:spacing w:before="0"/>
        <w:ind w:firstLine="284"/>
        <w:jc w:val="left"/>
        <w:rPr>
          <w:rFonts w:ascii="Arial" w:hAnsi="Arial" w:cs="Arial"/>
          <w:szCs w:val="24"/>
        </w:rPr>
      </w:pPr>
    </w:p>
    <w:p w:rsidR="00D56AAB" w:rsidRDefault="00D56AAB" w:rsidP="00366C80">
      <w:pPr>
        <w:spacing w:before="0"/>
        <w:ind w:firstLine="28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21.05-1 Heritage</w:t>
      </w:r>
    </w:p>
    <w:p w:rsidR="003D4138" w:rsidRPr="003D4138" w:rsidRDefault="003D4138" w:rsidP="003D4138">
      <w:pPr>
        <w:pStyle w:val="StrategicAssessmentText"/>
        <w:jc w:val="left"/>
        <w:rPr>
          <w:rFonts w:ascii="Arial" w:hAnsi="Arial" w:cs="Arial"/>
          <w:b/>
          <w:i/>
          <w:snapToGrid w:val="0"/>
          <w:sz w:val="22"/>
          <w:szCs w:val="22"/>
          <w:lang w:eastAsia="en-US"/>
        </w:rPr>
      </w:pPr>
      <w:r w:rsidRPr="003D4138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 xml:space="preserve">Objective 14 </w:t>
      </w:r>
      <w:proofErr w:type="gramStart"/>
      <w:r w:rsidRPr="003D4138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>To</w:t>
      </w:r>
      <w:proofErr w:type="gramEnd"/>
      <w:r w:rsidRPr="003D4138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 xml:space="preserve"> protect and enhance Yarra's heritage places.</w:t>
      </w:r>
    </w:p>
    <w:p w:rsidR="003D4138" w:rsidRPr="003D4138" w:rsidRDefault="003D4138" w:rsidP="003D4138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3D4138">
        <w:rPr>
          <w:rFonts w:ascii="Arial" w:hAnsi="Arial" w:cs="Arial"/>
          <w:i/>
          <w:snapToGrid w:val="0"/>
          <w:sz w:val="22"/>
          <w:szCs w:val="22"/>
          <w:lang w:eastAsia="en-US"/>
        </w:rPr>
        <w:t>Strategy 14.1 Conserve, protect and enhance identified sites and areas of heritage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3D4138">
        <w:rPr>
          <w:rFonts w:ascii="Arial" w:hAnsi="Arial" w:cs="Arial"/>
          <w:i/>
          <w:snapToGrid w:val="0"/>
          <w:sz w:val="22"/>
          <w:szCs w:val="22"/>
          <w:lang w:eastAsia="en-US"/>
        </w:rPr>
        <w:t>significance including pre-settlement ecological heritage.</w:t>
      </w:r>
    </w:p>
    <w:p w:rsidR="003D4138" w:rsidRPr="003D4138" w:rsidRDefault="003D4138" w:rsidP="003D4138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3D4138">
        <w:rPr>
          <w:rFonts w:ascii="Arial" w:hAnsi="Arial" w:cs="Arial"/>
          <w:i/>
          <w:snapToGrid w:val="0"/>
          <w:sz w:val="22"/>
          <w:szCs w:val="22"/>
          <w:lang w:eastAsia="en-US"/>
        </w:rPr>
        <w:t>Strategy 14.2 Support the restoration of heritage places.</w:t>
      </w:r>
    </w:p>
    <w:p w:rsidR="003D4138" w:rsidRPr="003D4138" w:rsidRDefault="003D4138" w:rsidP="003D4138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3D4138">
        <w:rPr>
          <w:rFonts w:ascii="Arial" w:hAnsi="Arial" w:cs="Arial"/>
          <w:i/>
          <w:snapToGrid w:val="0"/>
          <w:sz w:val="22"/>
          <w:szCs w:val="22"/>
          <w:lang w:eastAsia="en-US"/>
        </w:rPr>
        <w:t>Strategy 14.3 Protect the heritage skyline of heritage precincts.</w:t>
      </w:r>
    </w:p>
    <w:p w:rsidR="003D4138" w:rsidRPr="003D4138" w:rsidRDefault="003D4138" w:rsidP="003D4138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3D4138">
        <w:rPr>
          <w:rFonts w:ascii="Arial" w:hAnsi="Arial" w:cs="Arial"/>
          <w:i/>
          <w:snapToGrid w:val="0"/>
          <w:sz w:val="22"/>
          <w:szCs w:val="22"/>
          <w:lang w:eastAsia="en-US"/>
        </w:rPr>
        <w:t>Strategy 14.6 Protect buildings, streetscapes and precincts of heritage significance from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3D4138">
        <w:rPr>
          <w:rFonts w:ascii="Arial" w:hAnsi="Arial" w:cs="Arial"/>
          <w:i/>
          <w:snapToGrid w:val="0"/>
          <w:sz w:val="22"/>
          <w:szCs w:val="22"/>
          <w:lang w:eastAsia="en-US"/>
        </w:rPr>
        <w:t>the visual intrusion of built form both within places and from adjoining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3D4138">
        <w:rPr>
          <w:rFonts w:ascii="Arial" w:hAnsi="Arial" w:cs="Arial"/>
          <w:i/>
          <w:snapToGrid w:val="0"/>
          <w:sz w:val="22"/>
          <w:szCs w:val="22"/>
          <w:lang w:eastAsia="en-US"/>
        </w:rPr>
        <w:t>areas.</w:t>
      </w:r>
    </w:p>
    <w:p w:rsidR="003D4138" w:rsidRDefault="003D4138" w:rsidP="003D4138">
      <w:pPr>
        <w:spacing w:before="0"/>
        <w:jc w:val="left"/>
        <w:rPr>
          <w:rFonts w:ascii="Arial" w:hAnsi="Arial" w:cs="Arial"/>
          <w:szCs w:val="24"/>
        </w:rPr>
      </w:pPr>
    </w:p>
    <w:p w:rsidR="00D56AAB" w:rsidRPr="008127EF" w:rsidRDefault="00D56AAB" w:rsidP="00366C80">
      <w:pPr>
        <w:spacing w:before="0"/>
        <w:ind w:firstLine="28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21.05-2 Urban design</w:t>
      </w:r>
    </w:p>
    <w:p w:rsidR="00D56AAB" w:rsidRPr="00E31736" w:rsidRDefault="00D56AAB" w:rsidP="00DC1265">
      <w:pPr>
        <w:pStyle w:val="StrategicAssessmentText"/>
        <w:jc w:val="left"/>
        <w:rPr>
          <w:rFonts w:ascii="Arial" w:hAnsi="Arial" w:cs="Arial"/>
          <w:b/>
          <w:i/>
          <w:snapToGrid w:val="0"/>
          <w:sz w:val="22"/>
          <w:szCs w:val="22"/>
          <w:lang w:eastAsia="en-US"/>
        </w:rPr>
      </w:pPr>
      <w:r w:rsidRPr="00E31736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 xml:space="preserve">Objective 16 </w:t>
      </w:r>
      <w:proofErr w:type="gramStart"/>
      <w:r w:rsidRPr="00E31736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>To</w:t>
      </w:r>
      <w:proofErr w:type="gramEnd"/>
      <w:r w:rsidRPr="00E31736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 xml:space="preserve"> reinforce the existing urban framework of Yarra. </w:t>
      </w:r>
    </w:p>
    <w:p w:rsidR="002778E3" w:rsidRPr="008F707B" w:rsidRDefault="00E31736" w:rsidP="008F707B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E31736">
        <w:rPr>
          <w:rFonts w:ascii="Arial" w:hAnsi="Arial" w:cs="Arial"/>
          <w:i/>
          <w:snapToGrid w:val="0"/>
          <w:sz w:val="22"/>
          <w:szCs w:val="22"/>
          <w:lang w:eastAsia="en-US"/>
        </w:rPr>
        <w:t>Strategy 16.2 Maintain and strengthen the preferred character of each Built Form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E31736">
        <w:rPr>
          <w:rFonts w:ascii="Arial" w:hAnsi="Arial" w:cs="Arial"/>
          <w:i/>
          <w:snapToGrid w:val="0"/>
          <w:sz w:val="22"/>
          <w:szCs w:val="22"/>
          <w:lang w:eastAsia="en-US"/>
        </w:rPr>
        <w:t>Character Type within Yarra.</w:t>
      </w:r>
    </w:p>
    <w:p w:rsidR="00D56AAB" w:rsidRPr="00E31736" w:rsidRDefault="00D56AAB" w:rsidP="00DC1265">
      <w:pPr>
        <w:pStyle w:val="StrategicAssessmentText"/>
        <w:jc w:val="left"/>
        <w:rPr>
          <w:rFonts w:ascii="Arial" w:hAnsi="Arial" w:cs="Arial"/>
          <w:b/>
          <w:i/>
          <w:snapToGrid w:val="0"/>
          <w:sz w:val="22"/>
          <w:szCs w:val="22"/>
          <w:lang w:eastAsia="en-US"/>
        </w:rPr>
      </w:pPr>
      <w:r w:rsidRPr="00E31736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 xml:space="preserve">Objective 19 </w:t>
      </w:r>
      <w:proofErr w:type="gramStart"/>
      <w:r w:rsidRPr="00E31736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>To</w:t>
      </w:r>
      <w:proofErr w:type="gramEnd"/>
      <w:r w:rsidRPr="00E31736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 xml:space="preserve"> create an inner city environment with landscaped beauty. </w:t>
      </w:r>
    </w:p>
    <w:p w:rsidR="00E31736" w:rsidRPr="00E31736" w:rsidRDefault="00E31736" w:rsidP="00E31736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E31736">
        <w:rPr>
          <w:rFonts w:ascii="Arial" w:hAnsi="Arial" w:cs="Arial"/>
          <w:i/>
          <w:snapToGrid w:val="0"/>
          <w:sz w:val="22"/>
          <w:szCs w:val="22"/>
          <w:lang w:eastAsia="en-US"/>
        </w:rPr>
        <w:lastRenderedPageBreak/>
        <w:t>Strategy 19.1 Require well resolved landscape plans for all new development.</w:t>
      </w:r>
    </w:p>
    <w:p w:rsidR="002778E3" w:rsidRPr="008F707B" w:rsidRDefault="00E31736" w:rsidP="008F707B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proofErr w:type="gramStart"/>
      <w:r w:rsidRPr="00E31736">
        <w:rPr>
          <w:rFonts w:ascii="Arial" w:hAnsi="Arial" w:cs="Arial"/>
          <w:i/>
          <w:snapToGrid w:val="0"/>
          <w:sz w:val="22"/>
          <w:szCs w:val="22"/>
          <w:lang w:eastAsia="en-US"/>
        </w:rPr>
        <w:t>Strategy 19.2 Encourage opportunities for planting suitable trees and landscape areas in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E31736">
        <w:rPr>
          <w:rFonts w:ascii="Arial" w:hAnsi="Arial" w:cs="Arial"/>
          <w:i/>
          <w:snapToGrid w:val="0"/>
          <w:sz w:val="22"/>
          <w:szCs w:val="22"/>
          <w:lang w:eastAsia="en-US"/>
        </w:rPr>
        <w:t>new development.</w:t>
      </w:r>
      <w:proofErr w:type="gramEnd"/>
    </w:p>
    <w:p w:rsidR="000A5597" w:rsidRPr="002778E3" w:rsidRDefault="00D56AAB" w:rsidP="002778E3">
      <w:pPr>
        <w:pStyle w:val="StrategicAssessmentText"/>
        <w:jc w:val="left"/>
        <w:rPr>
          <w:rFonts w:ascii="Arial" w:hAnsi="Arial" w:cs="Arial"/>
          <w:b/>
          <w:i/>
          <w:snapToGrid w:val="0"/>
          <w:sz w:val="22"/>
          <w:szCs w:val="22"/>
          <w:lang w:eastAsia="en-US"/>
        </w:rPr>
      </w:pPr>
      <w:r w:rsidRPr="00E64A46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 xml:space="preserve">Objective 20 </w:t>
      </w:r>
      <w:proofErr w:type="gramStart"/>
      <w:r w:rsidRPr="00E64A46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>To</w:t>
      </w:r>
      <w:proofErr w:type="gramEnd"/>
      <w:r w:rsidRPr="00E64A46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 xml:space="preserve"> ensure that new development contributes positively to Yarra's</w:t>
      </w:r>
      <w:r w:rsidR="00A73E55" w:rsidRPr="00E64A46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 xml:space="preserve"> </w:t>
      </w:r>
      <w:r w:rsidRPr="00E64A46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 xml:space="preserve">urban fabric. </w:t>
      </w:r>
    </w:p>
    <w:p w:rsidR="002778E3" w:rsidRPr="008F707B" w:rsidRDefault="000A5597" w:rsidP="008F707B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0A5597">
        <w:rPr>
          <w:rFonts w:ascii="Arial" w:hAnsi="Arial" w:cs="Arial"/>
          <w:i/>
          <w:snapToGrid w:val="0"/>
          <w:sz w:val="22"/>
          <w:szCs w:val="22"/>
          <w:lang w:eastAsia="en-US"/>
        </w:rPr>
        <w:t>Strategy 20.1 Ensure development is designed having particular regard to its urban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0A5597">
        <w:rPr>
          <w:rFonts w:ascii="Arial" w:hAnsi="Arial" w:cs="Arial"/>
          <w:i/>
          <w:snapToGrid w:val="0"/>
          <w:sz w:val="22"/>
          <w:szCs w:val="22"/>
          <w:lang w:eastAsia="en-US"/>
        </w:rPr>
        <w:t>context and specifically designed following a thorough analysis of the site,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0A5597">
        <w:rPr>
          <w:rFonts w:ascii="Arial" w:hAnsi="Arial" w:cs="Arial"/>
          <w:i/>
          <w:snapToGrid w:val="0"/>
          <w:sz w:val="22"/>
          <w:szCs w:val="22"/>
          <w:lang w:eastAsia="en-US"/>
        </w:rPr>
        <w:t>the neighbouring properties and its environs.</w:t>
      </w:r>
    </w:p>
    <w:p w:rsidR="00D56AAB" w:rsidRPr="008127EF" w:rsidRDefault="00D56AAB" w:rsidP="008127EF">
      <w:pPr>
        <w:pStyle w:val="StrategicAssessmentText"/>
        <w:jc w:val="left"/>
        <w:rPr>
          <w:rFonts w:ascii="Arial" w:hAnsi="Arial" w:cs="Arial"/>
          <w:b/>
          <w:i/>
          <w:snapToGrid w:val="0"/>
          <w:sz w:val="22"/>
          <w:szCs w:val="22"/>
          <w:lang w:eastAsia="en-US"/>
        </w:rPr>
      </w:pPr>
      <w:r w:rsidRPr="00C73E43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 xml:space="preserve">Objective 21 </w:t>
      </w:r>
      <w:proofErr w:type="gramStart"/>
      <w:r w:rsidRPr="00C73E43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>To</w:t>
      </w:r>
      <w:proofErr w:type="gramEnd"/>
      <w:r w:rsidRPr="00C73E43">
        <w:rPr>
          <w:rFonts w:ascii="Arial" w:hAnsi="Arial" w:cs="Arial"/>
          <w:b/>
          <w:i/>
          <w:snapToGrid w:val="0"/>
          <w:sz w:val="22"/>
          <w:szCs w:val="22"/>
          <w:lang w:eastAsia="en-US"/>
        </w:rPr>
        <w:t xml:space="preserve"> enhance the built form character of Yarra’s activity centres. </w:t>
      </w:r>
    </w:p>
    <w:p w:rsidR="00C73E43" w:rsidRPr="00C73E43" w:rsidRDefault="00C73E43" w:rsidP="00C73E43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C73E43"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Strategy 21.1 </w:t>
      </w:r>
      <w:proofErr w:type="gramStart"/>
      <w:r w:rsidRPr="00C73E43">
        <w:rPr>
          <w:rFonts w:ascii="Arial" w:hAnsi="Arial" w:cs="Arial"/>
          <w:i/>
          <w:snapToGrid w:val="0"/>
          <w:sz w:val="22"/>
          <w:szCs w:val="22"/>
          <w:lang w:eastAsia="en-US"/>
        </w:rPr>
        <w:t>Require</w:t>
      </w:r>
      <w:proofErr w:type="gramEnd"/>
      <w:r w:rsidRPr="00C73E43"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development within Yarra’s activity centres to respect and not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C73E43">
        <w:rPr>
          <w:rFonts w:ascii="Arial" w:hAnsi="Arial" w:cs="Arial"/>
          <w:i/>
          <w:snapToGrid w:val="0"/>
          <w:sz w:val="22"/>
          <w:szCs w:val="22"/>
          <w:lang w:eastAsia="en-US"/>
        </w:rPr>
        <w:t>dominate existing built form.</w:t>
      </w:r>
    </w:p>
    <w:p w:rsidR="00C73E43" w:rsidRPr="00C73E43" w:rsidRDefault="00C73E43" w:rsidP="00C73E43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C73E43">
        <w:rPr>
          <w:rFonts w:ascii="Arial" w:hAnsi="Arial" w:cs="Arial"/>
          <w:i/>
          <w:snapToGrid w:val="0"/>
          <w:sz w:val="22"/>
          <w:szCs w:val="22"/>
          <w:lang w:eastAsia="en-US"/>
        </w:rPr>
        <w:t>Strategy 21.2 Require new development within an activity centre to consider the context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C73E43">
        <w:rPr>
          <w:rFonts w:ascii="Arial" w:hAnsi="Arial" w:cs="Arial"/>
          <w:i/>
          <w:snapToGrid w:val="0"/>
          <w:sz w:val="22"/>
          <w:szCs w:val="22"/>
          <w:lang w:eastAsia="en-US"/>
        </w:rPr>
        <w:t>of the whole centre recognising that activity centres may consist of sub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>-</w:t>
      </w:r>
      <w:r w:rsidRPr="00C73E43">
        <w:rPr>
          <w:rFonts w:ascii="Arial" w:hAnsi="Arial" w:cs="Arial"/>
          <w:i/>
          <w:snapToGrid w:val="0"/>
          <w:sz w:val="22"/>
          <w:szCs w:val="22"/>
          <w:lang w:eastAsia="en-US"/>
        </w:rPr>
        <w:t>precincts,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C73E43">
        <w:rPr>
          <w:rFonts w:ascii="Arial" w:hAnsi="Arial" w:cs="Arial"/>
          <w:i/>
          <w:snapToGrid w:val="0"/>
          <w:sz w:val="22"/>
          <w:szCs w:val="22"/>
          <w:lang w:eastAsia="en-US"/>
        </w:rPr>
        <w:t>each of which may have a different land use and built form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C73E43">
        <w:rPr>
          <w:rFonts w:ascii="Arial" w:hAnsi="Arial" w:cs="Arial"/>
          <w:i/>
          <w:snapToGrid w:val="0"/>
          <w:sz w:val="22"/>
          <w:szCs w:val="22"/>
          <w:lang w:eastAsia="en-US"/>
        </w:rPr>
        <w:t>character.</w:t>
      </w:r>
    </w:p>
    <w:p w:rsidR="00E31736" w:rsidRPr="00C73E43" w:rsidRDefault="00C73E43" w:rsidP="00C73E43">
      <w:pPr>
        <w:pStyle w:val="StrategicAssessmentText"/>
        <w:jc w:val="left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C73E43">
        <w:rPr>
          <w:rFonts w:ascii="Arial" w:hAnsi="Arial" w:cs="Arial"/>
          <w:i/>
          <w:snapToGrid w:val="0"/>
          <w:sz w:val="22"/>
          <w:szCs w:val="22"/>
          <w:lang w:eastAsia="en-US"/>
        </w:rPr>
        <w:t>Strategy 21.3 Support new development that contributes to the consolidation and</w:t>
      </w:r>
      <w:r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</w:t>
      </w:r>
      <w:r w:rsidRPr="00C73E43">
        <w:rPr>
          <w:rFonts w:ascii="Arial" w:hAnsi="Arial" w:cs="Arial"/>
          <w:i/>
          <w:snapToGrid w:val="0"/>
          <w:sz w:val="22"/>
          <w:szCs w:val="22"/>
          <w:lang w:eastAsia="en-US"/>
        </w:rPr>
        <w:t>viability of existing activity centres.</w:t>
      </w:r>
    </w:p>
    <w:p w:rsidR="002778E3" w:rsidRDefault="002778E3" w:rsidP="00C73E43">
      <w:pPr>
        <w:spacing w:before="0"/>
        <w:ind w:left="284"/>
        <w:jc w:val="left"/>
        <w:rPr>
          <w:rFonts w:ascii="Arial" w:hAnsi="Arial" w:cs="Arial"/>
          <w:szCs w:val="24"/>
        </w:rPr>
      </w:pPr>
    </w:p>
    <w:p w:rsidR="00001FC9" w:rsidRPr="008F707B" w:rsidRDefault="00001FC9" w:rsidP="00C73E43">
      <w:pPr>
        <w:spacing w:before="0"/>
        <w:ind w:left="284"/>
        <w:jc w:val="left"/>
        <w:rPr>
          <w:rFonts w:ascii="Arial" w:hAnsi="Arial" w:cs="Arial"/>
          <w:sz w:val="22"/>
          <w:szCs w:val="22"/>
        </w:rPr>
      </w:pPr>
      <w:r w:rsidRPr="008F707B">
        <w:rPr>
          <w:rFonts w:ascii="Arial" w:hAnsi="Arial" w:cs="Arial"/>
          <w:sz w:val="22"/>
          <w:szCs w:val="22"/>
        </w:rPr>
        <w:t>The Amendment is consistent with and supported by the following local policies under Clause 22:</w:t>
      </w:r>
    </w:p>
    <w:p w:rsidR="00D56AAB" w:rsidRPr="008F707B" w:rsidRDefault="00D56AAB" w:rsidP="00D56AAB">
      <w:pPr>
        <w:spacing w:before="0"/>
        <w:jc w:val="left"/>
        <w:rPr>
          <w:rFonts w:ascii="Arial" w:hAnsi="Arial" w:cs="Arial"/>
          <w:sz w:val="22"/>
          <w:szCs w:val="22"/>
        </w:rPr>
      </w:pPr>
    </w:p>
    <w:p w:rsidR="00001FC9" w:rsidRPr="008F707B" w:rsidRDefault="00001FC9" w:rsidP="00660574">
      <w:pPr>
        <w:pStyle w:val="ListParagraph"/>
        <w:numPr>
          <w:ilvl w:val="0"/>
          <w:numId w:val="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707B">
        <w:rPr>
          <w:rFonts w:ascii="Arial" w:hAnsi="Arial" w:cs="Arial"/>
          <w:sz w:val="22"/>
          <w:szCs w:val="22"/>
        </w:rPr>
        <w:t>22.02 Development guidelines for sites subject to the Heritage Overlay</w:t>
      </w:r>
    </w:p>
    <w:p w:rsidR="00001FC9" w:rsidRPr="008F707B" w:rsidRDefault="00001FC9" w:rsidP="00660574">
      <w:pPr>
        <w:pStyle w:val="ListParagraph"/>
        <w:numPr>
          <w:ilvl w:val="0"/>
          <w:numId w:val="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707B">
        <w:rPr>
          <w:rFonts w:ascii="Arial" w:hAnsi="Arial" w:cs="Arial"/>
          <w:sz w:val="22"/>
          <w:szCs w:val="22"/>
        </w:rPr>
        <w:t>22.05 Interface uses policy</w:t>
      </w:r>
    </w:p>
    <w:p w:rsidR="00001FC9" w:rsidRPr="008F707B" w:rsidRDefault="00001FC9" w:rsidP="00660574">
      <w:pPr>
        <w:pStyle w:val="ListParagraph"/>
        <w:numPr>
          <w:ilvl w:val="0"/>
          <w:numId w:val="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707B">
        <w:rPr>
          <w:rFonts w:ascii="Arial" w:hAnsi="Arial" w:cs="Arial"/>
          <w:sz w:val="22"/>
          <w:szCs w:val="22"/>
        </w:rPr>
        <w:t>22.07 Development abutting laneways</w:t>
      </w:r>
    </w:p>
    <w:p w:rsidR="00001FC9" w:rsidRPr="008F707B" w:rsidRDefault="00001FC9" w:rsidP="00660574">
      <w:pPr>
        <w:pStyle w:val="ListParagraph"/>
        <w:numPr>
          <w:ilvl w:val="0"/>
          <w:numId w:val="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707B">
        <w:rPr>
          <w:rFonts w:ascii="Arial" w:hAnsi="Arial" w:cs="Arial"/>
          <w:sz w:val="22"/>
          <w:szCs w:val="22"/>
        </w:rPr>
        <w:t>22.09 Licenced premises</w:t>
      </w:r>
    </w:p>
    <w:p w:rsidR="00001FC9" w:rsidRPr="008F707B" w:rsidRDefault="00001FC9" w:rsidP="00660574">
      <w:pPr>
        <w:pStyle w:val="ListParagraph"/>
        <w:numPr>
          <w:ilvl w:val="0"/>
          <w:numId w:val="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707B">
        <w:rPr>
          <w:rFonts w:ascii="Arial" w:hAnsi="Arial" w:cs="Arial"/>
          <w:sz w:val="22"/>
          <w:szCs w:val="22"/>
        </w:rPr>
        <w:t>22.10 Built form and design policy</w:t>
      </w:r>
    </w:p>
    <w:p w:rsidR="00C73E43" w:rsidRPr="008F707B" w:rsidRDefault="00001FC9" w:rsidP="00660574">
      <w:pPr>
        <w:pStyle w:val="ListParagraph"/>
        <w:numPr>
          <w:ilvl w:val="0"/>
          <w:numId w:val="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707B">
        <w:rPr>
          <w:rFonts w:ascii="Arial" w:hAnsi="Arial" w:cs="Arial"/>
          <w:sz w:val="22"/>
          <w:szCs w:val="22"/>
        </w:rPr>
        <w:t>22.12 Public open space contribution policy</w:t>
      </w:r>
    </w:p>
    <w:p w:rsidR="00A068E6" w:rsidRPr="00420A5B" w:rsidRDefault="00855A78" w:rsidP="00D56AAB">
      <w:pPr>
        <w:pStyle w:val="Heading3"/>
        <w:numPr>
          <w:ilvl w:val="0"/>
          <w:numId w:val="0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Does the A</w:t>
      </w:r>
      <w:r w:rsidR="00A068E6" w:rsidRPr="00420A5B">
        <w:rPr>
          <w:rFonts w:ascii="Arial" w:hAnsi="Arial" w:cs="Arial"/>
          <w:szCs w:val="24"/>
        </w:rPr>
        <w:t>mendment make proper use of the Victoria Planning Provisions?</w:t>
      </w:r>
    </w:p>
    <w:p w:rsidR="005D5D08" w:rsidRPr="00F27102" w:rsidRDefault="00001FC9" w:rsidP="008310E5">
      <w:pPr>
        <w:pStyle w:val="StrategicAssessmentText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Amendment is consistent with the objectives of State Planning Policy and the Victorian Planning Provisions.</w:t>
      </w:r>
    </w:p>
    <w:p w:rsidR="00A068E6" w:rsidRPr="00420A5B" w:rsidRDefault="00855A78" w:rsidP="008310E5">
      <w:pPr>
        <w:pStyle w:val="Heading3"/>
        <w:numPr>
          <w:ilvl w:val="0"/>
          <w:numId w:val="0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How does the A</w:t>
      </w:r>
      <w:r w:rsidR="00A068E6" w:rsidRPr="00420A5B">
        <w:rPr>
          <w:rFonts w:ascii="Arial" w:hAnsi="Arial" w:cs="Arial"/>
          <w:szCs w:val="24"/>
        </w:rPr>
        <w:t>mendment address the views of any relevant agency?</w:t>
      </w:r>
    </w:p>
    <w:p w:rsidR="005D5D08" w:rsidRPr="00F27102" w:rsidRDefault="00001FC9" w:rsidP="008310E5">
      <w:pPr>
        <w:pStyle w:val="StrategicAssessmentText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sought the views of VicRoads,</w:t>
      </w:r>
      <w:r w:rsidR="00A909A8">
        <w:rPr>
          <w:rFonts w:ascii="Arial" w:hAnsi="Arial" w:cs="Arial"/>
          <w:sz w:val="22"/>
          <w:szCs w:val="22"/>
        </w:rPr>
        <w:t xml:space="preserve"> the Department of Human Services,</w:t>
      </w:r>
      <w:r>
        <w:rPr>
          <w:rFonts w:ascii="Arial" w:hAnsi="Arial" w:cs="Arial"/>
          <w:sz w:val="22"/>
          <w:szCs w:val="22"/>
        </w:rPr>
        <w:t xml:space="preserve"> Public Transport Victor</w:t>
      </w:r>
      <w:r w:rsidR="00377354">
        <w:rPr>
          <w:rFonts w:ascii="Arial" w:hAnsi="Arial" w:cs="Arial"/>
          <w:sz w:val="22"/>
          <w:szCs w:val="22"/>
        </w:rPr>
        <w:t>ia and VicTrack in the drafting</w:t>
      </w:r>
      <w:r>
        <w:rPr>
          <w:rFonts w:ascii="Arial" w:hAnsi="Arial" w:cs="Arial"/>
          <w:sz w:val="22"/>
          <w:szCs w:val="22"/>
        </w:rPr>
        <w:t xml:space="preserve"> of the Johnston Street L</w:t>
      </w:r>
      <w:r w:rsidR="00377354">
        <w:rPr>
          <w:rFonts w:ascii="Arial" w:hAnsi="Arial" w:cs="Arial"/>
          <w:sz w:val="22"/>
          <w:szCs w:val="22"/>
        </w:rPr>
        <w:t>ocal Area Plan which informs this</w:t>
      </w:r>
      <w:r>
        <w:rPr>
          <w:rFonts w:ascii="Arial" w:hAnsi="Arial" w:cs="Arial"/>
          <w:sz w:val="22"/>
          <w:szCs w:val="22"/>
        </w:rPr>
        <w:t xml:space="preserve"> Amendment</w:t>
      </w:r>
      <w:r w:rsidR="00377354">
        <w:rPr>
          <w:rFonts w:ascii="Arial" w:hAnsi="Arial" w:cs="Arial"/>
          <w:sz w:val="22"/>
          <w:szCs w:val="22"/>
        </w:rPr>
        <w:t xml:space="preserve"> and Amendment C220 which is to go through a formal exhibition process</w:t>
      </w:r>
      <w:r>
        <w:rPr>
          <w:rFonts w:ascii="Arial" w:hAnsi="Arial" w:cs="Arial"/>
          <w:sz w:val="22"/>
          <w:szCs w:val="22"/>
        </w:rPr>
        <w:t>.</w:t>
      </w:r>
    </w:p>
    <w:p w:rsidR="00BB1CA4" w:rsidRPr="00420A5B" w:rsidRDefault="00BC596D" w:rsidP="008310E5">
      <w:pPr>
        <w:pStyle w:val="Heading3"/>
        <w:numPr>
          <w:ilvl w:val="0"/>
          <w:numId w:val="0"/>
        </w:numPr>
        <w:jc w:val="left"/>
        <w:rPr>
          <w:rFonts w:ascii="Arial" w:hAnsi="Arial" w:cs="Arial"/>
          <w:szCs w:val="24"/>
        </w:rPr>
      </w:pPr>
      <w:r w:rsidRPr="00420A5B">
        <w:rPr>
          <w:rFonts w:ascii="Arial" w:hAnsi="Arial" w:cs="Arial"/>
          <w:szCs w:val="24"/>
        </w:rPr>
        <w:t>D</w:t>
      </w:r>
      <w:r w:rsidR="00855A78">
        <w:rPr>
          <w:rFonts w:ascii="Arial" w:hAnsi="Arial" w:cs="Arial"/>
          <w:szCs w:val="24"/>
        </w:rPr>
        <w:t>oes the A</w:t>
      </w:r>
      <w:r w:rsidR="00B74D9F" w:rsidRPr="00420A5B">
        <w:rPr>
          <w:rFonts w:ascii="Arial" w:hAnsi="Arial" w:cs="Arial"/>
          <w:szCs w:val="24"/>
        </w:rPr>
        <w:t xml:space="preserve">mendment address </w:t>
      </w:r>
      <w:r w:rsidRPr="00420A5B">
        <w:rPr>
          <w:rFonts w:ascii="Arial" w:hAnsi="Arial" w:cs="Arial"/>
          <w:szCs w:val="24"/>
        </w:rPr>
        <w:t>relevant</w:t>
      </w:r>
      <w:r w:rsidR="00B74D9F" w:rsidRPr="00420A5B">
        <w:rPr>
          <w:rFonts w:ascii="Arial" w:hAnsi="Arial" w:cs="Arial"/>
          <w:szCs w:val="24"/>
        </w:rPr>
        <w:t xml:space="preserve"> requirements of the Transport Integration Act 2010?</w:t>
      </w:r>
    </w:p>
    <w:p w:rsidR="00B74D9F" w:rsidRPr="00420A5B" w:rsidRDefault="00001FC9" w:rsidP="008310E5">
      <w:pPr>
        <w:pStyle w:val="StrategicAssessmentText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Amendment is consistent with the requirements of the Transport Integration Act 2010 and will facilitate development outcomes that </w:t>
      </w:r>
      <w:r w:rsidR="004768DA">
        <w:rPr>
          <w:rFonts w:ascii="Arial" w:hAnsi="Arial" w:cs="Arial"/>
          <w:sz w:val="22"/>
          <w:szCs w:val="22"/>
        </w:rPr>
        <w:t>promote the principles of transit oriented development.</w:t>
      </w:r>
    </w:p>
    <w:p w:rsidR="00814A45" w:rsidRPr="00823BB7" w:rsidRDefault="00814A45" w:rsidP="008310E5">
      <w:pPr>
        <w:pStyle w:val="Heading2"/>
        <w:jc w:val="left"/>
        <w:rPr>
          <w:rFonts w:cs="Arial"/>
        </w:rPr>
      </w:pPr>
      <w:r w:rsidRPr="00823BB7">
        <w:rPr>
          <w:rFonts w:cs="Arial"/>
        </w:rPr>
        <w:t>Resource and administrative costs</w:t>
      </w:r>
    </w:p>
    <w:p w:rsidR="0068329C" w:rsidRPr="0039731E" w:rsidRDefault="00001FC9" w:rsidP="0039731E">
      <w:pPr>
        <w:pStyle w:val="StrategicAssessmentText"/>
        <w:ind w:left="0"/>
        <w:jc w:val="left"/>
        <w:rPr>
          <w:rFonts w:ascii="Arial" w:hAnsi="Arial" w:cs="Arial"/>
          <w:sz w:val="22"/>
          <w:szCs w:val="22"/>
        </w:rPr>
      </w:pPr>
      <w:r w:rsidRPr="0039731E">
        <w:rPr>
          <w:rFonts w:ascii="Arial" w:hAnsi="Arial" w:cs="Arial"/>
          <w:sz w:val="22"/>
          <w:szCs w:val="22"/>
        </w:rPr>
        <w:t xml:space="preserve">The Amendment will have some impact on the general operation of Council’s statutory planning department </w:t>
      </w:r>
      <w:r w:rsidR="0019758C">
        <w:rPr>
          <w:rFonts w:ascii="Arial" w:hAnsi="Arial" w:cs="Arial"/>
          <w:sz w:val="22"/>
          <w:szCs w:val="22"/>
        </w:rPr>
        <w:t>which is covered by Council’s budget</w:t>
      </w:r>
      <w:r w:rsidRPr="0039731E">
        <w:rPr>
          <w:rFonts w:ascii="Arial" w:hAnsi="Arial" w:cs="Arial"/>
          <w:sz w:val="22"/>
          <w:szCs w:val="22"/>
        </w:rPr>
        <w:t>.</w:t>
      </w:r>
    </w:p>
    <w:p w:rsidR="0039731E" w:rsidRDefault="0039731E">
      <w:pPr>
        <w:spacing w:before="0"/>
        <w:jc w:val="left"/>
        <w:rPr>
          <w:rFonts w:ascii="Arial" w:hAnsi="Arial" w:cs="Arial"/>
          <w:b/>
          <w:bCs/>
        </w:rPr>
      </w:pPr>
      <w:r>
        <w:rPr>
          <w:rFonts w:cs="Arial"/>
        </w:rPr>
        <w:br w:type="page"/>
      </w:r>
    </w:p>
    <w:p w:rsidR="00A068E6" w:rsidRPr="00A0218C" w:rsidRDefault="00A068E6" w:rsidP="00A0218C">
      <w:pPr>
        <w:pStyle w:val="Heading2"/>
        <w:jc w:val="left"/>
        <w:rPr>
          <w:rFonts w:cs="Arial"/>
        </w:rPr>
      </w:pPr>
      <w:r w:rsidRPr="00823BB7">
        <w:rPr>
          <w:rFonts w:cs="Arial"/>
        </w:rPr>
        <w:lastRenderedPageBreak/>
        <w:t>Where</w:t>
      </w:r>
      <w:r w:rsidR="00814A45" w:rsidRPr="00823BB7">
        <w:rPr>
          <w:rFonts w:cs="Arial"/>
        </w:rPr>
        <w:t xml:space="preserve"> you may inspect this Amendment</w:t>
      </w:r>
    </w:p>
    <w:p w:rsidR="0068329C" w:rsidRDefault="00A068E6" w:rsidP="008310E5">
      <w:pPr>
        <w:jc w:val="left"/>
        <w:rPr>
          <w:rFonts w:ascii="Arial" w:hAnsi="Arial" w:cs="Arial"/>
          <w:sz w:val="22"/>
          <w:szCs w:val="22"/>
        </w:rPr>
      </w:pPr>
      <w:r w:rsidRPr="00F27102">
        <w:rPr>
          <w:rFonts w:ascii="Arial" w:hAnsi="Arial" w:cs="Arial"/>
          <w:sz w:val="22"/>
          <w:szCs w:val="22"/>
        </w:rPr>
        <w:t xml:space="preserve">The </w:t>
      </w:r>
      <w:r w:rsidR="00855A78">
        <w:rPr>
          <w:rFonts w:ascii="Arial" w:hAnsi="Arial" w:cs="Arial"/>
          <w:sz w:val="22"/>
          <w:szCs w:val="22"/>
        </w:rPr>
        <w:t>A</w:t>
      </w:r>
      <w:r w:rsidRPr="00F27102">
        <w:rPr>
          <w:rFonts w:ascii="Arial" w:hAnsi="Arial" w:cs="Arial"/>
          <w:sz w:val="22"/>
          <w:szCs w:val="22"/>
        </w:rPr>
        <w:t>mendment is available for public inspection, free of charge, during offic</w:t>
      </w:r>
      <w:r w:rsidR="00821867" w:rsidRPr="00F27102">
        <w:rPr>
          <w:rFonts w:ascii="Arial" w:hAnsi="Arial" w:cs="Arial"/>
          <w:sz w:val="22"/>
          <w:szCs w:val="22"/>
        </w:rPr>
        <w:t xml:space="preserve">e hours at the following </w:t>
      </w:r>
      <w:r w:rsidR="00366C80">
        <w:rPr>
          <w:rFonts w:ascii="Arial" w:hAnsi="Arial" w:cs="Arial"/>
          <w:sz w:val="22"/>
          <w:szCs w:val="22"/>
        </w:rPr>
        <w:t>Yarra City Council locations</w:t>
      </w:r>
      <w:r w:rsidR="00821867" w:rsidRPr="00F27102">
        <w:rPr>
          <w:rFonts w:ascii="Arial" w:hAnsi="Arial" w:cs="Arial"/>
          <w:sz w:val="22"/>
          <w:szCs w:val="22"/>
        </w:rPr>
        <w:t>:</w:t>
      </w:r>
    </w:p>
    <w:p w:rsidR="00E35A5E" w:rsidRDefault="00E35A5E" w:rsidP="008310E5">
      <w:pPr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4630"/>
      </w:tblGrid>
      <w:tr w:rsidR="00003B73" w:rsidTr="00003B73">
        <w:tc>
          <w:tcPr>
            <w:tcW w:w="4630" w:type="dxa"/>
          </w:tcPr>
          <w:p w:rsidR="00003B73" w:rsidRPr="00003B73" w:rsidRDefault="00003B73" w:rsidP="00366C80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3B73">
              <w:rPr>
                <w:rFonts w:ascii="Arial" w:hAnsi="Arial" w:cs="Arial"/>
                <w:sz w:val="22"/>
                <w:szCs w:val="22"/>
              </w:rPr>
              <w:t>Planning Counter</w:t>
            </w:r>
          </w:p>
          <w:p w:rsidR="00003B73" w:rsidRPr="00003B73" w:rsidRDefault="00003B73" w:rsidP="00366C80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3B73">
              <w:rPr>
                <w:rFonts w:ascii="Arial" w:hAnsi="Arial" w:cs="Arial"/>
                <w:sz w:val="22"/>
                <w:szCs w:val="22"/>
              </w:rPr>
              <w:t>Richmond Town Hall</w:t>
            </w:r>
          </w:p>
          <w:p w:rsidR="00003B73" w:rsidRPr="00003B73" w:rsidRDefault="00003B73" w:rsidP="00366C80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3B73">
              <w:rPr>
                <w:rFonts w:ascii="Arial" w:hAnsi="Arial" w:cs="Arial"/>
                <w:sz w:val="22"/>
                <w:szCs w:val="22"/>
              </w:rPr>
              <w:t>333 Bridge Road</w:t>
            </w:r>
          </w:p>
          <w:p w:rsidR="006113FE" w:rsidRDefault="00003B73" w:rsidP="00366C80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3B73">
              <w:rPr>
                <w:rFonts w:ascii="Arial" w:hAnsi="Arial" w:cs="Arial"/>
                <w:sz w:val="22"/>
                <w:szCs w:val="22"/>
              </w:rPr>
              <w:t>Richmond VIC 3121</w:t>
            </w:r>
          </w:p>
        </w:tc>
        <w:tc>
          <w:tcPr>
            <w:tcW w:w="4630" w:type="dxa"/>
          </w:tcPr>
          <w:p w:rsidR="00366C80" w:rsidRDefault="00366C80" w:rsidP="00366C80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Counter</w:t>
            </w:r>
          </w:p>
          <w:p w:rsidR="00003B73" w:rsidRDefault="00003B73" w:rsidP="00366C80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Collingwood Town Hall</w:t>
            </w:r>
          </w:p>
          <w:p w:rsidR="00003B73" w:rsidRDefault="00366C80" w:rsidP="00366C80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140 </w:t>
            </w:r>
            <w:r w:rsidR="00003B73">
              <w:rPr>
                <w:rFonts w:ascii="Arial" w:hAnsi="Arial" w:cs="Arial"/>
                <w:sz w:val="22"/>
                <w:szCs w:val="22"/>
              </w:rPr>
              <w:t>Hoddle Street</w:t>
            </w:r>
          </w:p>
          <w:p w:rsidR="00003B73" w:rsidRDefault="00003B73" w:rsidP="00366C80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Abbotsford VIC 3067</w:t>
            </w:r>
          </w:p>
        </w:tc>
      </w:tr>
    </w:tbl>
    <w:p w:rsidR="0039731E" w:rsidRPr="0039731E" w:rsidRDefault="0039731E" w:rsidP="0039731E">
      <w:pPr>
        <w:jc w:val="left"/>
        <w:rPr>
          <w:rFonts w:ascii="Arial" w:hAnsi="Arial" w:cs="Arial"/>
          <w:sz w:val="22"/>
          <w:szCs w:val="22"/>
        </w:rPr>
      </w:pPr>
      <w:r w:rsidRPr="0039731E">
        <w:rPr>
          <w:rFonts w:ascii="Arial" w:hAnsi="Arial" w:cs="Arial"/>
          <w:sz w:val="22"/>
          <w:szCs w:val="22"/>
        </w:rPr>
        <w:t>Amendment C220 web page</w:t>
      </w:r>
      <w:r w:rsidR="00D46F5D">
        <w:rPr>
          <w:rFonts w:ascii="Arial" w:hAnsi="Arial" w:cs="Arial"/>
          <w:sz w:val="22"/>
          <w:szCs w:val="22"/>
        </w:rPr>
        <w:t xml:space="preserve"> (Yarra City Council web-site)</w:t>
      </w:r>
      <w:r>
        <w:rPr>
          <w:rFonts w:ascii="Arial" w:hAnsi="Arial" w:cs="Arial"/>
          <w:sz w:val="22"/>
          <w:szCs w:val="22"/>
        </w:rPr>
        <w:t>:</w:t>
      </w:r>
    </w:p>
    <w:p w:rsidR="00D46F5D" w:rsidRPr="00D46F5D" w:rsidRDefault="00D46F5D" w:rsidP="00D46F5D">
      <w:pPr>
        <w:jc w:val="left"/>
        <w:rPr>
          <w:rStyle w:val="Hyperlink"/>
          <w:rFonts w:ascii="Arial" w:hAnsi="Arial"/>
          <w:sz w:val="22"/>
          <w:szCs w:val="22"/>
        </w:rPr>
      </w:pPr>
      <w:r w:rsidRPr="00D46F5D">
        <w:rPr>
          <w:rStyle w:val="Hyperlink"/>
          <w:rFonts w:ascii="Arial" w:hAnsi="Arial"/>
          <w:sz w:val="22"/>
          <w:szCs w:val="22"/>
        </w:rPr>
        <w:t>www.ya</w:t>
      </w:r>
      <w:r w:rsidR="003F5D9D">
        <w:rPr>
          <w:rStyle w:val="Hyperlink"/>
          <w:rFonts w:ascii="Arial" w:hAnsi="Arial"/>
          <w:sz w:val="22"/>
          <w:szCs w:val="22"/>
        </w:rPr>
        <w:t>rracity.vic.gov.au/amendmentC237</w:t>
      </w:r>
      <w:r w:rsidRPr="00D46F5D">
        <w:rPr>
          <w:rStyle w:val="Hyperlink"/>
          <w:rFonts w:ascii="Arial" w:hAnsi="Arial"/>
          <w:sz w:val="22"/>
          <w:szCs w:val="22"/>
        </w:rPr>
        <w:t xml:space="preserve"> </w:t>
      </w:r>
    </w:p>
    <w:p w:rsidR="00A068E6" w:rsidRPr="00F27102" w:rsidRDefault="00A009DB" w:rsidP="008310E5">
      <w:pPr>
        <w:jc w:val="left"/>
        <w:rPr>
          <w:rFonts w:ascii="Arial" w:hAnsi="Arial" w:cs="Arial"/>
          <w:sz w:val="22"/>
          <w:szCs w:val="22"/>
        </w:rPr>
      </w:pPr>
      <w:r w:rsidRPr="00F27102">
        <w:rPr>
          <w:rFonts w:ascii="Arial" w:hAnsi="Arial" w:cs="Arial"/>
          <w:sz w:val="22"/>
          <w:szCs w:val="22"/>
        </w:rPr>
        <w:t xml:space="preserve">The </w:t>
      </w:r>
      <w:r w:rsidR="00855A78">
        <w:rPr>
          <w:rFonts w:ascii="Arial" w:hAnsi="Arial" w:cs="Arial"/>
          <w:sz w:val="22"/>
          <w:szCs w:val="22"/>
        </w:rPr>
        <w:t>A</w:t>
      </w:r>
      <w:r w:rsidRPr="00F27102">
        <w:rPr>
          <w:rFonts w:ascii="Arial" w:hAnsi="Arial" w:cs="Arial"/>
          <w:sz w:val="22"/>
          <w:szCs w:val="22"/>
        </w:rPr>
        <w:t>mendment</w:t>
      </w:r>
      <w:r w:rsidR="00821867" w:rsidRPr="00F27102">
        <w:rPr>
          <w:rFonts w:ascii="Arial" w:hAnsi="Arial" w:cs="Arial"/>
          <w:sz w:val="22"/>
          <w:szCs w:val="22"/>
        </w:rPr>
        <w:t xml:space="preserve"> can also be inspected free of charge at the </w:t>
      </w:r>
      <w:r w:rsidR="00855A78" w:rsidRPr="00855A78">
        <w:rPr>
          <w:rFonts w:ascii="Arial" w:hAnsi="Arial" w:cs="Arial"/>
          <w:sz w:val="22"/>
          <w:szCs w:val="22"/>
        </w:rPr>
        <w:t xml:space="preserve">Department of Environment, Land, Water and Planning </w:t>
      </w:r>
      <w:r w:rsidR="009A2D3F" w:rsidRPr="00F27102">
        <w:rPr>
          <w:rFonts w:ascii="Arial" w:hAnsi="Arial" w:cs="Arial"/>
          <w:sz w:val="22"/>
          <w:szCs w:val="22"/>
        </w:rPr>
        <w:t>web</w:t>
      </w:r>
      <w:r w:rsidR="009001F8">
        <w:rPr>
          <w:rFonts w:ascii="Arial" w:hAnsi="Arial" w:cs="Arial"/>
          <w:sz w:val="22"/>
          <w:szCs w:val="22"/>
        </w:rPr>
        <w:t>site at</w:t>
      </w:r>
      <w:r w:rsidR="000E3414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C17A0" w:rsidRPr="00FB78ED">
          <w:rPr>
            <w:rStyle w:val="Hyperlink"/>
            <w:rFonts w:ascii="Arial" w:hAnsi="Arial" w:cs="Arial"/>
            <w:sz w:val="22"/>
            <w:szCs w:val="22"/>
            <w:lang w:val="en"/>
          </w:rPr>
          <w:t>www.delwp.vic.gov.au/public-inspection</w:t>
        </w:r>
        <w:r w:rsidR="00821867" w:rsidRPr="00FB78ED">
          <w:rPr>
            <w:rStyle w:val="Hyperlink"/>
            <w:rFonts w:ascii="Arial" w:hAnsi="Arial" w:cs="Arial"/>
            <w:sz w:val="22"/>
            <w:szCs w:val="22"/>
          </w:rPr>
          <w:t>.</w:t>
        </w:r>
      </w:hyperlink>
    </w:p>
    <w:p w:rsidR="00A068E6" w:rsidRDefault="00A068E6">
      <w:pPr>
        <w:jc w:val="center"/>
        <w:rPr>
          <w:rFonts w:ascii="Arial" w:hAnsi="Arial"/>
          <w:vanish/>
        </w:rPr>
      </w:pPr>
    </w:p>
    <w:p w:rsidR="00A068E6" w:rsidRDefault="00A068E6">
      <w:pPr>
        <w:jc w:val="center"/>
        <w:rPr>
          <w:rFonts w:ascii="Arial" w:hAnsi="Arial"/>
          <w:vanish/>
        </w:rPr>
      </w:pPr>
    </w:p>
    <w:p w:rsidR="00A068E6" w:rsidRDefault="00A068E6">
      <w:pPr>
        <w:jc w:val="center"/>
        <w:rPr>
          <w:rFonts w:ascii="Arial" w:hAnsi="Arial"/>
          <w:vanish/>
        </w:rPr>
      </w:pPr>
    </w:p>
    <w:p w:rsidR="001E53D0" w:rsidRDefault="001E53D0">
      <w:pPr>
        <w:jc w:val="center"/>
        <w:rPr>
          <w:rFonts w:ascii="Arial" w:hAnsi="Arial"/>
          <w:vanish/>
        </w:rPr>
      </w:pPr>
    </w:p>
    <w:p w:rsidR="001E53D0" w:rsidRDefault="001E53D0">
      <w:pPr>
        <w:jc w:val="center"/>
        <w:rPr>
          <w:rFonts w:ascii="Arial" w:hAnsi="Arial"/>
          <w:vanish/>
        </w:rPr>
      </w:pPr>
    </w:p>
    <w:p w:rsidR="001E53D0" w:rsidRDefault="001E53D0">
      <w:pPr>
        <w:jc w:val="center"/>
        <w:rPr>
          <w:rFonts w:ascii="Arial" w:hAnsi="Arial"/>
          <w:vanish/>
        </w:rPr>
      </w:pPr>
    </w:p>
    <w:p w:rsidR="001E53D0" w:rsidRDefault="001E53D0" w:rsidP="001E53D0">
      <w:pPr>
        <w:rPr>
          <w:rFonts w:ascii="Arial" w:hAnsi="Arial"/>
          <w:vanish/>
        </w:rPr>
      </w:pPr>
    </w:p>
    <w:sectPr w:rsidR="001E53D0" w:rsidSect="00E85E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93" w:right="1423" w:bottom="851" w:left="1440" w:header="737" w:footer="851" w:gutter="0"/>
      <w:cols w:space="73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B7" w:rsidRDefault="003A25B7">
      <w:r>
        <w:separator/>
      </w:r>
    </w:p>
  </w:endnote>
  <w:endnote w:type="continuationSeparator" w:id="0">
    <w:p w:rsidR="003A25B7" w:rsidRDefault="003A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80" w:rsidRDefault="00366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80" w:rsidRDefault="00366C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80" w:rsidRDefault="00366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B7" w:rsidRDefault="003A25B7">
      <w:r>
        <w:separator/>
      </w:r>
    </w:p>
  </w:footnote>
  <w:footnote w:type="continuationSeparator" w:id="0">
    <w:p w:rsidR="003A25B7" w:rsidRDefault="003A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80" w:rsidRDefault="00366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15538"/>
      <w:docPartObj>
        <w:docPartGallery w:val="Watermarks"/>
        <w:docPartUnique/>
      </w:docPartObj>
    </w:sdtPr>
    <w:sdtEndPr/>
    <w:sdtContent>
      <w:p w:rsidR="00366C80" w:rsidRDefault="00221258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921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80" w:rsidRDefault="00366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72B"/>
    <w:multiLevelType w:val="hybridMultilevel"/>
    <w:tmpl w:val="8ADEC8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5B9B"/>
    <w:multiLevelType w:val="hybridMultilevel"/>
    <w:tmpl w:val="43626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61B4"/>
    <w:multiLevelType w:val="hybridMultilevel"/>
    <w:tmpl w:val="F7E014C4"/>
    <w:lvl w:ilvl="0" w:tplc="71CAE08E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80BCE"/>
    <w:multiLevelType w:val="hybridMultilevel"/>
    <w:tmpl w:val="78700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821EB"/>
    <w:multiLevelType w:val="multilevel"/>
    <w:tmpl w:val="D4FA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CA8539D"/>
    <w:multiLevelType w:val="hybridMultilevel"/>
    <w:tmpl w:val="F2D467DC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0A14C00"/>
    <w:multiLevelType w:val="hybridMultilevel"/>
    <w:tmpl w:val="1C069290"/>
    <w:lvl w:ilvl="0" w:tplc="C160F1F4">
      <w:start w:val="1"/>
      <w:numFmt w:val="bullet"/>
      <w:pStyle w:val="Heading3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E8AEF58C">
      <w:start w:val="1"/>
      <w:numFmt w:val="bullet"/>
      <w:pStyle w:val="List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35A44"/>
    <w:multiLevelType w:val="hybridMultilevel"/>
    <w:tmpl w:val="5402365C"/>
    <w:lvl w:ilvl="0" w:tplc="14685FF6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5"/>
    <w:rsid w:val="00001FC9"/>
    <w:rsid w:val="00003B73"/>
    <w:rsid w:val="00007693"/>
    <w:rsid w:val="00020327"/>
    <w:rsid w:val="00023C95"/>
    <w:rsid w:val="00035AEB"/>
    <w:rsid w:val="00051CF3"/>
    <w:rsid w:val="00054D68"/>
    <w:rsid w:val="00055F40"/>
    <w:rsid w:val="00063365"/>
    <w:rsid w:val="000704D9"/>
    <w:rsid w:val="00073608"/>
    <w:rsid w:val="00081824"/>
    <w:rsid w:val="000856CA"/>
    <w:rsid w:val="00094660"/>
    <w:rsid w:val="00095995"/>
    <w:rsid w:val="000A5597"/>
    <w:rsid w:val="000A66E7"/>
    <w:rsid w:val="000C430C"/>
    <w:rsid w:val="000C4CD6"/>
    <w:rsid w:val="000D0940"/>
    <w:rsid w:val="000E3414"/>
    <w:rsid w:val="000F7B3D"/>
    <w:rsid w:val="00104029"/>
    <w:rsid w:val="001068D8"/>
    <w:rsid w:val="00111E10"/>
    <w:rsid w:val="00133270"/>
    <w:rsid w:val="00142B0A"/>
    <w:rsid w:val="0014525E"/>
    <w:rsid w:val="0014677D"/>
    <w:rsid w:val="0016213E"/>
    <w:rsid w:val="00165FF9"/>
    <w:rsid w:val="0019758C"/>
    <w:rsid w:val="001A21C9"/>
    <w:rsid w:val="001B04C7"/>
    <w:rsid w:val="001B06DB"/>
    <w:rsid w:val="001C782E"/>
    <w:rsid w:val="001E53D0"/>
    <w:rsid w:val="001F1FC1"/>
    <w:rsid w:val="00205478"/>
    <w:rsid w:val="00213074"/>
    <w:rsid w:val="00214220"/>
    <w:rsid w:val="00217E7B"/>
    <w:rsid w:val="00221258"/>
    <w:rsid w:val="00261580"/>
    <w:rsid w:val="00261ED3"/>
    <w:rsid w:val="00276641"/>
    <w:rsid w:val="002778E3"/>
    <w:rsid w:val="002822CF"/>
    <w:rsid w:val="002A2C96"/>
    <w:rsid w:val="002B3EB1"/>
    <w:rsid w:val="002C196C"/>
    <w:rsid w:val="002D1F07"/>
    <w:rsid w:val="002E4A8F"/>
    <w:rsid w:val="00301495"/>
    <w:rsid w:val="00304325"/>
    <w:rsid w:val="0030757B"/>
    <w:rsid w:val="0032627D"/>
    <w:rsid w:val="00326653"/>
    <w:rsid w:val="00337D32"/>
    <w:rsid w:val="00341E53"/>
    <w:rsid w:val="00346AC4"/>
    <w:rsid w:val="00354750"/>
    <w:rsid w:val="00363250"/>
    <w:rsid w:val="00366C80"/>
    <w:rsid w:val="00377354"/>
    <w:rsid w:val="00385176"/>
    <w:rsid w:val="00385E61"/>
    <w:rsid w:val="00393905"/>
    <w:rsid w:val="0039731E"/>
    <w:rsid w:val="003A25B7"/>
    <w:rsid w:val="003A4116"/>
    <w:rsid w:val="003B6F98"/>
    <w:rsid w:val="003C28E0"/>
    <w:rsid w:val="003D172D"/>
    <w:rsid w:val="003D3452"/>
    <w:rsid w:val="003D4138"/>
    <w:rsid w:val="003F13D4"/>
    <w:rsid w:val="003F5D9D"/>
    <w:rsid w:val="0040268F"/>
    <w:rsid w:val="004202FB"/>
    <w:rsid w:val="00420A5B"/>
    <w:rsid w:val="00420F1B"/>
    <w:rsid w:val="00431FE1"/>
    <w:rsid w:val="00437138"/>
    <w:rsid w:val="0047628B"/>
    <w:rsid w:val="004768DA"/>
    <w:rsid w:val="004937F8"/>
    <w:rsid w:val="00493840"/>
    <w:rsid w:val="0049725E"/>
    <w:rsid w:val="004A651A"/>
    <w:rsid w:val="004D2140"/>
    <w:rsid w:val="004D7E1D"/>
    <w:rsid w:val="004F2A9F"/>
    <w:rsid w:val="004F2FA2"/>
    <w:rsid w:val="004F40AA"/>
    <w:rsid w:val="004F56D4"/>
    <w:rsid w:val="005005EA"/>
    <w:rsid w:val="00543625"/>
    <w:rsid w:val="00543994"/>
    <w:rsid w:val="00572C76"/>
    <w:rsid w:val="005C12D1"/>
    <w:rsid w:val="005C3387"/>
    <w:rsid w:val="005C7405"/>
    <w:rsid w:val="005D26C8"/>
    <w:rsid w:val="005D5D08"/>
    <w:rsid w:val="005F24B5"/>
    <w:rsid w:val="006109DA"/>
    <w:rsid w:val="006113FE"/>
    <w:rsid w:val="0063708B"/>
    <w:rsid w:val="00646305"/>
    <w:rsid w:val="00647B8F"/>
    <w:rsid w:val="00660574"/>
    <w:rsid w:val="00662D4D"/>
    <w:rsid w:val="006805BC"/>
    <w:rsid w:val="0068329C"/>
    <w:rsid w:val="00684895"/>
    <w:rsid w:val="006932D8"/>
    <w:rsid w:val="00694464"/>
    <w:rsid w:val="006C3B6C"/>
    <w:rsid w:val="006D740D"/>
    <w:rsid w:val="006E3361"/>
    <w:rsid w:val="006E3500"/>
    <w:rsid w:val="006E75C1"/>
    <w:rsid w:val="00703475"/>
    <w:rsid w:val="00703D10"/>
    <w:rsid w:val="00711237"/>
    <w:rsid w:val="0072782F"/>
    <w:rsid w:val="00744B50"/>
    <w:rsid w:val="007458F4"/>
    <w:rsid w:val="007A0E5D"/>
    <w:rsid w:val="007A1EAF"/>
    <w:rsid w:val="007A4DF1"/>
    <w:rsid w:val="007B140F"/>
    <w:rsid w:val="007C1C7C"/>
    <w:rsid w:val="007C31E9"/>
    <w:rsid w:val="007D670B"/>
    <w:rsid w:val="007E76E0"/>
    <w:rsid w:val="008006BF"/>
    <w:rsid w:val="008122AB"/>
    <w:rsid w:val="008127EF"/>
    <w:rsid w:val="00814A45"/>
    <w:rsid w:val="00821867"/>
    <w:rsid w:val="00822295"/>
    <w:rsid w:val="00823BB7"/>
    <w:rsid w:val="008310E5"/>
    <w:rsid w:val="00831227"/>
    <w:rsid w:val="00834872"/>
    <w:rsid w:val="00840CA5"/>
    <w:rsid w:val="00851EEF"/>
    <w:rsid w:val="00855A78"/>
    <w:rsid w:val="00867C8E"/>
    <w:rsid w:val="0087020F"/>
    <w:rsid w:val="00876BCF"/>
    <w:rsid w:val="0088336B"/>
    <w:rsid w:val="00890365"/>
    <w:rsid w:val="008A1D1B"/>
    <w:rsid w:val="008B2FB6"/>
    <w:rsid w:val="008B4FBA"/>
    <w:rsid w:val="008B7741"/>
    <w:rsid w:val="008C4DB0"/>
    <w:rsid w:val="008C7699"/>
    <w:rsid w:val="008E5673"/>
    <w:rsid w:val="008F707B"/>
    <w:rsid w:val="008F7745"/>
    <w:rsid w:val="009001F8"/>
    <w:rsid w:val="00904059"/>
    <w:rsid w:val="009079FA"/>
    <w:rsid w:val="00910776"/>
    <w:rsid w:val="00914772"/>
    <w:rsid w:val="00924A0E"/>
    <w:rsid w:val="00926B3E"/>
    <w:rsid w:val="009274C0"/>
    <w:rsid w:val="00935CDE"/>
    <w:rsid w:val="00944926"/>
    <w:rsid w:val="009461BA"/>
    <w:rsid w:val="009832CD"/>
    <w:rsid w:val="00983877"/>
    <w:rsid w:val="00996878"/>
    <w:rsid w:val="009A2D3F"/>
    <w:rsid w:val="009D08AF"/>
    <w:rsid w:val="009D251A"/>
    <w:rsid w:val="009D6F11"/>
    <w:rsid w:val="009D705C"/>
    <w:rsid w:val="009F2E4C"/>
    <w:rsid w:val="009F6799"/>
    <w:rsid w:val="00A009DB"/>
    <w:rsid w:val="00A0218C"/>
    <w:rsid w:val="00A05982"/>
    <w:rsid w:val="00A06807"/>
    <w:rsid w:val="00A068E6"/>
    <w:rsid w:val="00A11194"/>
    <w:rsid w:val="00A17287"/>
    <w:rsid w:val="00A27817"/>
    <w:rsid w:val="00A52D75"/>
    <w:rsid w:val="00A642C3"/>
    <w:rsid w:val="00A73E55"/>
    <w:rsid w:val="00A7587E"/>
    <w:rsid w:val="00A852C0"/>
    <w:rsid w:val="00A86E0D"/>
    <w:rsid w:val="00A909A8"/>
    <w:rsid w:val="00AB7ECC"/>
    <w:rsid w:val="00AC1043"/>
    <w:rsid w:val="00AC418E"/>
    <w:rsid w:val="00AD1558"/>
    <w:rsid w:val="00AD32D4"/>
    <w:rsid w:val="00B13591"/>
    <w:rsid w:val="00B53E86"/>
    <w:rsid w:val="00B54B64"/>
    <w:rsid w:val="00B60940"/>
    <w:rsid w:val="00B65858"/>
    <w:rsid w:val="00B6757C"/>
    <w:rsid w:val="00B732D5"/>
    <w:rsid w:val="00B7336A"/>
    <w:rsid w:val="00B74D9F"/>
    <w:rsid w:val="00B75004"/>
    <w:rsid w:val="00B75180"/>
    <w:rsid w:val="00B92DAC"/>
    <w:rsid w:val="00BB17ED"/>
    <w:rsid w:val="00BB1CA4"/>
    <w:rsid w:val="00BB588F"/>
    <w:rsid w:val="00BB669E"/>
    <w:rsid w:val="00BC17A0"/>
    <w:rsid w:val="00BC596D"/>
    <w:rsid w:val="00BE15BA"/>
    <w:rsid w:val="00BE302E"/>
    <w:rsid w:val="00BE3A87"/>
    <w:rsid w:val="00BE6FD3"/>
    <w:rsid w:val="00BF70B3"/>
    <w:rsid w:val="00C0606D"/>
    <w:rsid w:val="00C10F3F"/>
    <w:rsid w:val="00C13A52"/>
    <w:rsid w:val="00C41EAA"/>
    <w:rsid w:val="00C457D9"/>
    <w:rsid w:val="00C537D1"/>
    <w:rsid w:val="00C613C5"/>
    <w:rsid w:val="00C73E43"/>
    <w:rsid w:val="00C77483"/>
    <w:rsid w:val="00C93B2C"/>
    <w:rsid w:val="00CC60C3"/>
    <w:rsid w:val="00CD4697"/>
    <w:rsid w:val="00CD5C7E"/>
    <w:rsid w:val="00CD64B8"/>
    <w:rsid w:val="00CE4372"/>
    <w:rsid w:val="00D2003D"/>
    <w:rsid w:val="00D26ECE"/>
    <w:rsid w:val="00D46F5D"/>
    <w:rsid w:val="00D56AAB"/>
    <w:rsid w:val="00D82272"/>
    <w:rsid w:val="00DA0679"/>
    <w:rsid w:val="00DC1265"/>
    <w:rsid w:val="00DC5939"/>
    <w:rsid w:val="00DD563A"/>
    <w:rsid w:val="00DF0D06"/>
    <w:rsid w:val="00E038AE"/>
    <w:rsid w:val="00E07AF5"/>
    <w:rsid w:val="00E121B2"/>
    <w:rsid w:val="00E206FB"/>
    <w:rsid w:val="00E31736"/>
    <w:rsid w:val="00E35A5E"/>
    <w:rsid w:val="00E37292"/>
    <w:rsid w:val="00E41963"/>
    <w:rsid w:val="00E61D20"/>
    <w:rsid w:val="00E64A46"/>
    <w:rsid w:val="00E670BD"/>
    <w:rsid w:val="00E744E0"/>
    <w:rsid w:val="00E85EC7"/>
    <w:rsid w:val="00ED3674"/>
    <w:rsid w:val="00ED49CF"/>
    <w:rsid w:val="00EE21EB"/>
    <w:rsid w:val="00F05E6B"/>
    <w:rsid w:val="00F26A01"/>
    <w:rsid w:val="00F27102"/>
    <w:rsid w:val="00F7264E"/>
    <w:rsid w:val="00F825C1"/>
    <w:rsid w:val="00F92B15"/>
    <w:rsid w:val="00FB78ED"/>
    <w:rsid w:val="00FC1717"/>
    <w:rsid w:val="00FC2777"/>
    <w:rsid w:val="00FC3844"/>
    <w:rsid w:val="00FC62CF"/>
    <w:rsid w:val="00FD28E4"/>
    <w:rsid w:val="00FE3326"/>
    <w:rsid w:val="00FE71B0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D1B"/>
    <w:pPr>
      <w:spacing w:before="12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qFormat/>
    <w:rsid w:val="00684895"/>
    <w:pPr>
      <w:keepNext/>
      <w:keepLines/>
      <w:spacing w:before="240"/>
      <w:jc w:val="center"/>
      <w:outlineLvl w:val="0"/>
    </w:pPr>
    <w:rPr>
      <w:rFonts w:ascii="Arial" w:hAnsi="Arial"/>
      <w:b/>
      <w:bCs/>
      <w:caps/>
    </w:rPr>
  </w:style>
  <w:style w:type="paragraph" w:styleId="Heading2">
    <w:name w:val="heading 2"/>
    <w:basedOn w:val="Normal"/>
    <w:qFormat/>
    <w:rsid w:val="00684895"/>
    <w:pPr>
      <w:spacing w:before="36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qFormat/>
    <w:rsid w:val="004937F8"/>
    <w:pPr>
      <w:numPr>
        <w:numId w:val="1"/>
      </w:numPr>
      <w:spacing w:before="240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13D4"/>
    <w:rPr>
      <w:sz w:val="16"/>
    </w:rPr>
  </w:style>
  <w:style w:type="paragraph" w:customStyle="1" w:styleId="ActTitle">
    <w:name w:val="Act Title"/>
    <w:basedOn w:val="Normal"/>
    <w:rsid w:val="004937F8"/>
    <w:pPr>
      <w:jc w:val="center"/>
    </w:pPr>
    <w:rPr>
      <w:rFonts w:ascii="Arial" w:hAnsi="Arial"/>
      <w:i/>
      <w:iCs/>
    </w:rPr>
  </w:style>
  <w:style w:type="paragraph" w:styleId="BalloonText">
    <w:name w:val="Balloon Text"/>
    <w:basedOn w:val="Normal"/>
    <w:semiHidden/>
    <w:rsid w:val="00B732D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04029"/>
    <w:rPr>
      <w:sz w:val="16"/>
      <w:szCs w:val="16"/>
    </w:rPr>
  </w:style>
  <w:style w:type="paragraph" w:styleId="CommentText">
    <w:name w:val="annotation text"/>
    <w:basedOn w:val="Normal"/>
    <w:semiHidden/>
    <w:rsid w:val="00104029"/>
  </w:style>
  <w:style w:type="paragraph" w:styleId="CommentSubject">
    <w:name w:val="annotation subject"/>
    <w:basedOn w:val="CommentText"/>
    <w:next w:val="CommentText"/>
    <w:semiHidden/>
    <w:rsid w:val="00104029"/>
    <w:rPr>
      <w:b/>
      <w:bCs/>
    </w:rPr>
  </w:style>
  <w:style w:type="paragraph" w:customStyle="1" w:styleId="Instructions">
    <w:name w:val="Instructions"/>
    <w:basedOn w:val="Normal"/>
    <w:link w:val="InstructionsChar"/>
    <w:rsid w:val="00020327"/>
    <w:rPr>
      <w:rFonts w:ascii="Arial" w:hAnsi="Arial" w:cs="Arial"/>
      <w:i/>
      <w:color w:val="0000FF"/>
      <w:sz w:val="20"/>
    </w:rPr>
  </w:style>
  <w:style w:type="character" w:customStyle="1" w:styleId="InstructionsChar">
    <w:name w:val="Instructions Char"/>
    <w:link w:val="Instructions"/>
    <w:rsid w:val="00020327"/>
    <w:rPr>
      <w:rFonts w:ascii="Arial" w:hAnsi="Arial" w:cs="Arial"/>
      <w:i/>
      <w:color w:val="0000FF"/>
      <w:lang w:val="en-AU" w:eastAsia="en-AU" w:bidi="ar-SA"/>
    </w:rPr>
  </w:style>
  <w:style w:type="paragraph" w:customStyle="1" w:styleId="StrategicAssessmentText">
    <w:name w:val="Strategic Assessment Text"/>
    <w:basedOn w:val="Normal"/>
    <w:rsid w:val="008A1D1B"/>
    <w:pPr>
      <w:ind w:left="284"/>
    </w:pPr>
  </w:style>
  <w:style w:type="paragraph" w:styleId="Header">
    <w:name w:val="header"/>
    <w:basedOn w:val="Normal"/>
    <w:rsid w:val="00FE71B0"/>
    <w:pPr>
      <w:tabs>
        <w:tab w:val="center" w:pos="4153"/>
        <w:tab w:val="right" w:pos="8306"/>
      </w:tabs>
    </w:pPr>
  </w:style>
  <w:style w:type="character" w:styleId="Hyperlink">
    <w:name w:val="Hyperlink"/>
    <w:rsid w:val="00FE71B0"/>
    <w:rPr>
      <w:color w:val="0000FF"/>
      <w:u w:val="single"/>
    </w:rPr>
  </w:style>
  <w:style w:type="paragraph" w:styleId="List2">
    <w:name w:val="List 2"/>
    <w:basedOn w:val="Normal"/>
    <w:rsid w:val="00823BB7"/>
    <w:pPr>
      <w:numPr>
        <w:ilvl w:val="1"/>
        <w:numId w:val="1"/>
      </w:numPr>
    </w:pPr>
  </w:style>
  <w:style w:type="character" w:styleId="FollowedHyperlink">
    <w:name w:val="FollowedHyperlink"/>
    <w:rsid w:val="00035AE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10776"/>
    <w:pPr>
      <w:ind w:left="720"/>
      <w:contextualSpacing/>
    </w:pPr>
  </w:style>
  <w:style w:type="table" w:styleId="TableGrid">
    <w:name w:val="Table Grid"/>
    <w:basedOn w:val="TableNormal"/>
    <w:uiPriority w:val="59"/>
    <w:rsid w:val="0000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D1B"/>
    <w:pPr>
      <w:spacing w:before="12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qFormat/>
    <w:rsid w:val="00684895"/>
    <w:pPr>
      <w:keepNext/>
      <w:keepLines/>
      <w:spacing w:before="240"/>
      <w:jc w:val="center"/>
      <w:outlineLvl w:val="0"/>
    </w:pPr>
    <w:rPr>
      <w:rFonts w:ascii="Arial" w:hAnsi="Arial"/>
      <w:b/>
      <w:bCs/>
      <w:caps/>
    </w:rPr>
  </w:style>
  <w:style w:type="paragraph" w:styleId="Heading2">
    <w:name w:val="heading 2"/>
    <w:basedOn w:val="Normal"/>
    <w:qFormat/>
    <w:rsid w:val="00684895"/>
    <w:pPr>
      <w:spacing w:before="36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qFormat/>
    <w:rsid w:val="004937F8"/>
    <w:pPr>
      <w:numPr>
        <w:numId w:val="1"/>
      </w:numPr>
      <w:spacing w:before="240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13D4"/>
    <w:rPr>
      <w:sz w:val="16"/>
    </w:rPr>
  </w:style>
  <w:style w:type="paragraph" w:customStyle="1" w:styleId="ActTitle">
    <w:name w:val="Act Title"/>
    <w:basedOn w:val="Normal"/>
    <w:rsid w:val="004937F8"/>
    <w:pPr>
      <w:jc w:val="center"/>
    </w:pPr>
    <w:rPr>
      <w:rFonts w:ascii="Arial" w:hAnsi="Arial"/>
      <w:i/>
      <w:iCs/>
    </w:rPr>
  </w:style>
  <w:style w:type="paragraph" w:styleId="BalloonText">
    <w:name w:val="Balloon Text"/>
    <w:basedOn w:val="Normal"/>
    <w:semiHidden/>
    <w:rsid w:val="00B732D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04029"/>
    <w:rPr>
      <w:sz w:val="16"/>
      <w:szCs w:val="16"/>
    </w:rPr>
  </w:style>
  <w:style w:type="paragraph" w:styleId="CommentText">
    <w:name w:val="annotation text"/>
    <w:basedOn w:val="Normal"/>
    <w:semiHidden/>
    <w:rsid w:val="00104029"/>
  </w:style>
  <w:style w:type="paragraph" w:styleId="CommentSubject">
    <w:name w:val="annotation subject"/>
    <w:basedOn w:val="CommentText"/>
    <w:next w:val="CommentText"/>
    <w:semiHidden/>
    <w:rsid w:val="00104029"/>
    <w:rPr>
      <w:b/>
      <w:bCs/>
    </w:rPr>
  </w:style>
  <w:style w:type="paragraph" w:customStyle="1" w:styleId="Instructions">
    <w:name w:val="Instructions"/>
    <w:basedOn w:val="Normal"/>
    <w:link w:val="InstructionsChar"/>
    <w:rsid w:val="00020327"/>
    <w:rPr>
      <w:rFonts w:ascii="Arial" w:hAnsi="Arial" w:cs="Arial"/>
      <w:i/>
      <w:color w:val="0000FF"/>
      <w:sz w:val="20"/>
    </w:rPr>
  </w:style>
  <w:style w:type="character" w:customStyle="1" w:styleId="InstructionsChar">
    <w:name w:val="Instructions Char"/>
    <w:link w:val="Instructions"/>
    <w:rsid w:val="00020327"/>
    <w:rPr>
      <w:rFonts w:ascii="Arial" w:hAnsi="Arial" w:cs="Arial"/>
      <w:i/>
      <w:color w:val="0000FF"/>
      <w:lang w:val="en-AU" w:eastAsia="en-AU" w:bidi="ar-SA"/>
    </w:rPr>
  </w:style>
  <w:style w:type="paragraph" w:customStyle="1" w:styleId="StrategicAssessmentText">
    <w:name w:val="Strategic Assessment Text"/>
    <w:basedOn w:val="Normal"/>
    <w:rsid w:val="008A1D1B"/>
    <w:pPr>
      <w:ind w:left="284"/>
    </w:pPr>
  </w:style>
  <w:style w:type="paragraph" w:styleId="Header">
    <w:name w:val="header"/>
    <w:basedOn w:val="Normal"/>
    <w:rsid w:val="00FE71B0"/>
    <w:pPr>
      <w:tabs>
        <w:tab w:val="center" w:pos="4153"/>
        <w:tab w:val="right" w:pos="8306"/>
      </w:tabs>
    </w:pPr>
  </w:style>
  <w:style w:type="character" w:styleId="Hyperlink">
    <w:name w:val="Hyperlink"/>
    <w:rsid w:val="00FE71B0"/>
    <w:rPr>
      <w:color w:val="0000FF"/>
      <w:u w:val="single"/>
    </w:rPr>
  </w:style>
  <w:style w:type="paragraph" w:styleId="List2">
    <w:name w:val="List 2"/>
    <w:basedOn w:val="Normal"/>
    <w:rsid w:val="00823BB7"/>
    <w:pPr>
      <w:numPr>
        <w:ilvl w:val="1"/>
        <w:numId w:val="1"/>
      </w:numPr>
    </w:pPr>
  </w:style>
  <w:style w:type="character" w:styleId="FollowedHyperlink">
    <w:name w:val="FollowedHyperlink"/>
    <w:rsid w:val="00035AE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10776"/>
    <w:pPr>
      <w:ind w:left="720"/>
      <w:contextualSpacing/>
    </w:pPr>
  </w:style>
  <w:style w:type="table" w:styleId="TableGrid">
    <w:name w:val="Table Grid"/>
    <w:basedOn w:val="TableNormal"/>
    <w:uiPriority w:val="59"/>
    <w:rsid w:val="0000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tpli.vic.gov.au/planning/planning-schemes/changing-the-planning-scheme/planning-documents-on-exhibi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gpmis\PSMR%20Planning%20System%20Reform\Amendment%20model\Amendments%20online\Std%20docs%20&amp;%20templates\Explanatory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76DA-88D6-4A67-97B8-2F1DF046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Explanatory report</Template>
  <TotalTime>193</TotalTime>
  <Pages>6</Pages>
  <Words>1718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Act 1987</vt:lpstr>
    </vt:vector>
  </TitlesOfParts>
  <Company>DOI</Company>
  <LinksUpToDate>false</LinksUpToDate>
  <CharactersWithSpaces>11962</CharactersWithSpaces>
  <SharedDoc>false</SharedDoc>
  <HLinks>
    <vt:vector size="18" baseType="variant">
      <vt:variant>
        <vt:i4>2490428</vt:i4>
      </vt:variant>
      <vt:variant>
        <vt:i4>6</vt:i4>
      </vt:variant>
      <vt:variant>
        <vt:i4>0</vt:i4>
      </vt:variant>
      <vt:variant>
        <vt:i4>5</vt:i4>
      </vt:variant>
      <vt:variant>
        <vt:lpwstr>http://www.dtpli.vic.gov.au/planning/planning-schemes/changing-the-planning-scheme/planning-documents-on-exhibition</vt:lpwstr>
      </vt:variant>
      <vt:variant>
        <vt:lpwstr/>
      </vt:variant>
      <vt:variant>
        <vt:i4>6815857</vt:i4>
      </vt:variant>
      <vt:variant>
        <vt:i4>3</vt:i4>
      </vt:variant>
      <vt:variant>
        <vt:i4>0</vt:i4>
      </vt:variant>
      <vt:variant>
        <vt:i4>5</vt:i4>
      </vt:variant>
      <vt:variant>
        <vt:lpwstr>http://www.dtpli.vic.gov.au/__data/assets/pdf_file/0007/258487/PPN46-Strategic-Assessment-Guidelines_June-2015.pdf</vt:lpwstr>
      </vt:variant>
      <vt:variant>
        <vt:lpwstr/>
      </vt:variant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http://www.dtpli.vic.gov.au/__data/assets/word_doc/0016/231217/v1_T133I_Use_of_standard_terms_for_the_Explanatory_report_and_application_forms-1-May-2013.doc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Act 1987</dc:title>
  <dc:creator>de Saram</dc:creator>
  <cp:lastModifiedBy>Burman, Evan</cp:lastModifiedBy>
  <cp:revision>15</cp:revision>
  <cp:lastPrinted>2016-02-03T22:25:00Z</cp:lastPrinted>
  <dcterms:created xsi:type="dcterms:W3CDTF">2017-10-29T21:24:00Z</dcterms:created>
  <dcterms:modified xsi:type="dcterms:W3CDTF">2017-11-21T22:48:00Z</dcterms:modified>
</cp:coreProperties>
</file>